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9D5A4" w14:textId="77777777" w:rsidR="00FA1359" w:rsidRDefault="00DE69D2" w:rsidP="00DE69D2">
      <w:pPr>
        <w:spacing w:after="160" w:line="256" w:lineRule="auto"/>
        <w:ind w:right="-1440"/>
        <w:sectPr w:rsidR="00FA1359" w:rsidSect="00DE69D2">
          <w:footerReference w:type="default" r:id="rId11"/>
          <w:pgSz w:w="11906" w:h="16838"/>
          <w:pgMar w:top="1701" w:right="1440" w:bottom="1440" w:left="1440" w:header="708" w:footer="0" w:gutter="0"/>
          <w:cols w:space="708"/>
          <w:docGrid w:linePitch="360"/>
        </w:sectPr>
      </w:pPr>
      <w:r>
        <w:rPr>
          <w:noProof/>
          <w:lang w:eastAsia="en-AU" w:bidi="ar-SA"/>
        </w:rPr>
        <w:drawing>
          <wp:inline distT="0" distB="0" distL="0" distR="0" wp14:anchorId="4C79D671" wp14:editId="4C79D672">
            <wp:extent cx="3544824" cy="679704"/>
            <wp:effectExtent l="0" t="0" r="0" b="6350"/>
            <wp:docPr id="4" name="Picture 4"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pt_of_Comms-Reg-Inline-Press.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44824" cy="679704"/>
                    </a:xfrm>
                    <a:prstGeom prst="rect">
                      <a:avLst/>
                    </a:prstGeom>
                  </pic:spPr>
                </pic:pic>
              </a:graphicData>
            </a:graphic>
          </wp:inline>
        </w:drawing>
      </w:r>
    </w:p>
    <w:p w14:paraId="4C79D5A5" w14:textId="77777777" w:rsidR="00DE69D2" w:rsidRPr="00DE69D2" w:rsidRDefault="00DE69D2" w:rsidP="00DE69D2">
      <w:pPr>
        <w:pStyle w:val="Title"/>
      </w:pPr>
      <w:r w:rsidRPr="00DE69D2">
        <w:t>Bureau of</w:t>
      </w:r>
      <w:r w:rsidRPr="00DE69D2">
        <w:br/>
        <w:t>Communications</w:t>
      </w:r>
      <w:r w:rsidRPr="00DE69D2">
        <w:br/>
        <w:t>and Arts Research</w:t>
      </w:r>
    </w:p>
    <w:p w14:paraId="4C79D5A6" w14:textId="44AEA75F" w:rsidR="00FA1359" w:rsidRPr="00DE69D2" w:rsidRDefault="004B4BEB" w:rsidP="00DE69D2">
      <w:pPr>
        <w:pStyle w:val="Heading1"/>
      </w:pPr>
      <w:r w:rsidRPr="004D6CE7">
        <w:t>Review of Code of Conduct for Australian Copyright Collecting Societies</w:t>
      </w:r>
    </w:p>
    <w:p w14:paraId="4C79D5A7" w14:textId="381743B3" w:rsidR="00FA1359" w:rsidRPr="005621D9" w:rsidRDefault="004B4BEB" w:rsidP="00DE69D2">
      <w:pPr>
        <w:pStyle w:val="subtitleofdocument"/>
      </w:pPr>
      <w:r>
        <w:t>Draft report</w:t>
      </w:r>
    </w:p>
    <w:p w14:paraId="4C79D5A8" w14:textId="24A8AAA5" w:rsidR="00FA1359" w:rsidRDefault="001A2330" w:rsidP="00DE69D2">
      <w:r>
        <w:t>February</w:t>
      </w:r>
      <w:r w:rsidR="004B4BEB">
        <w:t xml:space="preserve"> 2018</w:t>
      </w:r>
    </w:p>
    <w:p w14:paraId="4C79D5AA" w14:textId="77777777" w:rsidR="00FA1359" w:rsidRDefault="00DE69D2" w:rsidP="00DE69D2">
      <w:pPr>
        <w:spacing w:after="160" w:line="259" w:lineRule="auto"/>
        <w:ind w:right="-1133"/>
        <w:jc w:val="right"/>
      </w:pPr>
      <w:r>
        <w:rPr>
          <w:noProof/>
          <w:lang w:eastAsia="en-AU" w:bidi="ar-SA"/>
        </w:rPr>
        <w:drawing>
          <wp:inline distT="0" distB="0" distL="0" distR="0" wp14:anchorId="4C79D673" wp14:editId="4C79D674">
            <wp:extent cx="3477260" cy="4333875"/>
            <wp:effectExtent l="0" t="0" r="8890" b="9525"/>
            <wp:docPr id="25" name="Picture 25" descr="BCAR logo design image&#10;&#10;communications.gov.au/BCAR&#10;&#10;#CommAuBCAR" title="BCAR logo desig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cr-cov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89165" cy="4348713"/>
                    </a:xfrm>
                    <a:prstGeom prst="rect">
                      <a:avLst/>
                    </a:prstGeom>
                  </pic:spPr>
                </pic:pic>
              </a:graphicData>
            </a:graphic>
          </wp:inline>
        </w:drawing>
      </w:r>
      <w:r w:rsidR="00FA1359">
        <w:br w:type="page"/>
      </w:r>
    </w:p>
    <w:p w14:paraId="4C79D5AB" w14:textId="77777777" w:rsidR="00FA1359" w:rsidRPr="0009516A" w:rsidRDefault="00FA1359" w:rsidP="004B4BEB">
      <w:pPr>
        <w:pStyle w:val="Heading2-notshowingincontentsindocument"/>
      </w:pPr>
      <w:r>
        <w:lastRenderedPageBreak/>
        <w:t>Disclaimer</w:t>
      </w:r>
    </w:p>
    <w:p w14:paraId="664FA536" w14:textId="77777777" w:rsidR="004B4BEB" w:rsidRPr="00204900" w:rsidRDefault="004B4BEB" w:rsidP="004B4BEB">
      <w:r w:rsidRPr="00204900">
        <w:t>The material in this paper 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14:paraId="1881F378" w14:textId="77777777" w:rsidR="004B4BEB" w:rsidRPr="00204900" w:rsidRDefault="004B4BEB" w:rsidP="004B4BEB">
      <w:r w:rsidRPr="00204900">
        <w:t>The Commonwealth accepts no responsibility or liability for any damage, loss or expense incurred as a result of the reliance on information contained in this discussion paper.</w:t>
      </w:r>
    </w:p>
    <w:p w14:paraId="4C65F6D1" w14:textId="77777777" w:rsidR="004B4BEB" w:rsidRPr="00204900" w:rsidRDefault="004B4BEB" w:rsidP="004B4BEB">
      <w:r w:rsidRPr="00204900">
        <w:t>This paper has been prepared for consultation purposes only and does not indicate the Commonwealth’s commitment to a particular course of action. Additionally, any third party views or recommendations included in this discussion paper do not reflect the views of the Commonwealth, or indicate its commitment to a particular course of action.</w:t>
      </w:r>
    </w:p>
    <w:p w14:paraId="4C79D5AF" w14:textId="77777777" w:rsidR="00FA1359" w:rsidRPr="0009516A" w:rsidRDefault="00FA1359" w:rsidP="00FA1359">
      <w:pPr>
        <w:pStyle w:val="Heading2-notshowingincontentsindocument"/>
      </w:pPr>
      <w:r w:rsidRPr="0009516A">
        <w:t>Co</w:t>
      </w:r>
      <w:r>
        <w:t>pyright</w:t>
      </w:r>
    </w:p>
    <w:p w14:paraId="4C79D5B0" w14:textId="15D5CDA8" w:rsidR="00FA1359" w:rsidRPr="006628F3" w:rsidRDefault="00FA1359" w:rsidP="00FA1359">
      <w:r w:rsidRPr="006628F3">
        <w:t>© Commonwealth of Australia</w:t>
      </w:r>
      <w:r w:rsidR="004B4BEB">
        <w:t xml:space="preserve"> 2018</w:t>
      </w:r>
    </w:p>
    <w:p w14:paraId="21285BC0" w14:textId="77777777" w:rsidR="004B4BEB" w:rsidRPr="006628F3" w:rsidRDefault="00FA1359" w:rsidP="004B4BEB">
      <w:r w:rsidRPr="006628F3">
        <w:rPr>
          <w:noProof/>
          <w:lang w:eastAsia="en-AU" w:bidi="ar-SA"/>
        </w:rPr>
        <w:drawing>
          <wp:inline distT="0" distB="0" distL="0" distR="0" wp14:anchorId="4C79D675" wp14:editId="4C79D676">
            <wp:extent cx="836930" cy="293370"/>
            <wp:effectExtent l="0" t="0" r="1270" b="0"/>
            <wp:docPr id="2" name="Picture 2"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004B4BEB">
        <w:br/>
        <w:t xml:space="preserve">All content in this publication is provided under a </w:t>
      </w:r>
      <w:hyperlink r:id="rId16" w:history="1">
        <w:r w:rsidR="004B4BEB">
          <w:rPr>
            <w:rStyle w:val="Hyperlink"/>
          </w:rPr>
          <w:t>Creative Commons Attribution 4.0 International (CC BY 4.0) licence</w:t>
        </w:r>
      </w:hyperlink>
      <w:r w:rsidR="004B4BEB" w:rsidRPr="006628F3">
        <w:t>, with the exception of:</w:t>
      </w:r>
    </w:p>
    <w:p w14:paraId="24549FFB" w14:textId="77777777" w:rsidR="004B4BEB" w:rsidRPr="004B4BEB" w:rsidRDefault="004B4BEB" w:rsidP="00897FD5">
      <w:pPr>
        <w:pStyle w:val="Bullet-tables"/>
      </w:pPr>
      <w:r w:rsidRPr="004B4BEB">
        <w:t>the Commonwealth Coat of Arms</w:t>
      </w:r>
    </w:p>
    <w:p w14:paraId="5D8A3021" w14:textId="77777777" w:rsidR="004B4BEB" w:rsidRPr="004B4BEB" w:rsidRDefault="004B4BEB" w:rsidP="00897FD5">
      <w:pPr>
        <w:pStyle w:val="Bullet-tables"/>
      </w:pPr>
      <w:r w:rsidRPr="004B4BEB">
        <w:t>this Department’s logos</w:t>
      </w:r>
    </w:p>
    <w:p w14:paraId="19655AED" w14:textId="77777777" w:rsidR="004B4BEB" w:rsidRPr="004B4BEB" w:rsidRDefault="004B4BEB" w:rsidP="00897FD5">
      <w:pPr>
        <w:pStyle w:val="Bullet-tables"/>
      </w:pPr>
      <w:r w:rsidRPr="004B4BEB">
        <w:t>any third party material, including any images and/or photographs, and</w:t>
      </w:r>
    </w:p>
    <w:p w14:paraId="605DF004" w14:textId="77777777" w:rsidR="004B4BEB" w:rsidRPr="004B4BEB" w:rsidRDefault="004B4BEB" w:rsidP="00897FD5">
      <w:pPr>
        <w:pStyle w:val="Bullet-tables"/>
      </w:pPr>
      <w:r w:rsidRPr="004B4BEB">
        <w:t>any material protected by a trademark.</w:t>
      </w:r>
    </w:p>
    <w:p w14:paraId="42794568" w14:textId="77777777" w:rsidR="004B4BEB" w:rsidRDefault="004B4BEB" w:rsidP="007250EB">
      <w:pPr>
        <w:pStyle w:val="Heading3-notshowingincontentsindocument"/>
        <w:spacing w:before="240"/>
      </w:pPr>
      <w:bookmarkStart w:id="0" w:name="_Toc356292521"/>
      <w:r>
        <w:t>Third party copyright</w:t>
      </w:r>
    </w:p>
    <w:p w14:paraId="41686D24" w14:textId="77777777" w:rsidR="004B4BEB" w:rsidRPr="001024AF" w:rsidRDefault="004B4BEB" w:rsidP="004B4BEB">
      <w:r>
        <w:rPr>
          <w:lang w:eastAsia="en-US"/>
        </w:rPr>
        <w:t>The Department has made all reasonable efforts to clearly identify material where the copyright is owned by a third party. Permission may need to be obtained from third parties to re-use their material.</w:t>
      </w:r>
    </w:p>
    <w:p w14:paraId="5E2FC70F" w14:textId="77777777" w:rsidR="004B4BEB" w:rsidRPr="0023386C" w:rsidRDefault="004B4BEB" w:rsidP="004B4BEB">
      <w:pPr>
        <w:pStyle w:val="Heading3-notshowingincontentsindocument"/>
      </w:pPr>
      <w:r w:rsidRPr="0023386C">
        <w:t>Attribution</w:t>
      </w:r>
      <w:bookmarkEnd w:id="0"/>
    </w:p>
    <w:p w14:paraId="69F46124" w14:textId="77777777" w:rsidR="004B4BEB" w:rsidRDefault="004B4BEB" w:rsidP="004B4BEB">
      <w:bookmarkStart w:id="1" w:name="_Toc356292522"/>
      <w:r>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1"/>
    <w:p w14:paraId="5F3F81FC" w14:textId="77777777" w:rsidR="004B4BEB" w:rsidRPr="0023386C" w:rsidRDefault="004B4BEB" w:rsidP="004B4BEB">
      <w:pPr>
        <w:ind w:left="720"/>
      </w:pPr>
      <w:r>
        <w:t>Licensed from the Commonwealth of Australia under a Creative Commons Attribution 4.0 International licence.</w:t>
      </w:r>
    </w:p>
    <w:p w14:paraId="226A8D92" w14:textId="77777777" w:rsidR="004B4BEB" w:rsidRPr="0023386C" w:rsidRDefault="004B4BEB" w:rsidP="004B4BEB">
      <w:bookmarkStart w:id="2" w:name="_Toc356292524"/>
      <w:r w:rsidRPr="0023386C">
        <w:t xml:space="preserve">Enquiries about </w:t>
      </w:r>
      <w:r>
        <w:t>the</w:t>
      </w:r>
      <w:r w:rsidRPr="0023386C">
        <w:t xml:space="preserve"> use of </w:t>
      </w:r>
      <w:r>
        <w:t xml:space="preserve">any material in </w:t>
      </w:r>
      <w:r w:rsidRPr="0023386C">
        <w:t xml:space="preserve">this </w:t>
      </w:r>
      <w:r>
        <w:t>publication</w:t>
      </w:r>
      <w:r w:rsidRPr="0023386C">
        <w:t xml:space="preserve"> can be sent to: </w:t>
      </w:r>
      <w:r>
        <w:t>copyright@communications.gov.au.</w:t>
      </w:r>
    </w:p>
    <w:p w14:paraId="6CC5D887" w14:textId="77777777" w:rsidR="004B4BEB" w:rsidRPr="0023386C" w:rsidRDefault="004B4BEB" w:rsidP="004B4BEB">
      <w:pPr>
        <w:pStyle w:val="Heading3-notshowingincontentsindocument"/>
      </w:pPr>
      <w:r w:rsidRPr="0023386C">
        <w:t>Using the Commonwealth Coat of Arms</w:t>
      </w:r>
      <w:bookmarkEnd w:id="2"/>
    </w:p>
    <w:p w14:paraId="091A8285" w14:textId="7D109F9C" w:rsidR="004B4BEB" w:rsidRDefault="004B4BEB" w:rsidP="004B4BEB">
      <w:bookmarkStart w:id="3" w:name="_Toc356292525"/>
      <w:r w:rsidRPr="0023386C">
        <w:t xml:space="preserve">The terms of use for the Coat of Arms are available from the It’s an Honour website (see </w:t>
      </w:r>
      <w:bookmarkEnd w:id="3"/>
      <w:r w:rsidRPr="000C30DA">
        <w:rPr>
          <w:rStyle w:val="Hyperlink"/>
        </w:rPr>
        <w:fldChar w:fldCharType="begin"/>
      </w:r>
      <w:r w:rsidRPr="000C30DA">
        <w:rPr>
          <w:rStyle w:val="Hyperlink"/>
        </w:rPr>
        <w:instrText xml:space="preserve"> HYPERLINK "http://www.itsanhonour.gov.au/" </w:instrText>
      </w:r>
      <w:r w:rsidRPr="000C30DA">
        <w:rPr>
          <w:rStyle w:val="Hyperlink"/>
        </w:rPr>
        <w:fldChar w:fldCharType="separate"/>
      </w:r>
      <w:r w:rsidRPr="000C30DA">
        <w:rPr>
          <w:rStyle w:val="Hyperlink"/>
        </w:rPr>
        <w:t>www.itsanhonour.gov.au</w:t>
      </w:r>
      <w:r w:rsidRPr="000C30DA">
        <w:rPr>
          <w:rStyle w:val="Hyperlink"/>
        </w:rPr>
        <w:fldChar w:fldCharType="end"/>
      </w:r>
      <w:r w:rsidRPr="0023386C">
        <w:t xml:space="preserve"> and click ‘Commonwealth Coat of Arms’).</w:t>
      </w:r>
    </w:p>
    <w:p w14:paraId="4C79D5C2" w14:textId="218BCB04" w:rsidR="00FA1359" w:rsidRDefault="00FA1359" w:rsidP="00FA1359">
      <w:r>
        <w:br w:type="page"/>
      </w:r>
    </w:p>
    <w:p w14:paraId="4C79D5C3" w14:textId="77777777" w:rsidR="00FA1359" w:rsidRPr="0009516A" w:rsidRDefault="00FA1359" w:rsidP="00FA1359">
      <w:pPr>
        <w:pStyle w:val="Heading2-notshowingincontentsindocument"/>
      </w:pPr>
      <w:r w:rsidRPr="0009516A">
        <w:lastRenderedPageBreak/>
        <w:t>Contents</w:t>
      </w:r>
    </w:p>
    <w:p w14:paraId="2C85348E" w14:textId="77777777" w:rsidR="006478E5" w:rsidRDefault="00FA1359">
      <w:pPr>
        <w:pStyle w:val="TOC1"/>
        <w:rPr>
          <w:rFonts w:eastAsiaTheme="minorEastAsia"/>
          <w:b w:val="0"/>
          <w:color w:val="auto"/>
          <w:sz w:val="22"/>
          <w:lang w:eastAsia="en-AU"/>
        </w:rPr>
      </w:pPr>
      <w:r>
        <w:rPr>
          <w:b w:val="0"/>
        </w:rPr>
        <w:fldChar w:fldCharType="begin"/>
      </w:r>
      <w:r>
        <w:rPr>
          <w:b w:val="0"/>
        </w:rPr>
        <w:instrText xml:space="preserve"> TOC \h \z \t "Heading 2,1,Heading 3,2,Heading 4,3,Heading 2 - list,1,Heading 3 - list,2,Heading 4 - list,3" </w:instrText>
      </w:r>
      <w:r>
        <w:rPr>
          <w:b w:val="0"/>
        </w:rPr>
        <w:fldChar w:fldCharType="separate"/>
      </w:r>
      <w:hyperlink w:anchor="_Toc506373247" w:history="1">
        <w:r w:rsidR="006478E5" w:rsidRPr="0036117C">
          <w:rPr>
            <w:rStyle w:val="Hyperlink"/>
            <w:lang w:bidi="hi-IN"/>
          </w:rPr>
          <w:t>Glossary</w:t>
        </w:r>
        <w:r w:rsidR="006478E5">
          <w:rPr>
            <w:webHidden/>
          </w:rPr>
          <w:tab/>
        </w:r>
        <w:r w:rsidR="006478E5">
          <w:rPr>
            <w:webHidden/>
          </w:rPr>
          <w:fldChar w:fldCharType="begin"/>
        </w:r>
        <w:r w:rsidR="006478E5">
          <w:rPr>
            <w:webHidden/>
          </w:rPr>
          <w:instrText xml:space="preserve"> PAGEREF _Toc506373247 \h </w:instrText>
        </w:r>
        <w:r w:rsidR="006478E5">
          <w:rPr>
            <w:webHidden/>
          </w:rPr>
        </w:r>
        <w:r w:rsidR="006478E5">
          <w:rPr>
            <w:webHidden/>
          </w:rPr>
          <w:fldChar w:fldCharType="separate"/>
        </w:r>
        <w:r w:rsidR="006478E5">
          <w:rPr>
            <w:webHidden/>
          </w:rPr>
          <w:t>5</w:t>
        </w:r>
        <w:r w:rsidR="006478E5">
          <w:rPr>
            <w:webHidden/>
          </w:rPr>
          <w:fldChar w:fldCharType="end"/>
        </w:r>
      </w:hyperlink>
    </w:p>
    <w:p w14:paraId="0D3E032E" w14:textId="77777777" w:rsidR="006478E5" w:rsidRDefault="001540BA">
      <w:pPr>
        <w:pStyle w:val="TOC1"/>
        <w:rPr>
          <w:rFonts w:eastAsiaTheme="minorEastAsia"/>
          <w:b w:val="0"/>
          <w:color w:val="auto"/>
          <w:sz w:val="22"/>
          <w:lang w:eastAsia="en-AU"/>
        </w:rPr>
      </w:pPr>
      <w:hyperlink w:anchor="_Toc506373248" w:history="1">
        <w:r w:rsidR="006478E5" w:rsidRPr="0036117C">
          <w:rPr>
            <w:rStyle w:val="Hyperlink"/>
            <w:lang w:bidi="hi-IN"/>
          </w:rPr>
          <w:t>Overview</w:t>
        </w:r>
        <w:r w:rsidR="006478E5">
          <w:rPr>
            <w:webHidden/>
          </w:rPr>
          <w:tab/>
        </w:r>
        <w:r w:rsidR="006478E5">
          <w:rPr>
            <w:webHidden/>
          </w:rPr>
          <w:fldChar w:fldCharType="begin"/>
        </w:r>
        <w:r w:rsidR="006478E5">
          <w:rPr>
            <w:webHidden/>
          </w:rPr>
          <w:instrText xml:space="preserve"> PAGEREF _Toc506373248 \h </w:instrText>
        </w:r>
        <w:r w:rsidR="006478E5">
          <w:rPr>
            <w:webHidden/>
          </w:rPr>
        </w:r>
        <w:r w:rsidR="006478E5">
          <w:rPr>
            <w:webHidden/>
          </w:rPr>
          <w:fldChar w:fldCharType="separate"/>
        </w:r>
        <w:r w:rsidR="006478E5">
          <w:rPr>
            <w:webHidden/>
          </w:rPr>
          <w:t>7</w:t>
        </w:r>
        <w:r w:rsidR="006478E5">
          <w:rPr>
            <w:webHidden/>
          </w:rPr>
          <w:fldChar w:fldCharType="end"/>
        </w:r>
      </w:hyperlink>
    </w:p>
    <w:p w14:paraId="1F0CBC27" w14:textId="77777777" w:rsidR="006478E5" w:rsidRDefault="001540BA">
      <w:pPr>
        <w:pStyle w:val="TOC2"/>
        <w:rPr>
          <w:rFonts w:eastAsiaTheme="minorEastAsia"/>
          <w:lang w:eastAsia="en-AU"/>
        </w:rPr>
      </w:pPr>
      <w:hyperlink w:anchor="_Toc506373249" w:history="1">
        <w:r w:rsidR="006478E5" w:rsidRPr="0036117C">
          <w:rPr>
            <w:rStyle w:val="Hyperlink"/>
            <w:lang w:bidi="hi-IN"/>
          </w:rPr>
          <w:t>How to respond to the draft findings and recommendations</w:t>
        </w:r>
        <w:r w:rsidR="006478E5">
          <w:rPr>
            <w:webHidden/>
          </w:rPr>
          <w:tab/>
        </w:r>
        <w:r w:rsidR="006478E5">
          <w:rPr>
            <w:webHidden/>
          </w:rPr>
          <w:fldChar w:fldCharType="begin"/>
        </w:r>
        <w:r w:rsidR="006478E5">
          <w:rPr>
            <w:webHidden/>
          </w:rPr>
          <w:instrText xml:space="preserve"> PAGEREF _Toc506373249 \h </w:instrText>
        </w:r>
        <w:r w:rsidR="006478E5">
          <w:rPr>
            <w:webHidden/>
          </w:rPr>
        </w:r>
        <w:r w:rsidR="006478E5">
          <w:rPr>
            <w:webHidden/>
          </w:rPr>
          <w:fldChar w:fldCharType="separate"/>
        </w:r>
        <w:r w:rsidR="006478E5">
          <w:rPr>
            <w:webHidden/>
          </w:rPr>
          <w:t>9</w:t>
        </w:r>
        <w:r w:rsidR="006478E5">
          <w:rPr>
            <w:webHidden/>
          </w:rPr>
          <w:fldChar w:fldCharType="end"/>
        </w:r>
      </w:hyperlink>
    </w:p>
    <w:p w14:paraId="469ADFBC" w14:textId="77777777" w:rsidR="006478E5" w:rsidRDefault="001540BA">
      <w:pPr>
        <w:pStyle w:val="TOC3"/>
        <w:rPr>
          <w:rFonts w:eastAsiaTheme="minorEastAsia"/>
          <w:lang w:eastAsia="en-AU"/>
        </w:rPr>
      </w:pPr>
      <w:hyperlink w:anchor="_Toc506373250" w:history="1">
        <w:r w:rsidR="006478E5" w:rsidRPr="0036117C">
          <w:rPr>
            <w:rStyle w:val="Hyperlink"/>
            <w:lang w:bidi="hi-IN"/>
          </w:rPr>
          <w:t>Publication of submissions and confidentiality</w:t>
        </w:r>
        <w:r w:rsidR="006478E5">
          <w:rPr>
            <w:webHidden/>
          </w:rPr>
          <w:tab/>
        </w:r>
        <w:r w:rsidR="006478E5">
          <w:rPr>
            <w:webHidden/>
          </w:rPr>
          <w:fldChar w:fldCharType="begin"/>
        </w:r>
        <w:r w:rsidR="006478E5">
          <w:rPr>
            <w:webHidden/>
          </w:rPr>
          <w:instrText xml:space="preserve"> PAGEREF _Toc506373250 \h </w:instrText>
        </w:r>
        <w:r w:rsidR="006478E5">
          <w:rPr>
            <w:webHidden/>
          </w:rPr>
        </w:r>
        <w:r w:rsidR="006478E5">
          <w:rPr>
            <w:webHidden/>
          </w:rPr>
          <w:fldChar w:fldCharType="separate"/>
        </w:r>
        <w:r w:rsidR="006478E5">
          <w:rPr>
            <w:webHidden/>
          </w:rPr>
          <w:t>10</w:t>
        </w:r>
        <w:r w:rsidR="006478E5">
          <w:rPr>
            <w:webHidden/>
          </w:rPr>
          <w:fldChar w:fldCharType="end"/>
        </w:r>
      </w:hyperlink>
    </w:p>
    <w:p w14:paraId="3E8618A5" w14:textId="77777777" w:rsidR="006478E5" w:rsidRDefault="001540BA">
      <w:pPr>
        <w:pStyle w:val="TOC1"/>
        <w:rPr>
          <w:rFonts w:eastAsiaTheme="minorEastAsia"/>
          <w:b w:val="0"/>
          <w:color w:val="auto"/>
          <w:sz w:val="22"/>
          <w:lang w:eastAsia="en-AU"/>
        </w:rPr>
      </w:pPr>
      <w:hyperlink w:anchor="_Toc506373251" w:history="1">
        <w:r w:rsidR="006478E5" w:rsidRPr="0036117C">
          <w:rPr>
            <w:rStyle w:val="Hyperlink"/>
            <w:lang w:bidi="hi-IN"/>
          </w:rPr>
          <w:t>Draft recommendations and findings</w:t>
        </w:r>
        <w:r w:rsidR="006478E5">
          <w:rPr>
            <w:webHidden/>
          </w:rPr>
          <w:tab/>
        </w:r>
        <w:r w:rsidR="006478E5">
          <w:rPr>
            <w:webHidden/>
          </w:rPr>
          <w:fldChar w:fldCharType="begin"/>
        </w:r>
        <w:r w:rsidR="006478E5">
          <w:rPr>
            <w:webHidden/>
          </w:rPr>
          <w:instrText xml:space="preserve"> PAGEREF _Toc506373251 \h </w:instrText>
        </w:r>
        <w:r w:rsidR="006478E5">
          <w:rPr>
            <w:webHidden/>
          </w:rPr>
        </w:r>
        <w:r w:rsidR="006478E5">
          <w:rPr>
            <w:webHidden/>
          </w:rPr>
          <w:fldChar w:fldCharType="separate"/>
        </w:r>
        <w:r w:rsidR="006478E5">
          <w:rPr>
            <w:webHidden/>
          </w:rPr>
          <w:t>10</w:t>
        </w:r>
        <w:r w:rsidR="006478E5">
          <w:rPr>
            <w:webHidden/>
          </w:rPr>
          <w:fldChar w:fldCharType="end"/>
        </w:r>
      </w:hyperlink>
    </w:p>
    <w:p w14:paraId="396C5A9E" w14:textId="77777777" w:rsidR="006478E5" w:rsidRDefault="001540BA">
      <w:pPr>
        <w:pStyle w:val="TOC2"/>
        <w:rPr>
          <w:rFonts w:eastAsiaTheme="minorEastAsia"/>
          <w:lang w:eastAsia="en-AU"/>
        </w:rPr>
      </w:pPr>
      <w:hyperlink w:anchor="_Toc506373252" w:history="1">
        <w:r w:rsidR="006478E5" w:rsidRPr="0036117C">
          <w:rPr>
            <w:rStyle w:val="Hyperlink"/>
            <w:lang w:bidi="hi-IN"/>
          </w:rPr>
          <w:t>Clarifying the Code’s role and purpose</w:t>
        </w:r>
        <w:r w:rsidR="006478E5">
          <w:rPr>
            <w:webHidden/>
          </w:rPr>
          <w:tab/>
        </w:r>
        <w:r w:rsidR="006478E5">
          <w:rPr>
            <w:webHidden/>
          </w:rPr>
          <w:fldChar w:fldCharType="begin"/>
        </w:r>
        <w:r w:rsidR="006478E5">
          <w:rPr>
            <w:webHidden/>
          </w:rPr>
          <w:instrText xml:space="preserve"> PAGEREF _Toc506373252 \h </w:instrText>
        </w:r>
        <w:r w:rsidR="006478E5">
          <w:rPr>
            <w:webHidden/>
          </w:rPr>
        </w:r>
        <w:r w:rsidR="006478E5">
          <w:rPr>
            <w:webHidden/>
          </w:rPr>
          <w:fldChar w:fldCharType="separate"/>
        </w:r>
        <w:r w:rsidR="006478E5">
          <w:rPr>
            <w:webHidden/>
          </w:rPr>
          <w:t>10</w:t>
        </w:r>
        <w:r w:rsidR="006478E5">
          <w:rPr>
            <w:webHidden/>
          </w:rPr>
          <w:fldChar w:fldCharType="end"/>
        </w:r>
      </w:hyperlink>
    </w:p>
    <w:p w14:paraId="0CDD2FBA" w14:textId="77777777" w:rsidR="006478E5" w:rsidRDefault="001540BA">
      <w:pPr>
        <w:pStyle w:val="TOC2"/>
        <w:rPr>
          <w:rFonts w:eastAsiaTheme="minorEastAsia"/>
          <w:lang w:eastAsia="en-AU"/>
        </w:rPr>
      </w:pPr>
      <w:hyperlink w:anchor="_Toc506373253" w:history="1">
        <w:r w:rsidR="006478E5" w:rsidRPr="0036117C">
          <w:rPr>
            <w:rStyle w:val="Hyperlink"/>
            <w:lang w:bidi="hi-IN"/>
          </w:rPr>
          <w:t>Encouraging greater transparency</w:t>
        </w:r>
        <w:r w:rsidR="006478E5">
          <w:rPr>
            <w:webHidden/>
          </w:rPr>
          <w:tab/>
        </w:r>
        <w:r w:rsidR="006478E5">
          <w:rPr>
            <w:webHidden/>
          </w:rPr>
          <w:fldChar w:fldCharType="begin"/>
        </w:r>
        <w:r w:rsidR="006478E5">
          <w:rPr>
            <w:webHidden/>
          </w:rPr>
          <w:instrText xml:space="preserve"> PAGEREF _Toc506373253 \h </w:instrText>
        </w:r>
        <w:r w:rsidR="006478E5">
          <w:rPr>
            <w:webHidden/>
          </w:rPr>
        </w:r>
        <w:r w:rsidR="006478E5">
          <w:rPr>
            <w:webHidden/>
          </w:rPr>
          <w:fldChar w:fldCharType="separate"/>
        </w:r>
        <w:r w:rsidR="006478E5">
          <w:rPr>
            <w:webHidden/>
          </w:rPr>
          <w:t>10</w:t>
        </w:r>
        <w:r w:rsidR="006478E5">
          <w:rPr>
            <w:webHidden/>
          </w:rPr>
          <w:fldChar w:fldCharType="end"/>
        </w:r>
      </w:hyperlink>
    </w:p>
    <w:p w14:paraId="1C7C9B42" w14:textId="77777777" w:rsidR="006478E5" w:rsidRDefault="001540BA">
      <w:pPr>
        <w:pStyle w:val="TOC2"/>
        <w:rPr>
          <w:rFonts w:eastAsiaTheme="minorEastAsia"/>
          <w:lang w:eastAsia="en-AU"/>
        </w:rPr>
      </w:pPr>
      <w:hyperlink w:anchor="_Toc506373254" w:history="1">
        <w:r w:rsidR="006478E5" w:rsidRPr="0036117C">
          <w:rPr>
            <w:rStyle w:val="Hyperlink"/>
            <w:lang w:bidi="hi-IN"/>
          </w:rPr>
          <w:t>Strengthening governance arrangements</w:t>
        </w:r>
        <w:r w:rsidR="006478E5">
          <w:rPr>
            <w:webHidden/>
          </w:rPr>
          <w:tab/>
        </w:r>
        <w:r w:rsidR="006478E5">
          <w:rPr>
            <w:webHidden/>
          </w:rPr>
          <w:fldChar w:fldCharType="begin"/>
        </w:r>
        <w:r w:rsidR="006478E5">
          <w:rPr>
            <w:webHidden/>
          </w:rPr>
          <w:instrText xml:space="preserve"> PAGEREF _Toc506373254 \h </w:instrText>
        </w:r>
        <w:r w:rsidR="006478E5">
          <w:rPr>
            <w:webHidden/>
          </w:rPr>
        </w:r>
        <w:r w:rsidR="006478E5">
          <w:rPr>
            <w:webHidden/>
          </w:rPr>
          <w:fldChar w:fldCharType="separate"/>
        </w:r>
        <w:r w:rsidR="006478E5">
          <w:rPr>
            <w:webHidden/>
          </w:rPr>
          <w:t>12</w:t>
        </w:r>
        <w:r w:rsidR="006478E5">
          <w:rPr>
            <w:webHidden/>
          </w:rPr>
          <w:fldChar w:fldCharType="end"/>
        </w:r>
      </w:hyperlink>
    </w:p>
    <w:p w14:paraId="735CFEA7" w14:textId="77777777" w:rsidR="006478E5" w:rsidRDefault="001540BA">
      <w:pPr>
        <w:pStyle w:val="TOC1"/>
        <w:rPr>
          <w:rFonts w:eastAsiaTheme="minorEastAsia"/>
          <w:b w:val="0"/>
          <w:color w:val="auto"/>
          <w:sz w:val="22"/>
          <w:lang w:eastAsia="en-AU"/>
        </w:rPr>
      </w:pPr>
      <w:hyperlink w:anchor="_Toc506373255" w:history="1">
        <w:r w:rsidR="006478E5" w:rsidRPr="0036117C">
          <w:rPr>
            <w:rStyle w:val="Hyperlink"/>
            <w:lang w:bidi="hi-IN"/>
          </w:rPr>
          <w:t>Clarifying the Code’s role and purpose</w:t>
        </w:r>
        <w:r w:rsidR="006478E5">
          <w:rPr>
            <w:webHidden/>
          </w:rPr>
          <w:tab/>
        </w:r>
        <w:r w:rsidR="006478E5">
          <w:rPr>
            <w:webHidden/>
          </w:rPr>
          <w:fldChar w:fldCharType="begin"/>
        </w:r>
        <w:r w:rsidR="006478E5">
          <w:rPr>
            <w:webHidden/>
          </w:rPr>
          <w:instrText xml:space="preserve"> PAGEREF _Toc506373255 \h </w:instrText>
        </w:r>
        <w:r w:rsidR="006478E5">
          <w:rPr>
            <w:webHidden/>
          </w:rPr>
        </w:r>
        <w:r w:rsidR="006478E5">
          <w:rPr>
            <w:webHidden/>
          </w:rPr>
          <w:fldChar w:fldCharType="separate"/>
        </w:r>
        <w:r w:rsidR="006478E5">
          <w:rPr>
            <w:webHidden/>
          </w:rPr>
          <w:t>14</w:t>
        </w:r>
        <w:r w:rsidR="006478E5">
          <w:rPr>
            <w:webHidden/>
          </w:rPr>
          <w:fldChar w:fldCharType="end"/>
        </w:r>
      </w:hyperlink>
    </w:p>
    <w:p w14:paraId="51A2380A" w14:textId="77777777" w:rsidR="006478E5" w:rsidRDefault="001540BA">
      <w:pPr>
        <w:pStyle w:val="TOC1"/>
        <w:rPr>
          <w:rFonts w:eastAsiaTheme="minorEastAsia"/>
          <w:b w:val="0"/>
          <w:color w:val="auto"/>
          <w:sz w:val="22"/>
          <w:lang w:eastAsia="en-AU"/>
        </w:rPr>
      </w:pPr>
      <w:hyperlink w:anchor="_Toc506373256" w:history="1">
        <w:r w:rsidR="006478E5" w:rsidRPr="0036117C">
          <w:rPr>
            <w:rStyle w:val="Hyperlink"/>
            <w:lang w:bidi="hi-IN"/>
          </w:rPr>
          <w:t>Encouraging greater transparency</w:t>
        </w:r>
        <w:r w:rsidR="006478E5">
          <w:rPr>
            <w:webHidden/>
          </w:rPr>
          <w:tab/>
        </w:r>
        <w:r w:rsidR="006478E5">
          <w:rPr>
            <w:webHidden/>
          </w:rPr>
          <w:fldChar w:fldCharType="begin"/>
        </w:r>
        <w:r w:rsidR="006478E5">
          <w:rPr>
            <w:webHidden/>
          </w:rPr>
          <w:instrText xml:space="preserve"> PAGEREF _Toc506373256 \h </w:instrText>
        </w:r>
        <w:r w:rsidR="006478E5">
          <w:rPr>
            <w:webHidden/>
          </w:rPr>
        </w:r>
        <w:r w:rsidR="006478E5">
          <w:rPr>
            <w:webHidden/>
          </w:rPr>
          <w:fldChar w:fldCharType="separate"/>
        </w:r>
        <w:r w:rsidR="006478E5">
          <w:rPr>
            <w:webHidden/>
          </w:rPr>
          <w:t>16</w:t>
        </w:r>
        <w:r w:rsidR="006478E5">
          <w:rPr>
            <w:webHidden/>
          </w:rPr>
          <w:fldChar w:fldCharType="end"/>
        </w:r>
      </w:hyperlink>
    </w:p>
    <w:p w14:paraId="574CBCB6" w14:textId="77777777" w:rsidR="006478E5" w:rsidRDefault="001540BA">
      <w:pPr>
        <w:pStyle w:val="TOC2"/>
        <w:rPr>
          <w:rFonts w:eastAsiaTheme="minorEastAsia"/>
          <w:lang w:eastAsia="en-AU"/>
        </w:rPr>
      </w:pPr>
      <w:hyperlink w:anchor="_Toc506373257" w:history="1">
        <w:r w:rsidR="006478E5" w:rsidRPr="0036117C">
          <w:rPr>
            <w:rStyle w:val="Hyperlink"/>
            <w:lang w:bidi="hi-IN"/>
          </w:rPr>
          <w:t>Providing more information about licence fees</w:t>
        </w:r>
        <w:r w:rsidR="006478E5">
          <w:rPr>
            <w:webHidden/>
          </w:rPr>
          <w:tab/>
        </w:r>
        <w:r w:rsidR="006478E5">
          <w:rPr>
            <w:webHidden/>
          </w:rPr>
          <w:fldChar w:fldCharType="begin"/>
        </w:r>
        <w:r w:rsidR="006478E5">
          <w:rPr>
            <w:webHidden/>
          </w:rPr>
          <w:instrText xml:space="preserve"> PAGEREF _Toc506373257 \h </w:instrText>
        </w:r>
        <w:r w:rsidR="006478E5">
          <w:rPr>
            <w:webHidden/>
          </w:rPr>
        </w:r>
        <w:r w:rsidR="006478E5">
          <w:rPr>
            <w:webHidden/>
          </w:rPr>
          <w:fldChar w:fldCharType="separate"/>
        </w:r>
        <w:r w:rsidR="006478E5">
          <w:rPr>
            <w:webHidden/>
          </w:rPr>
          <w:t>16</w:t>
        </w:r>
        <w:r w:rsidR="006478E5">
          <w:rPr>
            <w:webHidden/>
          </w:rPr>
          <w:fldChar w:fldCharType="end"/>
        </w:r>
      </w:hyperlink>
    </w:p>
    <w:p w14:paraId="35F06D3B" w14:textId="77777777" w:rsidR="006478E5" w:rsidRDefault="001540BA">
      <w:pPr>
        <w:pStyle w:val="TOC3"/>
        <w:rPr>
          <w:rFonts w:eastAsiaTheme="minorEastAsia"/>
          <w:lang w:eastAsia="en-AU"/>
        </w:rPr>
      </w:pPr>
      <w:hyperlink w:anchor="_Toc506373258" w:history="1">
        <w:r w:rsidR="006478E5" w:rsidRPr="0036117C">
          <w:rPr>
            <w:rStyle w:val="Hyperlink"/>
            <w:lang w:bidi="hi-IN"/>
          </w:rPr>
          <w:t>Calculating licence fees</w:t>
        </w:r>
        <w:r w:rsidR="006478E5">
          <w:rPr>
            <w:webHidden/>
          </w:rPr>
          <w:tab/>
        </w:r>
        <w:r w:rsidR="006478E5">
          <w:rPr>
            <w:webHidden/>
          </w:rPr>
          <w:fldChar w:fldCharType="begin"/>
        </w:r>
        <w:r w:rsidR="006478E5">
          <w:rPr>
            <w:webHidden/>
          </w:rPr>
          <w:instrText xml:space="preserve"> PAGEREF _Toc506373258 \h </w:instrText>
        </w:r>
        <w:r w:rsidR="006478E5">
          <w:rPr>
            <w:webHidden/>
          </w:rPr>
        </w:r>
        <w:r w:rsidR="006478E5">
          <w:rPr>
            <w:webHidden/>
          </w:rPr>
          <w:fldChar w:fldCharType="separate"/>
        </w:r>
        <w:r w:rsidR="006478E5">
          <w:rPr>
            <w:webHidden/>
          </w:rPr>
          <w:t>17</w:t>
        </w:r>
        <w:r w:rsidR="006478E5">
          <w:rPr>
            <w:webHidden/>
          </w:rPr>
          <w:fldChar w:fldCharType="end"/>
        </w:r>
      </w:hyperlink>
    </w:p>
    <w:p w14:paraId="639B457A" w14:textId="77777777" w:rsidR="006478E5" w:rsidRDefault="001540BA">
      <w:pPr>
        <w:pStyle w:val="TOC3"/>
        <w:rPr>
          <w:rFonts w:eastAsiaTheme="minorEastAsia"/>
          <w:lang w:eastAsia="en-AU"/>
        </w:rPr>
      </w:pPr>
      <w:hyperlink w:anchor="_Toc506373259" w:history="1">
        <w:r w:rsidR="006478E5" w:rsidRPr="0036117C">
          <w:rPr>
            <w:rStyle w:val="Hyperlink"/>
            <w:lang w:bidi="hi-IN"/>
          </w:rPr>
          <w:t>Distributing information about licence fees</w:t>
        </w:r>
        <w:r w:rsidR="006478E5">
          <w:rPr>
            <w:webHidden/>
          </w:rPr>
          <w:tab/>
        </w:r>
        <w:r w:rsidR="006478E5">
          <w:rPr>
            <w:webHidden/>
          </w:rPr>
          <w:fldChar w:fldCharType="begin"/>
        </w:r>
        <w:r w:rsidR="006478E5">
          <w:rPr>
            <w:webHidden/>
          </w:rPr>
          <w:instrText xml:space="preserve"> PAGEREF _Toc506373259 \h </w:instrText>
        </w:r>
        <w:r w:rsidR="006478E5">
          <w:rPr>
            <w:webHidden/>
          </w:rPr>
        </w:r>
        <w:r w:rsidR="006478E5">
          <w:rPr>
            <w:webHidden/>
          </w:rPr>
          <w:fldChar w:fldCharType="separate"/>
        </w:r>
        <w:r w:rsidR="006478E5">
          <w:rPr>
            <w:webHidden/>
          </w:rPr>
          <w:t>18</w:t>
        </w:r>
        <w:r w:rsidR="006478E5">
          <w:rPr>
            <w:webHidden/>
          </w:rPr>
          <w:fldChar w:fldCharType="end"/>
        </w:r>
      </w:hyperlink>
    </w:p>
    <w:p w14:paraId="56C53961" w14:textId="77777777" w:rsidR="006478E5" w:rsidRDefault="001540BA">
      <w:pPr>
        <w:pStyle w:val="TOC2"/>
        <w:rPr>
          <w:rFonts w:eastAsiaTheme="minorEastAsia"/>
          <w:lang w:eastAsia="en-AU"/>
        </w:rPr>
      </w:pPr>
      <w:hyperlink w:anchor="_Toc506373260" w:history="1">
        <w:r w:rsidR="006478E5" w:rsidRPr="0036117C">
          <w:rPr>
            <w:rStyle w:val="Hyperlink"/>
            <w:lang w:bidi="hi-IN"/>
          </w:rPr>
          <w:t>Providing more information about how funds are distributed</w:t>
        </w:r>
        <w:r w:rsidR="006478E5">
          <w:rPr>
            <w:webHidden/>
          </w:rPr>
          <w:tab/>
        </w:r>
        <w:r w:rsidR="006478E5">
          <w:rPr>
            <w:webHidden/>
          </w:rPr>
          <w:fldChar w:fldCharType="begin"/>
        </w:r>
        <w:r w:rsidR="006478E5">
          <w:rPr>
            <w:webHidden/>
          </w:rPr>
          <w:instrText xml:space="preserve"> PAGEREF _Toc506373260 \h </w:instrText>
        </w:r>
        <w:r w:rsidR="006478E5">
          <w:rPr>
            <w:webHidden/>
          </w:rPr>
        </w:r>
        <w:r w:rsidR="006478E5">
          <w:rPr>
            <w:webHidden/>
          </w:rPr>
          <w:fldChar w:fldCharType="separate"/>
        </w:r>
        <w:r w:rsidR="006478E5">
          <w:rPr>
            <w:webHidden/>
          </w:rPr>
          <w:t>19</w:t>
        </w:r>
        <w:r w:rsidR="006478E5">
          <w:rPr>
            <w:webHidden/>
          </w:rPr>
          <w:fldChar w:fldCharType="end"/>
        </w:r>
      </w:hyperlink>
    </w:p>
    <w:p w14:paraId="673712D5" w14:textId="77777777" w:rsidR="006478E5" w:rsidRDefault="001540BA">
      <w:pPr>
        <w:pStyle w:val="TOC3"/>
        <w:rPr>
          <w:rFonts w:eastAsiaTheme="minorEastAsia"/>
          <w:lang w:eastAsia="en-AU"/>
        </w:rPr>
      </w:pPr>
      <w:hyperlink w:anchor="_Toc506373261" w:history="1">
        <w:r w:rsidR="006478E5" w:rsidRPr="0036117C">
          <w:rPr>
            <w:rStyle w:val="Hyperlink"/>
            <w:lang w:bidi="hi-IN"/>
          </w:rPr>
          <w:t>Addressing licensee concerns</w:t>
        </w:r>
        <w:r w:rsidR="006478E5">
          <w:rPr>
            <w:webHidden/>
          </w:rPr>
          <w:tab/>
        </w:r>
        <w:r w:rsidR="006478E5">
          <w:rPr>
            <w:webHidden/>
          </w:rPr>
          <w:fldChar w:fldCharType="begin"/>
        </w:r>
        <w:r w:rsidR="006478E5">
          <w:rPr>
            <w:webHidden/>
          </w:rPr>
          <w:instrText xml:space="preserve"> PAGEREF _Toc506373261 \h </w:instrText>
        </w:r>
        <w:r w:rsidR="006478E5">
          <w:rPr>
            <w:webHidden/>
          </w:rPr>
        </w:r>
        <w:r w:rsidR="006478E5">
          <w:rPr>
            <w:webHidden/>
          </w:rPr>
          <w:fldChar w:fldCharType="separate"/>
        </w:r>
        <w:r w:rsidR="006478E5">
          <w:rPr>
            <w:webHidden/>
          </w:rPr>
          <w:t>20</w:t>
        </w:r>
        <w:r w:rsidR="006478E5">
          <w:rPr>
            <w:webHidden/>
          </w:rPr>
          <w:fldChar w:fldCharType="end"/>
        </w:r>
      </w:hyperlink>
    </w:p>
    <w:p w14:paraId="46DA51FD" w14:textId="77777777" w:rsidR="006478E5" w:rsidRDefault="001540BA">
      <w:pPr>
        <w:pStyle w:val="TOC3"/>
        <w:rPr>
          <w:rFonts w:eastAsiaTheme="minorEastAsia"/>
          <w:lang w:eastAsia="en-AU"/>
        </w:rPr>
      </w:pPr>
      <w:hyperlink w:anchor="_Toc506373262" w:history="1">
        <w:r w:rsidR="006478E5" w:rsidRPr="0036117C">
          <w:rPr>
            <w:rStyle w:val="Hyperlink"/>
            <w:lang w:bidi="hi-IN"/>
          </w:rPr>
          <w:t>Addressing member concerns</w:t>
        </w:r>
        <w:r w:rsidR="006478E5">
          <w:rPr>
            <w:webHidden/>
          </w:rPr>
          <w:tab/>
        </w:r>
        <w:r w:rsidR="006478E5">
          <w:rPr>
            <w:webHidden/>
          </w:rPr>
          <w:fldChar w:fldCharType="begin"/>
        </w:r>
        <w:r w:rsidR="006478E5">
          <w:rPr>
            <w:webHidden/>
          </w:rPr>
          <w:instrText xml:space="preserve"> PAGEREF _Toc506373262 \h </w:instrText>
        </w:r>
        <w:r w:rsidR="006478E5">
          <w:rPr>
            <w:webHidden/>
          </w:rPr>
        </w:r>
        <w:r w:rsidR="006478E5">
          <w:rPr>
            <w:webHidden/>
          </w:rPr>
          <w:fldChar w:fldCharType="separate"/>
        </w:r>
        <w:r w:rsidR="006478E5">
          <w:rPr>
            <w:webHidden/>
          </w:rPr>
          <w:t>22</w:t>
        </w:r>
        <w:r w:rsidR="006478E5">
          <w:rPr>
            <w:webHidden/>
          </w:rPr>
          <w:fldChar w:fldCharType="end"/>
        </w:r>
      </w:hyperlink>
    </w:p>
    <w:p w14:paraId="4088443B" w14:textId="77777777" w:rsidR="006478E5" w:rsidRDefault="001540BA">
      <w:pPr>
        <w:pStyle w:val="TOC3"/>
        <w:rPr>
          <w:rFonts w:eastAsiaTheme="minorEastAsia"/>
          <w:lang w:eastAsia="en-AU"/>
        </w:rPr>
      </w:pPr>
      <w:hyperlink w:anchor="_Toc506373263" w:history="1">
        <w:r w:rsidR="006478E5" w:rsidRPr="0036117C">
          <w:rPr>
            <w:rStyle w:val="Hyperlink"/>
            <w:lang w:bidi="hi-IN"/>
          </w:rPr>
          <w:t>Improving reporting arrangements</w:t>
        </w:r>
        <w:r w:rsidR="006478E5">
          <w:rPr>
            <w:webHidden/>
          </w:rPr>
          <w:tab/>
        </w:r>
        <w:r w:rsidR="006478E5">
          <w:rPr>
            <w:webHidden/>
          </w:rPr>
          <w:fldChar w:fldCharType="begin"/>
        </w:r>
        <w:r w:rsidR="006478E5">
          <w:rPr>
            <w:webHidden/>
          </w:rPr>
          <w:instrText xml:space="preserve"> PAGEREF _Toc506373263 \h </w:instrText>
        </w:r>
        <w:r w:rsidR="006478E5">
          <w:rPr>
            <w:webHidden/>
          </w:rPr>
        </w:r>
        <w:r w:rsidR="006478E5">
          <w:rPr>
            <w:webHidden/>
          </w:rPr>
          <w:fldChar w:fldCharType="separate"/>
        </w:r>
        <w:r w:rsidR="006478E5">
          <w:rPr>
            <w:webHidden/>
          </w:rPr>
          <w:t>23</w:t>
        </w:r>
        <w:r w:rsidR="006478E5">
          <w:rPr>
            <w:webHidden/>
          </w:rPr>
          <w:fldChar w:fldCharType="end"/>
        </w:r>
      </w:hyperlink>
    </w:p>
    <w:p w14:paraId="46AE65CC" w14:textId="77777777" w:rsidR="006478E5" w:rsidRDefault="001540BA">
      <w:pPr>
        <w:pStyle w:val="TOC2"/>
        <w:rPr>
          <w:rFonts w:eastAsiaTheme="minorEastAsia"/>
          <w:lang w:eastAsia="en-AU"/>
        </w:rPr>
      </w:pPr>
      <w:hyperlink w:anchor="_Toc506373264" w:history="1">
        <w:r w:rsidR="006478E5" w:rsidRPr="0036117C">
          <w:rPr>
            <w:rStyle w:val="Hyperlink"/>
            <w:lang w:bidi="hi-IN"/>
          </w:rPr>
          <w:t>Consolidating information</w:t>
        </w:r>
        <w:r w:rsidR="006478E5">
          <w:rPr>
            <w:webHidden/>
          </w:rPr>
          <w:tab/>
        </w:r>
        <w:r w:rsidR="006478E5">
          <w:rPr>
            <w:webHidden/>
          </w:rPr>
          <w:fldChar w:fldCharType="begin"/>
        </w:r>
        <w:r w:rsidR="006478E5">
          <w:rPr>
            <w:webHidden/>
          </w:rPr>
          <w:instrText xml:space="preserve"> PAGEREF _Toc506373264 \h </w:instrText>
        </w:r>
        <w:r w:rsidR="006478E5">
          <w:rPr>
            <w:webHidden/>
          </w:rPr>
        </w:r>
        <w:r w:rsidR="006478E5">
          <w:rPr>
            <w:webHidden/>
          </w:rPr>
          <w:fldChar w:fldCharType="separate"/>
        </w:r>
        <w:r w:rsidR="006478E5">
          <w:rPr>
            <w:webHidden/>
          </w:rPr>
          <w:t>25</w:t>
        </w:r>
        <w:r w:rsidR="006478E5">
          <w:rPr>
            <w:webHidden/>
          </w:rPr>
          <w:fldChar w:fldCharType="end"/>
        </w:r>
      </w:hyperlink>
    </w:p>
    <w:p w14:paraId="2B841F33" w14:textId="77777777" w:rsidR="006478E5" w:rsidRDefault="001540BA">
      <w:pPr>
        <w:pStyle w:val="TOC1"/>
        <w:rPr>
          <w:rFonts w:eastAsiaTheme="minorEastAsia"/>
          <w:b w:val="0"/>
          <w:color w:val="auto"/>
          <w:sz w:val="22"/>
          <w:lang w:eastAsia="en-AU"/>
        </w:rPr>
      </w:pPr>
      <w:hyperlink w:anchor="_Toc506373265" w:history="1">
        <w:r w:rsidR="006478E5" w:rsidRPr="0036117C">
          <w:rPr>
            <w:rStyle w:val="Hyperlink"/>
            <w:lang w:bidi="hi-IN"/>
          </w:rPr>
          <w:t>Strengthening governance arrangements</w:t>
        </w:r>
        <w:r w:rsidR="006478E5">
          <w:rPr>
            <w:webHidden/>
          </w:rPr>
          <w:tab/>
        </w:r>
        <w:r w:rsidR="006478E5">
          <w:rPr>
            <w:webHidden/>
          </w:rPr>
          <w:fldChar w:fldCharType="begin"/>
        </w:r>
        <w:r w:rsidR="006478E5">
          <w:rPr>
            <w:webHidden/>
          </w:rPr>
          <w:instrText xml:space="preserve"> PAGEREF _Toc506373265 \h </w:instrText>
        </w:r>
        <w:r w:rsidR="006478E5">
          <w:rPr>
            <w:webHidden/>
          </w:rPr>
        </w:r>
        <w:r w:rsidR="006478E5">
          <w:rPr>
            <w:webHidden/>
          </w:rPr>
          <w:fldChar w:fldCharType="separate"/>
        </w:r>
        <w:r w:rsidR="006478E5">
          <w:rPr>
            <w:webHidden/>
          </w:rPr>
          <w:t>27</w:t>
        </w:r>
        <w:r w:rsidR="006478E5">
          <w:rPr>
            <w:webHidden/>
          </w:rPr>
          <w:fldChar w:fldCharType="end"/>
        </w:r>
      </w:hyperlink>
    </w:p>
    <w:p w14:paraId="06ADA413" w14:textId="77777777" w:rsidR="006478E5" w:rsidRDefault="001540BA">
      <w:pPr>
        <w:pStyle w:val="TOC2"/>
        <w:rPr>
          <w:rFonts w:eastAsiaTheme="minorEastAsia"/>
          <w:lang w:eastAsia="en-AU"/>
        </w:rPr>
      </w:pPr>
      <w:hyperlink w:anchor="_Toc506373266" w:history="1">
        <w:r w:rsidR="006478E5" w:rsidRPr="0036117C">
          <w:rPr>
            <w:rStyle w:val="Hyperlink"/>
            <w:lang w:bidi="hi-IN"/>
          </w:rPr>
          <w:t>Improving the effectiveness of complaint and disputes handling</w:t>
        </w:r>
        <w:r w:rsidR="006478E5">
          <w:rPr>
            <w:webHidden/>
          </w:rPr>
          <w:tab/>
        </w:r>
        <w:r w:rsidR="006478E5">
          <w:rPr>
            <w:webHidden/>
          </w:rPr>
          <w:fldChar w:fldCharType="begin"/>
        </w:r>
        <w:r w:rsidR="006478E5">
          <w:rPr>
            <w:webHidden/>
          </w:rPr>
          <w:instrText xml:space="preserve"> PAGEREF _Toc506373266 \h </w:instrText>
        </w:r>
        <w:r w:rsidR="006478E5">
          <w:rPr>
            <w:webHidden/>
          </w:rPr>
        </w:r>
        <w:r w:rsidR="006478E5">
          <w:rPr>
            <w:webHidden/>
          </w:rPr>
          <w:fldChar w:fldCharType="separate"/>
        </w:r>
        <w:r w:rsidR="006478E5">
          <w:rPr>
            <w:webHidden/>
          </w:rPr>
          <w:t>27</w:t>
        </w:r>
        <w:r w:rsidR="006478E5">
          <w:rPr>
            <w:webHidden/>
          </w:rPr>
          <w:fldChar w:fldCharType="end"/>
        </w:r>
      </w:hyperlink>
    </w:p>
    <w:p w14:paraId="4E7C1763" w14:textId="77777777" w:rsidR="006478E5" w:rsidRDefault="001540BA">
      <w:pPr>
        <w:pStyle w:val="TOC3"/>
        <w:rPr>
          <w:rFonts w:eastAsiaTheme="minorEastAsia"/>
          <w:lang w:eastAsia="en-AU"/>
        </w:rPr>
      </w:pPr>
      <w:hyperlink w:anchor="_Toc506373267" w:history="1">
        <w:r w:rsidR="006478E5" w:rsidRPr="0036117C">
          <w:rPr>
            <w:rStyle w:val="Hyperlink"/>
            <w:lang w:bidi="hi-IN"/>
          </w:rPr>
          <w:t>Assessing current provisions for dispute resolution</w:t>
        </w:r>
        <w:r w:rsidR="006478E5">
          <w:rPr>
            <w:webHidden/>
          </w:rPr>
          <w:tab/>
        </w:r>
        <w:r w:rsidR="006478E5">
          <w:rPr>
            <w:webHidden/>
          </w:rPr>
          <w:fldChar w:fldCharType="begin"/>
        </w:r>
        <w:r w:rsidR="006478E5">
          <w:rPr>
            <w:webHidden/>
          </w:rPr>
          <w:instrText xml:space="preserve"> PAGEREF _Toc506373267 \h </w:instrText>
        </w:r>
        <w:r w:rsidR="006478E5">
          <w:rPr>
            <w:webHidden/>
          </w:rPr>
        </w:r>
        <w:r w:rsidR="006478E5">
          <w:rPr>
            <w:webHidden/>
          </w:rPr>
          <w:fldChar w:fldCharType="separate"/>
        </w:r>
        <w:r w:rsidR="006478E5">
          <w:rPr>
            <w:webHidden/>
          </w:rPr>
          <w:t>28</w:t>
        </w:r>
        <w:r w:rsidR="006478E5">
          <w:rPr>
            <w:webHidden/>
          </w:rPr>
          <w:fldChar w:fldCharType="end"/>
        </w:r>
      </w:hyperlink>
    </w:p>
    <w:p w14:paraId="099A0A6F" w14:textId="77777777" w:rsidR="006478E5" w:rsidRDefault="001540BA">
      <w:pPr>
        <w:pStyle w:val="TOC3"/>
        <w:rPr>
          <w:rFonts w:eastAsiaTheme="minorEastAsia"/>
          <w:lang w:eastAsia="en-AU"/>
        </w:rPr>
      </w:pPr>
      <w:hyperlink w:anchor="_Toc506373268" w:history="1">
        <w:r w:rsidR="006478E5" w:rsidRPr="0036117C">
          <w:rPr>
            <w:rStyle w:val="Hyperlink"/>
            <w:lang w:bidi="hi-IN"/>
          </w:rPr>
          <w:t>Addressing gaps in complaints and disputes handling</w:t>
        </w:r>
        <w:r w:rsidR="006478E5">
          <w:rPr>
            <w:webHidden/>
          </w:rPr>
          <w:tab/>
        </w:r>
        <w:r w:rsidR="006478E5">
          <w:rPr>
            <w:webHidden/>
          </w:rPr>
          <w:fldChar w:fldCharType="begin"/>
        </w:r>
        <w:r w:rsidR="006478E5">
          <w:rPr>
            <w:webHidden/>
          </w:rPr>
          <w:instrText xml:space="preserve"> PAGEREF _Toc506373268 \h </w:instrText>
        </w:r>
        <w:r w:rsidR="006478E5">
          <w:rPr>
            <w:webHidden/>
          </w:rPr>
        </w:r>
        <w:r w:rsidR="006478E5">
          <w:rPr>
            <w:webHidden/>
          </w:rPr>
          <w:fldChar w:fldCharType="separate"/>
        </w:r>
        <w:r w:rsidR="006478E5">
          <w:rPr>
            <w:webHidden/>
          </w:rPr>
          <w:t>29</w:t>
        </w:r>
        <w:r w:rsidR="006478E5">
          <w:rPr>
            <w:webHidden/>
          </w:rPr>
          <w:fldChar w:fldCharType="end"/>
        </w:r>
      </w:hyperlink>
    </w:p>
    <w:p w14:paraId="758EF327" w14:textId="77777777" w:rsidR="006478E5" w:rsidRDefault="001540BA">
      <w:pPr>
        <w:pStyle w:val="TOC2"/>
        <w:rPr>
          <w:rFonts w:eastAsiaTheme="minorEastAsia"/>
          <w:lang w:eastAsia="en-AU"/>
        </w:rPr>
      </w:pPr>
      <w:hyperlink w:anchor="_Toc506373269" w:history="1">
        <w:r w:rsidR="006478E5" w:rsidRPr="0036117C">
          <w:rPr>
            <w:rStyle w:val="Hyperlink"/>
            <w:lang w:bidi="hi-IN"/>
          </w:rPr>
          <w:t>Improving dispute resolution arrangements</w:t>
        </w:r>
        <w:r w:rsidR="006478E5">
          <w:rPr>
            <w:webHidden/>
          </w:rPr>
          <w:tab/>
        </w:r>
        <w:r w:rsidR="006478E5">
          <w:rPr>
            <w:webHidden/>
          </w:rPr>
          <w:fldChar w:fldCharType="begin"/>
        </w:r>
        <w:r w:rsidR="006478E5">
          <w:rPr>
            <w:webHidden/>
          </w:rPr>
          <w:instrText xml:space="preserve"> PAGEREF _Toc506373269 \h </w:instrText>
        </w:r>
        <w:r w:rsidR="006478E5">
          <w:rPr>
            <w:webHidden/>
          </w:rPr>
        </w:r>
        <w:r w:rsidR="006478E5">
          <w:rPr>
            <w:webHidden/>
          </w:rPr>
          <w:fldChar w:fldCharType="separate"/>
        </w:r>
        <w:r w:rsidR="006478E5">
          <w:rPr>
            <w:webHidden/>
          </w:rPr>
          <w:t>30</w:t>
        </w:r>
        <w:r w:rsidR="006478E5">
          <w:rPr>
            <w:webHidden/>
          </w:rPr>
          <w:fldChar w:fldCharType="end"/>
        </w:r>
      </w:hyperlink>
    </w:p>
    <w:p w14:paraId="08130D2B" w14:textId="77777777" w:rsidR="006478E5" w:rsidRDefault="001540BA">
      <w:pPr>
        <w:pStyle w:val="TOC2"/>
        <w:rPr>
          <w:rFonts w:eastAsiaTheme="minorEastAsia"/>
          <w:lang w:eastAsia="en-AU"/>
        </w:rPr>
      </w:pPr>
      <w:hyperlink w:anchor="_Toc506373270" w:history="1">
        <w:r w:rsidR="006478E5" w:rsidRPr="0036117C">
          <w:rPr>
            <w:rStyle w:val="Hyperlink"/>
            <w:lang w:bidi="hi-IN"/>
          </w:rPr>
          <w:t>Improving Code compliance and enforcement</w:t>
        </w:r>
        <w:r w:rsidR="006478E5">
          <w:rPr>
            <w:webHidden/>
          </w:rPr>
          <w:tab/>
        </w:r>
        <w:r w:rsidR="006478E5">
          <w:rPr>
            <w:webHidden/>
          </w:rPr>
          <w:fldChar w:fldCharType="begin"/>
        </w:r>
        <w:r w:rsidR="006478E5">
          <w:rPr>
            <w:webHidden/>
          </w:rPr>
          <w:instrText xml:space="preserve"> PAGEREF _Toc506373270 \h </w:instrText>
        </w:r>
        <w:r w:rsidR="006478E5">
          <w:rPr>
            <w:webHidden/>
          </w:rPr>
        </w:r>
        <w:r w:rsidR="006478E5">
          <w:rPr>
            <w:webHidden/>
          </w:rPr>
          <w:fldChar w:fldCharType="separate"/>
        </w:r>
        <w:r w:rsidR="006478E5">
          <w:rPr>
            <w:webHidden/>
          </w:rPr>
          <w:t>32</w:t>
        </w:r>
        <w:r w:rsidR="006478E5">
          <w:rPr>
            <w:webHidden/>
          </w:rPr>
          <w:fldChar w:fldCharType="end"/>
        </w:r>
      </w:hyperlink>
    </w:p>
    <w:p w14:paraId="5DECD09C" w14:textId="77777777" w:rsidR="006478E5" w:rsidRDefault="001540BA">
      <w:pPr>
        <w:pStyle w:val="TOC3"/>
        <w:rPr>
          <w:rFonts w:eastAsiaTheme="minorEastAsia"/>
          <w:lang w:eastAsia="en-AU"/>
        </w:rPr>
      </w:pPr>
      <w:hyperlink w:anchor="_Toc506373271" w:history="1">
        <w:r w:rsidR="006478E5" w:rsidRPr="0036117C">
          <w:rPr>
            <w:rStyle w:val="Hyperlink"/>
            <w:lang w:bidi="hi-IN"/>
          </w:rPr>
          <w:t>Assessing current processes for determining Code compliance</w:t>
        </w:r>
        <w:r w:rsidR="006478E5">
          <w:rPr>
            <w:webHidden/>
          </w:rPr>
          <w:tab/>
        </w:r>
        <w:r w:rsidR="006478E5">
          <w:rPr>
            <w:webHidden/>
          </w:rPr>
          <w:fldChar w:fldCharType="begin"/>
        </w:r>
        <w:r w:rsidR="006478E5">
          <w:rPr>
            <w:webHidden/>
          </w:rPr>
          <w:instrText xml:space="preserve"> PAGEREF _Toc506373271 \h </w:instrText>
        </w:r>
        <w:r w:rsidR="006478E5">
          <w:rPr>
            <w:webHidden/>
          </w:rPr>
        </w:r>
        <w:r w:rsidR="006478E5">
          <w:rPr>
            <w:webHidden/>
          </w:rPr>
          <w:fldChar w:fldCharType="separate"/>
        </w:r>
        <w:r w:rsidR="006478E5">
          <w:rPr>
            <w:webHidden/>
          </w:rPr>
          <w:t>33</w:t>
        </w:r>
        <w:r w:rsidR="006478E5">
          <w:rPr>
            <w:webHidden/>
          </w:rPr>
          <w:fldChar w:fldCharType="end"/>
        </w:r>
      </w:hyperlink>
    </w:p>
    <w:p w14:paraId="610BCE08" w14:textId="77777777" w:rsidR="006478E5" w:rsidRDefault="001540BA">
      <w:pPr>
        <w:pStyle w:val="TOC3"/>
        <w:rPr>
          <w:rFonts w:eastAsiaTheme="minorEastAsia"/>
          <w:lang w:eastAsia="en-AU"/>
        </w:rPr>
      </w:pPr>
      <w:hyperlink w:anchor="_Toc506373272" w:history="1">
        <w:r w:rsidR="006478E5" w:rsidRPr="0036117C">
          <w:rPr>
            <w:rStyle w:val="Hyperlink"/>
            <w:lang w:bidi="hi-IN"/>
          </w:rPr>
          <w:t>Assessing current incentives to comply with the Code</w:t>
        </w:r>
        <w:r w:rsidR="006478E5">
          <w:rPr>
            <w:webHidden/>
          </w:rPr>
          <w:tab/>
        </w:r>
        <w:r w:rsidR="006478E5">
          <w:rPr>
            <w:webHidden/>
          </w:rPr>
          <w:fldChar w:fldCharType="begin"/>
        </w:r>
        <w:r w:rsidR="006478E5">
          <w:rPr>
            <w:webHidden/>
          </w:rPr>
          <w:instrText xml:space="preserve"> PAGEREF _Toc506373272 \h </w:instrText>
        </w:r>
        <w:r w:rsidR="006478E5">
          <w:rPr>
            <w:webHidden/>
          </w:rPr>
        </w:r>
        <w:r w:rsidR="006478E5">
          <w:rPr>
            <w:webHidden/>
          </w:rPr>
          <w:fldChar w:fldCharType="separate"/>
        </w:r>
        <w:r w:rsidR="006478E5">
          <w:rPr>
            <w:webHidden/>
          </w:rPr>
          <w:t>35</w:t>
        </w:r>
        <w:r w:rsidR="006478E5">
          <w:rPr>
            <w:webHidden/>
          </w:rPr>
          <w:fldChar w:fldCharType="end"/>
        </w:r>
      </w:hyperlink>
    </w:p>
    <w:p w14:paraId="1CEBEF30" w14:textId="77777777" w:rsidR="006478E5" w:rsidRDefault="001540BA">
      <w:pPr>
        <w:pStyle w:val="TOC2"/>
        <w:rPr>
          <w:rFonts w:eastAsiaTheme="minorEastAsia"/>
          <w:lang w:eastAsia="en-AU"/>
        </w:rPr>
      </w:pPr>
      <w:hyperlink w:anchor="_Toc506373273" w:history="1">
        <w:r w:rsidR="006478E5" w:rsidRPr="0036117C">
          <w:rPr>
            <w:rStyle w:val="Hyperlink"/>
            <w:lang w:bidi="hi-IN"/>
          </w:rPr>
          <w:t>Improving the Code review process</w:t>
        </w:r>
        <w:r w:rsidR="006478E5">
          <w:rPr>
            <w:webHidden/>
          </w:rPr>
          <w:tab/>
        </w:r>
        <w:r w:rsidR="006478E5">
          <w:rPr>
            <w:webHidden/>
          </w:rPr>
          <w:fldChar w:fldCharType="begin"/>
        </w:r>
        <w:r w:rsidR="006478E5">
          <w:rPr>
            <w:webHidden/>
          </w:rPr>
          <w:instrText xml:space="preserve"> PAGEREF _Toc506373273 \h </w:instrText>
        </w:r>
        <w:r w:rsidR="006478E5">
          <w:rPr>
            <w:webHidden/>
          </w:rPr>
        </w:r>
        <w:r w:rsidR="006478E5">
          <w:rPr>
            <w:webHidden/>
          </w:rPr>
          <w:fldChar w:fldCharType="separate"/>
        </w:r>
        <w:r w:rsidR="006478E5">
          <w:rPr>
            <w:webHidden/>
          </w:rPr>
          <w:t>37</w:t>
        </w:r>
        <w:r w:rsidR="006478E5">
          <w:rPr>
            <w:webHidden/>
          </w:rPr>
          <w:fldChar w:fldCharType="end"/>
        </w:r>
      </w:hyperlink>
    </w:p>
    <w:p w14:paraId="2243B598" w14:textId="77777777" w:rsidR="006478E5" w:rsidRDefault="001540BA">
      <w:pPr>
        <w:pStyle w:val="TOC3"/>
        <w:rPr>
          <w:rFonts w:eastAsiaTheme="minorEastAsia"/>
          <w:lang w:eastAsia="en-AU"/>
        </w:rPr>
      </w:pPr>
      <w:hyperlink w:anchor="_Toc506373274" w:history="1">
        <w:r w:rsidR="006478E5" w:rsidRPr="0036117C">
          <w:rPr>
            <w:rStyle w:val="Hyperlink"/>
            <w:lang w:bidi="hi-IN"/>
          </w:rPr>
          <w:t>The current review process</w:t>
        </w:r>
        <w:r w:rsidR="006478E5">
          <w:rPr>
            <w:webHidden/>
          </w:rPr>
          <w:tab/>
        </w:r>
        <w:r w:rsidR="006478E5">
          <w:rPr>
            <w:webHidden/>
          </w:rPr>
          <w:fldChar w:fldCharType="begin"/>
        </w:r>
        <w:r w:rsidR="006478E5">
          <w:rPr>
            <w:webHidden/>
          </w:rPr>
          <w:instrText xml:space="preserve"> PAGEREF _Toc506373274 \h </w:instrText>
        </w:r>
        <w:r w:rsidR="006478E5">
          <w:rPr>
            <w:webHidden/>
          </w:rPr>
        </w:r>
        <w:r w:rsidR="006478E5">
          <w:rPr>
            <w:webHidden/>
          </w:rPr>
          <w:fldChar w:fldCharType="separate"/>
        </w:r>
        <w:r w:rsidR="006478E5">
          <w:rPr>
            <w:webHidden/>
          </w:rPr>
          <w:t>37</w:t>
        </w:r>
        <w:r w:rsidR="006478E5">
          <w:rPr>
            <w:webHidden/>
          </w:rPr>
          <w:fldChar w:fldCharType="end"/>
        </w:r>
      </w:hyperlink>
    </w:p>
    <w:p w14:paraId="1A9A41B1" w14:textId="77777777" w:rsidR="006478E5" w:rsidRDefault="001540BA">
      <w:pPr>
        <w:pStyle w:val="TOC3"/>
        <w:rPr>
          <w:rFonts w:eastAsiaTheme="minorEastAsia"/>
          <w:lang w:eastAsia="en-AU"/>
        </w:rPr>
      </w:pPr>
      <w:hyperlink w:anchor="_Toc506373275" w:history="1">
        <w:r w:rsidR="006478E5" w:rsidRPr="0036117C">
          <w:rPr>
            <w:rStyle w:val="Hyperlink"/>
            <w:lang w:bidi="hi-IN"/>
          </w:rPr>
          <w:t>Assessing the triennial Code review process</w:t>
        </w:r>
        <w:r w:rsidR="006478E5">
          <w:rPr>
            <w:webHidden/>
          </w:rPr>
          <w:tab/>
        </w:r>
        <w:r w:rsidR="006478E5">
          <w:rPr>
            <w:webHidden/>
          </w:rPr>
          <w:fldChar w:fldCharType="begin"/>
        </w:r>
        <w:r w:rsidR="006478E5">
          <w:rPr>
            <w:webHidden/>
          </w:rPr>
          <w:instrText xml:space="preserve"> PAGEREF _Toc506373275 \h </w:instrText>
        </w:r>
        <w:r w:rsidR="006478E5">
          <w:rPr>
            <w:webHidden/>
          </w:rPr>
        </w:r>
        <w:r w:rsidR="006478E5">
          <w:rPr>
            <w:webHidden/>
          </w:rPr>
          <w:fldChar w:fldCharType="separate"/>
        </w:r>
        <w:r w:rsidR="006478E5">
          <w:rPr>
            <w:webHidden/>
          </w:rPr>
          <w:t>39</w:t>
        </w:r>
        <w:r w:rsidR="006478E5">
          <w:rPr>
            <w:webHidden/>
          </w:rPr>
          <w:fldChar w:fldCharType="end"/>
        </w:r>
      </w:hyperlink>
    </w:p>
    <w:p w14:paraId="2AD6E2FE" w14:textId="77777777" w:rsidR="006478E5" w:rsidRDefault="001540BA">
      <w:pPr>
        <w:pStyle w:val="TOC3"/>
        <w:rPr>
          <w:rFonts w:eastAsiaTheme="minorEastAsia"/>
          <w:lang w:eastAsia="en-AU"/>
        </w:rPr>
      </w:pPr>
      <w:hyperlink w:anchor="_Toc506373276" w:history="1">
        <w:r w:rsidR="006478E5" w:rsidRPr="0036117C">
          <w:rPr>
            <w:rStyle w:val="Hyperlink"/>
            <w:lang w:bidi="hi-IN"/>
          </w:rPr>
          <w:t>Improving the integrity of the annual and triennial Code review processes</w:t>
        </w:r>
        <w:r w:rsidR="006478E5">
          <w:rPr>
            <w:webHidden/>
          </w:rPr>
          <w:tab/>
        </w:r>
        <w:r w:rsidR="006478E5">
          <w:rPr>
            <w:webHidden/>
          </w:rPr>
          <w:fldChar w:fldCharType="begin"/>
        </w:r>
        <w:r w:rsidR="006478E5">
          <w:rPr>
            <w:webHidden/>
          </w:rPr>
          <w:instrText xml:space="preserve"> PAGEREF _Toc506373276 \h </w:instrText>
        </w:r>
        <w:r w:rsidR="006478E5">
          <w:rPr>
            <w:webHidden/>
          </w:rPr>
        </w:r>
        <w:r w:rsidR="006478E5">
          <w:rPr>
            <w:webHidden/>
          </w:rPr>
          <w:fldChar w:fldCharType="separate"/>
        </w:r>
        <w:r w:rsidR="006478E5">
          <w:rPr>
            <w:webHidden/>
          </w:rPr>
          <w:t>39</w:t>
        </w:r>
        <w:r w:rsidR="006478E5">
          <w:rPr>
            <w:webHidden/>
          </w:rPr>
          <w:fldChar w:fldCharType="end"/>
        </w:r>
      </w:hyperlink>
    </w:p>
    <w:p w14:paraId="10CEECE3" w14:textId="77777777" w:rsidR="006478E5" w:rsidRDefault="001540BA">
      <w:pPr>
        <w:pStyle w:val="TOC2"/>
        <w:rPr>
          <w:rFonts w:eastAsiaTheme="minorEastAsia"/>
          <w:lang w:eastAsia="en-AU"/>
        </w:rPr>
      </w:pPr>
      <w:hyperlink w:anchor="_Toc506373277" w:history="1">
        <w:r w:rsidR="006478E5" w:rsidRPr="0036117C">
          <w:rPr>
            <w:rStyle w:val="Hyperlink"/>
            <w:lang w:bidi="hi-IN"/>
          </w:rPr>
          <w:t>Optimising the use of data</w:t>
        </w:r>
        <w:r w:rsidR="006478E5">
          <w:rPr>
            <w:webHidden/>
          </w:rPr>
          <w:tab/>
        </w:r>
        <w:r w:rsidR="006478E5">
          <w:rPr>
            <w:webHidden/>
          </w:rPr>
          <w:fldChar w:fldCharType="begin"/>
        </w:r>
        <w:r w:rsidR="006478E5">
          <w:rPr>
            <w:webHidden/>
          </w:rPr>
          <w:instrText xml:space="preserve"> PAGEREF _Toc506373277 \h </w:instrText>
        </w:r>
        <w:r w:rsidR="006478E5">
          <w:rPr>
            <w:webHidden/>
          </w:rPr>
        </w:r>
        <w:r w:rsidR="006478E5">
          <w:rPr>
            <w:webHidden/>
          </w:rPr>
          <w:fldChar w:fldCharType="separate"/>
        </w:r>
        <w:r w:rsidR="006478E5">
          <w:rPr>
            <w:webHidden/>
          </w:rPr>
          <w:t>41</w:t>
        </w:r>
        <w:r w:rsidR="006478E5">
          <w:rPr>
            <w:webHidden/>
          </w:rPr>
          <w:fldChar w:fldCharType="end"/>
        </w:r>
      </w:hyperlink>
    </w:p>
    <w:p w14:paraId="6D62864C" w14:textId="77777777" w:rsidR="006478E5" w:rsidRDefault="001540BA">
      <w:pPr>
        <w:pStyle w:val="TOC2"/>
        <w:rPr>
          <w:rFonts w:eastAsiaTheme="minorEastAsia"/>
          <w:lang w:eastAsia="en-AU"/>
        </w:rPr>
      </w:pPr>
      <w:hyperlink w:anchor="_Toc506373278" w:history="1">
        <w:r w:rsidR="006478E5" w:rsidRPr="0036117C">
          <w:rPr>
            <w:rStyle w:val="Hyperlink"/>
            <w:lang w:bidi="hi-IN"/>
          </w:rPr>
          <w:t>There is insufficient evidence that the Code should be mandatory</w:t>
        </w:r>
        <w:r w:rsidR="006478E5">
          <w:rPr>
            <w:webHidden/>
          </w:rPr>
          <w:tab/>
        </w:r>
        <w:r w:rsidR="006478E5">
          <w:rPr>
            <w:webHidden/>
          </w:rPr>
          <w:fldChar w:fldCharType="begin"/>
        </w:r>
        <w:r w:rsidR="006478E5">
          <w:rPr>
            <w:webHidden/>
          </w:rPr>
          <w:instrText xml:space="preserve"> PAGEREF _Toc506373278 \h </w:instrText>
        </w:r>
        <w:r w:rsidR="006478E5">
          <w:rPr>
            <w:webHidden/>
          </w:rPr>
        </w:r>
        <w:r w:rsidR="006478E5">
          <w:rPr>
            <w:webHidden/>
          </w:rPr>
          <w:fldChar w:fldCharType="separate"/>
        </w:r>
        <w:r w:rsidR="006478E5">
          <w:rPr>
            <w:webHidden/>
          </w:rPr>
          <w:t>41</w:t>
        </w:r>
        <w:r w:rsidR="006478E5">
          <w:rPr>
            <w:webHidden/>
          </w:rPr>
          <w:fldChar w:fldCharType="end"/>
        </w:r>
      </w:hyperlink>
    </w:p>
    <w:p w14:paraId="77C6F689" w14:textId="77777777" w:rsidR="006478E5" w:rsidRDefault="001540BA">
      <w:pPr>
        <w:pStyle w:val="TOC1"/>
        <w:rPr>
          <w:rFonts w:eastAsiaTheme="minorEastAsia"/>
          <w:b w:val="0"/>
          <w:color w:val="auto"/>
          <w:sz w:val="22"/>
          <w:lang w:eastAsia="en-AU"/>
        </w:rPr>
      </w:pPr>
      <w:hyperlink w:anchor="_Toc506373279" w:history="1">
        <w:r w:rsidR="006478E5" w:rsidRPr="0036117C">
          <w:rPr>
            <w:rStyle w:val="Hyperlink"/>
            <w:lang w:bidi="hi-IN"/>
          </w:rPr>
          <w:t>The Operations of the Declared Collecting Societies</w:t>
        </w:r>
        <w:r w:rsidR="006478E5">
          <w:rPr>
            <w:webHidden/>
          </w:rPr>
          <w:tab/>
        </w:r>
        <w:r w:rsidR="006478E5">
          <w:rPr>
            <w:webHidden/>
          </w:rPr>
          <w:fldChar w:fldCharType="begin"/>
        </w:r>
        <w:r w:rsidR="006478E5">
          <w:rPr>
            <w:webHidden/>
          </w:rPr>
          <w:instrText xml:space="preserve"> PAGEREF _Toc506373279 \h </w:instrText>
        </w:r>
        <w:r w:rsidR="006478E5">
          <w:rPr>
            <w:webHidden/>
          </w:rPr>
        </w:r>
        <w:r w:rsidR="006478E5">
          <w:rPr>
            <w:webHidden/>
          </w:rPr>
          <w:fldChar w:fldCharType="separate"/>
        </w:r>
        <w:r w:rsidR="006478E5">
          <w:rPr>
            <w:webHidden/>
          </w:rPr>
          <w:t>43</w:t>
        </w:r>
        <w:r w:rsidR="006478E5">
          <w:rPr>
            <w:webHidden/>
          </w:rPr>
          <w:fldChar w:fldCharType="end"/>
        </w:r>
      </w:hyperlink>
    </w:p>
    <w:p w14:paraId="26ECD963" w14:textId="77777777" w:rsidR="006478E5" w:rsidRDefault="001540BA">
      <w:pPr>
        <w:pStyle w:val="TOC1"/>
        <w:rPr>
          <w:rFonts w:eastAsiaTheme="minorEastAsia"/>
          <w:b w:val="0"/>
          <w:color w:val="auto"/>
          <w:sz w:val="22"/>
          <w:lang w:eastAsia="en-AU"/>
        </w:rPr>
      </w:pPr>
      <w:hyperlink w:anchor="_Toc506373280" w:history="1">
        <w:r w:rsidR="006478E5" w:rsidRPr="0036117C">
          <w:rPr>
            <w:rStyle w:val="Hyperlink"/>
            <w:lang w:bidi="hi-IN"/>
          </w:rPr>
          <w:t>Appendix A: Conduct of this review</w:t>
        </w:r>
        <w:r w:rsidR="006478E5">
          <w:rPr>
            <w:webHidden/>
          </w:rPr>
          <w:tab/>
        </w:r>
        <w:r w:rsidR="006478E5">
          <w:rPr>
            <w:webHidden/>
          </w:rPr>
          <w:fldChar w:fldCharType="begin"/>
        </w:r>
        <w:r w:rsidR="006478E5">
          <w:rPr>
            <w:webHidden/>
          </w:rPr>
          <w:instrText xml:space="preserve"> PAGEREF _Toc506373280 \h </w:instrText>
        </w:r>
        <w:r w:rsidR="006478E5">
          <w:rPr>
            <w:webHidden/>
          </w:rPr>
        </w:r>
        <w:r w:rsidR="006478E5">
          <w:rPr>
            <w:webHidden/>
          </w:rPr>
          <w:fldChar w:fldCharType="separate"/>
        </w:r>
        <w:r w:rsidR="006478E5">
          <w:rPr>
            <w:webHidden/>
          </w:rPr>
          <w:t>46</w:t>
        </w:r>
        <w:r w:rsidR="006478E5">
          <w:rPr>
            <w:webHidden/>
          </w:rPr>
          <w:fldChar w:fldCharType="end"/>
        </w:r>
      </w:hyperlink>
    </w:p>
    <w:p w14:paraId="675C68EE" w14:textId="77777777" w:rsidR="006478E5" w:rsidRDefault="001540BA">
      <w:pPr>
        <w:pStyle w:val="TOC2"/>
        <w:rPr>
          <w:rFonts w:eastAsiaTheme="minorEastAsia"/>
          <w:lang w:eastAsia="en-AU"/>
        </w:rPr>
      </w:pPr>
      <w:hyperlink w:anchor="_Toc506373281" w:history="1">
        <w:r w:rsidR="006478E5" w:rsidRPr="0036117C">
          <w:rPr>
            <w:rStyle w:val="Hyperlink"/>
            <w:lang w:bidi="hi-IN"/>
          </w:rPr>
          <w:t>Recommendation 5.4</w:t>
        </w:r>
        <w:r w:rsidR="006478E5">
          <w:rPr>
            <w:webHidden/>
          </w:rPr>
          <w:tab/>
        </w:r>
        <w:r w:rsidR="006478E5">
          <w:rPr>
            <w:webHidden/>
          </w:rPr>
          <w:fldChar w:fldCharType="begin"/>
        </w:r>
        <w:r w:rsidR="006478E5">
          <w:rPr>
            <w:webHidden/>
          </w:rPr>
          <w:instrText xml:space="preserve"> PAGEREF _Toc506373281 \h </w:instrText>
        </w:r>
        <w:r w:rsidR="006478E5">
          <w:rPr>
            <w:webHidden/>
          </w:rPr>
        </w:r>
        <w:r w:rsidR="006478E5">
          <w:rPr>
            <w:webHidden/>
          </w:rPr>
          <w:fldChar w:fldCharType="separate"/>
        </w:r>
        <w:r w:rsidR="006478E5">
          <w:rPr>
            <w:webHidden/>
          </w:rPr>
          <w:t>46</w:t>
        </w:r>
        <w:r w:rsidR="006478E5">
          <w:rPr>
            <w:webHidden/>
          </w:rPr>
          <w:fldChar w:fldCharType="end"/>
        </w:r>
      </w:hyperlink>
    </w:p>
    <w:p w14:paraId="5F32549E" w14:textId="77777777" w:rsidR="006478E5" w:rsidRDefault="001540BA">
      <w:pPr>
        <w:pStyle w:val="TOC1"/>
        <w:rPr>
          <w:rFonts w:eastAsiaTheme="minorEastAsia"/>
          <w:b w:val="0"/>
          <w:color w:val="auto"/>
          <w:sz w:val="22"/>
          <w:lang w:eastAsia="en-AU"/>
        </w:rPr>
      </w:pPr>
      <w:hyperlink w:anchor="_Toc506373282" w:history="1">
        <w:r w:rsidR="006478E5" w:rsidRPr="0036117C">
          <w:rPr>
            <w:rStyle w:val="Hyperlink"/>
            <w:lang w:bidi="hi-IN"/>
          </w:rPr>
          <w:t>Appendix B: Terms of Reference</w:t>
        </w:r>
        <w:r w:rsidR="006478E5">
          <w:rPr>
            <w:webHidden/>
          </w:rPr>
          <w:tab/>
        </w:r>
        <w:r w:rsidR="006478E5">
          <w:rPr>
            <w:webHidden/>
          </w:rPr>
          <w:fldChar w:fldCharType="begin"/>
        </w:r>
        <w:r w:rsidR="006478E5">
          <w:rPr>
            <w:webHidden/>
          </w:rPr>
          <w:instrText xml:space="preserve"> PAGEREF _Toc506373282 \h </w:instrText>
        </w:r>
        <w:r w:rsidR="006478E5">
          <w:rPr>
            <w:webHidden/>
          </w:rPr>
        </w:r>
        <w:r w:rsidR="006478E5">
          <w:rPr>
            <w:webHidden/>
          </w:rPr>
          <w:fldChar w:fldCharType="separate"/>
        </w:r>
        <w:r w:rsidR="006478E5">
          <w:rPr>
            <w:webHidden/>
          </w:rPr>
          <w:t>49</w:t>
        </w:r>
        <w:r w:rsidR="006478E5">
          <w:rPr>
            <w:webHidden/>
          </w:rPr>
          <w:fldChar w:fldCharType="end"/>
        </w:r>
      </w:hyperlink>
    </w:p>
    <w:p w14:paraId="28E5094B" w14:textId="77777777" w:rsidR="006478E5" w:rsidRDefault="001540BA">
      <w:pPr>
        <w:pStyle w:val="TOC2"/>
        <w:rPr>
          <w:rFonts w:eastAsiaTheme="minorEastAsia"/>
          <w:lang w:eastAsia="en-AU"/>
        </w:rPr>
      </w:pPr>
      <w:hyperlink w:anchor="_Toc506373283" w:history="1">
        <w:r w:rsidR="006478E5" w:rsidRPr="0036117C">
          <w:rPr>
            <w:rStyle w:val="Hyperlink"/>
            <w:lang w:bidi="hi-IN"/>
          </w:rPr>
          <w:t>Background</w:t>
        </w:r>
        <w:r w:rsidR="006478E5">
          <w:rPr>
            <w:webHidden/>
          </w:rPr>
          <w:tab/>
        </w:r>
        <w:r w:rsidR="006478E5">
          <w:rPr>
            <w:webHidden/>
          </w:rPr>
          <w:fldChar w:fldCharType="begin"/>
        </w:r>
        <w:r w:rsidR="006478E5">
          <w:rPr>
            <w:webHidden/>
          </w:rPr>
          <w:instrText xml:space="preserve"> PAGEREF _Toc506373283 \h </w:instrText>
        </w:r>
        <w:r w:rsidR="006478E5">
          <w:rPr>
            <w:webHidden/>
          </w:rPr>
        </w:r>
        <w:r w:rsidR="006478E5">
          <w:rPr>
            <w:webHidden/>
          </w:rPr>
          <w:fldChar w:fldCharType="separate"/>
        </w:r>
        <w:r w:rsidR="006478E5">
          <w:rPr>
            <w:webHidden/>
          </w:rPr>
          <w:t>49</w:t>
        </w:r>
        <w:r w:rsidR="006478E5">
          <w:rPr>
            <w:webHidden/>
          </w:rPr>
          <w:fldChar w:fldCharType="end"/>
        </w:r>
      </w:hyperlink>
    </w:p>
    <w:p w14:paraId="75A23831" w14:textId="77777777" w:rsidR="006478E5" w:rsidRDefault="001540BA">
      <w:pPr>
        <w:pStyle w:val="TOC2"/>
        <w:rPr>
          <w:rFonts w:eastAsiaTheme="minorEastAsia"/>
          <w:lang w:eastAsia="en-AU"/>
        </w:rPr>
      </w:pPr>
      <w:hyperlink w:anchor="_Toc506373284" w:history="1">
        <w:r w:rsidR="006478E5" w:rsidRPr="0036117C">
          <w:rPr>
            <w:rStyle w:val="Hyperlink"/>
            <w:lang w:bidi="hi-IN"/>
          </w:rPr>
          <w:t>Scope</w:t>
        </w:r>
        <w:r w:rsidR="006478E5">
          <w:rPr>
            <w:webHidden/>
          </w:rPr>
          <w:tab/>
        </w:r>
        <w:r w:rsidR="006478E5">
          <w:rPr>
            <w:webHidden/>
          </w:rPr>
          <w:fldChar w:fldCharType="begin"/>
        </w:r>
        <w:r w:rsidR="006478E5">
          <w:rPr>
            <w:webHidden/>
          </w:rPr>
          <w:instrText xml:space="preserve"> PAGEREF _Toc506373284 \h </w:instrText>
        </w:r>
        <w:r w:rsidR="006478E5">
          <w:rPr>
            <w:webHidden/>
          </w:rPr>
        </w:r>
        <w:r w:rsidR="006478E5">
          <w:rPr>
            <w:webHidden/>
          </w:rPr>
          <w:fldChar w:fldCharType="separate"/>
        </w:r>
        <w:r w:rsidR="006478E5">
          <w:rPr>
            <w:webHidden/>
          </w:rPr>
          <w:t>49</w:t>
        </w:r>
        <w:r w:rsidR="006478E5">
          <w:rPr>
            <w:webHidden/>
          </w:rPr>
          <w:fldChar w:fldCharType="end"/>
        </w:r>
      </w:hyperlink>
    </w:p>
    <w:p w14:paraId="6B52A79C" w14:textId="77777777" w:rsidR="006478E5" w:rsidRDefault="001540BA">
      <w:pPr>
        <w:pStyle w:val="TOC2"/>
        <w:rPr>
          <w:rFonts w:eastAsiaTheme="minorEastAsia"/>
          <w:lang w:eastAsia="en-AU"/>
        </w:rPr>
      </w:pPr>
      <w:hyperlink w:anchor="_Toc506373285" w:history="1">
        <w:r w:rsidR="006478E5" w:rsidRPr="0036117C">
          <w:rPr>
            <w:rStyle w:val="Hyperlink"/>
            <w:lang w:bidi="hi-IN"/>
          </w:rPr>
          <w:t>Process and governance</w:t>
        </w:r>
        <w:r w:rsidR="006478E5">
          <w:rPr>
            <w:webHidden/>
          </w:rPr>
          <w:tab/>
        </w:r>
        <w:r w:rsidR="006478E5">
          <w:rPr>
            <w:webHidden/>
          </w:rPr>
          <w:fldChar w:fldCharType="begin"/>
        </w:r>
        <w:r w:rsidR="006478E5">
          <w:rPr>
            <w:webHidden/>
          </w:rPr>
          <w:instrText xml:space="preserve"> PAGEREF _Toc506373285 \h </w:instrText>
        </w:r>
        <w:r w:rsidR="006478E5">
          <w:rPr>
            <w:webHidden/>
          </w:rPr>
        </w:r>
        <w:r w:rsidR="006478E5">
          <w:rPr>
            <w:webHidden/>
          </w:rPr>
          <w:fldChar w:fldCharType="separate"/>
        </w:r>
        <w:r w:rsidR="006478E5">
          <w:rPr>
            <w:webHidden/>
          </w:rPr>
          <w:t>49</w:t>
        </w:r>
        <w:r w:rsidR="006478E5">
          <w:rPr>
            <w:webHidden/>
          </w:rPr>
          <w:fldChar w:fldCharType="end"/>
        </w:r>
      </w:hyperlink>
    </w:p>
    <w:p w14:paraId="5CF4F698" w14:textId="77777777" w:rsidR="006478E5" w:rsidRDefault="001540BA">
      <w:pPr>
        <w:pStyle w:val="TOC1"/>
        <w:rPr>
          <w:rFonts w:eastAsiaTheme="minorEastAsia"/>
          <w:b w:val="0"/>
          <w:color w:val="auto"/>
          <w:sz w:val="22"/>
          <w:lang w:eastAsia="en-AU"/>
        </w:rPr>
      </w:pPr>
      <w:hyperlink w:anchor="_Toc506373286" w:history="1">
        <w:r w:rsidR="006478E5" w:rsidRPr="0036117C">
          <w:rPr>
            <w:rStyle w:val="Hyperlink"/>
            <w:lang w:bidi="hi-IN"/>
          </w:rPr>
          <w:t>Appendix C: Legislative and regulatory framework for Australia’s copyright collecting societies</w:t>
        </w:r>
        <w:r w:rsidR="006478E5">
          <w:rPr>
            <w:webHidden/>
          </w:rPr>
          <w:tab/>
        </w:r>
        <w:r w:rsidR="006478E5">
          <w:rPr>
            <w:webHidden/>
          </w:rPr>
          <w:fldChar w:fldCharType="begin"/>
        </w:r>
        <w:r w:rsidR="006478E5">
          <w:rPr>
            <w:webHidden/>
          </w:rPr>
          <w:instrText xml:space="preserve"> PAGEREF _Toc506373286 \h </w:instrText>
        </w:r>
        <w:r w:rsidR="006478E5">
          <w:rPr>
            <w:webHidden/>
          </w:rPr>
        </w:r>
        <w:r w:rsidR="006478E5">
          <w:rPr>
            <w:webHidden/>
          </w:rPr>
          <w:fldChar w:fldCharType="separate"/>
        </w:r>
        <w:r w:rsidR="006478E5">
          <w:rPr>
            <w:webHidden/>
          </w:rPr>
          <w:t>51</w:t>
        </w:r>
        <w:r w:rsidR="006478E5">
          <w:rPr>
            <w:webHidden/>
          </w:rPr>
          <w:fldChar w:fldCharType="end"/>
        </w:r>
      </w:hyperlink>
    </w:p>
    <w:p w14:paraId="3CA506DA" w14:textId="77777777" w:rsidR="006478E5" w:rsidRDefault="001540BA">
      <w:pPr>
        <w:pStyle w:val="TOC1"/>
        <w:rPr>
          <w:rFonts w:eastAsiaTheme="minorEastAsia"/>
          <w:b w:val="0"/>
          <w:color w:val="auto"/>
          <w:sz w:val="22"/>
          <w:lang w:eastAsia="en-AU"/>
        </w:rPr>
      </w:pPr>
      <w:hyperlink w:anchor="_Toc506373287" w:history="1">
        <w:r w:rsidR="006478E5" w:rsidRPr="0036117C">
          <w:rPr>
            <w:rStyle w:val="Hyperlink"/>
            <w:lang w:bidi="hi-IN"/>
          </w:rPr>
          <w:t>Appendix D: Alternative dispute resolution facilities offered by the collecting societies bound by the Code</w:t>
        </w:r>
        <w:r w:rsidR="006478E5">
          <w:rPr>
            <w:webHidden/>
          </w:rPr>
          <w:tab/>
        </w:r>
        <w:r w:rsidR="006478E5">
          <w:rPr>
            <w:webHidden/>
          </w:rPr>
          <w:fldChar w:fldCharType="begin"/>
        </w:r>
        <w:r w:rsidR="006478E5">
          <w:rPr>
            <w:webHidden/>
          </w:rPr>
          <w:instrText xml:space="preserve"> PAGEREF _Toc506373287 \h </w:instrText>
        </w:r>
        <w:r w:rsidR="006478E5">
          <w:rPr>
            <w:webHidden/>
          </w:rPr>
        </w:r>
        <w:r w:rsidR="006478E5">
          <w:rPr>
            <w:webHidden/>
          </w:rPr>
          <w:fldChar w:fldCharType="separate"/>
        </w:r>
        <w:r w:rsidR="006478E5">
          <w:rPr>
            <w:webHidden/>
          </w:rPr>
          <w:t>54</w:t>
        </w:r>
        <w:r w:rsidR="006478E5">
          <w:rPr>
            <w:webHidden/>
          </w:rPr>
          <w:fldChar w:fldCharType="end"/>
        </w:r>
      </w:hyperlink>
    </w:p>
    <w:p w14:paraId="2204A6AC" w14:textId="77777777" w:rsidR="006478E5" w:rsidRDefault="001540BA">
      <w:pPr>
        <w:pStyle w:val="TOC2"/>
        <w:rPr>
          <w:rFonts w:eastAsiaTheme="minorEastAsia"/>
          <w:lang w:eastAsia="en-AU"/>
        </w:rPr>
      </w:pPr>
      <w:hyperlink w:anchor="_Toc506373288" w:history="1">
        <w:r w:rsidR="006478E5" w:rsidRPr="0036117C">
          <w:rPr>
            <w:rStyle w:val="Hyperlink"/>
            <w:lang w:bidi="hi-IN"/>
          </w:rPr>
          <w:t>APRA AMCOS</w:t>
        </w:r>
        <w:r w:rsidR="006478E5">
          <w:rPr>
            <w:webHidden/>
          </w:rPr>
          <w:tab/>
        </w:r>
        <w:r w:rsidR="006478E5">
          <w:rPr>
            <w:webHidden/>
          </w:rPr>
          <w:fldChar w:fldCharType="begin"/>
        </w:r>
        <w:r w:rsidR="006478E5">
          <w:rPr>
            <w:webHidden/>
          </w:rPr>
          <w:instrText xml:space="preserve"> PAGEREF _Toc506373288 \h </w:instrText>
        </w:r>
        <w:r w:rsidR="006478E5">
          <w:rPr>
            <w:webHidden/>
          </w:rPr>
        </w:r>
        <w:r w:rsidR="006478E5">
          <w:rPr>
            <w:webHidden/>
          </w:rPr>
          <w:fldChar w:fldCharType="separate"/>
        </w:r>
        <w:r w:rsidR="006478E5">
          <w:rPr>
            <w:webHidden/>
          </w:rPr>
          <w:t>54</w:t>
        </w:r>
        <w:r w:rsidR="006478E5">
          <w:rPr>
            <w:webHidden/>
          </w:rPr>
          <w:fldChar w:fldCharType="end"/>
        </w:r>
      </w:hyperlink>
    </w:p>
    <w:p w14:paraId="277AE748" w14:textId="77777777" w:rsidR="006478E5" w:rsidRDefault="001540BA">
      <w:pPr>
        <w:pStyle w:val="TOC2"/>
        <w:rPr>
          <w:rFonts w:eastAsiaTheme="minorEastAsia"/>
          <w:lang w:eastAsia="en-AU"/>
        </w:rPr>
      </w:pPr>
      <w:hyperlink w:anchor="_Toc506373289" w:history="1">
        <w:r w:rsidR="006478E5" w:rsidRPr="0036117C">
          <w:rPr>
            <w:rStyle w:val="Hyperlink"/>
            <w:lang w:bidi="hi-IN"/>
          </w:rPr>
          <w:t>Copyright Agency and Viscopy</w:t>
        </w:r>
        <w:r w:rsidR="006478E5">
          <w:rPr>
            <w:webHidden/>
          </w:rPr>
          <w:tab/>
        </w:r>
        <w:r w:rsidR="006478E5">
          <w:rPr>
            <w:webHidden/>
          </w:rPr>
          <w:fldChar w:fldCharType="begin"/>
        </w:r>
        <w:r w:rsidR="006478E5">
          <w:rPr>
            <w:webHidden/>
          </w:rPr>
          <w:instrText xml:space="preserve"> PAGEREF _Toc506373289 \h </w:instrText>
        </w:r>
        <w:r w:rsidR="006478E5">
          <w:rPr>
            <w:webHidden/>
          </w:rPr>
        </w:r>
        <w:r w:rsidR="006478E5">
          <w:rPr>
            <w:webHidden/>
          </w:rPr>
          <w:fldChar w:fldCharType="separate"/>
        </w:r>
        <w:r w:rsidR="006478E5">
          <w:rPr>
            <w:webHidden/>
          </w:rPr>
          <w:t>54</w:t>
        </w:r>
        <w:r w:rsidR="006478E5">
          <w:rPr>
            <w:webHidden/>
          </w:rPr>
          <w:fldChar w:fldCharType="end"/>
        </w:r>
      </w:hyperlink>
    </w:p>
    <w:p w14:paraId="310783FB" w14:textId="77777777" w:rsidR="006478E5" w:rsidRDefault="001540BA">
      <w:pPr>
        <w:pStyle w:val="TOC2"/>
        <w:rPr>
          <w:rFonts w:eastAsiaTheme="minorEastAsia"/>
          <w:lang w:eastAsia="en-AU"/>
        </w:rPr>
      </w:pPr>
      <w:hyperlink w:anchor="_Toc506373290" w:history="1">
        <w:r w:rsidR="006478E5" w:rsidRPr="0036117C">
          <w:rPr>
            <w:rStyle w:val="Hyperlink"/>
            <w:lang w:bidi="hi-IN"/>
          </w:rPr>
          <w:t>Screenrights</w:t>
        </w:r>
        <w:r w:rsidR="006478E5">
          <w:rPr>
            <w:webHidden/>
          </w:rPr>
          <w:tab/>
        </w:r>
        <w:r w:rsidR="006478E5">
          <w:rPr>
            <w:webHidden/>
          </w:rPr>
          <w:fldChar w:fldCharType="begin"/>
        </w:r>
        <w:r w:rsidR="006478E5">
          <w:rPr>
            <w:webHidden/>
          </w:rPr>
          <w:instrText xml:space="preserve"> PAGEREF _Toc506373290 \h </w:instrText>
        </w:r>
        <w:r w:rsidR="006478E5">
          <w:rPr>
            <w:webHidden/>
          </w:rPr>
        </w:r>
        <w:r w:rsidR="006478E5">
          <w:rPr>
            <w:webHidden/>
          </w:rPr>
          <w:fldChar w:fldCharType="separate"/>
        </w:r>
        <w:r w:rsidR="006478E5">
          <w:rPr>
            <w:webHidden/>
          </w:rPr>
          <w:t>54</w:t>
        </w:r>
        <w:r w:rsidR="006478E5">
          <w:rPr>
            <w:webHidden/>
          </w:rPr>
          <w:fldChar w:fldCharType="end"/>
        </w:r>
      </w:hyperlink>
    </w:p>
    <w:p w14:paraId="085F1153" w14:textId="77777777" w:rsidR="006478E5" w:rsidRDefault="001540BA">
      <w:pPr>
        <w:pStyle w:val="TOC2"/>
        <w:rPr>
          <w:rFonts w:eastAsiaTheme="minorEastAsia"/>
          <w:lang w:eastAsia="en-AU"/>
        </w:rPr>
      </w:pPr>
      <w:hyperlink w:anchor="_Toc506373291" w:history="1">
        <w:r w:rsidR="006478E5" w:rsidRPr="0036117C">
          <w:rPr>
            <w:rStyle w:val="Hyperlink"/>
            <w:lang w:bidi="hi-IN"/>
          </w:rPr>
          <w:t>PPCA</w:t>
        </w:r>
        <w:r w:rsidR="006478E5">
          <w:rPr>
            <w:webHidden/>
          </w:rPr>
          <w:tab/>
        </w:r>
        <w:r w:rsidR="006478E5">
          <w:rPr>
            <w:webHidden/>
          </w:rPr>
          <w:fldChar w:fldCharType="begin"/>
        </w:r>
        <w:r w:rsidR="006478E5">
          <w:rPr>
            <w:webHidden/>
          </w:rPr>
          <w:instrText xml:space="preserve"> PAGEREF _Toc506373291 \h </w:instrText>
        </w:r>
        <w:r w:rsidR="006478E5">
          <w:rPr>
            <w:webHidden/>
          </w:rPr>
        </w:r>
        <w:r w:rsidR="006478E5">
          <w:rPr>
            <w:webHidden/>
          </w:rPr>
          <w:fldChar w:fldCharType="separate"/>
        </w:r>
        <w:r w:rsidR="006478E5">
          <w:rPr>
            <w:webHidden/>
          </w:rPr>
          <w:t>55</w:t>
        </w:r>
        <w:r w:rsidR="006478E5">
          <w:rPr>
            <w:webHidden/>
          </w:rPr>
          <w:fldChar w:fldCharType="end"/>
        </w:r>
      </w:hyperlink>
    </w:p>
    <w:p w14:paraId="42284829" w14:textId="77777777" w:rsidR="006478E5" w:rsidRDefault="001540BA">
      <w:pPr>
        <w:pStyle w:val="TOC2"/>
        <w:rPr>
          <w:rFonts w:eastAsiaTheme="minorEastAsia"/>
          <w:lang w:eastAsia="en-AU"/>
        </w:rPr>
      </w:pPr>
      <w:hyperlink w:anchor="_Toc506373292" w:history="1">
        <w:r w:rsidR="006478E5" w:rsidRPr="0036117C">
          <w:rPr>
            <w:rStyle w:val="Hyperlink"/>
            <w:lang w:bidi="hi-IN"/>
          </w:rPr>
          <w:t>AWGACS</w:t>
        </w:r>
        <w:r w:rsidR="006478E5">
          <w:rPr>
            <w:webHidden/>
          </w:rPr>
          <w:tab/>
        </w:r>
        <w:r w:rsidR="006478E5">
          <w:rPr>
            <w:webHidden/>
          </w:rPr>
          <w:fldChar w:fldCharType="begin"/>
        </w:r>
        <w:r w:rsidR="006478E5">
          <w:rPr>
            <w:webHidden/>
          </w:rPr>
          <w:instrText xml:space="preserve"> PAGEREF _Toc506373292 \h </w:instrText>
        </w:r>
        <w:r w:rsidR="006478E5">
          <w:rPr>
            <w:webHidden/>
          </w:rPr>
        </w:r>
        <w:r w:rsidR="006478E5">
          <w:rPr>
            <w:webHidden/>
          </w:rPr>
          <w:fldChar w:fldCharType="separate"/>
        </w:r>
        <w:r w:rsidR="006478E5">
          <w:rPr>
            <w:webHidden/>
          </w:rPr>
          <w:t>55</w:t>
        </w:r>
        <w:r w:rsidR="006478E5">
          <w:rPr>
            <w:webHidden/>
          </w:rPr>
          <w:fldChar w:fldCharType="end"/>
        </w:r>
      </w:hyperlink>
    </w:p>
    <w:p w14:paraId="1E6530C7" w14:textId="77777777" w:rsidR="006478E5" w:rsidRDefault="001540BA">
      <w:pPr>
        <w:pStyle w:val="TOC1"/>
        <w:rPr>
          <w:rFonts w:eastAsiaTheme="minorEastAsia"/>
          <w:b w:val="0"/>
          <w:color w:val="auto"/>
          <w:sz w:val="22"/>
          <w:lang w:eastAsia="en-AU"/>
        </w:rPr>
      </w:pPr>
      <w:hyperlink w:anchor="_Toc506373293" w:history="1">
        <w:r w:rsidR="006478E5" w:rsidRPr="0036117C">
          <w:rPr>
            <w:rStyle w:val="Hyperlink"/>
            <w:lang w:bidi="hi-IN"/>
          </w:rPr>
          <w:t>Appendix E: Collective management organisations—analysis of international approaches</w:t>
        </w:r>
        <w:r w:rsidR="006478E5">
          <w:rPr>
            <w:webHidden/>
          </w:rPr>
          <w:tab/>
        </w:r>
        <w:r w:rsidR="006478E5">
          <w:rPr>
            <w:webHidden/>
          </w:rPr>
          <w:fldChar w:fldCharType="begin"/>
        </w:r>
        <w:r w:rsidR="006478E5">
          <w:rPr>
            <w:webHidden/>
          </w:rPr>
          <w:instrText xml:space="preserve"> PAGEREF _Toc506373293 \h </w:instrText>
        </w:r>
        <w:r w:rsidR="006478E5">
          <w:rPr>
            <w:webHidden/>
          </w:rPr>
        </w:r>
        <w:r w:rsidR="006478E5">
          <w:rPr>
            <w:webHidden/>
          </w:rPr>
          <w:fldChar w:fldCharType="separate"/>
        </w:r>
        <w:r w:rsidR="006478E5">
          <w:rPr>
            <w:webHidden/>
          </w:rPr>
          <w:t>56</w:t>
        </w:r>
        <w:r w:rsidR="006478E5">
          <w:rPr>
            <w:webHidden/>
          </w:rPr>
          <w:fldChar w:fldCharType="end"/>
        </w:r>
      </w:hyperlink>
    </w:p>
    <w:p w14:paraId="2B0CFAA4" w14:textId="77777777" w:rsidR="006478E5" w:rsidRDefault="001540BA">
      <w:pPr>
        <w:pStyle w:val="TOC2"/>
        <w:rPr>
          <w:rFonts w:eastAsiaTheme="minorEastAsia"/>
          <w:lang w:eastAsia="en-AU"/>
        </w:rPr>
      </w:pPr>
      <w:hyperlink w:anchor="_Toc506373294" w:history="1">
        <w:r w:rsidR="006478E5" w:rsidRPr="0036117C">
          <w:rPr>
            <w:rStyle w:val="Hyperlink"/>
            <w:lang w:bidi="hi-IN"/>
          </w:rPr>
          <w:t>Background on international approaches</w:t>
        </w:r>
        <w:r w:rsidR="006478E5">
          <w:rPr>
            <w:webHidden/>
          </w:rPr>
          <w:tab/>
        </w:r>
        <w:r w:rsidR="006478E5">
          <w:rPr>
            <w:webHidden/>
          </w:rPr>
          <w:fldChar w:fldCharType="begin"/>
        </w:r>
        <w:r w:rsidR="006478E5">
          <w:rPr>
            <w:webHidden/>
          </w:rPr>
          <w:instrText xml:space="preserve"> PAGEREF _Toc506373294 \h </w:instrText>
        </w:r>
        <w:r w:rsidR="006478E5">
          <w:rPr>
            <w:webHidden/>
          </w:rPr>
        </w:r>
        <w:r w:rsidR="006478E5">
          <w:rPr>
            <w:webHidden/>
          </w:rPr>
          <w:fldChar w:fldCharType="separate"/>
        </w:r>
        <w:r w:rsidR="006478E5">
          <w:rPr>
            <w:webHidden/>
          </w:rPr>
          <w:t>56</w:t>
        </w:r>
        <w:r w:rsidR="006478E5">
          <w:rPr>
            <w:webHidden/>
          </w:rPr>
          <w:fldChar w:fldCharType="end"/>
        </w:r>
      </w:hyperlink>
    </w:p>
    <w:p w14:paraId="2BF82FD5" w14:textId="77777777" w:rsidR="006478E5" w:rsidRDefault="001540BA">
      <w:pPr>
        <w:pStyle w:val="TOC2"/>
        <w:rPr>
          <w:rFonts w:eastAsiaTheme="minorEastAsia"/>
          <w:lang w:eastAsia="en-AU"/>
        </w:rPr>
      </w:pPr>
      <w:hyperlink w:anchor="_Toc506373295" w:history="1">
        <w:r w:rsidR="006478E5" w:rsidRPr="0036117C">
          <w:rPr>
            <w:rStyle w:val="Hyperlink"/>
            <w:lang w:bidi="hi-IN"/>
          </w:rPr>
          <w:t>EU Directive Annual Transparency Report</w:t>
        </w:r>
        <w:r w:rsidR="006478E5">
          <w:rPr>
            <w:webHidden/>
          </w:rPr>
          <w:tab/>
        </w:r>
        <w:r w:rsidR="006478E5">
          <w:rPr>
            <w:webHidden/>
          </w:rPr>
          <w:fldChar w:fldCharType="begin"/>
        </w:r>
        <w:r w:rsidR="006478E5">
          <w:rPr>
            <w:webHidden/>
          </w:rPr>
          <w:instrText xml:space="preserve"> PAGEREF _Toc506373295 \h </w:instrText>
        </w:r>
        <w:r w:rsidR="006478E5">
          <w:rPr>
            <w:webHidden/>
          </w:rPr>
        </w:r>
        <w:r w:rsidR="006478E5">
          <w:rPr>
            <w:webHidden/>
          </w:rPr>
          <w:fldChar w:fldCharType="separate"/>
        </w:r>
        <w:r w:rsidR="006478E5">
          <w:rPr>
            <w:webHidden/>
          </w:rPr>
          <w:t>58</w:t>
        </w:r>
        <w:r w:rsidR="006478E5">
          <w:rPr>
            <w:webHidden/>
          </w:rPr>
          <w:fldChar w:fldCharType="end"/>
        </w:r>
      </w:hyperlink>
    </w:p>
    <w:p w14:paraId="6B4FD871" w14:textId="77777777" w:rsidR="006478E5" w:rsidRDefault="001540BA">
      <w:pPr>
        <w:pStyle w:val="TOC1"/>
        <w:rPr>
          <w:rFonts w:eastAsiaTheme="minorEastAsia"/>
          <w:b w:val="0"/>
          <w:color w:val="auto"/>
          <w:sz w:val="22"/>
          <w:lang w:eastAsia="en-AU"/>
        </w:rPr>
      </w:pPr>
      <w:hyperlink w:anchor="_Toc506373296" w:history="1">
        <w:r w:rsidR="006478E5" w:rsidRPr="0036117C">
          <w:rPr>
            <w:rStyle w:val="Hyperlink"/>
            <w:lang w:bidi="hi-IN"/>
          </w:rPr>
          <w:t>References</w:t>
        </w:r>
        <w:r w:rsidR="006478E5">
          <w:rPr>
            <w:webHidden/>
          </w:rPr>
          <w:tab/>
        </w:r>
        <w:r w:rsidR="006478E5">
          <w:rPr>
            <w:webHidden/>
          </w:rPr>
          <w:fldChar w:fldCharType="begin"/>
        </w:r>
        <w:r w:rsidR="006478E5">
          <w:rPr>
            <w:webHidden/>
          </w:rPr>
          <w:instrText xml:space="preserve"> PAGEREF _Toc506373296 \h </w:instrText>
        </w:r>
        <w:r w:rsidR="006478E5">
          <w:rPr>
            <w:webHidden/>
          </w:rPr>
        </w:r>
        <w:r w:rsidR="006478E5">
          <w:rPr>
            <w:webHidden/>
          </w:rPr>
          <w:fldChar w:fldCharType="separate"/>
        </w:r>
        <w:r w:rsidR="006478E5">
          <w:rPr>
            <w:webHidden/>
          </w:rPr>
          <w:t>60</w:t>
        </w:r>
        <w:r w:rsidR="006478E5">
          <w:rPr>
            <w:webHidden/>
          </w:rPr>
          <w:fldChar w:fldCharType="end"/>
        </w:r>
      </w:hyperlink>
    </w:p>
    <w:p w14:paraId="4C79D5D0" w14:textId="77777777" w:rsidR="00FA1359" w:rsidRDefault="00FA1359" w:rsidP="00FA1359">
      <w:r>
        <w:rPr>
          <w:b/>
          <w:color w:val="07478C"/>
          <w:sz w:val="24"/>
        </w:rPr>
        <w:fldChar w:fldCharType="end"/>
      </w:r>
    </w:p>
    <w:p w14:paraId="4C79D5D3" w14:textId="77777777" w:rsidR="00FA1359" w:rsidRDefault="00FA1359" w:rsidP="00FA1359">
      <w:pPr>
        <w:pStyle w:val="Heading2-notshowingincontentsindocument"/>
        <w:spacing w:after="0"/>
      </w:pPr>
      <w:bookmarkStart w:id="4" w:name="_Toc486261291"/>
      <w:bookmarkStart w:id="5" w:name="_Toc493506045"/>
      <w:r>
        <w:rPr>
          <w:rFonts w:ascii="Roboto" w:eastAsiaTheme="majorEastAsia" w:hAnsi="Roboto" w:cstheme="majorBidi"/>
          <w:b w:val="0"/>
          <w:sz w:val="40"/>
          <w:szCs w:val="26"/>
        </w:rPr>
        <w:t>List o</w:t>
      </w:r>
      <w:r w:rsidRPr="004764FE">
        <w:rPr>
          <w:rFonts w:ascii="Roboto" w:eastAsiaTheme="majorEastAsia" w:hAnsi="Roboto" w:cstheme="majorBidi"/>
          <w:b w:val="0"/>
          <w:sz w:val="40"/>
          <w:szCs w:val="26"/>
        </w:rPr>
        <w:t>f tables and figures</w:t>
      </w:r>
      <w:bookmarkEnd w:id="4"/>
      <w:bookmarkEnd w:id="5"/>
    </w:p>
    <w:p w14:paraId="7E2F51BF" w14:textId="77777777" w:rsidR="008219CD" w:rsidRDefault="00FA1359">
      <w:pPr>
        <w:pStyle w:val="TableofFigures"/>
        <w:tabs>
          <w:tab w:val="right" w:leader="dot" w:pos="9323"/>
        </w:tabs>
        <w:rPr>
          <w:rFonts w:asciiTheme="minorHAnsi" w:eastAsiaTheme="minorEastAsia" w:hAnsiTheme="minorHAnsi"/>
          <w:noProof/>
          <w:sz w:val="22"/>
          <w:lang w:eastAsia="en-AU"/>
        </w:rPr>
      </w:pPr>
      <w:r>
        <w:rPr>
          <w:b/>
        </w:rPr>
        <w:fldChar w:fldCharType="begin"/>
      </w:r>
      <w:r>
        <w:rPr>
          <w:b/>
        </w:rPr>
        <w:instrText xml:space="preserve"> TOC \h \z \t "Table/figure heading" \c </w:instrText>
      </w:r>
      <w:r>
        <w:rPr>
          <w:b/>
        </w:rPr>
        <w:fldChar w:fldCharType="separate"/>
      </w:r>
      <w:hyperlink w:anchor="_Toc506371894" w:history="1">
        <w:r w:rsidR="008219CD" w:rsidRPr="00891640">
          <w:rPr>
            <w:rStyle w:val="Hyperlink"/>
            <w:noProof/>
          </w:rPr>
          <w:t>Figure 1: Regulatory framework for copyright collecting societies</w:t>
        </w:r>
        <w:r w:rsidR="008219CD">
          <w:rPr>
            <w:noProof/>
            <w:webHidden/>
          </w:rPr>
          <w:tab/>
        </w:r>
        <w:r w:rsidR="008219CD">
          <w:rPr>
            <w:noProof/>
            <w:webHidden/>
          </w:rPr>
          <w:fldChar w:fldCharType="begin"/>
        </w:r>
        <w:r w:rsidR="008219CD">
          <w:rPr>
            <w:noProof/>
            <w:webHidden/>
          </w:rPr>
          <w:instrText xml:space="preserve"> PAGEREF _Toc506371894 \h </w:instrText>
        </w:r>
        <w:r w:rsidR="008219CD">
          <w:rPr>
            <w:noProof/>
            <w:webHidden/>
          </w:rPr>
        </w:r>
        <w:r w:rsidR="008219CD">
          <w:rPr>
            <w:noProof/>
            <w:webHidden/>
          </w:rPr>
          <w:fldChar w:fldCharType="separate"/>
        </w:r>
        <w:r w:rsidR="008219CD">
          <w:rPr>
            <w:noProof/>
            <w:webHidden/>
          </w:rPr>
          <w:t>15</w:t>
        </w:r>
        <w:r w:rsidR="008219CD">
          <w:rPr>
            <w:noProof/>
            <w:webHidden/>
          </w:rPr>
          <w:fldChar w:fldCharType="end"/>
        </w:r>
      </w:hyperlink>
    </w:p>
    <w:p w14:paraId="7860167A" w14:textId="77777777" w:rsidR="008219CD" w:rsidRDefault="001540BA">
      <w:pPr>
        <w:pStyle w:val="TableofFigures"/>
        <w:tabs>
          <w:tab w:val="right" w:leader="dot" w:pos="9323"/>
        </w:tabs>
        <w:rPr>
          <w:rFonts w:asciiTheme="minorHAnsi" w:eastAsiaTheme="minorEastAsia" w:hAnsiTheme="minorHAnsi"/>
          <w:noProof/>
          <w:sz w:val="22"/>
          <w:lang w:eastAsia="en-AU"/>
        </w:rPr>
      </w:pPr>
      <w:hyperlink w:anchor="_Toc506371895" w:history="1">
        <w:r w:rsidR="008219CD" w:rsidRPr="00891640">
          <w:rPr>
            <w:rStyle w:val="Hyperlink"/>
            <w:noProof/>
          </w:rPr>
          <w:t>Table A1. Public submissions to the Review of the Code of Conduct for Copyright Collecting Societies</w:t>
        </w:r>
        <w:r w:rsidR="008219CD">
          <w:rPr>
            <w:noProof/>
            <w:webHidden/>
          </w:rPr>
          <w:tab/>
        </w:r>
        <w:r w:rsidR="008219CD">
          <w:rPr>
            <w:noProof/>
            <w:webHidden/>
          </w:rPr>
          <w:fldChar w:fldCharType="begin"/>
        </w:r>
        <w:r w:rsidR="008219CD">
          <w:rPr>
            <w:noProof/>
            <w:webHidden/>
          </w:rPr>
          <w:instrText xml:space="preserve"> PAGEREF _Toc506371895 \h </w:instrText>
        </w:r>
        <w:r w:rsidR="008219CD">
          <w:rPr>
            <w:noProof/>
            <w:webHidden/>
          </w:rPr>
        </w:r>
        <w:r w:rsidR="008219CD">
          <w:rPr>
            <w:noProof/>
            <w:webHidden/>
          </w:rPr>
          <w:fldChar w:fldCharType="separate"/>
        </w:r>
        <w:r w:rsidR="008219CD">
          <w:rPr>
            <w:noProof/>
            <w:webHidden/>
          </w:rPr>
          <w:t>46</w:t>
        </w:r>
        <w:r w:rsidR="008219CD">
          <w:rPr>
            <w:noProof/>
            <w:webHidden/>
          </w:rPr>
          <w:fldChar w:fldCharType="end"/>
        </w:r>
      </w:hyperlink>
    </w:p>
    <w:p w14:paraId="194B3D89" w14:textId="77777777" w:rsidR="008219CD" w:rsidRDefault="001540BA">
      <w:pPr>
        <w:pStyle w:val="TableofFigures"/>
        <w:tabs>
          <w:tab w:val="right" w:leader="dot" w:pos="9323"/>
        </w:tabs>
        <w:rPr>
          <w:rFonts w:asciiTheme="minorHAnsi" w:eastAsiaTheme="minorEastAsia" w:hAnsiTheme="minorHAnsi"/>
          <w:noProof/>
          <w:sz w:val="22"/>
          <w:lang w:eastAsia="en-AU"/>
        </w:rPr>
      </w:pPr>
      <w:hyperlink w:anchor="_Toc506371896" w:history="1">
        <w:r w:rsidR="008219CD" w:rsidRPr="00891640">
          <w:rPr>
            <w:rStyle w:val="Hyperlink"/>
            <w:noProof/>
          </w:rPr>
          <w:t>Table A2. Membership of the External Reference Group</w:t>
        </w:r>
        <w:r w:rsidR="008219CD">
          <w:rPr>
            <w:noProof/>
            <w:webHidden/>
          </w:rPr>
          <w:tab/>
        </w:r>
        <w:r w:rsidR="008219CD">
          <w:rPr>
            <w:noProof/>
            <w:webHidden/>
          </w:rPr>
          <w:fldChar w:fldCharType="begin"/>
        </w:r>
        <w:r w:rsidR="008219CD">
          <w:rPr>
            <w:noProof/>
            <w:webHidden/>
          </w:rPr>
          <w:instrText xml:space="preserve"> PAGEREF _Toc506371896 \h </w:instrText>
        </w:r>
        <w:r w:rsidR="008219CD">
          <w:rPr>
            <w:noProof/>
            <w:webHidden/>
          </w:rPr>
        </w:r>
        <w:r w:rsidR="008219CD">
          <w:rPr>
            <w:noProof/>
            <w:webHidden/>
          </w:rPr>
          <w:fldChar w:fldCharType="separate"/>
        </w:r>
        <w:r w:rsidR="008219CD">
          <w:rPr>
            <w:noProof/>
            <w:webHidden/>
          </w:rPr>
          <w:t>48</w:t>
        </w:r>
        <w:r w:rsidR="008219CD">
          <w:rPr>
            <w:noProof/>
            <w:webHidden/>
          </w:rPr>
          <w:fldChar w:fldCharType="end"/>
        </w:r>
      </w:hyperlink>
    </w:p>
    <w:p w14:paraId="768463F1" w14:textId="77777777" w:rsidR="008219CD" w:rsidRDefault="001540BA">
      <w:pPr>
        <w:pStyle w:val="TableofFigures"/>
        <w:tabs>
          <w:tab w:val="right" w:leader="dot" w:pos="9323"/>
        </w:tabs>
        <w:rPr>
          <w:rFonts w:asciiTheme="minorHAnsi" w:eastAsiaTheme="minorEastAsia" w:hAnsiTheme="minorHAnsi"/>
          <w:noProof/>
          <w:sz w:val="22"/>
          <w:lang w:eastAsia="en-AU"/>
        </w:rPr>
      </w:pPr>
      <w:hyperlink w:anchor="_Toc506371897" w:history="1">
        <w:r w:rsidR="008219CD" w:rsidRPr="00891640">
          <w:rPr>
            <w:rStyle w:val="Hyperlink"/>
            <w:noProof/>
          </w:rPr>
          <w:t>Table C1. Regulation relevant to copyright collecting societies</w:t>
        </w:r>
        <w:r w:rsidR="008219CD">
          <w:rPr>
            <w:noProof/>
            <w:webHidden/>
          </w:rPr>
          <w:tab/>
        </w:r>
        <w:r w:rsidR="008219CD">
          <w:rPr>
            <w:noProof/>
            <w:webHidden/>
          </w:rPr>
          <w:fldChar w:fldCharType="begin"/>
        </w:r>
        <w:r w:rsidR="008219CD">
          <w:rPr>
            <w:noProof/>
            <w:webHidden/>
          </w:rPr>
          <w:instrText xml:space="preserve"> PAGEREF _Toc506371897 \h </w:instrText>
        </w:r>
        <w:r w:rsidR="008219CD">
          <w:rPr>
            <w:noProof/>
            <w:webHidden/>
          </w:rPr>
        </w:r>
        <w:r w:rsidR="008219CD">
          <w:rPr>
            <w:noProof/>
            <w:webHidden/>
          </w:rPr>
          <w:fldChar w:fldCharType="separate"/>
        </w:r>
        <w:r w:rsidR="008219CD">
          <w:rPr>
            <w:noProof/>
            <w:webHidden/>
          </w:rPr>
          <w:t>51</w:t>
        </w:r>
        <w:r w:rsidR="008219CD">
          <w:rPr>
            <w:noProof/>
            <w:webHidden/>
          </w:rPr>
          <w:fldChar w:fldCharType="end"/>
        </w:r>
      </w:hyperlink>
    </w:p>
    <w:p w14:paraId="4FFB1713" w14:textId="77777777" w:rsidR="008219CD" w:rsidRDefault="001540BA">
      <w:pPr>
        <w:pStyle w:val="TableofFigures"/>
        <w:tabs>
          <w:tab w:val="right" w:leader="dot" w:pos="9323"/>
        </w:tabs>
        <w:rPr>
          <w:rFonts w:asciiTheme="minorHAnsi" w:eastAsiaTheme="minorEastAsia" w:hAnsiTheme="minorHAnsi"/>
          <w:noProof/>
          <w:sz w:val="22"/>
          <w:lang w:eastAsia="en-AU"/>
        </w:rPr>
      </w:pPr>
      <w:hyperlink w:anchor="_Toc506371898" w:history="1">
        <w:r w:rsidR="008219CD" w:rsidRPr="00891640">
          <w:rPr>
            <w:rStyle w:val="Hyperlink"/>
            <w:noProof/>
          </w:rPr>
          <w:t>Table E1.  EU Directive and TAG Compendium—Comparison with Australian Code of Conduct and other governance instruments</w:t>
        </w:r>
        <w:r w:rsidR="008219CD">
          <w:rPr>
            <w:noProof/>
            <w:webHidden/>
          </w:rPr>
          <w:tab/>
        </w:r>
        <w:r w:rsidR="008219CD">
          <w:rPr>
            <w:noProof/>
            <w:webHidden/>
          </w:rPr>
          <w:fldChar w:fldCharType="begin"/>
        </w:r>
        <w:r w:rsidR="008219CD">
          <w:rPr>
            <w:noProof/>
            <w:webHidden/>
          </w:rPr>
          <w:instrText xml:space="preserve"> PAGEREF _Toc506371898 \h </w:instrText>
        </w:r>
        <w:r w:rsidR="008219CD">
          <w:rPr>
            <w:noProof/>
            <w:webHidden/>
          </w:rPr>
        </w:r>
        <w:r w:rsidR="008219CD">
          <w:rPr>
            <w:noProof/>
            <w:webHidden/>
          </w:rPr>
          <w:fldChar w:fldCharType="separate"/>
        </w:r>
        <w:r w:rsidR="008219CD">
          <w:rPr>
            <w:noProof/>
            <w:webHidden/>
          </w:rPr>
          <w:t>57</w:t>
        </w:r>
        <w:r w:rsidR="008219CD">
          <w:rPr>
            <w:noProof/>
            <w:webHidden/>
          </w:rPr>
          <w:fldChar w:fldCharType="end"/>
        </w:r>
      </w:hyperlink>
    </w:p>
    <w:p w14:paraId="6EB11DEC" w14:textId="77777777" w:rsidR="008219CD" w:rsidRDefault="001540BA">
      <w:pPr>
        <w:pStyle w:val="TableofFigures"/>
        <w:tabs>
          <w:tab w:val="right" w:leader="dot" w:pos="9323"/>
        </w:tabs>
        <w:rPr>
          <w:rFonts w:asciiTheme="minorHAnsi" w:eastAsiaTheme="minorEastAsia" w:hAnsiTheme="minorHAnsi"/>
          <w:noProof/>
          <w:sz w:val="22"/>
          <w:lang w:eastAsia="en-AU"/>
        </w:rPr>
      </w:pPr>
      <w:hyperlink w:anchor="_Toc506371899" w:history="1">
        <w:r w:rsidR="008219CD" w:rsidRPr="00891640">
          <w:rPr>
            <w:rStyle w:val="Hyperlink"/>
            <w:noProof/>
          </w:rPr>
          <w:t>Table E2. Annual transparency reporting requirements—international comparison</w:t>
        </w:r>
        <w:r w:rsidR="008219CD">
          <w:rPr>
            <w:noProof/>
            <w:webHidden/>
          </w:rPr>
          <w:tab/>
        </w:r>
        <w:r w:rsidR="008219CD">
          <w:rPr>
            <w:noProof/>
            <w:webHidden/>
          </w:rPr>
          <w:fldChar w:fldCharType="begin"/>
        </w:r>
        <w:r w:rsidR="008219CD">
          <w:rPr>
            <w:noProof/>
            <w:webHidden/>
          </w:rPr>
          <w:instrText xml:space="preserve"> PAGEREF _Toc506371899 \h </w:instrText>
        </w:r>
        <w:r w:rsidR="008219CD">
          <w:rPr>
            <w:noProof/>
            <w:webHidden/>
          </w:rPr>
        </w:r>
        <w:r w:rsidR="008219CD">
          <w:rPr>
            <w:noProof/>
            <w:webHidden/>
          </w:rPr>
          <w:fldChar w:fldCharType="separate"/>
        </w:r>
        <w:r w:rsidR="008219CD">
          <w:rPr>
            <w:noProof/>
            <w:webHidden/>
          </w:rPr>
          <w:t>58</w:t>
        </w:r>
        <w:r w:rsidR="008219CD">
          <w:rPr>
            <w:noProof/>
            <w:webHidden/>
          </w:rPr>
          <w:fldChar w:fldCharType="end"/>
        </w:r>
      </w:hyperlink>
    </w:p>
    <w:p w14:paraId="4C79D5D6" w14:textId="77777777" w:rsidR="00FA1359" w:rsidRDefault="00FA1359" w:rsidP="00FA1359">
      <w:r>
        <w:fldChar w:fldCharType="end"/>
      </w:r>
    </w:p>
    <w:p w14:paraId="4C79D5DA" w14:textId="77777777" w:rsidR="00FA1359" w:rsidRDefault="00FA1359" w:rsidP="00FA1359">
      <w:r>
        <w:br w:type="page"/>
      </w:r>
    </w:p>
    <w:p w14:paraId="65998004" w14:textId="77777777" w:rsidR="004B4BEB" w:rsidRDefault="004B4BEB" w:rsidP="004B4BEB">
      <w:pPr>
        <w:pStyle w:val="Heading2"/>
      </w:pPr>
      <w:bookmarkStart w:id="6" w:name="_Toc492454380"/>
      <w:bookmarkStart w:id="7" w:name="_Toc499823206"/>
      <w:bookmarkStart w:id="8" w:name="_Toc501010944"/>
      <w:bookmarkStart w:id="9" w:name="_Toc504392990"/>
      <w:bookmarkStart w:id="10" w:name="_Toc506373247"/>
      <w:bookmarkStart w:id="11" w:name="_Toc471208853"/>
      <w:bookmarkStart w:id="12" w:name="_Toc382493211"/>
      <w:bookmarkStart w:id="13" w:name="_Toc412126163"/>
      <w:r w:rsidRPr="002A6D13">
        <w:lastRenderedPageBreak/>
        <w:t>Glossary</w:t>
      </w:r>
      <w:bookmarkEnd w:id="6"/>
      <w:bookmarkEnd w:id="7"/>
      <w:bookmarkEnd w:id="8"/>
      <w:bookmarkEnd w:id="9"/>
      <w:bookmarkEnd w:id="10"/>
    </w:p>
    <w:p w14:paraId="4CD10401" w14:textId="77777777" w:rsidR="004B4BEB" w:rsidRPr="00C7385E" w:rsidRDefault="004B4BEB" w:rsidP="004B4BEB">
      <w:pPr>
        <w:ind w:left="2552" w:hanging="2552"/>
      </w:pPr>
      <w:r w:rsidRPr="00C7385E">
        <w:t>ACCC</w:t>
      </w:r>
      <w:r w:rsidRPr="00C7385E">
        <w:tab/>
        <w:t>Australian Competition and Consumer Commission</w:t>
      </w:r>
    </w:p>
    <w:p w14:paraId="09937016" w14:textId="77777777" w:rsidR="004B4BEB" w:rsidRDefault="004B4BEB" w:rsidP="004B4BEB">
      <w:pPr>
        <w:ind w:left="2552" w:hanging="2552"/>
        <w:rPr>
          <w:lang w:val="en"/>
        </w:rPr>
      </w:pPr>
      <w:r>
        <w:rPr>
          <w:lang w:val="en"/>
        </w:rPr>
        <w:t>ADA</w:t>
      </w:r>
      <w:r>
        <w:rPr>
          <w:lang w:val="en"/>
        </w:rPr>
        <w:tab/>
        <w:t>Australian Digital Alliance</w:t>
      </w:r>
    </w:p>
    <w:p w14:paraId="783FA7AC" w14:textId="77777777" w:rsidR="004B4BEB" w:rsidRDefault="004B4BEB" w:rsidP="004B4BEB">
      <w:pPr>
        <w:ind w:left="2552" w:hanging="2552"/>
        <w:rPr>
          <w:lang w:val="en"/>
        </w:rPr>
      </w:pPr>
      <w:r>
        <w:rPr>
          <w:lang w:val="en"/>
        </w:rPr>
        <w:t>ADR</w:t>
      </w:r>
      <w:r>
        <w:rPr>
          <w:lang w:val="en"/>
        </w:rPr>
        <w:tab/>
        <w:t>alternative dispute resolution</w:t>
      </w:r>
    </w:p>
    <w:p w14:paraId="3D106DB7" w14:textId="77777777" w:rsidR="004B4BEB" w:rsidRPr="00C7385E" w:rsidRDefault="004B4BEB" w:rsidP="004B4BEB">
      <w:pPr>
        <w:ind w:left="2552" w:hanging="2552"/>
      </w:pPr>
      <w:r w:rsidRPr="00C7385E">
        <w:rPr>
          <w:lang w:val="en"/>
        </w:rPr>
        <w:t>ALRC</w:t>
      </w:r>
      <w:r w:rsidRPr="00C7385E">
        <w:tab/>
        <w:t>Australian Law Reform Commission</w:t>
      </w:r>
    </w:p>
    <w:p w14:paraId="3A4DE59D" w14:textId="77777777" w:rsidR="004B4BEB" w:rsidRDefault="004B4BEB" w:rsidP="004B4BEB">
      <w:pPr>
        <w:ind w:left="2552" w:hanging="2552"/>
      </w:pPr>
      <w:r w:rsidRPr="00C7385E">
        <w:rPr>
          <w:lang w:val="en"/>
        </w:rPr>
        <w:t>AMCOS</w:t>
      </w:r>
      <w:r w:rsidRPr="00C7385E">
        <w:tab/>
        <w:t>Australasian Mechanical Copyright Owners’ Society Limited</w:t>
      </w:r>
    </w:p>
    <w:p w14:paraId="596E9399" w14:textId="77777777" w:rsidR="004B4BEB" w:rsidRDefault="004B4BEB" w:rsidP="004B4BEB">
      <w:pPr>
        <w:ind w:left="2552" w:hanging="2552"/>
      </w:pPr>
      <w:r>
        <w:t>APA</w:t>
      </w:r>
      <w:r>
        <w:tab/>
        <w:t>Australian Publishers Association</w:t>
      </w:r>
    </w:p>
    <w:p w14:paraId="02212D14" w14:textId="77777777" w:rsidR="004B4BEB" w:rsidRDefault="004B4BEB" w:rsidP="004B4BEB">
      <w:pPr>
        <w:ind w:left="2552" w:hanging="2552"/>
      </w:pPr>
      <w:r w:rsidRPr="00C7385E">
        <w:t>APRA</w:t>
      </w:r>
      <w:r w:rsidRPr="00C7385E">
        <w:tab/>
        <w:t>Australasian Performing</w:t>
      </w:r>
      <w:r>
        <w:t xml:space="preserve"> Right Association Limited</w:t>
      </w:r>
    </w:p>
    <w:p w14:paraId="4DCAF93C" w14:textId="77777777" w:rsidR="004B4BEB" w:rsidRDefault="004B4BEB" w:rsidP="004B4BEB">
      <w:pPr>
        <w:ind w:left="2552" w:hanging="2552"/>
      </w:pPr>
      <w:r>
        <w:t>ASA</w:t>
      </w:r>
      <w:r>
        <w:tab/>
        <w:t>Australian Society of Authors</w:t>
      </w:r>
    </w:p>
    <w:p w14:paraId="7EC849A3" w14:textId="77777777" w:rsidR="004B4BEB" w:rsidRPr="00C7385E" w:rsidRDefault="004B4BEB" w:rsidP="004B4BEB">
      <w:pPr>
        <w:ind w:left="2552" w:hanging="2552"/>
      </w:pPr>
      <w:r w:rsidRPr="00C7385E">
        <w:t>ASDACS</w:t>
      </w:r>
      <w:r w:rsidRPr="00C7385E">
        <w:tab/>
        <w:t>Australian Screen Directors Authorship Collecting Society Limited</w:t>
      </w:r>
    </w:p>
    <w:p w14:paraId="64BDF710" w14:textId="77777777" w:rsidR="004B4BEB" w:rsidRDefault="004B4BEB" w:rsidP="004B4BEB">
      <w:pPr>
        <w:ind w:left="2552" w:hanging="2552"/>
      </w:pPr>
      <w:r w:rsidRPr="00C7385E">
        <w:t>AWGACS</w:t>
      </w:r>
      <w:r w:rsidRPr="00C7385E">
        <w:tab/>
        <w:t xml:space="preserve">Australian Writers’ Guild Authorship Collecting </w:t>
      </w:r>
      <w:r>
        <w:t>Society Limited</w:t>
      </w:r>
    </w:p>
    <w:p w14:paraId="54D666FA" w14:textId="77777777" w:rsidR="004B4BEB" w:rsidRDefault="004B4BEB" w:rsidP="004B4BEB">
      <w:pPr>
        <w:ind w:left="2552" w:hanging="2552"/>
      </w:pPr>
      <w:r w:rsidRPr="00C7385E">
        <w:t>CAG</w:t>
      </w:r>
      <w:r w:rsidRPr="00C7385E">
        <w:tab/>
        <w:t>Copyright Advisory Group to the COAG Education Council</w:t>
      </w:r>
    </w:p>
    <w:p w14:paraId="40396627" w14:textId="77777777" w:rsidR="004B4BEB" w:rsidRDefault="004B4BEB" w:rsidP="004B4BEB">
      <w:pPr>
        <w:ind w:left="2552" w:hanging="2552"/>
      </w:pPr>
      <w:r>
        <w:t>CAUL</w:t>
      </w:r>
      <w:r>
        <w:tab/>
        <w:t>Council of Australian University Librarians</w:t>
      </w:r>
    </w:p>
    <w:p w14:paraId="7510BE22" w14:textId="77777777" w:rsidR="004B4BEB" w:rsidRDefault="004B4BEB" w:rsidP="004B4BEB">
      <w:pPr>
        <w:ind w:left="2552" w:hanging="2552"/>
      </w:pPr>
      <w:r w:rsidRPr="00C7385E">
        <w:t>Collecting society</w:t>
      </w:r>
      <w:r w:rsidRPr="00C7385E">
        <w:tab/>
        <w:t>An organisation that issues copyright licences, collects funds, and distributes royalty payments on behalf of its members. See also: CMO.</w:t>
      </w:r>
    </w:p>
    <w:p w14:paraId="1E5B01A2" w14:textId="77777777" w:rsidR="004B4BEB" w:rsidRPr="00C7385E" w:rsidRDefault="004B4BEB" w:rsidP="004B4BEB">
      <w:pPr>
        <w:ind w:left="2552" w:hanging="2552"/>
      </w:pPr>
      <w:r w:rsidRPr="00C7385E">
        <w:t>CMO</w:t>
      </w:r>
      <w:r w:rsidRPr="00C7385E">
        <w:tab/>
        <w:t>Collective management organisation. See also: collecting society</w:t>
      </w:r>
    </w:p>
    <w:p w14:paraId="245A7141" w14:textId="77777777" w:rsidR="004B4BEB" w:rsidRDefault="004B4BEB" w:rsidP="004B4BEB">
      <w:pPr>
        <w:ind w:left="2552" w:hanging="2552"/>
      </w:pPr>
      <w:r w:rsidRPr="00C7385E">
        <w:t>Copyright Agency</w:t>
      </w:r>
      <w:r w:rsidRPr="00C7385E">
        <w:tab/>
        <w:t>Copyright Agency Limited</w:t>
      </w:r>
    </w:p>
    <w:p w14:paraId="3CB79671" w14:textId="77777777" w:rsidR="004B4BEB" w:rsidRPr="00C7385E" w:rsidRDefault="004B4BEB" w:rsidP="004B4BEB">
      <w:pPr>
        <w:ind w:left="2552" w:hanging="2552"/>
      </w:pPr>
      <w:r w:rsidRPr="00C7385E">
        <w:t>Copyright Tribunal</w:t>
      </w:r>
      <w:r w:rsidRPr="00C7385E">
        <w:tab/>
        <w:t>Copyright Tribunal of Australia</w:t>
      </w:r>
    </w:p>
    <w:p w14:paraId="6A133FFF" w14:textId="77777777" w:rsidR="004B4BEB" w:rsidRPr="00C7385E" w:rsidRDefault="004B4BEB" w:rsidP="004B4BEB">
      <w:pPr>
        <w:ind w:left="2552" w:hanging="2552"/>
      </w:pPr>
      <w:r>
        <w:t>D</w:t>
      </w:r>
      <w:r w:rsidRPr="00C7385E">
        <w:t>eclared collecting society</w:t>
      </w:r>
      <w:r w:rsidRPr="00C7385E">
        <w:tab/>
      </w:r>
      <w:r>
        <w:t>A</w:t>
      </w:r>
      <w:r w:rsidRPr="00C7385E">
        <w:t xml:space="preserve"> collecting society that has been declared under the </w:t>
      </w:r>
      <w:r w:rsidRPr="00EA4C39">
        <w:rPr>
          <w:i/>
          <w:iCs/>
        </w:rPr>
        <w:t>Copyright Act 1968</w:t>
      </w:r>
      <w:r w:rsidRPr="00C7385E">
        <w:t xml:space="preserve"> for the purposes of Part VA, Part VB, Part VC, Part VD or Division 2 of Part VII of the Act</w:t>
      </w:r>
    </w:p>
    <w:p w14:paraId="7F8AF665" w14:textId="77777777" w:rsidR="004B4BEB" w:rsidRDefault="004B4BEB" w:rsidP="004B4BEB">
      <w:pPr>
        <w:ind w:left="2552" w:hanging="2552"/>
      </w:pPr>
      <w:r w:rsidRPr="00C7385E">
        <w:t>Federal Court</w:t>
      </w:r>
      <w:r w:rsidRPr="00C7385E">
        <w:tab/>
        <w:t>Federal Court of Australia</w:t>
      </w:r>
    </w:p>
    <w:p w14:paraId="111B7BF4" w14:textId="77777777" w:rsidR="004B4BEB" w:rsidRDefault="004B4BEB" w:rsidP="004B4BEB">
      <w:pPr>
        <w:spacing w:after="0"/>
        <w:ind w:left="2552" w:hanging="2552"/>
      </w:pPr>
      <w:r>
        <w:t>Guidelines for Declaration</w:t>
      </w:r>
      <w:r>
        <w:tab/>
      </w:r>
      <w:r w:rsidRPr="002C0564">
        <w:t>Australian Government Guidelines for Declaration of Collecting Societies</w:t>
      </w:r>
    </w:p>
    <w:p w14:paraId="666EEB79" w14:textId="77777777" w:rsidR="004B4BEB" w:rsidRDefault="004B4BEB" w:rsidP="004B4BEB">
      <w:pPr>
        <w:ind w:left="2552" w:hanging="2552"/>
      </w:pPr>
      <w:r>
        <w:t>of Collecting Societies</w:t>
      </w:r>
      <w:r>
        <w:tab/>
      </w:r>
      <w:r w:rsidRPr="002C0564">
        <w:t>(as revised in 2001)</w:t>
      </w:r>
    </w:p>
    <w:p w14:paraId="484C64C3" w14:textId="77777777" w:rsidR="004B4BEB" w:rsidRDefault="004B4BEB" w:rsidP="004B4BEB">
      <w:pPr>
        <w:ind w:left="2552" w:hanging="2552"/>
      </w:pPr>
      <w:r>
        <w:t>Isentia</w:t>
      </w:r>
      <w:r>
        <w:tab/>
        <w:t>Isentia Pty Ltd</w:t>
      </w:r>
    </w:p>
    <w:p w14:paraId="35C26495" w14:textId="77777777" w:rsidR="004B4BEB" w:rsidRPr="00C7385E" w:rsidRDefault="004B4BEB" w:rsidP="004B4BEB">
      <w:pPr>
        <w:ind w:left="2552" w:hanging="2552"/>
      </w:pPr>
      <w:r w:rsidRPr="00C7385E">
        <w:t>Licensees</w:t>
      </w:r>
      <w:r w:rsidRPr="00C7385E">
        <w:tab/>
      </w:r>
      <w:r>
        <w:t>C</w:t>
      </w:r>
      <w:r w:rsidRPr="00C7385E">
        <w:t>opyright users that obtain a licence from a collecting society</w:t>
      </w:r>
    </w:p>
    <w:p w14:paraId="7D997680" w14:textId="77777777" w:rsidR="004B4BEB" w:rsidRDefault="004B4BEB" w:rsidP="004B4BEB">
      <w:pPr>
        <w:ind w:left="2552" w:hanging="2552"/>
      </w:pPr>
      <w:r>
        <w:t>LPA</w:t>
      </w:r>
      <w:r>
        <w:tab/>
        <w:t>Live Performance Australia (Australian Entertainment Industry Association)</w:t>
      </w:r>
    </w:p>
    <w:p w14:paraId="03640C8E" w14:textId="77777777" w:rsidR="004B4BEB" w:rsidRPr="00C7385E" w:rsidRDefault="004B4BEB" w:rsidP="004B4BEB">
      <w:pPr>
        <w:ind w:left="2552" w:hanging="2552"/>
      </w:pPr>
      <w:r w:rsidRPr="00C7385E">
        <w:t>Members</w:t>
      </w:r>
      <w:r w:rsidRPr="00C7385E">
        <w:tab/>
      </w:r>
      <w:r>
        <w:t>Rightsholder</w:t>
      </w:r>
      <w:r w:rsidRPr="00C7385E">
        <w:t>s that belong to a collecting society</w:t>
      </w:r>
    </w:p>
    <w:p w14:paraId="30426766" w14:textId="77777777" w:rsidR="004B4BEB" w:rsidRDefault="004B4BEB" w:rsidP="004B4BEB">
      <w:pPr>
        <w:ind w:left="2552" w:hanging="2552"/>
      </w:pPr>
      <w:r>
        <w:t>NAVA</w:t>
      </w:r>
      <w:r>
        <w:tab/>
        <w:t>National Association for the Visual Arts</w:t>
      </w:r>
    </w:p>
    <w:p w14:paraId="7E85764A" w14:textId="77777777" w:rsidR="004B4BEB" w:rsidRPr="00C7385E" w:rsidRDefault="004B4BEB" w:rsidP="004B4BEB">
      <w:pPr>
        <w:ind w:left="2552" w:hanging="2552"/>
      </w:pPr>
      <w:r w:rsidRPr="00C7385E">
        <w:t>OECD</w:t>
      </w:r>
      <w:r w:rsidRPr="00C7385E">
        <w:tab/>
        <w:t>Organisation for Economic Co-operation and Development</w:t>
      </w:r>
    </w:p>
    <w:p w14:paraId="6117E499" w14:textId="77777777" w:rsidR="004B4BEB" w:rsidRPr="00C7385E" w:rsidRDefault="004B4BEB" w:rsidP="004B4BEB">
      <w:pPr>
        <w:ind w:left="2552" w:hanging="2552"/>
      </w:pPr>
      <w:r w:rsidRPr="00C7385E">
        <w:t>PC</w:t>
      </w:r>
      <w:r w:rsidRPr="00C7385E">
        <w:tab/>
        <w:t>Productivity Commission</w:t>
      </w:r>
    </w:p>
    <w:p w14:paraId="6CA9BB30" w14:textId="77777777" w:rsidR="004B4BEB" w:rsidRDefault="004B4BEB" w:rsidP="004B4BEB">
      <w:pPr>
        <w:ind w:left="2552" w:hanging="2552"/>
      </w:pPr>
      <w:r w:rsidRPr="00C7385E">
        <w:lastRenderedPageBreak/>
        <w:t>PPCA</w:t>
      </w:r>
      <w:r w:rsidRPr="00C7385E">
        <w:tab/>
        <w:t>Phonographic Performance Company of Australia Limited</w:t>
      </w:r>
    </w:p>
    <w:p w14:paraId="467F1912" w14:textId="77777777" w:rsidR="004B4BEB" w:rsidRPr="00C7385E" w:rsidRDefault="004B4BEB" w:rsidP="004B4BEB">
      <w:pPr>
        <w:ind w:left="2552" w:hanging="2552"/>
      </w:pPr>
      <w:r>
        <w:t>Rightsholders</w:t>
      </w:r>
      <w:r>
        <w:tab/>
        <w:t>Owners of copyright</w:t>
      </w:r>
    </w:p>
    <w:p w14:paraId="14F1B277" w14:textId="77777777" w:rsidR="004B4BEB" w:rsidRDefault="004B4BEB" w:rsidP="004B4BEB">
      <w:pPr>
        <w:ind w:left="2552" w:hanging="2552"/>
      </w:pPr>
      <w:r w:rsidRPr="00C7385E">
        <w:t>Screenrights</w:t>
      </w:r>
      <w:r w:rsidRPr="00C7385E">
        <w:tab/>
        <w:t>Audio-Visual Copyright Society Limited</w:t>
      </w:r>
    </w:p>
    <w:p w14:paraId="17583A6D" w14:textId="72E509A5" w:rsidR="004B4BEB" w:rsidRPr="00C7385E" w:rsidRDefault="004B4BEB" w:rsidP="004B4BEB">
      <w:pPr>
        <w:ind w:left="2552" w:hanging="2552"/>
      </w:pPr>
      <w:r w:rsidRPr="00C7385E">
        <w:t>TAG of Excellence</w:t>
      </w:r>
      <w:r w:rsidRPr="00C7385E">
        <w:tab/>
      </w:r>
      <w:r>
        <w:t>A</w:t>
      </w:r>
      <w:r w:rsidR="00553615">
        <w:t xml:space="preserve"> former</w:t>
      </w:r>
      <w:r w:rsidRPr="00C7385E">
        <w:t xml:space="preserve"> initiative of WIPO to improve the transparency, accountability and governance of CMOs through international standards of good practice</w:t>
      </w:r>
    </w:p>
    <w:p w14:paraId="2EC62E1B" w14:textId="77777777" w:rsidR="004B4BEB" w:rsidRPr="00C7385E" w:rsidRDefault="004B4BEB" w:rsidP="004B4BEB">
      <w:pPr>
        <w:ind w:left="2552" w:hanging="2552"/>
      </w:pPr>
      <w:r w:rsidRPr="00C7385E">
        <w:t>the Code</w:t>
      </w:r>
      <w:r w:rsidRPr="00C7385E">
        <w:tab/>
        <w:t>Code of Conduct for Copyright Collecting Societies (amended 20</w:t>
      </w:r>
      <w:r>
        <w:t> </w:t>
      </w:r>
      <w:r w:rsidRPr="00C7385E">
        <w:t>March</w:t>
      </w:r>
      <w:r>
        <w:t> </w:t>
      </w:r>
      <w:r w:rsidRPr="00C7385E">
        <w:t>2017)</w:t>
      </w:r>
    </w:p>
    <w:p w14:paraId="03E398BB" w14:textId="77777777" w:rsidR="004B4BEB" w:rsidRPr="00C7385E" w:rsidRDefault="004B4BEB" w:rsidP="004B4BEB">
      <w:pPr>
        <w:ind w:left="2552" w:hanging="2552"/>
      </w:pPr>
      <w:r w:rsidRPr="00C7385E">
        <w:t>the Department</w:t>
      </w:r>
      <w:r w:rsidRPr="00C7385E">
        <w:tab/>
        <w:t>Department of Communications and the Arts</w:t>
      </w:r>
    </w:p>
    <w:p w14:paraId="4D66E605" w14:textId="77777777" w:rsidR="004B4BEB" w:rsidRDefault="004B4BEB" w:rsidP="004B4BEB">
      <w:pPr>
        <w:ind w:left="2552" w:hanging="2552"/>
      </w:pPr>
      <w:r w:rsidRPr="00C7385E">
        <w:t>the Government</w:t>
      </w:r>
      <w:r w:rsidRPr="00C7385E">
        <w:tab/>
        <w:t>Australian Government (or Commonwealth)</w:t>
      </w:r>
    </w:p>
    <w:p w14:paraId="7F932E78" w14:textId="77777777" w:rsidR="004B4BEB" w:rsidRPr="00C7385E" w:rsidRDefault="004B4BEB" w:rsidP="004B4BEB">
      <w:pPr>
        <w:ind w:left="2552" w:hanging="2552"/>
      </w:pPr>
      <w:r w:rsidRPr="00C7385E">
        <w:t>the Minister</w:t>
      </w:r>
      <w:r w:rsidRPr="00C7385E">
        <w:tab/>
        <w:t>Minister for Communications</w:t>
      </w:r>
    </w:p>
    <w:p w14:paraId="4C6ABDEF" w14:textId="77777777" w:rsidR="004B4BEB" w:rsidRDefault="004B4BEB" w:rsidP="004B4BEB">
      <w:pPr>
        <w:ind w:left="2552" w:hanging="2552"/>
      </w:pPr>
      <w:r>
        <w:t>UA</w:t>
      </w:r>
      <w:r>
        <w:tab/>
        <w:t>Universities Australia</w:t>
      </w:r>
    </w:p>
    <w:p w14:paraId="36055BE8" w14:textId="77777777" w:rsidR="004B4BEB" w:rsidRPr="00C7385E" w:rsidRDefault="004B4BEB" w:rsidP="004B4BEB">
      <w:pPr>
        <w:ind w:left="2552" w:hanging="2552"/>
      </w:pPr>
      <w:r w:rsidRPr="00C7385E">
        <w:t>Users</w:t>
      </w:r>
      <w:r w:rsidRPr="00C7385E">
        <w:tab/>
      </w:r>
      <w:r>
        <w:t>U</w:t>
      </w:r>
      <w:r w:rsidRPr="00C7385E">
        <w:t>sers of copyright materials</w:t>
      </w:r>
    </w:p>
    <w:p w14:paraId="06A3A435" w14:textId="77777777" w:rsidR="004B4BEB" w:rsidRDefault="004B4BEB" w:rsidP="004B4BEB">
      <w:pPr>
        <w:ind w:left="2552" w:hanging="2552"/>
      </w:pPr>
      <w:r w:rsidRPr="00C7385E">
        <w:t>Viscopy</w:t>
      </w:r>
      <w:r w:rsidRPr="00C7385E">
        <w:tab/>
        <w:t>Viscopy Limited</w:t>
      </w:r>
    </w:p>
    <w:p w14:paraId="4EDF3F53" w14:textId="77777777" w:rsidR="004B4BEB" w:rsidRPr="00C7385E" w:rsidRDefault="004B4BEB" w:rsidP="004B4BEB">
      <w:pPr>
        <w:ind w:left="2552" w:hanging="2552"/>
      </w:pPr>
      <w:r w:rsidRPr="00C7385E">
        <w:t>WIPO</w:t>
      </w:r>
      <w:r w:rsidRPr="00C7385E">
        <w:tab/>
        <w:t>World Intellectual Property Organization</w:t>
      </w:r>
    </w:p>
    <w:p w14:paraId="6CC1A697" w14:textId="4122BB94" w:rsidR="004B4BEB" w:rsidRDefault="004B4BEB">
      <w:pPr>
        <w:spacing w:after="160" w:line="259" w:lineRule="auto"/>
        <w:rPr>
          <w:rFonts w:eastAsiaTheme="minorHAnsi"/>
          <w:lang w:eastAsia="en-US"/>
        </w:rPr>
      </w:pPr>
      <w:r>
        <w:rPr>
          <w:rFonts w:eastAsiaTheme="minorHAnsi"/>
          <w:lang w:eastAsia="en-US"/>
        </w:rPr>
        <w:br w:type="page"/>
      </w:r>
    </w:p>
    <w:p w14:paraId="78B1192A" w14:textId="77777777" w:rsidR="004B4BEB" w:rsidRDefault="004B4BEB" w:rsidP="004B4BEB">
      <w:pPr>
        <w:pStyle w:val="Heading2"/>
      </w:pPr>
      <w:bookmarkStart w:id="14" w:name="_Toc498691861"/>
      <w:bookmarkStart w:id="15" w:name="_Toc498695597"/>
      <w:bookmarkStart w:id="16" w:name="_Toc499302274"/>
      <w:bookmarkStart w:id="17" w:name="_Toc499558567"/>
      <w:bookmarkStart w:id="18" w:name="_Toc499823207"/>
      <w:bookmarkStart w:id="19" w:name="_Toc501010945"/>
      <w:bookmarkStart w:id="20" w:name="_Toc504392991"/>
      <w:bookmarkStart w:id="21" w:name="_Toc506373248"/>
      <w:bookmarkStart w:id="22" w:name="_Toc497741718"/>
      <w:bookmarkStart w:id="23" w:name="_Toc497749220"/>
      <w:bookmarkStart w:id="24" w:name="_Toc497750803"/>
      <w:bookmarkStart w:id="25" w:name="_Toc497755162"/>
      <w:r>
        <w:t>O</w:t>
      </w:r>
      <w:bookmarkEnd w:id="14"/>
      <w:r>
        <w:t>verview</w:t>
      </w:r>
      <w:bookmarkEnd w:id="15"/>
      <w:bookmarkEnd w:id="16"/>
      <w:bookmarkEnd w:id="17"/>
      <w:bookmarkEnd w:id="18"/>
      <w:bookmarkEnd w:id="19"/>
      <w:bookmarkEnd w:id="20"/>
      <w:bookmarkEnd w:id="21"/>
    </w:p>
    <w:p w14:paraId="3D1F615C" w14:textId="77777777" w:rsidR="004B4BEB" w:rsidRDefault="004B4BEB" w:rsidP="004B4BEB">
      <w:r>
        <w:t>The Code of Conduct for Copyright Collecting Societies (the Code) was introduced in 2002 to regulate the behaviour of Australia’s copyright collecting societies and provide protections for both members and licensees. The objectives of the Code are to:</w:t>
      </w:r>
    </w:p>
    <w:p w14:paraId="77E6DF0F" w14:textId="77777777" w:rsidR="004B4BEB" w:rsidRPr="00AA642E" w:rsidRDefault="004B4BEB" w:rsidP="00897FD5">
      <w:pPr>
        <w:pStyle w:val="Bulletpoint"/>
      </w:pPr>
      <w:r w:rsidRPr="00AA642E">
        <w:t>promote awareness of and access to information about copyright and the role and function of collecting societies in administering copyright on behalf of members</w:t>
      </w:r>
    </w:p>
    <w:p w14:paraId="6F083E14" w14:textId="77777777" w:rsidR="004B4BEB" w:rsidRPr="00AA642E" w:rsidRDefault="004B4BEB" w:rsidP="00897FD5">
      <w:pPr>
        <w:pStyle w:val="Bulletpoint"/>
      </w:pPr>
      <w:r w:rsidRPr="00AA642E">
        <w:t>promote confidence in collecting societies and the effective administration of copyright in Australia</w:t>
      </w:r>
    </w:p>
    <w:p w14:paraId="2A427A61" w14:textId="77777777" w:rsidR="004B4BEB" w:rsidRPr="00AA642E" w:rsidRDefault="004B4BEB" w:rsidP="00897FD5">
      <w:pPr>
        <w:pStyle w:val="Bulletpoint"/>
      </w:pPr>
      <w:r w:rsidRPr="00AA642E">
        <w:t>set out the standards of service that members and licensees can expect from collecting societies, and</w:t>
      </w:r>
    </w:p>
    <w:p w14:paraId="535DB17B" w14:textId="77777777" w:rsidR="004B4BEB" w:rsidRDefault="004B4BEB" w:rsidP="00897FD5">
      <w:pPr>
        <w:pStyle w:val="Bulletpoint"/>
      </w:pPr>
      <w:r w:rsidRPr="00AA642E">
        <w:t>ensure that members and licensees have access to efficient, fair and low-cost procedures for the handling of complaints and the resolution of disputes involving collecting societies.</w:t>
      </w:r>
    </w:p>
    <w:p w14:paraId="4C6E9825" w14:textId="77777777" w:rsidR="004B4BEB" w:rsidRDefault="004B4BEB" w:rsidP="004B4BEB">
      <w:r>
        <w:t>In the 15 years since the Code was introduced, the landscape for the production and dissemination of copyright material has changed substantially due to advances in technology including the digitisation of content. Technology has also enabled new ways to monitor the use of copyright materials, and for collecting societies to distribute information to their members, licensees and the public.</w:t>
      </w:r>
    </w:p>
    <w:p w14:paraId="49CFA2D3" w14:textId="77777777" w:rsidR="004B4BEB" w:rsidRDefault="004B4BEB" w:rsidP="004B4BEB">
      <w:r>
        <w:t xml:space="preserve">Collecting societies are already subject to substantial scrutiny. Their compliance with the Code is reviewed annually and triennially, and collecting societies are required to adhere to a range of other laws and guidelines which also provide oversight in respect of their activities. However, this review </w:t>
      </w:r>
      <w:r w:rsidRPr="003B0E26">
        <w:t>provides the opportunity to identify systemic issues that may be undermining confidence in the Code and the outcomes achieved under it.</w:t>
      </w:r>
    </w:p>
    <w:p w14:paraId="3DA65B42" w14:textId="77777777" w:rsidR="004B4BEB" w:rsidRDefault="004B4BEB" w:rsidP="004B4BEB">
      <w:r w:rsidRPr="003B0E26">
        <w:t>Overall the Code has had a positive effect on the conduct and operation of collecting societies.</w:t>
      </w:r>
    </w:p>
    <w:p w14:paraId="3207CE51" w14:textId="77777777" w:rsidR="004B4BEB" w:rsidRDefault="004B4BEB" w:rsidP="004B4BEB">
      <w:r>
        <w:t xml:space="preserve">Collecting societies have indicated the Code has helped to discipline and to improve their conduct towards stakeholders. By requiring collecting societies to provide their members and licensees with access to </w:t>
      </w:r>
      <w:r w:rsidRPr="00226733">
        <w:t xml:space="preserve">efficient, fair and low cost procedures for complaints </w:t>
      </w:r>
      <w:r>
        <w:t xml:space="preserve">handling </w:t>
      </w:r>
      <w:r w:rsidRPr="00226733">
        <w:t xml:space="preserve">and </w:t>
      </w:r>
      <w:r>
        <w:t>dispute resolution,</w:t>
      </w:r>
      <w:r w:rsidRPr="00226733">
        <w:t xml:space="preserve"> </w:t>
      </w:r>
      <w:r>
        <w:t>the Code has introduced incentives for collecting societies to provide avenues for their licensees and members to seek redress for issues and concerns.</w:t>
      </w:r>
    </w:p>
    <w:p w14:paraId="7082BD02" w14:textId="77777777" w:rsidR="004B4BEB" w:rsidRDefault="004B4BEB" w:rsidP="004B4BEB">
      <w:r>
        <w:t>There is also a strong track record of compliance with the Code. The independent Code Reviewer, who conducts annual and triennial reviews of compliance with the Code, has to date found all participating collecting societies are generally complying with their obligations, with no major breaches over the past 15 years.</w:t>
      </w:r>
    </w:p>
    <w:p w14:paraId="6299EFC8" w14:textId="77777777" w:rsidR="004B4BEB" w:rsidRDefault="004B4BEB" w:rsidP="004B4BEB">
      <w:r>
        <w:t>Nonetheless, a range of incremental changes—many relatively minor—would respond to issues identified in this review.</w:t>
      </w:r>
    </w:p>
    <w:p w14:paraId="4690C7D0" w14:textId="77777777" w:rsidR="004B4BEB" w:rsidRDefault="004B4BEB" w:rsidP="004B4BEB">
      <w:r>
        <w:t>Clear objectives, transparency</w:t>
      </w:r>
      <w:r w:rsidRPr="008126FB">
        <w:t xml:space="preserve"> </w:t>
      </w:r>
      <w:r>
        <w:t xml:space="preserve">and sound governance </w:t>
      </w:r>
      <w:r w:rsidRPr="008126FB">
        <w:t xml:space="preserve">are generally considered essential to promote confidence in any system. </w:t>
      </w:r>
      <w:r>
        <w:t>The review makes a number of recommendations across these three areas, supported by findings based on information provided during the course of the review including from those whose operations are governed by the Code and are part of its governance arrangements. These recommendations seek to improve the Code with the aim of achieving efficient and equitable outcomes.</w:t>
      </w:r>
    </w:p>
    <w:p w14:paraId="3B4E4F94" w14:textId="77777777" w:rsidR="004B4BEB" w:rsidRDefault="004B4BEB" w:rsidP="004B4BEB">
      <w:r>
        <w:t>The first set of recommendations seeks to increase clarity around the Code’s role and objectives.</w:t>
      </w:r>
    </w:p>
    <w:p w14:paraId="464FB283" w14:textId="77777777" w:rsidR="004B4BEB" w:rsidRDefault="004B4BEB" w:rsidP="004B4BEB">
      <w:r>
        <w:t>The review found that the plethora of instruments regulating collecting societies, licensees and members gives rise to confusion as to the Code’s role. It also contributes to a lack of awareness of the Code and its functions, particularly its role relative to that of the Copyright Tribunal. Adding explanatory text to the Code would clarify its objectives and its place within the broader regulatory environment.</w:t>
      </w:r>
    </w:p>
    <w:p w14:paraId="7A802BF2" w14:textId="77777777" w:rsidR="004B4BEB" w:rsidRDefault="004B4BEB" w:rsidP="004B4BEB">
      <w:r>
        <w:t>The second set of recommendations seeks to increase transparency. The review found that substantial improvements in outcomes for members and licensees could be achieved where the collecting societies improved and consolidated the information provided to them.</w:t>
      </w:r>
    </w:p>
    <w:p w14:paraId="2222D362" w14:textId="77777777" w:rsidR="004B4BEB" w:rsidRDefault="004B4BEB" w:rsidP="004B4BEB">
      <w:r>
        <w:t>To minimise the potential for additional compliance costs, the review recommends making existing information more accessible where possible. While collecting societies publish a significant amount of material, this is sometimes more complex or harder to locate than it could be. Providing plain English guides and making existing information available on a centrally-accessible portal would go some way to addressing stakeholder concerns.</w:t>
      </w:r>
    </w:p>
    <w:p w14:paraId="2D1422CE" w14:textId="77777777" w:rsidR="004B4BEB" w:rsidRDefault="004B4BEB" w:rsidP="004B4BEB">
      <w:r>
        <w:t>A consistent theme raised by members and licensees was that confidence in the system would be improved where they better understood how licence fees were calculated, and how funds were distributed.</w:t>
      </w:r>
    </w:p>
    <w:p w14:paraId="78880842" w14:textId="77777777" w:rsidR="004B4BEB" w:rsidRDefault="004B4BEB" w:rsidP="004B4BEB">
      <w:r>
        <w:t>The review proposes more standardised reporting on both of these, in an anonymised form where necessary to alleviate privacy concerns. The review acknowledges that this may lead to some transitional costs for collecting societies in formulating these new reporting arrangements, although there are also benefits, including that it would assist with the annual and triennial Code review processes.</w:t>
      </w:r>
    </w:p>
    <w:p w14:paraId="15B1BA80" w14:textId="77777777" w:rsidR="004B4BEB" w:rsidRDefault="004B4BEB" w:rsidP="004B4BEB">
      <w:r>
        <w:t>The third set of recommendations relates to strengthening the governance arrangements.</w:t>
      </w:r>
    </w:p>
    <w:p w14:paraId="5E4C70FA" w14:textId="77777777" w:rsidR="004B4BEB" w:rsidRDefault="004B4BEB" w:rsidP="004B4BEB">
      <w:r w:rsidRPr="008126FB">
        <w:t>Confidence in volun</w:t>
      </w:r>
      <w:r>
        <w:t>tary or self-regulated systems requires</w:t>
      </w:r>
      <w:r w:rsidRPr="008126FB">
        <w:t xml:space="preserve"> the right incentives in place to encourage compliance.</w:t>
      </w:r>
      <w:r>
        <w:t xml:space="preserve"> The review found that greater scrutiny and timeliness in respect of some aspects of the Code’s compliance arrangements would help achieve this.</w:t>
      </w:r>
    </w:p>
    <w:p w14:paraId="359714AB" w14:textId="77777777" w:rsidR="004B4BEB" w:rsidRDefault="004B4BEB" w:rsidP="004B4BEB">
      <w:r>
        <w:t xml:space="preserve">The review </w:t>
      </w:r>
      <w:r w:rsidRPr="00FD6BE6">
        <w:t>proposes some changes to standardise annual reporting arrangements and to increase public awareness of Code compliance. This would provide for better scrutiny of contraventions of the Code. Collecting societies would also be required to notify</w:t>
      </w:r>
      <w:r>
        <w:t xml:space="preserve"> members and licensees</w:t>
      </w:r>
      <w:r w:rsidRPr="00FD6BE6">
        <w:t xml:space="preserve"> when a breach of the Code occurs. These notifications would be published in annual reports of the collecting societies and at the </w:t>
      </w:r>
      <w:r>
        <w:t xml:space="preserve">proposed </w:t>
      </w:r>
      <w:r w:rsidRPr="00FD6BE6">
        <w:t>centralised portal of information for members, licensees and the public.</w:t>
      </w:r>
    </w:p>
    <w:p w14:paraId="0000A28A" w14:textId="77777777" w:rsidR="004B4BEB" w:rsidRDefault="004B4BEB" w:rsidP="004B4BEB">
      <w:r>
        <w:t>To provide certainty to all stakeholders in the copyright management system, changes to the Code should be actioned in a timely manner. Any changes should also incorporate the views of licensees and members where these changes have not already been subject to consultation through the Code review process, and recommended by the Code Reviewer.</w:t>
      </w:r>
    </w:p>
    <w:p w14:paraId="33684760" w14:textId="77777777" w:rsidR="004B4BEB" w:rsidRDefault="004B4BEB" w:rsidP="004B4BEB">
      <w:r>
        <w:t>To enhance the integrity of the review processes, the annual and triennial reviews should be conducted by different parties. At present, the triennial review is conducted by the Code Reviewer who also undertakes the annual review, which could be perceived as not providing a sufficiently independent assessment of the annual review processes. A separate independent judicial expert or panel of experts should conduct the triennial review process.</w:t>
      </w:r>
    </w:p>
    <w:p w14:paraId="4286ED0B" w14:textId="77777777" w:rsidR="004B4BEB" w:rsidRDefault="004B4BEB" w:rsidP="004B4BEB">
      <w:r w:rsidRPr="00EB670B">
        <w:t>As with most industries and sectors in the economy, the copyright system has adapted, and is continuing to adapt</w:t>
      </w:r>
      <w:r>
        <w:t>,</w:t>
      </w:r>
      <w:r w:rsidRPr="00EB670B">
        <w:t xml:space="preserve"> to new digital processes and products. Data can provide for better monitoring, streamlined transactions and administration. </w:t>
      </w:r>
      <w:r>
        <w:t>The review proposes that assessing how data is used to improve business practices form part of the annual code review.</w:t>
      </w:r>
    </w:p>
    <w:p w14:paraId="4D4084FB" w14:textId="77777777" w:rsidR="004B4BEB" w:rsidRDefault="004B4BEB" w:rsidP="004B4BEB">
      <w:r>
        <w:t>These recommendations aim to balance the interests of copyright collecting societies and licensees, although it needs to be acknowledged that the Code is not able to address all the issues that have arisen in the course of this review. This would have required broadening the Code’s purpose and this could have unintended consequences, such as potentially blurring the role of the Code and that of the Tribunal.</w:t>
      </w:r>
    </w:p>
    <w:p w14:paraId="3F3A5DB0" w14:textId="77777777" w:rsidR="004B4BEB" w:rsidRDefault="004B4BEB" w:rsidP="004B4BEB">
      <w:r>
        <w:t>The review did not find sufficient evidence of non-compliance with the Code to justify making the Code mandatory at this stage. This would unnecessarily increase regulatory costs to Government and compliance costs in the copyright system. Instead the review considers that the changes to improve transparency and strengthen governance arrangements proposed in this review should be allowed to be implemented and assessed for their effectiveness prior to any consideration of the need for mandatory arrangements. This could be done as part of the next triennial review, due in 2020.</w:t>
      </w:r>
    </w:p>
    <w:p w14:paraId="3D28EDDF" w14:textId="77777777" w:rsidR="004B4BEB" w:rsidRDefault="004B4BEB" w:rsidP="004B4BEB">
      <w:r>
        <w:t>Stakeholders raised a number of issues relating to the operations of the declared collecting societies including their administration as well as their management of undistributed funds. These are outside the scope of this review, and relate to the objectives of the statutory licence schemes and the role of the declared collecting societies in administering these.</w:t>
      </w:r>
    </w:p>
    <w:p w14:paraId="663A620B" w14:textId="77777777" w:rsidR="004B4BEB" w:rsidRDefault="004B4BEB" w:rsidP="004B4BEB">
      <w:r>
        <w:t>That said, the recommendations of this review, if implemented, will enable greater scrutiny of the activities of collecting societies that could support any further consideration of these issues. There may be merit in considering the role of the Guidelines for the Declaration of Collecting Societies in addressing these issues. The Guidelines have remained largely unchanged since their introduction in 1990.</w:t>
      </w:r>
    </w:p>
    <w:p w14:paraId="68D03E9F" w14:textId="77777777" w:rsidR="004B4BEB" w:rsidRDefault="004B4BEB" w:rsidP="004B4BEB">
      <w:r w:rsidRPr="003B0E26">
        <w:t>In seeking to identify such issues and develop potential options to address them, significant consultation has been undertaken as part of the review. Extensive research including examination of international best practice has also helped inform the review’s analysis. A</w:t>
      </w:r>
      <w:r>
        <w:t>n overview of the conduct of this</w:t>
      </w:r>
      <w:r w:rsidRPr="003B0E26">
        <w:t xml:space="preserve"> review is provided at Appendix C.</w:t>
      </w:r>
    </w:p>
    <w:p w14:paraId="17FF58EB" w14:textId="77777777" w:rsidR="004B4BEB" w:rsidRDefault="004B4BEB" w:rsidP="004B4BEB">
      <w:pPr>
        <w:pStyle w:val="Heading3"/>
      </w:pPr>
      <w:bookmarkStart w:id="26" w:name="_Toc499558568"/>
      <w:bookmarkStart w:id="27" w:name="_Toc499823208"/>
      <w:bookmarkStart w:id="28" w:name="_Toc501010946"/>
      <w:bookmarkStart w:id="29" w:name="_Toc504392992"/>
      <w:bookmarkStart w:id="30" w:name="_Toc506373249"/>
      <w:r>
        <w:t>How to respond to the draft findings and recommendations</w:t>
      </w:r>
      <w:bookmarkEnd w:id="26"/>
      <w:bookmarkEnd w:id="27"/>
      <w:bookmarkEnd w:id="28"/>
      <w:bookmarkEnd w:id="29"/>
      <w:bookmarkEnd w:id="30"/>
    </w:p>
    <w:p w14:paraId="3A02EC37" w14:textId="29FE8215" w:rsidR="004B4BEB" w:rsidRDefault="004B4BEB" w:rsidP="004B4BEB">
      <w:r>
        <w:t xml:space="preserve">The Department is seeking submissions from stakeholders on the draft findings and recommendations outlined in this draft report, and any other issues relevant to the Terms of Reference. Submissions should be received by </w:t>
      </w:r>
      <w:r w:rsidRPr="00512B7B">
        <w:rPr>
          <w:highlight w:val="lightGray"/>
        </w:rPr>
        <w:t xml:space="preserve">5pm Australian Eastern Standard Time, </w:t>
      </w:r>
      <w:r w:rsidR="004E23F9">
        <w:rPr>
          <w:highlight w:val="lightGray"/>
        </w:rPr>
        <w:t>Wednesday</w:t>
      </w:r>
      <w:r w:rsidRPr="00512B7B">
        <w:rPr>
          <w:highlight w:val="lightGray"/>
        </w:rPr>
        <w:t xml:space="preserve">, </w:t>
      </w:r>
      <w:r w:rsidR="004E23F9">
        <w:rPr>
          <w:highlight w:val="lightGray"/>
        </w:rPr>
        <w:t>14</w:t>
      </w:r>
      <w:r w:rsidRPr="00512B7B">
        <w:rPr>
          <w:highlight w:val="lightGray"/>
        </w:rPr>
        <w:t xml:space="preserve"> </w:t>
      </w:r>
      <w:r w:rsidR="004E23F9">
        <w:rPr>
          <w:highlight w:val="lightGray"/>
        </w:rPr>
        <w:t>March</w:t>
      </w:r>
      <w:r w:rsidRPr="00512B7B">
        <w:rPr>
          <w:highlight w:val="lightGray"/>
        </w:rPr>
        <w:t xml:space="preserve"> </w:t>
      </w:r>
      <w:r w:rsidR="003D0E85">
        <w:rPr>
          <w:highlight w:val="lightGray"/>
        </w:rPr>
        <w:t>2018</w:t>
      </w:r>
      <w:r w:rsidRPr="00512B7B">
        <w:rPr>
          <w:highlight w:val="lightGray"/>
        </w:rPr>
        <w:t>,</w:t>
      </w:r>
      <w:r w:rsidRPr="006A350B">
        <w:t xml:space="preserve"> </w:t>
      </w:r>
      <w:r>
        <w:t>and can be lodged by:</w:t>
      </w:r>
    </w:p>
    <w:p w14:paraId="1D2CC057" w14:textId="5433ECCA" w:rsidR="004B4BEB" w:rsidRDefault="004B4BEB" w:rsidP="004B4BEB">
      <w:pPr>
        <w:spacing w:after="0"/>
        <w:ind w:left="1418" w:hanging="1418"/>
      </w:pPr>
      <w:r w:rsidRPr="00644E75">
        <w:rPr>
          <w:b/>
        </w:rPr>
        <w:t>Website</w:t>
      </w:r>
      <w:r>
        <w:t>:</w:t>
      </w:r>
      <w:r>
        <w:tab/>
      </w:r>
      <w:hyperlink r:id="rId17" w:history="1">
        <w:r w:rsidRPr="004E23F9">
          <w:rPr>
            <w:rStyle w:val="Hyperlink"/>
          </w:rPr>
          <w:t>https://www.communications.gov.au/codereview</w:t>
        </w:r>
      </w:hyperlink>
      <w:r w:rsidR="004E23F9">
        <w:rPr>
          <w:rStyle w:val="Hyperlink"/>
        </w:rPr>
        <w:t>draftreport</w:t>
      </w:r>
    </w:p>
    <w:p w14:paraId="58DB9296" w14:textId="77777777" w:rsidR="004B4BEB" w:rsidRDefault="004B4BEB" w:rsidP="004B4BEB">
      <w:pPr>
        <w:spacing w:after="0"/>
        <w:ind w:left="1418" w:hanging="1418"/>
        <w:rPr>
          <w:rStyle w:val="Hyperlink"/>
          <w:rFonts w:eastAsia="Calibri"/>
          <w:lang w:val="en"/>
        </w:rPr>
      </w:pPr>
      <w:r>
        <w:rPr>
          <w:rFonts w:eastAsia="Calibri"/>
          <w:b/>
          <w:lang w:val="en"/>
        </w:rPr>
        <w:t>Email</w:t>
      </w:r>
      <w:r w:rsidRPr="00050DB7">
        <w:rPr>
          <w:rFonts w:eastAsia="Calibri"/>
          <w:b/>
          <w:lang w:val="en"/>
        </w:rPr>
        <w:t>:</w:t>
      </w:r>
      <w:r>
        <w:rPr>
          <w:rFonts w:eastAsia="Calibri"/>
          <w:lang w:val="en"/>
        </w:rPr>
        <w:t xml:space="preserve"> </w:t>
      </w:r>
      <w:r>
        <w:rPr>
          <w:rFonts w:eastAsia="Calibri"/>
          <w:lang w:val="en"/>
        </w:rPr>
        <w:tab/>
      </w:r>
      <w:hyperlink r:id="rId18" w:history="1">
        <w:r w:rsidRPr="000369BF">
          <w:rPr>
            <w:rStyle w:val="Hyperlink"/>
            <w:rFonts w:eastAsia="Calibri"/>
            <w:lang w:val="en"/>
          </w:rPr>
          <w:t>codereview@communications.gov.au</w:t>
        </w:r>
      </w:hyperlink>
    </w:p>
    <w:p w14:paraId="7A935B2E" w14:textId="23D13353" w:rsidR="004B4BEB" w:rsidRDefault="004B4BEB" w:rsidP="004B4BEB">
      <w:pPr>
        <w:ind w:left="1418" w:hanging="1418"/>
      </w:pPr>
      <w:r w:rsidRPr="00644E75">
        <w:rPr>
          <w:b/>
        </w:rPr>
        <w:t>Post</w:t>
      </w:r>
      <w:r>
        <w:t>:</w:t>
      </w:r>
      <w:r>
        <w:tab/>
        <w:t>Copyright Code Review</w:t>
      </w:r>
      <w:r>
        <w:br/>
        <w:t xml:space="preserve">Director, </w:t>
      </w:r>
      <w:r w:rsidR="005A4BEA">
        <w:t>Economic Research</w:t>
      </w:r>
      <w:r>
        <w:br/>
        <w:t>Bureau of Communications and Arts Research</w:t>
      </w:r>
      <w:r>
        <w:br/>
        <w:t>Department of Communications and the Arts</w:t>
      </w:r>
      <w:r>
        <w:br/>
        <w:t>GPO Box 2154</w:t>
      </w:r>
      <w:r>
        <w:br/>
        <w:t>CANBERRA  ACT  2601</w:t>
      </w:r>
    </w:p>
    <w:p w14:paraId="021DF9FD" w14:textId="77777777" w:rsidR="004B4BEB" w:rsidRDefault="004B4BEB" w:rsidP="004B4BEB">
      <w:r w:rsidRPr="00BB5F5C">
        <w:t>Submissions should include the respondent’s name, organisation (if applicable) and contact details. Submiss</w:t>
      </w:r>
      <w:r>
        <w:t xml:space="preserve">ions with no verifiable contact details will not be considered. Questions about the submission process can be directed to </w:t>
      </w:r>
      <w:hyperlink r:id="rId19" w:history="1">
        <w:r w:rsidRPr="00091634">
          <w:rPr>
            <w:rStyle w:val="Hyperlink"/>
          </w:rPr>
          <w:t>codereview@communications.gov.au</w:t>
        </w:r>
      </w:hyperlink>
      <w:r>
        <w:t>.</w:t>
      </w:r>
    </w:p>
    <w:p w14:paraId="530BFF34" w14:textId="2BAACCDF" w:rsidR="004B4BEB" w:rsidRDefault="004B4BEB" w:rsidP="004B4BEB">
      <w:r>
        <w:t xml:space="preserve">Further public consultation will be held as the review proceeds, including with members and licensees of collecting societies, and other interested parties. </w:t>
      </w:r>
      <w:r w:rsidRPr="00F75CD6">
        <w:t>The B</w:t>
      </w:r>
      <w:r>
        <w:t xml:space="preserve">ureau of </w:t>
      </w:r>
      <w:r w:rsidRPr="00F75CD6">
        <w:t>C</w:t>
      </w:r>
      <w:r>
        <w:t xml:space="preserve">ommunications and </w:t>
      </w:r>
      <w:r w:rsidRPr="00F75CD6">
        <w:t>A</w:t>
      </w:r>
      <w:r>
        <w:t xml:space="preserve">rts </w:t>
      </w:r>
      <w:r w:rsidRPr="00F75CD6">
        <w:t>R</w:t>
      </w:r>
      <w:r>
        <w:t>esearch (</w:t>
      </w:r>
      <w:r w:rsidR="002E7D11">
        <w:t>the Bureau</w:t>
      </w:r>
      <w:r>
        <w:t>)</w:t>
      </w:r>
      <w:r w:rsidRPr="00F75CD6">
        <w:t xml:space="preserve"> intends to release a final report to Government in 2018</w:t>
      </w:r>
      <w:r>
        <w:t>.</w:t>
      </w:r>
    </w:p>
    <w:p w14:paraId="0E4A52C0" w14:textId="77777777" w:rsidR="004B4BEB" w:rsidRDefault="004B4BEB" w:rsidP="007E7021">
      <w:pPr>
        <w:pStyle w:val="Heading4"/>
      </w:pPr>
      <w:bookmarkStart w:id="31" w:name="_Toc498613695"/>
      <w:bookmarkStart w:id="32" w:name="_Toc498685011"/>
      <w:bookmarkStart w:id="33" w:name="_Toc498691864"/>
      <w:bookmarkStart w:id="34" w:name="_Toc498695600"/>
      <w:bookmarkStart w:id="35" w:name="_Toc499302277"/>
      <w:bookmarkStart w:id="36" w:name="_Toc499558569"/>
      <w:bookmarkStart w:id="37" w:name="_Toc499823209"/>
      <w:bookmarkStart w:id="38" w:name="_Toc501010947"/>
      <w:bookmarkStart w:id="39" w:name="_Toc504392993"/>
      <w:bookmarkStart w:id="40" w:name="_Toc506373250"/>
      <w:r>
        <w:t>Publication of submissions and confidentiality</w:t>
      </w:r>
      <w:bookmarkEnd w:id="31"/>
      <w:bookmarkEnd w:id="32"/>
      <w:bookmarkEnd w:id="33"/>
      <w:bookmarkEnd w:id="34"/>
      <w:bookmarkEnd w:id="35"/>
      <w:bookmarkEnd w:id="36"/>
      <w:bookmarkEnd w:id="37"/>
      <w:bookmarkEnd w:id="38"/>
      <w:bookmarkEnd w:id="39"/>
      <w:bookmarkEnd w:id="40"/>
    </w:p>
    <w:p w14:paraId="54554699" w14:textId="77777777" w:rsidR="004B4BEB" w:rsidRDefault="004B4BEB" w:rsidP="007E7021">
      <w:pPr>
        <w:keepLines/>
      </w:pPr>
      <w:r>
        <w:t xml:space="preserve">All submissions will be made publicly available </w:t>
      </w:r>
      <w:r w:rsidRPr="00AC5B34">
        <w:t xml:space="preserve">by the Department unless a respondent specifically requests its submission, or a part of its submission, be kept confidential, and acceptable reasons accompany the request. The Department is subject to the </w:t>
      </w:r>
      <w:r w:rsidRPr="00AC5B34">
        <w:rPr>
          <w:i/>
        </w:rPr>
        <w:t>Freedom of Information Act 1982</w:t>
      </w:r>
      <w:r w:rsidRPr="00AC5B34">
        <w:t xml:space="preserve"> and submissions may be required to be disclosed by the Department in response to requests made under that Act.</w:t>
      </w:r>
    </w:p>
    <w:p w14:paraId="668233EC" w14:textId="77777777" w:rsidR="004B4BEB" w:rsidRDefault="004B4BEB" w:rsidP="004B4BEB">
      <w:r>
        <w:t xml:space="preserve">The </w:t>
      </w:r>
      <w:r w:rsidRPr="00AC5B34">
        <w:t>Department reserves the right not to publish any submission, or part of a submission, which in its view contains potentially defamatory material, or for confidentiality reasons.</w:t>
      </w:r>
    </w:p>
    <w:p w14:paraId="2C0EC47F" w14:textId="77777777" w:rsidR="004B4BEB" w:rsidRDefault="004B4BEB" w:rsidP="004B4BEB">
      <w:pPr>
        <w:pStyle w:val="Heading2"/>
      </w:pPr>
      <w:bookmarkStart w:id="41" w:name="_Toc499823210"/>
      <w:bookmarkStart w:id="42" w:name="_Toc501010948"/>
      <w:bookmarkStart w:id="43" w:name="_Toc504392994"/>
      <w:bookmarkStart w:id="44" w:name="_Toc506373251"/>
      <w:r>
        <w:t>Draft recommendations and findings</w:t>
      </w:r>
      <w:bookmarkEnd w:id="41"/>
      <w:bookmarkEnd w:id="42"/>
      <w:bookmarkEnd w:id="43"/>
      <w:bookmarkEnd w:id="44"/>
    </w:p>
    <w:p w14:paraId="4D94F4DB" w14:textId="77777777" w:rsidR="004B4BEB" w:rsidRDefault="004B4BEB" w:rsidP="004B4BEB">
      <w:pPr>
        <w:pStyle w:val="Heading3"/>
      </w:pPr>
      <w:bookmarkStart w:id="45" w:name="_Toc501010949"/>
      <w:bookmarkStart w:id="46" w:name="_Toc504392995"/>
      <w:bookmarkStart w:id="47" w:name="_Toc506373252"/>
      <w:bookmarkEnd w:id="22"/>
      <w:bookmarkEnd w:id="23"/>
      <w:bookmarkEnd w:id="24"/>
      <w:bookmarkEnd w:id="25"/>
      <w:r>
        <w:t>Clarifying the Code’s role and purpose</w:t>
      </w:r>
      <w:bookmarkEnd w:id="45"/>
      <w:bookmarkEnd w:id="46"/>
      <w:bookmarkEnd w:id="47"/>
    </w:p>
    <w:p w14:paraId="3A3D62E5" w14:textId="77777777" w:rsidR="004B4BEB" w:rsidRDefault="004B4BEB" w:rsidP="004B4BEB">
      <w:pPr>
        <w:pBdr>
          <w:top w:val="single" w:sz="4" w:space="1" w:color="auto"/>
          <w:left w:val="single" w:sz="4" w:space="4" w:color="auto"/>
          <w:bottom w:val="single" w:sz="4" w:space="1" w:color="auto"/>
          <w:right w:val="single" w:sz="4" w:space="0" w:color="auto"/>
        </w:pBdr>
        <w:shd w:val="clear" w:color="auto" w:fill="D6F2FA"/>
        <w:rPr>
          <w:b/>
        </w:rPr>
      </w:pPr>
      <w:r w:rsidRPr="00963B84">
        <w:rPr>
          <w:b/>
        </w:rPr>
        <w:t xml:space="preserve">Draft finding </w:t>
      </w:r>
      <w:r>
        <w:rPr>
          <w:b/>
        </w:rPr>
        <w:t>1</w:t>
      </w:r>
      <w:r w:rsidRPr="00963B84">
        <w:rPr>
          <w:b/>
        </w:rPr>
        <w:t xml:space="preserve">: </w:t>
      </w:r>
      <w:r w:rsidRPr="00CD12C5">
        <w:t>The rationale and objectives of the Code should be clarified to better reflect the importance of achieving efficient and equitable outcomes.</w:t>
      </w:r>
    </w:p>
    <w:p w14:paraId="6007BFC9" w14:textId="77777777" w:rsidR="004B4BEB" w:rsidRDefault="004B4BEB" w:rsidP="004B4BEB">
      <w:pPr>
        <w:pBdr>
          <w:top w:val="single" w:sz="4" w:space="1" w:color="auto"/>
          <w:left w:val="single" w:sz="4" w:space="4" w:color="auto"/>
          <w:bottom w:val="single" w:sz="4" w:space="1" w:color="auto"/>
          <w:right w:val="single" w:sz="4" w:space="0" w:color="auto"/>
        </w:pBdr>
        <w:shd w:val="clear" w:color="auto" w:fill="D6F2FA"/>
        <w:rPr>
          <w:b/>
        </w:rPr>
      </w:pPr>
      <w:r w:rsidRPr="00963B84">
        <w:rPr>
          <w:b/>
        </w:rPr>
        <w:t xml:space="preserve">Draft recommendation </w:t>
      </w:r>
      <w:r>
        <w:rPr>
          <w:b/>
        </w:rPr>
        <w:t>1</w:t>
      </w:r>
      <w:r w:rsidRPr="00963B84">
        <w:rPr>
          <w:b/>
        </w:rPr>
        <w:t xml:space="preserve">: </w:t>
      </w:r>
      <w:r w:rsidRPr="00CD12C5">
        <w:t>Add explanatory</w:t>
      </w:r>
      <w:r w:rsidRPr="00CD12C5" w:rsidDel="007A22A2">
        <w:t xml:space="preserve"> </w:t>
      </w:r>
      <w:r w:rsidRPr="00CD12C5">
        <w:t>text to the Code to clarify that it was established to provide greater protections for both members and licensees, and to ensure that collecting societies operate efficiently, effectively and equitably.</w:t>
      </w:r>
    </w:p>
    <w:p w14:paraId="24555EA2" w14:textId="77777777" w:rsidR="004B4BEB" w:rsidRDefault="004B4BEB" w:rsidP="004B4BEB">
      <w:pPr>
        <w:pBdr>
          <w:top w:val="single" w:sz="4" w:space="1" w:color="auto"/>
          <w:left w:val="single" w:sz="4" w:space="4" w:color="auto"/>
          <w:bottom w:val="single" w:sz="4" w:space="1" w:color="auto"/>
          <w:right w:val="single" w:sz="4" w:space="0" w:color="auto"/>
        </w:pBdr>
        <w:shd w:val="clear" w:color="auto" w:fill="D6F2FA"/>
      </w:pPr>
      <w:r>
        <w:rPr>
          <w:b/>
        </w:rPr>
        <w:t xml:space="preserve">Draft recommendation 2: </w:t>
      </w:r>
      <w:r w:rsidRPr="00CD12C5">
        <w:t>As a consequence of draft recommendation 1, the Code should be amended to incorporate an additional objective which states that the Code should support efficient and equitable outcomes.</w:t>
      </w:r>
    </w:p>
    <w:p w14:paraId="7A1C33CE" w14:textId="77777777" w:rsidR="004B4BEB" w:rsidRDefault="004B4BEB" w:rsidP="004B4BEB">
      <w:pPr>
        <w:pBdr>
          <w:top w:val="single" w:sz="4" w:space="1" w:color="auto"/>
          <w:left w:val="single" w:sz="4" w:space="4" w:color="auto"/>
          <w:bottom w:val="single" w:sz="4" w:space="1" w:color="auto"/>
          <w:right w:val="single" w:sz="4" w:space="0" w:color="auto"/>
        </w:pBdr>
        <w:shd w:val="clear" w:color="auto" w:fill="D6F2FA"/>
        <w:rPr>
          <w:b/>
        </w:rPr>
      </w:pPr>
      <w:r w:rsidRPr="00963B84">
        <w:rPr>
          <w:b/>
        </w:rPr>
        <w:t xml:space="preserve">Draft finding </w:t>
      </w:r>
      <w:r>
        <w:rPr>
          <w:b/>
        </w:rPr>
        <w:t>2</w:t>
      </w:r>
      <w:r w:rsidRPr="00963B84">
        <w:rPr>
          <w:b/>
        </w:rPr>
        <w:t xml:space="preserve">: </w:t>
      </w:r>
      <w:r w:rsidRPr="00CD12C5">
        <w:t>The role of the Code in the broader regulatory framework needs to be clarified given the range of instruments that regulate copyright collecting societies</w:t>
      </w:r>
      <w:r w:rsidRPr="00CD12C5" w:rsidDel="00897786">
        <w:t>.</w:t>
      </w:r>
    </w:p>
    <w:p w14:paraId="26FC6691" w14:textId="77777777" w:rsidR="004B4BEB" w:rsidRPr="00B26773" w:rsidRDefault="004B4BEB" w:rsidP="004B4BEB">
      <w:pPr>
        <w:pBdr>
          <w:top w:val="single" w:sz="4" w:space="1" w:color="auto"/>
          <w:left w:val="single" w:sz="4" w:space="4" w:color="auto"/>
          <w:bottom w:val="single" w:sz="4" w:space="1" w:color="auto"/>
          <w:right w:val="single" w:sz="4" w:space="0" w:color="auto"/>
        </w:pBdr>
        <w:shd w:val="clear" w:color="auto" w:fill="D6F2FA"/>
      </w:pPr>
      <w:r w:rsidRPr="00963B84">
        <w:rPr>
          <w:b/>
        </w:rPr>
        <w:t xml:space="preserve">Draft recommendation </w:t>
      </w:r>
      <w:r>
        <w:rPr>
          <w:b/>
        </w:rPr>
        <w:t>3</w:t>
      </w:r>
      <w:r w:rsidRPr="00963B84">
        <w:rPr>
          <w:b/>
        </w:rPr>
        <w:t xml:space="preserve">: </w:t>
      </w:r>
      <w:r w:rsidRPr="00CD12C5">
        <w:t>Add explanatory text to the Code to clarify how it fits into the broader regulatory environment</w:t>
      </w:r>
      <w:r>
        <w:t>—</w:t>
      </w:r>
      <w:r w:rsidRPr="00CD12C5">
        <w:t xml:space="preserve">particularly with respect to matters that </w:t>
      </w:r>
      <w:r w:rsidRPr="00CD12C5" w:rsidDel="00A84153">
        <w:t>can only be resolved by</w:t>
      </w:r>
      <w:r w:rsidRPr="00CD12C5">
        <w:t xml:space="preserve"> the Copyright Tribunal of Australia.</w:t>
      </w:r>
    </w:p>
    <w:p w14:paraId="3BF77E8D" w14:textId="77777777" w:rsidR="004B4BEB" w:rsidRDefault="004B4BEB" w:rsidP="004B4BEB">
      <w:pPr>
        <w:pStyle w:val="Heading3"/>
      </w:pPr>
      <w:bookmarkStart w:id="48" w:name="_Toc499823212"/>
      <w:bookmarkStart w:id="49" w:name="_Toc501010950"/>
      <w:bookmarkStart w:id="50" w:name="_Toc504392996"/>
      <w:bookmarkStart w:id="51" w:name="_Toc506373253"/>
      <w:r>
        <w:t>Encouraging greater transparency</w:t>
      </w:r>
      <w:bookmarkEnd w:id="48"/>
      <w:bookmarkEnd w:id="49"/>
      <w:bookmarkEnd w:id="50"/>
      <w:bookmarkEnd w:id="51"/>
    </w:p>
    <w:p w14:paraId="20BEB1B4" w14:textId="77777777"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sidRPr="00D61191">
        <w:rPr>
          <w:b/>
        </w:rPr>
        <w:t>Draft finding</w:t>
      </w:r>
      <w:r>
        <w:rPr>
          <w:b/>
        </w:rPr>
        <w:t xml:space="preserve"> 3</w:t>
      </w:r>
      <w:r w:rsidRPr="00D61191">
        <w:rPr>
          <w:b/>
        </w:rPr>
        <w:t>:</w:t>
      </w:r>
      <w:r>
        <w:t xml:space="preserve"> The Code should require sufficient transparency around licences and fee calculations to support negotiations between collecting societies and licensees.</w:t>
      </w:r>
    </w:p>
    <w:p w14:paraId="4EB40EFF" w14:textId="0D40054A"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Pr>
          <w:b/>
        </w:rPr>
        <w:t>Draft r</w:t>
      </w:r>
      <w:r w:rsidRPr="00617BC3">
        <w:rPr>
          <w:b/>
        </w:rPr>
        <w:t>ecommendation</w:t>
      </w:r>
      <w:r>
        <w:rPr>
          <w:b/>
        </w:rPr>
        <w:t xml:space="preserve"> 4</w:t>
      </w:r>
      <w:r w:rsidRPr="00617BC3">
        <w:rPr>
          <w:b/>
        </w:rPr>
        <w:t xml:space="preserve">: Amend </w:t>
      </w:r>
      <w:r w:rsidR="007E7021">
        <w:rPr>
          <w:b/>
        </w:rPr>
        <w:t>clause </w:t>
      </w:r>
      <w:r w:rsidRPr="00617BC3">
        <w:rPr>
          <w:b/>
        </w:rPr>
        <w:t>2.3</w:t>
      </w:r>
      <w:r w:rsidRPr="00C033AD">
        <w:t xml:space="preserve"> to require collecting societies to make available to </w:t>
      </w:r>
      <w:r>
        <w:t>m</w:t>
      </w:r>
      <w:r w:rsidRPr="00C033AD">
        <w:t xml:space="preserve">embers, </w:t>
      </w:r>
      <w:r>
        <w:t>l</w:t>
      </w:r>
      <w:r w:rsidRPr="00C033AD">
        <w:t xml:space="preserve">icensees and potential </w:t>
      </w:r>
      <w:r>
        <w:t>l</w:t>
      </w:r>
      <w:r w:rsidRPr="00C033AD">
        <w:t>icensees the methodology for calculating licence fees, including any modelling.</w:t>
      </w:r>
    </w:p>
    <w:p w14:paraId="6CB026D9" w14:textId="77777777"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Pr>
          <w:b/>
        </w:rPr>
        <w:t xml:space="preserve">Discussion question: </w:t>
      </w:r>
      <w:r w:rsidRPr="00CD12C5">
        <w:t>What information would licensees benefit from around how their licences are calculated?</w:t>
      </w:r>
      <w:r>
        <w:t xml:space="preserve"> What limitations are there in providing more information?</w:t>
      </w:r>
    </w:p>
    <w:p w14:paraId="3CCF4759" w14:textId="77777777"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Pr>
          <w:b/>
        </w:rPr>
        <w:t xml:space="preserve">Draft finding 4: </w:t>
      </w:r>
      <w:r w:rsidRPr="008B765F">
        <w:t>Collecting Societies could more clearly communicate how their licence fee schemes and arrangements operate.</w:t>
      </w:r>
    </w:p>
    <w:p w14:paraId="76F0E630" w14:textId="77777777"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Pr>
          <w:b/>
        </w:rPr>
        <w:t xml:space="preserve">Discussion question: </w:t>
      </w:r>
      <w:r w:rsidRPr="008B765F">
        <w:t>What options are available to</w:t>
      </w:r>
      <w:r>
        <w:t xml:space="preserve"> collecting societies to</w:t>
      </w:r>
      <w:r w:rsidRPr="008B765F">
        <w:t xml:space="preserve"> achieve effective communication</w:t>
      </w:r>
      <w:r>
        <w:t xml:space="preserve"> of licence fee determination processes</w:t>
      </w:r>
      <w:r w:rsidRPr="008B765F">
        <w:t>?</w:t>
      </w:r>
    </w:p>
    <w:p w14:paraId="12BBBCDF" w14:textId="5E150CC9" w:rsidR="004B4BEB" w:rsidRDefault="004B4BEB" w:rsidP="007E7021">
      <w:pPr>
        <w:keepNext/>
        <w:pBdr>
          <w:top w:val="single" w:sz="4" w:space="1" w:color="auto"/>
          <w:left w:val="single" w:sz="4" w:space="4" w:color="auto"/>
          <w:bottom w:val="single" w:sz="4" w:space="1" w:color="auto"/>
          <w:right w:val="single" w:sz="4" w:space="4" w:color="auto"/>
        </w:pBdr>
        <w:shd w:val="clear" w:color="auto" w:fill="D6F2FA"/>
      </w:pPr>
      <w:r w:rsidRPr="005C1C70">
        <w:rPr>
          <w:b/>
        </w:rPr>
        <w:t xml:space="preserve">Draft </w:t>
      </w:r>
      <w:r w:rsidR="004E343D">
        <w:rPr>
          <w:b/>
        </w:rPr>
        <w:t>f</w:t>
      </w:r>
      <w:r w:rsidRPr="005C1C70">
        <w:rPr>
          <w:b/>
        </w:rPr>
        <w:t>inding</w:t>
      </w:r>
      <w:r>
        <w:rPr>
          <w:b/>
        </w:rPr>
        <w:t xml:space="preserve"> 5</w:t>
      </w:r>
      <w:r>
        <w:t>: Increased transparency is required around collecting societies’ distribution of funds, having regard to issues around commercially-sensitive information and compliance costs. To support this, the Code should:</w:t>
      </w:r>
    </w:p>
    <w:p w14:paraId="47496D2F" w14:textId="77777777" w:rsidR="004B4BEB" w:rsidRPr="005C1C70" w:rsidRDefault="004B4BEB" w:rsidP="007E7021">
      <w:pPr>
        <w:pStyle w:val="Bullet1"/>
        <w:numPr>
          <w:ilvl w:val="0"/>
          <w:numId w:val="4"/>
        </w:numPr>
        <w:pBdr>
          <w:top w:val="single" w:sz="4" w:space="1" w:color="auto"/>
          <w:left w:val="single" w:sz="4" w:space="4" w:color="auto"/>
          <w:bottom w:val="single" w:sz="4" w:space="1" w:color="auto"/>
          <w:right w:val="single" w:sz="4" w:space="4" w:color="auto"/>
        </w:pBdr>
        <w:shd w:val="clear" w:color="auto" w:fill="D6F2FA"/>
        <w:tabs>
          <w:tab w:val="clear" w:pos="643"/>
          <w:tab w:val="num" w:pos="926"/>
        </w:tabs>
        <w:ind w:left="567" w:hanging="567"/>
      </w:pPr>
      <w:r w:rsidRPr="005C1C70">
        <w:t>Provide incentives to distribute royalties fairly and efficiently,</w:t>
      </w:r>
      <w:r>
        <w:t xml:space="preserve"> and</w:t>
      </w:r>
    </w:p>
    <w:p w14:paraId="66EE8A6D" w14:textId="77777777" w:rsidR="004B4BEB" w:rsidRPr="003F3578" w:rsidRDefault="004B4BEB" w:rsidP="007E7021">
      <w:pPr>
        <w:pStyle w:val="Bullet1"/>
        <w:numPr>
          <w:ilvl w:val="0"/>
          <w:numId w:val="4"/>
        </w:numPr>
        <w:pBdr>
          <w:top w:val="single" w:sz="4" w:space="1" w:color="auto"/>
          <w:left w:val="single" w:sz="4" w:space="4" w:color="auto"/>
          <w:bottom w:val="single" w:sz="4" w:space="1" w:color="auto"/>
          <w:right w:val="single" w:sz="4" w:space="4" w:color="auto"/>
        </w:pBdr>
        <w:shd w:val="clear" w:color="auto" w:fill="D6F2FA"/>
        <w:tabs>
          <w:tab w:val="clear" w:pos="643"/>
          <w:tab w:val="num" w:pos="926"/>
        </w:tabs>
        <w:ind w:left="567" w:hanging="567"/>
        <w:rPr>
          <w:b/>
        </w:rPr>
      </w:pPr>
      <w:r w:rsidRPr="003F3578">
        <w:t>Support the availability of a level of information rights holders and licensees require to have confidence in the fairness and efficiency of the system.</w:t>
      </w:r>
    </w:p>
    <w:p w14:paraId="68415615" w14:textId="05DC9762"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Pr>
          <w:b/>
        </w:rPr>
        <w:t>Draft r</w:t>
      </w:r>
      <w:r w:rsidRPr="00991F9A">
        <w:rPr>
          <w:b/>
        </w:rPr>
        <w:t>ecommendation</w:t>
      </w:r>
      <w:r>
        <w:rPr>
          <w:b/>
        </w:rPr>
        <w:t xml:space="preserve"> 5</w:t>
      </w:r>
      <w:r>
        <w:t xml:space="preserve">: </w:t>
      </w:r>
      <w:r w:rsidRPr="00EB01E4">
        <w:rPr>
          <w:b/>
        </w:rPr>
        <w:t xml:space="preserve">Amend </w:t>
      </w:r>
      <w:r w:rsidR="007E7021">
        <w:rPr>
          <w:b/>
        </w:rPr>
        <w:t>clause </w:t>
      </w:r>
      <w:r w:rsidRPr="00EB01E4">
        <w:rPr>
          <w:b/>
        </w:rPr>
        <w:t>2.6</w:t>
      </w:r>
      <w:r w:rsidRPr="00EB01E4">
        <w:t xml:space="preserve"> </w:t>
      </w:r>
      <w:r w:rsidRPr="009F5A12">
        <w:rPr>
          <w:b/>
        </w:rPr>
        <w:t>to insert new sub</w:t>
      </w:r>
      <w:r w:rsidR="007E7021">
        <w:rPr>
          <w:b/>
        </w:rPr>
        <w:t>clause </w:t>
      </w:r>
      <w:r w:rsidRPr="009F5A12">
        <w:rPr>
          <w:b/>
        </w:rPr>
        <w:t>(e)(iv)</w:t>
      </w:r>
      <w:r w:rsidRPr="00EB01E4">
        <w:t xml:space="preserve"> to require collecting societies to </w:t>
      </w:r>
      <w:r>
        <w:t xml:space="preserve">detail </w:t>
      </w:r>
      <w:r w:rsidRPr="00EB01E4">
        <w:t>in their Annual Report, at an anonymised or aggregate level where appropriate, the accounting and distribution of licence revenue.</w:t>
      </w:r>
    </w:p>
    <w:p w14:paraId="2D903F58" w14:textId="4DECAA8B"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Pr>
          <w:b/>
        </w:rPr>
        <w:t xml:space="preserve">Draft recommendation 6: </w:t>
      </w:r>
      <w:r w:rsidRPr="00EB01E4">
        <w:rPr>
          <w:b/>
        </w:rPr>
        <w:t xml:space="preserve">Amend </w:t>
      </w:r>
      <w:r w:rsidR="007E7021">
        <w:rPr>
          <w:b/>
        </w:rPr>
        <w:t>clause </w:t>
      </w:r>
      <w:r w:rsidRPr="00EB01E4">
        <w:rPr>
          <w:b/>
        </w:rPr>
        <w:t>2.4 to insert new sub</w:t>
      </w:r>
      <w:r w:rsidR="007E7021">
        <w:rPr>
          <w:b/>
        </w:rPr>
        <w:t>clause </w:t>
      </w:r>
      <w:r w:rsidRPr="00EB01E4">
        <w:rPr>
          <w:b/>
        </w:rPr>
        <w:t>(d)</w:t>
      </w:r>
      <w:r w:rsidRPr="00EB01E4">
        <w:t xml:space="preserve"> obliging collecting societies to provide more detailed information on particular rights payments on an anonymised basis</w:t>
      </w:r>
      <w:r>
        <w:t xml:space="preserve"> at the request of a licensee or their representative</w:t>
      </w:r>
      <w:r w:rsidRPr="00EB01E4">
        <w:t>.</w:t>
      </w:r>
    </w:p>
    <w:p w14:paraId="11DAD309" w14:textId="689871DB" w:rsidR="004B4BEB" w:rsidRDefault="004B4BEB" w:rsidP="004B4BEB">
      <w:pPr>
        <w:pBdr>
          <w:top w:val="single" w:sz="4" w:space="1" w:color="auto"/>
          <w:left w:val="single" w:sz="4" w:space="4" w:color="auto"/>
          <w:bottom w:val="single" w:sz="4" w:space="1" w:color="auto"/>
          <w:right w:val="single" w:sz="4" w:space="4" w:color="auto"/>
        </w:pBdr>
        <w:shd w:val="clear" w:color="auto" w:fill="D6F2FA"/>
        <w:rPr>
          <w:b/>
        </w:rPr>
      </w:pPr>
      <w:r w:rsidRPr="00851E8F">
        <w:rPr>
          <w:b/>
        </w:rPr>
        <w:t xml:space="preserve">Draft </w:t>
      </w:r>
      <w:r w:rsidR="004E343D">
        <w:rPr>
          <w:b/>
        </w:rPr>
        <w:t>f</w:t>
      </w:r>
      <w:r w:rsidRPr="00851E8F">
        <w:rPr>
          <w:b/>
        </w:rPr>
        <w:t>inding</w:t>
      </w:r>
      <w:r>
        <w:rPr>
          <w:b/>
        </w:rPr>
        <w:t xml:space="preserve"> 6</w:t>
      </w:r>
      <w:r w:rsidRPr="00A02224">
        <w:rPr>
          <w:b/>
        </w:rPr>
        <w:t>:</w:t>
      </w:r>
      <w:r>
        <w:t xml:space="preserve"> Stakeholders should be able to access information </w:t>
      </w:r>
      <w:r w:rsidR="00330B18">
        <w:t>about the distribution of funds</w:t>
      </w:r>
      <w:r w:rsidR="005D7045">
        <w:t xml:space="preserve"> by collecting societies to their members</w:t>
      </w:r>
      <w:r>
        <w:t xml:space="preserve"> in a form that is digestible to them.</w:t>
      </w:r>
    </w:p>
    <w:p w14:paraId="12DEBF5D" w14:textId="41263457"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Pr>
          <w:b/>
        </w:rPr>
        <w:t xml:space="preserve">Draft recommendation 7: </w:t>
      </w:r>
      <w:r w:rsidRPr="00EB01E4">
        <w:rPr>
          <w:b/>
        </w:rPr>
        <w:t xml:space="preserve">Amend </w:t>
      </w:r>
      <w:r w:rsidR="007E7021">
        <w:rPr>
          <w:b/>
        </w:rPr>
        <w:t>clause </w:t>
      </w:r>
      <w:r w:rsidRPr="00EB01E4">
        <w:rPr>
          <w:b/>
        </w:rPr>
        <w:t>2.4 to insert new sub</w:t>
      </w:r>
      <w:r w:rsidR="007E7021">
        <w:rPr>
          <w:b/>
        </w:rPr>
        <w:t>clause </w:t>
      </w:r>
      <w:r w:rsidRPr="00EB01E4">
        <w:rPr>
          <w:b/>
        </w:rPr>
        <w:t>(c)</w:t>
      </w:r>
      <w:r w:rsidRPr="00EB01E4">
        <w:t xml:space="preserve"> to require that collecting societies consult on the development of distribution policies in a process</w:t>
      </w:r>
      <w:r>
        <w:t xml:space="preserve"> that includes</w:t>
      </w:r>
      <w:r w:rsidR="00330B18">
        <w:t xml:space="preserve"> affected</w:t>
      </w:r>
      <w:r>
        <w:t xml:space="preserve"> stakeholders,</w:t>
      </w:r>
      <w:r w:rsidRPr="00EB01E4">
        <w:t xml:space="preserve"> and</w:t>
      </w:r>
      <w:r>
        <w:t xml:space="preserve"> that</w:t>
      </w:r>
      <w:r w:rsidRPr="00EB01E4">
        <w:t xml:space="preserve"> each society publish ‘plain English’ information on its distribution policy.</w:t>
      </w:r>
    </w:p>
    <w:p w14:paraId="06600404" w14:textId="221B593D"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sidRPr="00CD12C5">
        <w:rPr>
          <w:b/>
        </w:rPr>
        <w:t>Discussion question</w:t>
      </w:r>
      <w:r w:rsidRPr="00A02224">
        <w:rPr>
          <w:b/>
        </w:rPr>
        <w:t>:</w:t>
      </w:r>
      <w:r>
        <w:t xml:space="preserve"> What information would </w:t>
      </w:r>
      <w:r w:rsidR="005763D3">
        <w:t xml:space="preserve">stakeholders </w:t>
      </w:r>
      <w:r>
        <w:t>benefit from in relation to the distribution of funds and in what format?</w:t>
      </w:r>
    </w:p>
    <w:p w14:paraId="2C86CDE5" w14:textId="77777777" w:rsidR="004B4BEB" w:rsidRDefault="004B4BEB" w:rsidP="004B4BEB">
      <w:pPr>
        <w:pBdr>
          <w:top w:val="single" w:sz="4" w:space="1" w:color="auto"/>
          <w:left w:val="single" w:sz="4" w:space="4" w:color="auto"/>
          <w:bottom w:val="single" w:sz="4" w:space="1" w:color="auto"/>
          <w:right w:val="single" w:sz="4" w:space="4" w:color="auto"/>
        </w:pBdr>
        <w:shd w:val="clear" w:color="auto" w:fill="D6F2FA"/>
        <w:rPr>
          <w:b/>
        </w:rPr>
      </w:pPr>
      <w:r w:rsidRPr="00277285">
        <w:rPr>
          <w:b/>
        </w:rPr>
        <w:t xml:space="preserve">Draft finding </w:t>
      </w:r>
      <w:r>
        <w:rPr>
          <w:b/>
        </w:rPr>
        <w:t>7</w:t>
      </w:r>
      <w:r w:rsidRPr="00277285">
        <w:rPr>
          <w:b/>
        </w:rPr>
        <w:t xml:space="preserve">: </w:t>
      </w:r>
      <w:r w:rsidRPr="006F1357">
        <w:t>Transparency should be increased around the management of funds that cannot be distributed to members or rightsholders.</w:t>
      </w:r>
    </w:p>
    <w:p w14:paraId="4A9585C2" w14:textId="3B54BB8C"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Pr>
          <w:b/>
        </w:rPr>
        <w:t xml:space="preserve">Draft </w:t>
      </w:r>
      <w:r w:rsidR="004E343D">
        <w:rPr>
          <w:b/>
        </w:rPr>
        <w:t>r</w:t>
      </w:r>
      <w:r>
        <w:rPr>
          <w:b/>
        </w:rPr>
        <w:t xml:space="preserve">ecommendation 8: </w:t>
      </w:r>
      <w:r w:rsidRPr="00630B0E">
        <w:rPr>
          <w:b/>
        </w:rPr>
        <w:t>Amend clause</w:t>
      </w:r>
      <w:r w:rsidR="00A47FED">
        <w:rPr>
          <w:b/>
        </w:rPr>
        <w:t xml:space="preserve"> </w:t>
      </w:r>
      <w:r w:rsidRPr="00630B0E">
        <w:rPr>
          <w:b/>
        </w:rPr>
        <w:t xml:space="preserve">2.6 </w:t>
      </w:r>
      <w:r w:rsidRPr="00D13EE9">
        <w:t>to</w:t>
      </w:r>
      <w:r w:rsidRPr="00D86433">
        <w:t xml:space="preserve"> </w:t>
      </w:r>
      <w:r w:rsidRPr="00630B0E">
        <w:t>require detailed additional annual reporting of</w:t>
      </w:r>
      <w:r>
        <w:t xml:space="preserve"> undistributed funds, including:</w:t>
      </w:r>
    </w:p>
    <w:p w14:paraId="65394CD3" w14:textId="6D9F6A51" w:rsidR="004B4BEB" w:rsidRDefault="004B4BEB" w:rsidP="007E7021">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6F2FA"/>
        <w:tabs>
          <w:tab w:val="clear" w:pos="567"/>
        </w:tabs>
        <w:spacing w:after="240"/>
      </w:pPr>
      <w:r w:rsidRPr="005743EF">
        <w:t>reasons why funds remain undistributed</w:t>
      </w:r>
    </w:p>
    <w:p w14:paraId="62452353" w14:textId="00E03E7A" w:rsidR="004B4BEB" w:rsidRPr="00CD12C5" w:rsidRDefault="004B4BEB" w:rsidP="007E7021">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6F2FA"/>
        <w:tabs>
          <w:tab w:val="clear" w:pos="567"/>
        </w:tabs>
        <w:spacing w:after="240"/>
        <w:rPr>
          <w:b/>
        </w:rPr>
      </w:pPr>
      <w:r>
        <w:t>steps taken to locate and distribute funds to rightsholders,</w:t>
      </w:r>
    </w:p>
    <w:p w14:paraId="11691DD8" w14:textId="49A3C3D3" w:rsidR="004B4BEB" w:rsidRPr="00CD12C5" w:rsidRDefault="004B4BEB" w:rsidP="007E7021">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6F2FA"/>
        <w:tabs>
          <w:tab w:val="clear" w:pos="567"/>
        </w:tabs>
        <w:spacing w:after="240"/>
        <w:rPr>
          <w:b/>
        </w:rPr>
      </w:pPr>
      <w:r>
        <w:t>the uses for which expired, undistributed funds are to be applied.</w:t>
      </w:r>
    </w:p>
    <w:p w14:paraId="08AA9029" w14:textId="3CABAD4C"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sidRPr="003C3487">
        <w:rPr>
          <w:b/>
        </w:rPr>
        <w:t xml:space="preserve">Draft </w:t>
      </w:r>
      <w:r w:rsidR="004E343D">
        <w:rPr>
          <w:b/>
        </w:rPr>
        <w:t>r</w:t>
      </w:r>
      <w:r w:rsidRPr="003C3487">
        <w:rPr>
          <w:b/>
        </w:rPr>
        <w:t xml:space="preserve">ecommendation </w:t>
      </w:r>
      <w:r>
        <w:rPr>
          <w:b/>
        </w:rPr>
        <w:t>9</w:t>
      </w:r>
      <w:r w:rsidRPr="00CD12C5">
        <w:rPr>
          <w:b/>
        </w:rPr>
        <w:t>: Amend the Code</w:t>
      </w:r>
      <w:r>
        <w:t xml:space="preserve"> to require collecting societies to provide their members with plain-English guidelines stating how non-distributable funds will be allocated and spent by the collecting society, and how such expenditure will serve the interests of members.</w:t>
      </w:r>
    </w:p>
    <w:p w14:paraId="12691A36" w14:textId="77777777" w:rsidR="004B4BEB" w:rsidRPr="00512B7B" w:rsidRDefault="004B4BEB" w:rsidP="004B4BEB">
      <w:pPr>
        <w:pBdr>
          <w:top w:val="single" w:sz="4" w:space="1" w:color="auto"/>
          <w:left w:val="single" w:sz="4" w:space="4" w:color="auto"/>
          <w:bottom w:val="single" w:sz="4" w:space="1" w:color="auto"/>
          <w:right w:val="single" w:sz="4" w:space="4" w:color="auto"/>
        </w:pBdr>
        <w:shd w:val="clear" w:color="auto" w:fill="D6F2FA"/>
        <w:rPr>
          <w:b/>
        </w:rPr>
      </w:pPr>
      <w:r>
        <w:rPr>
          <w:b/>
        </w:rPr>
        <w:t xml:space="preserve">Discussion question: </w:t>
      </w:r>
      <w:r w:rsidRPr="00F60A3D">
        <w:t>What specific resources and information would it be most useful for collecting societies to make available on a consolidated online portal?</w:t>
      </w:r>
    </w:p>
    <w:p w14:paraId="651F4EA0" w14:textId="77777777" w:rsidR="004B4BEB" w:rsidRPr="00B26773" w:rsidRDefault="004B4BEB" w:rsidP="004B4BEB">
      <w:pPr>
        <w:pBdr>
          <w:top w:val="single" w:sz="4" w:space="1" w:color="auto"/>
          <w:left w:val="single" w:sz="4" w:space="4" w:color="auto"/>
          <w:bottom w:val="single" w:sz="4" w:space="1" w:color="auto"/>
          <w:right w:val="single" w:sz="4" w:space="4" w:color="auto"/>
        </w:pBdr>
        <w:shd w:val="clear" w:color="auto" w:fill="D6F2FA"/>
      </w:pPr>
      <w:r w:rsidRPr="000D7EBD">
        <w:rPr>
          <w:b/>
        </w:rPr>
        <w:t xml:space="preserve">Draft recommendation </w:t>
      </w:r>
      <w:r>
        <w:rPr>
          <w:b/>
        </w:rPr>
        <w:t>10</w:t>
      </w:r>
      <w:r>
        <w:t xml:space="preserve">: </w:t>
      </w:r>
      <w:r w:rsidRPr="000D7EBD">
        <w:rPr>
          <w:b/>
        </w:rPr>
        <w:t>Amend the Code</w:t>
      </w:r>
      <w:r w:rsidRPr="000D7EBD">
        <w:t xml:space="preserve"> to require the collecting societies to establish and maintain a consolidated online portal for the public dissemination of specified governance, financial and data information, including all documents relating to the collecting societies’ compliance with the Code.</w:t>
      </w:r>
    </w:p>
    <w:p w14:paraId="24BB0722" w14:textId="77777777" w:rsidR="004B4BEB" w:rsidRDefault="004B4BEB" w:rsidP="004B4BEB">
      <w:pPr>
        <w:pStyle w:val="Heading3"/>
      </w:pPr>
      <w:bookmarkStart w:id="52" w:name="_Toc499823213"/>
      <w:bookmarkStart w:id="53" w:name="_Toc501010951"/>
      <w:bookmarkStart w:id="54" w:name="_Toc504392997"/>
      <w:bookmarkStart w:id="55" w:name="_Toc506373254"/>
      <w:r>
        <w:t>Strengthening governance arrangements</w:t>
      </w:r>
      <w:bookmarkEnd w:id="52"/>
      <w:bookmarkEnd w:id="53"/>
      <w:bookmarkEnd w:id="54"/>
      <w:bookmarkEnd w:id="55"/>
    </w:p>
    <w:p w14:paraId="360D7C98" w14:textId="4963ECA6" w:rsidR="004B4BEB" w:rsidRPr="00E93954" w:rsidRDefault="004B4BEB" w:rsidP="007E7021">
      <w:pPr>
        <w:keepNext/>
        <w:pBdr>
          <w:top w:val="single" w:sz="4" w:space="1" w:color="auto"/>
          <w:left w:val="single" w:sz="4" w:space="4" w:color="auto"/>
          <w:bottom w:val="single" w:sz="4" w:space="1" w:color="auto"/>
          <w:right w:val="single" w:sz="4" w:space="4" w:color="auto"/>
        </w:pBdr>
        <w:shd w:val="clear" w:color="auto" w:fill="D6F2FA"/>
      </w:pPr>
      <w:r>
        <w:rPr>
          <w:b/>
        </w:rPr>
        <w:t xml:space="preserve">Draft finding 8: </w:t>
      </w:r>
      <w:r w:rsidRPr="005A37BD">
        <w:t>Increased clarity around the Code</w:t>
      </w:r>
      <w:r w:rsidR="00670DE6">
        <w:t xml:space="preserve"> Reviewer</w:t>
      </w:r>
      <w:r w:rsidRPr="005A37BD">
        <w:t>’s role in addressing complaints and disputes is required</w:t>
      </w:r>
      <w:r>
        <w:t>.</w:t>
      </w:r>
    </w:p>
    <w:p w14:paraId="3E719382" w14:textId="77777777" w:rsidR="004B4BEB" w:rsidRDefault="004B4BEB" w:rsidP="007E7021">
      <w:pPr>
        <w:keepNext/>
        <w:pBdr>
          <w:top w:val="single" w:sz="4" w:space="1" w:color="auto"/>
          <w:left w:val="single" w:sz="4" w:space="4" w:color="auto"/>
          <w:bottom w:val="single" w:sz="4" w:space="1" w:color="auto"/>
          <w:right w:val="single" w:sz="4" w:space="4" w:color="auto"/>
        </w:pBdr>
        <w:shd w:val="clear" w:color="auto" w:fill="D6F2FA"/>
      </w:pPr>
      <w:r>
        <w:rPr>
          <w:b/>
        </w:rPr>
        <w:t>Draft recommendation 11</w:t>
      </w:r>
      <w:r w:rsidRPr="00A02224">
        <w:rPr>
          <w:b/>
        </w:rPr>
        <w:t xml:space="preserve">: </w:t>
      </w:r>
      <w:r>
        <w:t>Clarify the role of the Code Reviewer with respect to assessing the complaints handling and dispute resolution processes of collecting societies by:</w:t>
      </w:r>
    </w:p>
    <w:p w14:paraId="2634B639" w14:textId="17BE8569" w:rsidR="004B4BEB" w:rsidRDefault="004B4BEB" w:rsidP="007E7021">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D6F2FA"/>
        <w:tabs>
          <w:tab w:val="clear" w:pos="567"/>
        </w:tabs>
        <w:spacing w:after="240"/>
      </w:pPr>
      <w:r w:rsidRPr="008617C8">
        <w:t>incorporating the 2017 Explanatory Memorandum into the Code itself</w:t>
      </w:r>
      <w:r w:rsidR="00E46B7E">
        <w:t>,</w:t>
      </w:r>
      <w:r w:rsidRPr="008617C8">
        <w:t xml:space="preserve"> and</w:t>
      </w:r>
    </w:p>
    <w:p w14:paraId="4F3F73EF" w14:textId="77777777" w:rsidR="004B4BEB" w:rsidRDefault="004B4BEB" w:rsidP="007E7021">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D6F2FA"/>
        <w:tabs>
          <w:tab w:val="clear" w:pos="567"/>
        </w:tabs>
        <w:spacing w:after="240"/>
      </w:pPr>
      <w:r w:rsidRPr="008617C8">
        <w:t>adding an explanatory note to the Code to clarify that the complaint and dispute resolution processes established by the collecting societies under the Code do not include a mechanism for the Code Reviewer to review licence fee pricing.</w:t>
      </w:r>
    </w:p>
    <w:p w14:paraId="504F7FC0" w14:textId="77777777"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Pr>
          <w:b/>
        </w:rPr>
        <w:t xml:space="preserve">Draft finding 9: </w:t>
      </w:r>
      <w:r>
        <w:t>ADR processes may not be sufficiently available for disputes about licence fee pricing.</w:t>
      </w:r>
    </w:p>
    <w:p w14:paraId="14E4C01F" w14:textId="65986A62"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Pr>
          <w:b/>
        </w:rPr>
        <w:t>Draft recommendation 12</w:t>
      </w:r>
      <w:r w:rsidRPr="00A02224">
        <w:rPr>
          <w:b/>
        </w:rPr>
        <w:t>:</w:t>
      </w:r>
      <w:r>
        <w:t xml:space="preserve"> Amend the Code to include a new </w:t>
      </w:r>
      <w:r w:rsidR="007E7021">
        <w:t>clause </w:t>
      </w:r>
      <w:r>
        <w:t>which provides that a collecting society may not unreasonably refuse a request from a licensee to engage in an ADR process in respect to a dispute over licence fee pricing.</w:t>
      </w:r>
    </w:p>
    <w:p w14:paraId="26AB10CC" w14:textId="77777777" w:rsidR="004B4BEB" w:rsidRDefault="004B4BEB" w:rsidP="004B4BEB">
      <w:pPr>
        <w:pBdr>
          <w:top w:val="single" w:sz="4" w:space="1" w:color="auto"/>
          <w:left w:val="single" w:sz="4" w:space="4" w:color="auto"/>
          <w:bottom w:val="single" w:sz="4" w:space="1" w:color="auto"/>
          <w:right w:val="single" w:sz="4" w:space="4" w:color="auto"/>
        </w:pBdr>
        <w:shd w:val="clear" w:color="auto" w:fill="D6F2FA"/>
        <w:rPr>
          <w:sz w:val="20"/>
          <w:szCs w:val="20"/>
        </w:rPr>
      </w:pPr>
      <w:r w:rsidRPr="00A4127A">
        <w:rPr>
          <w:b/>
        </w:rPr>
        <w:t xml:space="preserve">Draft </w:t>
      </w:r>
      <w:r>
        <w:rPr>
          <w:b/>
        </w:rPr>
        <w:t>f</w:t>
      </w:r>
      <w:r w:rsidRPr="00A4127A">
        <w:rPr>
          <w:b/>
        </w:rPr>
        <w:t xml:space="preserve">inding </w:t>
      </w:r>
      <w:r>
        <w:rPr>
          <w:b/>
        </w:rPr>
        <w:t>10</w:t>
      </w:r>
      <w:r w:rsidRPr="00A4127A">
        <w:rPr>
          <w:b/>
        </w:rPr>
        <w:t>:</w:t>
      </w:r>
      <w:r>
        <w:t xml:space="preserve"> </w:t>
      </w:r>
      <w:r w:rsidRPr="000D7EBD">
        <w:t>Communicating outcomes from</w:t>
      </w:r>
      <w:r>
        <w:t xml:space="preserve"> the annual review of the collecting societies’ compliance with the Code needs to be improved.</w:t>
      </w:r>
    </w:p>
    <w:p w14:paraId="0BB02A0B" w14:textId="7536FC1B"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Pr>
          <w:b/>
        </w:rPr>
        <w:t>Draft r</w:t>
      </w:r>
      <w:r w:rsidRPr="00991F9A">
        <w:rPr>
          <w:b/>
        </w:rPr>
        <w:t>ecommendation</w:t>
      </w:r>
      <w:r>
        <w:rPr>
          <w:b/>
        </w:rPr>
        <w:t xml:space="preserve"> 13</w:t>
      </w:r>
      <w:r w:rsidRPr="00A02224">
        <w:rPr>
          <w:b/>
        </w:rPr>
        <w:t>:</w:t>
      </w:r>
      <w:r>
        <w:t xml:space="preserve"> </w:t>
      </w:r>
      <w:r w:rsidRPr="009F5A12">
        <w:rPr>
          <w:b/>
        </w:rPr>
        <w:t xml:space="preserve">Amend </w:t>
      </w:r>
      <w:r w:rsidR="007E7021">
        <w:rPr>
          <w:b/>
        </w:rPr>
        <w:t>clause </w:t>
      </w:r>
      <w:r w:rsidRPr="009F5A12">
        <w:rPr>
          <w:b/>
        </w:rPr>
        <w:t>5.2</w:t>
      </w:r>
      <w:r w:rsidRPr="000D7EBD">
        <w:t xml:space="preserve"> to require the collecting societies bound by the Code to report on their compliance with each of clauses 2.1</w:t>
      </w:r>
      <w:r>
        <w:t>—</w:t>
      </w:r>
      <w:r w:rsidRPr="000D7EBD">
        <w:t xml:space="preserve">2.8 of the Code (and 2.9 of the Code for declared collecting societies) in their annual compliance report to the Code Reviewer pursuant to </w:t>
      </w:r>
      <w:r w:rsidR="007E7021">
        <w:t>clause </w:t>
      </w:r>
      <w:r w:rsidRPr="000D7EBD">
        <w:t>5.2(b) of the Code.</w:t>
      </w:r>
    </w:p>
    <w:p w14:paraId="0049A9DD" w14:textId="472F3801"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sidRPr="00A4127A">
        <w:rPr>
          <w:b/>
        </w:rPr>
        <w:t>Draft recommendation</w:t>
      </w:r>
      <w:r>
        <w:rPr>
          <w:b/>
        </w:rPr>
        <w:t xml:space="preserve"> 14</w:t>
      </w:r>
      <w:r w:rsidRPr="00A4127A">
        <w:rPr>
          <w:b/>
        </w:rPr>
        <w:t>:</w:t>
      </w:r>
      <w:r>
        <w:t xml:space="preserve"> </w:t>
      </w:r>
      <w:r w:rsidRPr="009F5A12">
        <w:rPr>
          <w:b/>
        </w:rPr>
        <w:t xml:space="preserve">Amend </w:t>
      </w:r>
      <w:r w:rsidR="007E7021">
        <w:rPr>
          <w:b/>
        </w:rPr>
        <w:t>clause </w:t>
      </w:r>
      <w:r w:rsidRPr="009F5A12">
        <w:rPr>
          <w:b/>
        </w:rPr>
        <w:t>5.2(b)</w:t>
      </w:r>
      <w:r w:rsidRPr="00842D1F">
        <w:t xml:space="preserve"> of the Code to require annual compliance reports prepared by the collecting societies for submission to the Code Reviewer to be made public; where such reports include confidential or commercial-in-confidence information, or otherwise includes information which identifies individual members or licensees, such information is to be redacted before publication.</w:t>
      </w:r>
    </w:p>
    <w:p w14:paraId="250629CD" w14:textId="77777777"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sidRPr="00F032B2">
        <w:rPr>
          <w:b/>
        </w:rPr>
        <w:t xml:space="preserve">Draft </w:t>
      </w:r>
      <w:r>
        <w:rPr>
          <w:b/>
        </w:rPr>
        <w:t>f</w:t>
      </w:r>
      <w:r w:rsidRPr="00F032B2">
        <w:rPr>
          <w:b/>
        </w:rPr>
        <w:t xml:space="preserve">inding </w:t>
      </w:r>
      <w:r>
        <w:rPr>
          <w:b/>
        </w:rPr>
        <w:t>11</w:t>
      </w:r>
      <w:r w:rsidRPr="00F032B2">
        <w:rPr>
          <w:b/>
        </w:rPr>
        <w:t>:</w:t>
      </w:r>
      <w:r w:rsidRPr="00F032B2">
        <w:t xml:space="preserve"> </w:t>
      </w:r>
      <w:r w:rsidRPr="00747F45">
        <w:t>There should be improved communication around</w:t>
      </w:r>
      <w:r>
        <w:t xml:space="preserve"> non-compliance with the Code</w:t>
      </w:r>
      <w:r w:rsidRPr="00747F45">
        <w:t>.</w:t>
      </w:r>
    </w:p>
    <w:p w14:paraId="787E5EE2" w14:textId="77777777" w:rsidR="004B4BEB" w:rsidRPr="00A4127A" w:rsidRDefault="004B4BEB" w:rsidP="004B4BEB">
      <w:pPr>
        <w:pBdr>
          <w:top w:val="single" w:sz="4" w:space="1" w:color="auto"/>
          <w:left w:val="single" w:sz="4" w:space="4" w:color="auto"/>
          <w:bottom w:val="single" w:sz="4" w:space="1" w:color="auto"/>
          <w:right w:val="single" w:sz="4" w:space="4" w:color="auto"/>
        </w:pBdr>
        <w:shd w:val="clear" w:color="auto" w:fill="D6F2FA"/>
        <w:spacing w:before="240" w:after="160" w:line="259" w:lineRule="auto"/>
        <w:rPr>
          <w:b/>
        </w:rPr>
      </w:pPr>
      <w:r w:rsidRPr="00A4127A">
        <w:rPr>
          <w:b/>
        </w:rPr>
        <w:t xml:space="preserve">Draft recommendation </w:t>
      </w:r>
      <w:r>
        <w:rPr>
          <w:b/>
        </w:rPr>
        <w:t>15</w:t>
      </w:r>
      <w:r w:rsidRPr="00A4127A">
        <w:rPr>
          <w:b/>
        </w:rPr>
        <w:t xml:space="preserve">: </w:t>
      </w:r>
      <w:r w:rsidRPr="00A4127A">
        <w:t>Amend Code to require collecting societies to notify members / licensees when they have breached the Code, options include:</w:t>
      </w:r>
    </w:p>
    <w:p w14:paraId="230B0248" w14:textId="77777777" w:rsidR="004B4BEB" w:rsidRPr="008617C8" w:rsidRDefault="004B4BEB" w:rsidP="007E7021">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6F2FA"/>
        <w:tabs>
          <w:tab w:val="clear" w:pos="567"/>
        </w:tabs>
        <w:spacing w:after="240"/>
      </w:pPr>
      <w:r>
        <w:t>Real time notification</w:t>
      </w:r>
      <w:r w:rsidRPr="008617C8">
        <w:t xml:space="preserve"> of contravention of Code published on the collecting societies’ websites</w:t>
      </w:r>
    </w:p>
    <w:p w14:paraId="7863597F" w14:textId="77777777" w:rsidR="004B4BEB" w:rsidRPr="008617C8" w:rsidRDefault="004B4BEB" w:rsidP="007E7021">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6F2FA"/>
        <w:tabs>
          <w:tab w:val="clear" w:pos="567"/>
        </w:tabs>
        <w:spacing w:after="240"/>
      </w:pPr>
      <w:r w:rsidRPr="008617C8">
        <w:t>Report of any contraventions in Code itemised in collecting societies’ annual reports</w:t>
      </w:r>
    </w:p>
    <w:p w14:paraId="166D5912" w14:textId="77777777" w:rsidR="004B4BEB" w:rsidRPr="008617C8" w:rsidRDefault="004B4BEB" w:rsidP="007E7021">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6F2FA"/>
        <w:tabs>
          <w:tab w:val="clear" w:pos="567"/>
        </w:tabs>
        <w:spacing w:after="240"/>
      </w:pPr>
      <w:r w:rsidRPr="008617C8">
        <w:t>Report on dedicated online portal for Code compliance and governance materials.</w:t>
      </w:r>
    </w:p>
    <w:p w14:paraId="7BFECBCC" w14:textId="77777777"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sidRPr="00F032B2">
        <w:rPr>
          <w:b/>
        </w:rPr>
        <w:t>Draft recommendation</w:t>
      </w:r>
      <w:r>
        <w:rPr>
          <w:b/>
        </w:rPr>
        <w:t xml:space="preserve"> 16</w:t>
      </w:r>
      <w:r w:rsidRPr="00F032B2">
        <w:rPr>
          <w:b/>
        </w:rPr>
        <w:t>:</w:t>
      </w:r>
      <w:r w:rsidRPr="00F032B2">
        <w:t xml:space="preserve"> </w:t>
      </w:r>
      <w:r w:rsidRPr="00A4127A">
        <w:t>Amend</w:t>
      </w:r>
      <w:r>
        <w:t xml:space="preserve"> the</w:t>
      </w:r>
      <w:r w:rsidRPr="00A4127A">
        <w:t xml:space="preserve"> Code to require collecting societies to establish and maintain a contraventions register to record all historical and future contraventions of the Code.</w:t>
      </w:r>
    </w:p>
    <w:p w14:paraId="78DD3D27" w14:textId="77777777"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sidRPr="00A4127A">
        <w:rPr>
          <w:b/>
        </w:rPr>
        <w:t xml:space="preserve">Draft </w:t>
      </w:r>
      <w:r>
        <w:rPr>
          <w:b/>
        </w:rPr>
        <w:t>f</w:t>
      </w:r>
      <w:r w:rsidRPr="00A4127A">
        <w:rPr>
          <w:b/>
        </w:rPr>
        <w:t xml:space="preserve">inding </w:t>
      </w:r>
      <w:r>
        <w:rPr>
          <w:b/>
        </w:rPr>
        <w:t>12</w:t>
      </w:r>
      <w:r w:rsidRPr="00A4127A">
        <w:rPr>
          <w:b/>
        </w:rPr>
        <w:t>:</w:t>
      </w:r>
      <w:r>
        <w:t xml:space="preserve"> </w:t>
      </w:r>
      <w:r w:rsidRPr="009E21D1">
        <w:t>The processes for implementing amendments to the Code need to be improved.</w:t>
      </w:r>
    </w:p>
    <w:p w14:paraId="5A7FFEAC" w14:textId="77777777" w:rsidR="004B4BEB" w:rsidRPr="007D4377" w:rsidRDefault="004B4BEB" w:rsidP="004B4BEB">
      <w:pPr>
        <w:pBdr>
          <w:top w:val="single" w:sz="4" w:space="1" w:color="auto"/>
          <w:left w:val="single" w:sz="4" w:space="4" w:color="auto"/>
          <w:bottom w:val="single" w:sz="4" w:space="1" w:color="auto"/>
          <w:right w:val="single" w:sz="4" w:space="4" w:color="auto"/>
        </w:pBdr>
        <w:shd w:val="clear" w:color="auto" w:fill="D6F2FA"/>
        <w:spacing w:after="0"/>
        <w:ind w:left="567" w:hanging="567"/>
      </w:pPr>
      <w:r w:rsidRPr="00001B30">
        <w:rPr>
          <w:b/>
        </w:rPr>
        <w:t xml:space="preserve">Draft recommendation </w:t>
      </w:r>
      <w:r>
        <w:rPr>
          <w:b/>
        </w:rPr>
        <w:t>17</w:t>
      </w:r>
      <w:r w:rsidRPr="00A02224">
        <w:rPr>
          <w:b/>
        </w:rPr>
        <w:t>:</w:t>
      </w:r>
      <w:r w:rsidRPr="00001B30">
        <w:t xml:space="preserve"> </w:t>
      </w:r>
      <w:r w:rsidRPr="007D4377">
        <w:t>Amend Code to provide procedural steps for:</w:t>
      </w:r>
    </w:p>
    <w:p w14:paraId="7B59EFE9" w14:textId="77777777" w:rsidR="004B4BEB" w:rsidRPr="008617C8" w:rsidRDefault="004B4BEB" w:rsidP="003127E8">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6F2FA"/>
        <w:tabs>
          <w:tab w:val="clear" w:pos="567"/>
        </w:tabs>
        <w:spacing w:after="240"/>
      </w:pPr>
      <w:r w:rsidRPr="008617C8">
        <w:t>requiring collecting societies to consider recommendations of Triennial Code Reviewer to make certain amendments to the Code within a specified time frame, including voting on whether to adopt recommendations</w:t>
      </w:r>
    </w:p>
    <w:p w14:paraId="4455BF45" w14:textId="77777777" w:rsidR="004B4BEB" w:rsidRPr="008617C8" w:rsidRDefault="004B4BEB" w:rsidP="003127E8">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6F2FA"/>
        <w:tabs>
          <w:tab w:val="clear" w:pos="567"/>
        </w:tabs>
        <w:spacing w:after="240"/>
      </w:pPr>
      <w:r w:rsidRPr="008617C8">
        <w:t>updating the Code to reflect the agreed amendments within a specified time frame (for example within 60 days)</w:t>
      </w:r>
    </w:p>
    <w:p w14:paraId="28979D33" w14:textId="77777777" w:rsidR="004B4BEB" w:rsidRPr="008617C8" w:rsidRDefault="004B4BEB" w:rsidP="003127E8">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6F2FA"/>
        <w:tabs>
          <w:tab w:val="clear" w:pos="567"/>
        </w:tabs>
        <w:spacing w:after="240"/>
      </w:pPr>
      <w:r w:rsidRPr="008617C8">
        <w:t>advising affected stakeholders of the amendments to the Code, including plain English explanation of impact of amendments, and</w:t>
      </w:r>
    </w:p>
    <w:p w14:paraId="5B766CEA" w14:textId="77777777" w:rsidR="004B4BEB" w:rsidRPr="008617C8" w:rsidRDefault="004B4BEB" w:rsidP="003127E8">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6F2FA"/>
        <w:tabs>
          <w:tab w:val="clear" w:pos="567"/>
        </w:tabs>
        <w:spacing w:after="240"/>
      </w:pPr>
      <w:r w:rsidRPr="008617C8">
        <w:t>Reporting to the Triennial Code Reviewer on amendments made to the Code, including advising where any recommendation of the Triennial Code Reviewer as to amendment to the Code was not adopted, and the reason/s why.</w:t>
      </w:r>
    </w:p>
    <w:p w14:paraId="693D4078" w14:textId="471D05EA"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sidRPr="00A4127A">
        <w:rPr>
          <w:b/>
        </w:rPr>
        <w:t xml:space="preserve">Draft </w:t>
      </w:r>
      <w:r>
        <w:rPr>
          <w:b/>
        </w:rPr>
        <w:t>f</w:t>
      </w:r>
      <w:r w:rsidRPr="00A4127A">
        <w:rPr>
          <w:b/>
        </w:rPr>
        <w:t xml:space="preserve">inding </w:t>
      </w:r>
      <w:r>
        <w:rPr>
          <w:b/>
        </w:rPr>
        <w:t>13</w:t>
      </w:r>
      <w:r w:rsidRPr="00A4127A">
        <w:rPr>
          <w:b/>
        </w:rPr>
        <w:t>:</w:t>
      </w:r>
      <w:r>
        <w:t xml:space="preserve"> Collecting societies should consult with affected stakeholders when considering amendments to the Code, </w:t>
      </w:r>
      <w:r w:rsidRPr="00CF4811">
        <w:t xml:space="preserve">to ensure confidence in </w:t>
      </w:r>
      <w:r w:rsidR="005E355D">
        <w:t xml:space="preserve">the </w:t>
      </w:r>
      <w:r w:rsidRPr="00CF4811">
        <w:t>review system.</w:t>
      </w:r>
    </w:p>
    <w:p w14:paraId="6DDF3846" w14:textId="77777777"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sidRPr="00001B30">
        <w:rPr>
          <w:b/>
        </w:rPr>
        <w:t>Draft recommendation</w:t>
      </w:r>
      <w:r>
        <w:rPr>
          <w:b/>
        </w:rPr>
        <w:t xml:space="preserve"> 18</w:t>
      </w:r>
      <w:r w:rsidRPr="00A02224">
        <w:rPr>
          <w:b/>
        </w:rPr>
        <w:t>:</w:t>
      </w:r>
      <w:r w:rsidRPr="00001B30">
        <w:t xml:space="preserve"> </w:t>
      </w:r>
      <w:r w:rsidRPr="0034728F">
        <w:t xml:space="preserve">Amend </w:t>
      </w:r>
      <w:r w:rsidRPr="007D4377">
        <w:t xml:space="preserve">the </w:t>
      </w:r>
      <w:r w:rsidRPr="0034728F">
        <w:t xml:space="preserve">Code to </w:t>
      </w:r>
      <w:r w:rsidRPr="007D4377">
        <w:t>specify</w:t>
      </w:r>
      <w:r w:rsidRPr="0034728F">
        <w:t xml:space="preserve"> that</w:t>
      </w:r>
      <w:r w:rsidRPr="007D4377">
        <w:t>, in circumstances where the collecting societies wish to make an amendment to the Code absent a specific recommendation made pursuant to the triennial review process, such</w:t>
      </w:r>
      <w:r w:rsidRPr="0034728F">
        <w:t xml:space="preserve"> amendments </w:t>
      </w:r>
      <w:r w:rsidRPr="007D4377">
        <w:t xml:space="preserve">are to </w:t>
      </w:r>
      <w:r w:rsidRPr="0034728F">
        <w:t xml:space="preserve">be </w:t>
      </w:r>
      <w:r w:rsidRPr="007D4377">
        <w:t>made</w:t>
      </w:r>
      <w:r w:rsidRPr="0034728F">
        <w:t xml:space="preserve"> in a transparent manner and subject to consultation with licensees and members.</w:t>
      </w:r>
    </w:p>
    <w:p w14:paraId="277EB8DD" w14:textId="77777777"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sidRPr="00A4127A">
        <w:rPr>
          <w:b/>
        </w:rPr>
        <w:t xml:space="preserve">Draft </w:t>
      </w:r>
      <w:r>
        <w:rPr>
          <w:b/>
        </w:rPr>
        <w:t>f</w:t>
      </w:r>
      <w:r w:rsidRPr="00A4127A">
        <w:rPr>
          <w:b/>
        </w:rPr>
        <w:t xml:space="preserve">inding </w:t>
      </w:r>
      <w:r>
        <w:rPr>
          <w:b/>
        </w:rPr>
        <w:t>14</w:t>
      </w:r>
      <w:r w:rsidRPr="00A4127A">
        <w:rPr>
          <w:b/>
        </w:rPr>
        <w:t>:</w:t>
      </w:r>
      <w:r>
        <w:t xml:space="preserve"> The annual r</w:t>
      </w:r>
      <w:r w:rsidRPr="00C362FA">
        <w:t>eview of</w:t>
      </w:r>
      <w:r>
        <w:t xml:space="preserve"> collecting societies’</w:t>
      </w:r>
      <w:r w:rsidRPr="00C362FA">
        <w:t xml:space="preserve"> compliance with the Code and the triennial review </w:t>
      </w:r>
      <w:r>
        <w:t xml:space="preserve">of the operation of the Code itself </w:t>
      </w:r>
      <w:r w:rsidRPr="00C362FA">
        <w:t>should be conducted by separate parties.</w:t>
      </w:r>
    </w:p>
    <w:p w14:paraId="4386AB42" w14:textId="77777777" w:rsidR="004B4BEB" w:rsidRDefault="004B4BEB" w:rsidP="004B4BEB">
      <w:pPr>
        <w:pBdr>
          <w:top w:val="single" w:sz="4" w:space="1" w:color="auto"/>
          <w:left w:val="single" w:sz="4" w:space="4" w:color="auto"/>
          <w:bottom w:val="single" w:sz="4" w:space="1" w:color="auto"/>
          <w:right w:val="single" w:sz="4" w:space="4" w:color="auto"/>
        </w:pBdr>
        <w:shd w:val="clear" w:color="auto" w:fill="D6F2FA"/>
      </w:pPr>
      <w:r>
        <w:rPr>
          <w:b/>
        </w:rPr>
        <w:t>Draft recommendation 19</w:t>
      </w:r>
      <w:r w:rsidRPr="00A02224">
        <w:rPr>
          <w:b/>
        </w:rPr>
        <w:t xml:space="preserve">: </w:t>
      </w:r>
      <w:r w:rsidRPr="00E84FA6">
        <w:t>The Code should be amended to separate the administration of the annual review of compliance by collecting societies with the Code from the triennial review of the operation of the Code itself. The annual review would remain with Code Reviewer, but the triennial review would be conducted by a separate independent body/expert. An advisory body could be set up for the review with representatives from a range of stakeholders.</w:t>
      </w:r>
    </w:p>
    <w:p w14:paraId="2064ECED" w14:textId="0310DAD9" w:rsidR="004B4BEB" w:rsidRPr="00B26773" w:rsidRDefault="004B4BEB" w:rsidP="004B4BEB">
      <w:pPr>
        <w:pBdr>
          <w:top w:val="single" w:sz="4" w:space="1" w:color="auto"/>
          <w:left w:val="single" w:sz="4" w:space="4" w:color="auto"/>
          <w:bottom w:val="single" w:sz="4" w:space="1" w:color="auto"/>
          <w:right w:val="single" w:sz="4" w:space="4" w:color="auto"/>
        </w:pBdr>
        <w:shd w:val="clear" w:color="auto" w:fill="D6F2FA"/>
      </w:pPr>
      <w:r>
        <w:rPr>
          <w:b/>
        </w:rPr>
        <w:t>Draft r</w:t>
      </w:r>
      <w:r w:rsidRPr="009B7F75">
        <w:rPr>
          <w:b/>
        </w:rPr>
        <w:t>ecommendation</w:t>
      </w:r>
      <w:r>
        <w:rPr>
          <w:b/>
        </w:rPr>
        <w:t xml:space="preserve"> 20</w:t>
      </w:r>
      <w:r w:rsidRPr="00A02224">
        <w:rPr>
          <w:b/>
        </w:rPr>
        <w:t>:</w:t>
      </w:r>
      <w:r>
        <w:t xml:space="preserve"> Amend </w:t>
      </w:r>
      <w:r w:rsidRPr="007D4377">
        <w:t>the Code to require collecting societies to provide information to the Code Reviewer on steps taken to improve the capture and exploitation of data to achieve better business practices, to be assessed in the Code Reviewer</w:t>
      </w:r>
      <w:r w:rsidR="00E46B7E">
        <w:t>’</w:t>
      </w:r>
      <w:r w:rsidRPr="007D4377">
        <w:t>s annual report on compliance with the Code by the collecting societies.</w:t>
      </w:r>
    </w:p>
    <w:p w14:paraId="5AE213CB" w14:textId="411A69EC" w:rsidR="004B4BEB" w:rsidRDefault="004B4BEB">
      <w:pPr>
        <w:spacing w:after="160" w:line="259" w:lineRule="auto"/>
      </w:pPr>
      <w:r>
        <w:br w:type="page"/>
      </w:r>
    </w:p>
    <w:p w14:paraId="13036937" w14:textId="77777777" w:rsidR="007E7021" w:rsidRDefault="007E7021" w:rsidP="007E7021">
      <w:pPr>
        <w:pStyle w:val="Heading2"/>
      </w:pPr>
      <w:bookmarkStart w:id="56" w:name="_Toc501010952"/>
      <w:bookmarkStart w:id="57" w:name="_Toc504392998"/>
      <w:bookmarkStart w:id="58" w:name="_Toc506373255"/>
      <w:r>
        <w:t>Clarifying the Code’s role and purpose</w:t>
      </w:r>
      <w:bookmarkEnd w:id="56"/>
      <w:bookmarkEnd w:id="57"/>
      <w:bookmarkEnd w:id="58"/>
    </w:p>
    <w:p w14:paraId="04E8237F" w14:textId="77777777" w:rsidR="007E7021" w:rsidRDefault="007E7021" w:rsidP="007E7021">
      <w:r>
        <w:t>While the introduction of the Code has resulted in positive outcomes for licensees and members, this review has identified that the role of the Code is not well understood by all stakeholders. There is also a diversity of views as to what its purpose is, and what its objectives should be.</w:t>
      </w:r>
    </w:p>
    <w:p w14:paraId="58A681AC" w14:textId="77777777" w:rsidR="007E7021" w:rsidRDefault="007E7021" w:rsidP="007E7021">
      <w:r>
        <w:t>The preamble to the Code provides the background to the Code’s introduction, recognising the role of collecting societies in facilitating the production and use of creative works and resources. It sets out the criteria the collecting societies should aspire to, including that they should be responsive to the needs of members and licensees, be transparent in their operations and achieve efficiency in distribution. In turn it also sets out the expectations of the collecting societies themselves, that users of copyright materials will respect the rights of creators.</w:t>
      </w:r>
    </w:p>
    <w:p w14:paraId="06C988B7" w14:textId="77777777" w:rsidR="007E7021" w:rsidRDefault="007E7021" w:rsidP="007E7021">
      <w:r>
        <w:t>Since the Code’s introduction in 2002, the Australian Competition and Consumer Commission (ACCC) has introduced guidelines for developing effective voluntary industry codes. The ACCC’s guidelines state that the purpose of a voluntary code should be clear, with objectives that explain to stakeholders and any interested party why the voluntary code was established and what it intends to achieve.</w:t>
      </w:r>
      <w:r>
        <w:rPr>
          <w:rStyle w:val="EndnoteReference"/>
        </w:rPr>
        <w:endnoteReference w:id="2"/>
      </w:r>
    </w:p>
    <w:p w14:paraId="7C8E972A" w14:textId="77777777" w:rsidR="007E7021" w:rsidRDefault="007E7021" w:rsidP="007E7021">
      <w:r>
        <w:t>This guidance is important because the voluntary nature of such industry codes means that they need to provide sufficient clarity as to the outcomes sought. This review has provided the opportunity to assess the extent to which the Code meets the expectations set out in the ACCC guidelines.</w:t>
      </w:r>
    </w:p>
    <w:p w14:paraId="054A196D" w14:textId="77777777" w:rsidR="007E7021" w:rsidRDefault="007E7021" w:rsidP="007E7021">
      <w:r>
        <w:t>As it stands the Code does not reference the reason for its introduction. It became evident during the course of the review that the outcomes to be achieved under the Code could also be stated more clearly. This would provide a clearer benchmark to assess the collecting societies for the annual and triennial Code reviews.</w:t>
      </w:r>
    </w:p>
    <w:p w14:paraId="06BE251F" w14:textId="77777777" w:rsidR="007E7021" w:rsidRDefault="007E7021" w:rsidP="007E7021">
      <w:pPr>
        <w:rPr>
          <w:rFonts w:eastAsiaTheme="minorHAnsi"/>
        </w:rPr>
      </w:pPr>
      <w:r>
        <w:t xml:space="preserve">In order to meet the standards in the ACCC guidelines, the rationale and objectives of the Code should be clarified to better reflect the importance of achieving efficient and equitable outcomes. This could include adding explanatory text to the Code to clarify that it was established to provide greater protections for both members and licensees, and to ensure that collecting societies operate efficiently, effectively and equitably. </w:t>
      </w:r>
      <w:r>
        <w:rPr>
          <w:rFonts w:eastAsiaTheme="minorHAnsi"/>
        </w:rPr>
        <w:t>In line with this an additional objective could be added to the Code to state that a key purpose is to support efficient and equitable outcomes.</w:t>
      </w:r>
    </w:p>
    <w:p w14:paraId="47A2C46B"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rPr>
          <w:b/>
        </w:rPr>
      </w:pPr>
      <w:r w:rsidRPr="00963B84">
        <w:rPr>
          <w:b/>
        </w:rPr>
        <w:t xml:space="preserve">Draft finding </w:t>
      </w:r>
      <w:r>
        <w:rPr>
          <w:b/>
        </w:rPr>
        <w:t>1</w:t>
      </w:r>
      <w:r w:rsidRPr="00963B84">
        <w:rPr>
          <w:b/>
        </w:rPr>
        <w:t xml:space="preserve">: </w:t>
      </w:r>
      <w:r w:rsidRPr="00CD12C5">
        <w:t>The rationale and objectives of the Code should be clarified to better reflect the importance of achieving efficient and equitable outcomes.</w:t>
      </w:r>
    </w:p>
    <w:p w14:paraId="4A561284"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rPr>
          <w:b/>
        </w:rPr>
      </w:pPr>
      <w:r w:rsidRPr="00963B84">
        <w:rPr>
          <w:b/>
        </w:rPr>
        <w:t xml:space="preserve">Draft recommendation </w:t>
      </w:r>
      <w:r>
        <w:rPr>
          <w:b/>
        </w:rPr>
        <w:t>1</w:t>
      </w:r>
      <w:r w:rsidRPr="00963B84">
        <w:rPr>
          <w:b/>
        </w:rPr>
        <w:t xml:space="preserve">: </w:t>
      </w:r>
      <w:r w:rsidRPr="00CD12C5">
        <w:t>Add explanatory</w:t>
      </w:r>
      <w:r w:rsidRPr="00CD12C5" w:rsidDel="007A22A2">
        <w:t xml:space="preserve"> </w:t>
      </w:r>
      <w:r w:rsidRPr="00CD12C5">
        <w:t>text to the Code to clarify that it was established to provide greater protections for both members and licensees, and to ensure that collecting societies operate efficiently, effectively and equitably.</w:t>
      </w:r>
    </w:p>
    <w:p w14:paraId="63111D08"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rPr>
          <w:rFonts w:eastAsiaTheme="minorHAnsi"/>
        </w:rPr>
      </w:pPr>
      <w:r>
        <w:rPr>
          <w:b/>
        </w:rPr>
        <w:t xml:space="preserve">Draft recommendation 2: </w:t>
      </w:r>
      <w:r w:rsidRPr="00CD12C5">
        <w:t>As a consequence of draft recommendation 1, the Code should be amended to incorporate an additional objective which states that the Code should support efficient and equitable outcomes.</w:t>
      </w:r>
    </w:p>
    <w:p w14:paraId="229395E6" w14:textId="77777777" w:rsidR="007E7021" w:rsidRDefault="007E7021" w:rsidP="007E7021">
      <w:r>
        <w:t>While the Code is the primary self-regulatory instrument for collecting societies in Australia, it forms just one part of a broader legal and regulatory framework which regulates the behaviour of these organisations.</w:t>
      </w:r>
    </w:p>
    <w:p w14:paraId="12EA51CE" w14:textId="77777777" w:rsidR="007E7021" w:rsidRDefault="007E7021" w:rsidP="007E7021">
      <w:r>
        <w:t>In addition to the Code, collecting societies are subject to a range of oversight including those under federal laws and international obligations (Figure 1).</w:t>
      </w:r>
    </w:p>
    <w:p w14:paraId="4250F69F" w14:textId="77777777" w:rsidR="007E7021" w:rsidRDefault="007E7021" w:rsidP="008219CD">
      <w:pPr>
        <w:pStyle w:val="Tablefigureheading"/>
        <w:keepLines/>
      </w:pPr>
      <w:bookmarkStart w:id="59" w:name="_Toc497741725"/>
      <w:bookmarkStart w:id="60" w:name="_Toc497750810"/>
      <w:bookmarkStart w:id="61" w:name="_Toc498524174"/>
      <w:bookmarkStart w:id="62" w:name="_Toc498613700"/>
      <w:bookmarkStart w:id="63" w:name="_Toc498685016"/>
      <w:bookmarkStart w:id="64" w:name="_Toc498691868"/>
      <w:bookmarkStart w:id="65" w:name="_Toc498695604"/>
      <w:bookmarkStart w:id="66" w:name="_Toc499302283"/>
      <w:bookmarkStart w:id="67" w:name="_Toc499558571"/>
      <w:bookmarkStart w:id="68" w:name="_Toc499823215"/>
      <w:bookmarkStart w:id="69" w:name="_Toc501010953"/>
      <w:bookmarkStart w:id="70" w:name="_Toc504392999"/>
      <w:bookmarkStart w:id="71" w:name="_Toc506371894"/>
      <w:r>
        <w:t>Figure 1: Regulatory framework for copyright collecting societies</w:t>
      </w:r>
      <w:bookmarkEnd w:id="59"/>
      <w:bookmarkEnd w:id="60"/>
      <w:bookmarkEnd w:id="61"/>
      <w:bookmarkEnd w:id="62"/>
      <w:bookmarkEnd w:id="63"/>
      <w:bookmarkEnd w:id="64"/>
      <w:bookmarkEnd w:id="65"/>
      <w:bookmarkEnd w:id="66"/>
      <w:bookmarkEnd w:id="67"/>
      <w:bookmarkEnd w:id="68"/>
      <w:bookmarkEnd w:id="69"/>
      <w:bookmarkEnd w:id="70"/>
      <w:bookmarkEnd w:id="71"/>
    </w:p>
    <w:p w14:paraId="371200BD" w14:textId="77777777" w:rsidR="007E7021" w:rsidRPr="00744C67" w:rsidRDefault="007E7021" w:rsidP="007E7021">
      <w:r w:rsidRPr="00024D3F">
        <w:rPr>
          <w:rFonts w:eastAsiaTheme="minorHAnsi"/>
          <w:iCs/>
          <w:noProof/>
          <w:lang w:eastAsia="en-AU" w:bidi="ar-SA"/>
        </w:rPr>
        <w:drawing>
          <wp:inline distT="0" distB="0" distL="0" distR="0" wp14:anchorId="2CFB652A" wp14:editId="4364BB33">
            <wp:extent cx="5731510" cy="3878580"/>
            <wp:effectExtent l="0" t="0" r="2540" b="7620"/>
            <wp:docPr id="7" name="Picture 7" descr="Figure 1 provides an illustration of how the Code of Conduct for Copyright Collecting Societies fits within the regulatory framework that applies to copyright collecting societies more broadly. The figure places the Code at the centre of a framework that includes external regulatory mechanism such as the Copyright Act and ACCC and competition law, and internal regulatory mechanisms such as collecting societies' corporate constitutions and distribution policies. The Code's position in the framework is to indicate that it sits in the middle of internal and external mechanisms, in that it is an external instrument but absorbed into collecting societies's behaviours and operations." title="Figure 1: Regulatory framework for copyright collecting socie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ay\AppData\Local\Microsoft\Windows\INetCache\Content.Outlook\TT46W7M2\Copyright code review diagram_v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878580"/>
                    </a:xfrm>
                    <a:prstGeom prst="rect">
                      <a:avLst/>
                    </a:prstGeom>
                    <a:noFill/>
                    <a:ln>
                      <a:noFill/>
                    </a:ln>
                  </pic:spPr>
                </pic:pic>
              </a:graphicData>
            </a:graphic>
          </wp:inline>
        </w:drawing>
      </w:r>
    </w:p>
    <w:p w14:paraId="48B3175F" w14:textId="77777777" w:rsidR="007E7021" w:rsidRDefault="007E7021" w:rsidP="007E7021"/>
    <w:p w14:paraId="199460A5" w14:textId="77777777" w:rsidR="007E7021" w:rsidRDefault="007E7021" w:rsidP="007E7021">
      <w:r>
        <w:t xml:space="preserve">Appendix C summarises </w:t>
      </w:r>
      <w:r w:rsidDel="0047371B">
        <w:t xml:space="preserve">the </w:t>
      </w:r>
      <w:r>
        <w:t>key regulatory instruments that apply to collecting societies in Australia.</w:t>
      </w:r>
    </w:p>
    <w:p w14:paraId="6C4C5834" w14:textId="4E5162B6" w:rsidR="007E7021" w:rsidRDefault="00644276" w:rsidP="007E7021">
      <w:r>
        <w:t xml:space="preserve">The </w:t>
      </w:r>
      <w:r w:rsidR="007E7021">
        <w:t>collecting societies bound by the Code</w:t>
      </w:r>
      <w:r>
        <w:t xml:space="preserve"> (with the exception of PPCA</w:t>
      </w:r>
      <w:r>
        <w:rPr>
          <w:rStyle w:val="EndnoteReference"/>
        </w:rPr>
        <w:endnoteReference w:id="3"/>
      </w:r>
      <w:r>
        <w:t>)</w:t>
      </w:r>
      <w:r w:rsidR="007E7021">
        <w:t xml:space="preserve"> are companies limited by guarantee and must comply with applicable provisions of the </w:t>
      </w:r>
      <w:r w:rsidR="007E7021" w:rsidRPr="00744C67">
        <w:rPr>
          <w:i/>
        </w:rPr>
        <w:t>Corporations Act 2001</w:t>
      </w:r>
      <w:r w:rsidR="007E7021">
        <w:t xml:space="preserve"> (Cth), </w:t>
      </w:r>
      <w:r w:rsidR="007E7021" w:rsidDel="00473E48">
        <w:t xml:space="preserve">and </w:t>
      </w:r>
      <w:r w:rsidR="007E7021">
        <w:t>a range</w:t>
      </w:r>
      <w:r w:rsidR="007E7021" w:rsidDel="0047371B">
        <w:t xml:space="preserve"> </w:t>
      </w:r>
      <w:r w:rsidR="007E7021">
        <w:t>of broader legal obligations set out in other legislation. These include privacy, fair trading and competition obligations.</w:t>
      </w:r>
      <w:r w:rsidR="007E7021">
        <w:rPr>
          <w:rStyle w:val="EndnoteReference"/>
        </w:rPr>
        <w:endnoteReference w:id="4"/>
      </w:r>
      <w:r w:rsidR="007E7021">
        <w:t xml:space="preserve"> Collecting societies must also adhere to obligations set out in numerous international treaties, and reciprocal agreements between international collective management organisations (CMOs) and their affiliates.</w:t>
      </w:r>
    </w:p>
    <w:p w14:paraId="47E0C0EB" w14:textId="77777777" w:rsidR="007E7021" w:rsidRDefault="007E7021" w:rsidP="007E7021">
      <w:r>
        <w:t xml:space="preserve">The two declared collecting societies, Copyright Agency and Screenrights, must also comply with legislative provisions in the </w:t>
      </w:r>
      <w:r>
        <w:rPr>
          <w:i/>
        </w:rPr>
        <w:t>Copyright Act 1968</w:t>
      </w:r>
      <w:r>
        <w:t xml:space="preserve"> and the </w:t>
      </w:r>
      <w:r>
        <w:rPr>
          <w:i/>
        </w:rPr>
        <w:t>Copyright Regulations 1969</w:t>
      </w:r>
      <w:r>
        <w:t xml:space="preserve"> that establish their role as administrators of statutory licensing schemes,</w:t>
      </w:r>
      <w:r w:rsidDel="00D45C5A">
        <w:t xml:space="preserve"> as </w:t>
      </w:r>
      <w:r>
        <w:t>clarified</w:t>
      </w:r>
      <w:r w:rsidDel="0047371B">
        <w:t xml:space="preserve"> </w:t>
      </w:r>
      <w:r>
        <w:t xml:space="preserve">by the </w:t>
      </w:r>
      <w:r w:rsidRPr="00494E51">
        <w:rPr>
          <w:i/>
        </w:rPr>
        <w:t xml:space="preserve">Guidelines for Declaration of Collecting Societies </w:t>
      </w:r>
      <w:r w:rsidRPr="00494E51">
        <w:t>(2001). These legislative</w:t>
      </w:r>
      <w:r>
        <w:t xml:space="preserve"> provisions require</w:t>
      </w:r>
      <w:r w:rsidDel="00D45C5A">
        <w:t xml:space="preserve"> </w:t>
      </w:r>
      <w:r>
        <w:t>declared collecting societies to meet higher standards in their operations, such as ensuring their administrative costs are reasonable and their trust funds are handled appropriately.</w:t>
      </w:r>
    </w:p>
    <w:p w14:paraId="1455E54B" w14:textId="77777777" w:rsidR="007E7021" w:rsidRDefault="007E7021" w:rsidP="007E7021">
      <w:r>
        <w:t>Beyond</w:t>
      </w:r>
      <w:r w:rsidDel="00897786">
        <w:t xml:space="preserve"> </w:t>
      </w:r>
      <w:r>
        <w:t>these regulatory obligations, some collecting societies subject themselves to additional oversight. APRA AMCOS, for example, submits its operational arrangements to the ACCC to</w:t>
      </w:r>
      <w:r w:rsidDel="00897786">
        <w:t xml:space="preserve"> </w:t>
      </w:r>
      <w:r>
        <w:t xml:space="preserve">obtain authorisation to offer exclusive licences that may otherwise give rise to competition issues under the </w:t>
      </w:r>
      <w:r>
        <w:rPr>
          <w:i/>
        </w:rPr>
        <w:t>Competition and Consumer Act 2010</w:t>
      </w:r>
      <w:r>
        <w:t>.</w:t>
      </w:r>
    </w:p>
    <w:p w14:paraId="3E4A33A1" w14:textId="77777777" w:rsidR="007E7021" w:rsidRDefault="007E7021" w:rsidP="007E7021">
      <w:r>
        <w:t>A number of submissions observed</w:t>
      </w:r>
      <w:r w:rsidDel="00F04DF7">
        <w:t xml:space="preserve"> a</w:t>
      </w:r>
      <w:r>
        <w:t xml:space="preserve"> degree of confusion as to the role the Code plays in the administration of copyright, and the extent to which it overlaps with other regulatory instruments in doing so.</w:t>
      </w:r>
      <w:r>
        <w:rPr>
          <w:rStyle w:val="EndnoteReference"/>
        </w:rPr>
        <w:endnoteReference w:id="5"/>
      </w:r>
      <w:r>
        <w:t xml:space="preserve"> For example, it is not the role of the Code or Code Reviewer to hear disputes regarding the setting of licence fees. This is the role of the Copyright Tribunal, an independent body empowered under the </w:t>
      </w:r>
      <w:r w:rsidRPr="00D66325">
        <w:rPr>
          <w:i/>
        </w:rPr>
        <w:t>Copyright Act 1968</w:t>
      </w:r>
      <w:r>
        <w:t xml:space="preserve"> to hear disputes and make binding decisions relating to licence fees, licence schemes, distribution arrangements or conditions imposed by collecting societies.</w:t>
      </w:r>
    </w:p>
    <w:p w14:paraId="3FAB88F8" w14:textId="77777777" w:rsidR="007E7021" w:rsidRDefault="007E7021" w:rsidP="007E7021">
      <w:r>
        <w:t>Participants indicated that they would like a clear understanding of the scope of the Code, with a particular focus on clarifying the role of the Code in assessing disputes that fall within the Copyright Tribunal’s jurisdiction.</w:t>
      </w:r>
    </w:p>
    <w:p w14:paraId="32B277FF" w14:textId="77777777" w:rsidR="007E7021" w:rsidRDefault="007E7021" w:rsidP="007E7021">
      <w:r>
        <w:t xml:space="preserve">The Code is a self-regulatory tool which seeks to promote confidence in the collective administration of copyright in Australia by providing minimum standards </w:t>
      </w:r>
      <w:r w:rsidRPr="00854664">
        <w:t>of transparency, accountability, good governance and effective stakeholder communications</w:t>
      </w:r>
      <w:r w:rsidRPr="00854664" w:rsidDel="00540E57">
        <w:t xml:space="preserve"> for collecting societies.</w:t>
      </w:r>
      <w:r>
        <w:t xml:space="preserve"> While the Code should provide incentives for fair and efficient outcomes, it is not the role of the Code to comprehensively prescribe all rules and obligations governing copyright collecting societies as other </w:t>
      </w:r>
      <w:r w:rsidDel="0047371B">
        <w:t xml:space="preserve">regulatory </w:t>
      </w:r>
      <w:r>
        <w:t>instruments provide specific guidance and detail on various aspects of the collective management system.</w:t>
      </w:r>
    </w:p>
    <w:p w14:paraId="03B24CAE" w14:textId="77777777" w:rsidR="007E7021" w:rsidRDefault="007E7021" w:rsidP="007E7021">
      <w:r>
        <w:t>However the Code could benefit from explanatory text to explain its role versus other regulatory instruments.</w:t>
      </w:r>
    </w:p>
    <w:p w14:paraId="6A3456EC"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rPr>
          <w:b/>
        </w:rPr>
      </w:pPr>
      <w:r w:rsidRPr="00963B84">
        <w:rPr>
          <w:b/>
        </w:rPr>
        <w:t xml:space="preserve">Draft finding </w:t>
      </w:r>
      <w:r>
        <w:rPr>
          <w:b/>
        </w:rPr>
        <w:t>2</w:t>
      </w:r>
      <w:r w:rsidRPr="00963B84">
        <w:rPr>
          <w:b/>
        </w:rPr>
        <w:t xml:space="preserve">: </w:t>
      </w:r>
      <w:r w:rsidRPr="00CD12C5">
        <w:t>The role of the Code in the broader regulatory framework needs to be clarified given the range of instruments that regulate copyright collecting societies</w:t>
      </w:r>
      <w:r w:rsidRPr="00CD12C5" w:rsidDel="00897786">
        <w:t>.</w:t>
      </w:r>
    </w:p>
    <w:p w14:paraId="74F77FE9"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sidRPr="00963B84">
        <w:rPr>
          <w:b/>
        </w:rPr>
        <w:t xml:space="preserve">Draft recommendation </w:t>
      </w:r>
      <w:r>
        <w:rPr>
          <w:b/>
        </w:rPr>
        <w:t>3</w:t>
      </w:r>
      <w:r w:rsidRPr="00963B84">
        <w:rPr>
          <w:b/>
        </w:rPr>
        <w:t xml:space="preserve">: </w:t>
      </w:r>
      <w:r w:rsidRPr="00CD12C5">
        <w:t>Add explanatory text to the Code to clarify how it fits into the broader regulatory environment</w:t>
      </w:r>
      <w:r>
        <w:t>—</w:t>
      </w:r>
      <w:r w:rsidRPr="00CD12C5">
        <w:t xml:space="preserve">particularly with respect to matters that </w:t>
      </w:r>
      <w:r w:rsidRPr="00CD12C5" w:rsidDel="00A84153">
        <w:t>can only be resolved by</w:t>
      </w:r>
      <w:r w:rsidRPr="00CD12C5">
        <w:t xml:space="preserve"> the Copyright Tribunal of Australia.</w:t>
      </w:r>
    </w:p>
    <w:p w14:paraId="55F3083A" w14:textId="77777777" w:rsidR="007E7021" w:rsidRDefault="007E7021" w:rsidP="007E7021">
      <w:pPr>
        <w:pStyle w:val="Heading2"/>
      </w:pPr>
      <w:bookmarkStart w:id="72" w:name="_Toc499558572"/>
      <w:bookmarkStart w:id="73" w:name="_Toc499823216"/>
      <w:bookmarkStart w:id="74" w:name="_Toc501010954"/>
      <w:bookmarkStart w:id="75" w:name="_Toc504393000"/>
      <w:bookmarkStart w:id="76" w:name="_Toc506373256"/>
      <w:bookmarkStart w:id="77" w:name="_Toc497750814"/>
      <w:bookmarkStart w:id="78" w:name="_Toc497756698"/>
      <w:bookmarkStart w:id="79" w:name="_Toc498524179"/>
      <w:bookmarkStart w:id="80" w:name="_Toc498613703"/>
      <w:bookmarkStart w:id="81" w:name="_Toc498685019"/>
      <w:bookmarkStart w:id="82" w:name="_Toc498691870"/>
      <w:r>
        <w:t>Encouraging greater transparency</w:t>
      </w:r>
      <w:bookmarkEnd w:id="72"/>
      <w:bookmarkEnd w:id="73"/>
      <w:bookmarkEnd w:id="74"/>
      <w:bookmarkEnd w:id="75"/>
      <w:bookmarkEnd w:id="76"/>
    </w:p>
    <w:p w14:paraId="678F7934" w14:textId="77777777" w:rsidR="007E7021" w:rsidRDefault="007E7021" w:rsidP="007E7021">
      <w:pPr>
        <w:rPr>
          <w:lang w:eastAsia="en-US"/>
        </w:rPr>
      </w:pPr>
      <w:r>
        <w:rPr>
          <w:lang w:eastAsia="en-US"/>
        </w:rPr>
        <w:t>Members and licensees of collecting societies raised a range of concerns about the amount of information available to them in relation to calculating licence fees and the distribution of funds. In some cases, it was not that this information did not exist, but that it was not readily accessible.</w:t>
      </w:r>
    </w:p>
    <w:p w14:paraId="06299B75" w14:textId="38A8782C" w:rsidR="007E7021" w:rsidRDefault="007E7021" w:rsidP="007E7021">
      <w:pPr>
        <w:rPr>
          <w:lang w:eastAsia="en-US"/>
        </w:rPr>
      </w:pPr>
      <w:r>
        <w:rPr>
          <w:lang w:eastAsia="en-US"/>
        </w:rPr>
        <w:t xml:space="preserve">A lack of transparency can undermine the confidence in a voluntary system as it can be perceived as an attempt to mislead or to hide information. The review found that there were some relatively simple measures that could be </w:t>
      </w:r>
      <w:r w:rsidR="005E355D">
        <w:rPr>
          <w:lang w:eastAsia="en-US"/>
        </w:rPr>
        <w:t xml:space="preserve">implemented </w:t>
      </w:r>
      <w:r>
        <w:rPr>
          <w:lang w:eastAsia="en-US"/>
        </w:rPr>
        <w:t>by collecting societies and the Code Reviewer that would increase confidence in the system by releasing existing information, making it more accessible, and through standardised reporting.</w:t>
      </w:r>
    </w:p>
    <w:p w14:paraId="053D89A3" w14:textId="77777777" w:rsidR="007E7021" w:rsidRDefault="007E7021" w:rsidP="007E7021">
      <w:pPr>
        <w:pStyle w:val="Heading3"/>
      </w:pPr>
      <w:bookmarkStart w:id="83" w:name="_Toc499558573"/>
      <w:bookmarkStart w:id="84" w:name="_Toc499823217"/>
      <w:bookmarkStart w:id="85" w:name="_Toc501010955"/>
      <w:bookmarkStart w:id="86" w:name="_Toc504393001"/>
      <w:bookmarkStart w:id="87" w:name="_Toc506373257"/>
      <w:bookmarkEnd w:id="77"/>
      <w:bookmarkEnd w:id="78"/>
      <w:bookmarkEnd w:id="79"/>
      <w:bookmarkEnd w:id="80"/>
      <w:bookmarkEnd w:id="81"/>
      <w:bookmarkEnd w:id="82"/>
      <w:r>
        <w:t>Providing more information about licence fees</w:t>
      </w:r>
      <w:bookmarkEnd w:id="83"/>
      <w:bookmarkEnd w:id="84"/>
      <w:bookmarkEnd w:id="85"/>
      <w:bookmarkEnd w:id="86"/>
      <w:bookmarkEnd w:id="87"/>
    </w:p>
    <w:p w14:paraId="24D5D32F" w14:textId="3216F273" w:rsidR="007E7021" w:rsidRDefault="007E7021" w:rsidP="007E7021">
      <w:r>
        <w:t xml:space="preserve">One of the core functions of collecting societies is to collect fees and issue licences for the use of copyright materials. Licence fees are generally set following a negotiation process </w:t>
      </w:r>
      <w:r w:rsidR="007A2879">
        <w:t xml:space="preserve">between </w:t>
      </w:r>
      <w:r>
        <w:t>a collecting society and</w:t>
      </w:r>
      <w:r w:rsidR="007A2879">
        <w:t xml:space="preserve"> a</w:t>
      </w:r>
      <w:r>
        <w:t xml:space="preserve"> licensee</w:t>
      </w:r>
      <w:r w:rsidR="007A2879">
        <w:t xml:space="preserve"> or an association representing licensees within a particular industry or sector</w:t>
      </w:r>
      <w:r>
        <w:t>.</w:t>
      </w:r>
    </w:p>
    <w:p w14:paraId="3A1388EB" w14:textId="77777777" w:rsidR="007E7021" w:rsidRDefault="007E7021" w:rsidP="007E7021">
      <w:r>
        <w:t xml:space="preserve">Some stakeholders raised concerns about licence fee negotiations and </w:t>
      </w:r>
      <w:r w:rsidRPr="00CC176C">
        <w:t>indicated that increased transparency around how their fees are calculated and who they are being distributed to would help them better determine whether fees are fair and reasonable</w:t>
      </w:r>
      <w:r w:rsidRPr="00CA5F43">
        <w:t xml:space="preserve">. </w:t>
      </w:r>
      <w:r>
        <w:t>S</w:t>
      </w:r>
      <w:r w:rsidRPr="00195B7C">
        <w:t>takeholders</w:t>
      </w:r>
      <w:r>
        <w:t xml:space="preserve"> also</w:t>
      </w:r>
      <w:r w:rsidRPr="00195B7C">
        <w:t xml:space="preserve"> </w:t>
      </w:r>
      <w:r>
        <w:t xml:space="preserve">sought </w:t>
      </w:r>
      <w:r w:rsidRPr="004072A5">
        <w:t>improved communication as to the operation and effect of licences and licensing arrangements.</w:t>
      </w:r>
      <w:r w:rsidRPr="004072A5">
        <w:rPr>
          <w:rStyle w:val="EndnoteReference"/>
        </w:rPr>
        <w:endnoteReference w:id="6"/>
      </w:r>
    </w:p>
    <w:p w14:paraId="1A7866DB" w14:textId="77777777" w:rsidR="007E7021" w:rsidRDefault="007E7021" w:rsidP="007E7021">
      <w:r>
        <w:t>The Code establishes some obligations in respect of licence fee negotiations.</w:t>
      </w:r>
    </w:p>
    <w:p w14:paraId="180E9DFA" w14:textId="5C08944B" w:rsidR="007E7021" w:rsidRDefault="007E7021" w:rsidP="007E7021">
      <w:r>
        <w:t>Clause 2.3 of the Code specifies obligations relating to collecting societies’ engagement with licensees, including in relation to the setting of Iicence fees. These obligations include for collecting societies to treat licensees fairly and impartially, to ensure their dealings are transparent, and to ensure that clear information is made available to licensees regarding the terms of licences or licence schemes.</w:t>
      </w:r>
    </w:p>
    <w:p w14:paraId="03CF3F10" w14:textId="77777777" w:rsidR="007E7021" w:rsidRDefault="007E7021" w:rsidP="007E7021">
      <w:r>
        <w:t>The Code also requires that each collecting society’s ‘policies, procedures and conduct in connection with the setting of licence fees for the use of copyright material will be fair and reasonable.’</w:t>
      </w:r>
      <w:r>
        <w:rPr>
          <w:rStyle w:val="EndnoteReference"/>
        </w:rPr>
        <w:endnoteReference w:id="7"/>
      </w:r>
    </w:p>
    <w:p w14:paraId="40B307FA" w14:textId="7F18DA65" w:rsidR="007E7021" w:rsidRDefault="007E7021" w:rsidP="007E7021">
      <w:r>
        <w:t>Despite these provisions, there are ongoing stakeholder concerns around these processes and the outcomes under them.</w:t>
      </w:r>
      <w:r>
        <w:rPr>
          <w:rStyle w:val="EndnoteReference"/>
        </w:rPr>
        <w:endnoteReference w:id="8"/>
      </w:r>
      <w:r>
        <w:t xml:space="preserve"> In particular, the current provisions in the Code appear to be overly broad—</w:t>
      </w:r>
      <w:r w:rsidR="007A2879">
        <w:t xml:space="preserve"> while </w:t>
      </w:r>
      <w:r>
        <w:t>the Code requires collecting societies to ensure their dealings are transparent it does not provide detail of what this looks like or how it could be a</w:t>
      </w:r>
      <w:r w:rsidRPr="00195B7C">
        <w:t>chieved.</w:t>
      </w:r>
    </w:p>
    <w:p w14:paraId="2F45E062" w14:textId="77777777" w:rsidR="007E7021" w:rsidRDefault="007E7021" w:rsidP="007E7021">
      <w:pPr>
        <w:pStyle w:val="Heading4"/>
      </w:pPr>
      <w:bookmarkStart w:id="88" w:name="_Toc499558574"/>
      <w:bookmarkStart w:id="89" w:name="_Toc499823218"/>
      <w:bookmarkStart w:id="90" w:name="_Toc501010956"/>
      <w:bookmarkStart w:id="91" w:name="_Toc504393002"/>
      <w:bookmarkStart w:id="92" w:name="_Toc506373258"/>
      <w:r>
        <w:t>Calculating licence fees</w:t>
      </w:r>
      <w:bookmarkEnd w:id="88"/>
      <w:bookmarkEnd w:id="89"/>
      <w:bookmarkEnd w:id="90"/>
      <w:bookmarkEnd w:id="91"/>
      <w:bookmarkEnd w:id="92"/>
    </w:p>
    <w:p w14:paraId="26BDCBEC" w14:textId="77777777" w:rsidR="007E7021" w:rsidRDefault="007E7021" w:rsidP="007E7021">
      <w:r>
        <w:t xml:space="preserve">Some participants sought greater transparency around the different </w:t>
      </w:r>
      <w:r w:rsidRPr="001C0E2A">
        <w:t xml:space="preserve">methodologies </w:t>
      </w:r>
      <w:r>
        <w:t>used by collecting societies in determining licence fees.</w:t>
      </w:r>
    </w:p>
    <w:p w14:paraId="5A44D8AD" w14:textId="77777777" w:rsidR="007E7021" w:rsidRDefault="007E7021" w:rsidP="007E7021">
      <w:r>
        <w:t>Different approaches are used to calculate licence fees for copyright materials. These vary between societies and across licence types. Some rates are fixed while others are negotiated between parties, and negotiations take into account a number of factors including how much copyright material is being used by the licensee and estimates of its value.</w:t>
      </w:r>
    </w:p>
    <w:p w14:paraId="1E394AAD" w14:textId="0E3FBE5E" w:rsidR="007E7021" w:rsidRDefault="007E7021" w:rsidP="007E7021">
      <w:r>
        <w:t>Collecting societies</w:t>
      </w:r>
      <w:r w:rsidRPr="001C0E2A">
        <w:t xml:space="preserve"> </w:t>
      </w:r>
      <w:r>
        <w:t>argued</w:t>
      </w:r>
      <w:r w:rsidRPr="001C0E2A">
        <w:t xml:space="preserve"> that licence scheme formulation processes are </w:t>
      </w:r>
      <w:r>
        <w:t xml:space="preserve">already </w:t>
      </w:r>
      <w:r w:rsidRPr="001C0E2A">
        <w:t>sufficiently transparent and involve consultation with the public or relevant industry bodies.</w:t>
      </w:r>
      <w:r w:rsidRPr="001C0E2A">
        <w:rPr>
          <w:rStyle w:val="EndnoteReference"/>
        </w:rPr>
        <w:endnoteReference w:id="9"/>
      </w:r>
      <w:r w:rsidRPr="001C0E2A">
        <w:t xml:space="preserve"> </w:t>
      </w:r>
      <w:r>
        <w:t xml:space="preserve">Consistent with provisions at clause 2.3 of the Code, </w:t>
      </w:r>
      <w:r w:rsidRPr="001C0E2A">
        <w:t>collecting</w:t>
      </w:r>
      <w:r>
        <w:t xml:space="preserve"> societies have policies</w:t>
      </w:r>
      <w:r w:rsidRPr="001C0E2A">
        <w:t xml:space="preserve"> to consult, where appropriate, with relevant industry bodies when developing and implementing new or revised licence schemes</w:t>
      </w:r>
      <w:r>
        <w:t>: APRA AMCOS and PPCA, for instance, have undertaken wide-ranging consultation in developing new schemes</w:t>
      </w:r>
      <w:r w:rsidRPr="001C0E2A">
        <w:t xml:space="preserve"> for the use of music.</w:t>
      </w:r>
      <w:r>
        <w:rPr>
          <w:rStyle w:val="EndnoteReference"/>
        </w:rPr>
        <w:endnoteReference w:id="10"/>
      </w:r>
    </w:p>
    <w:p w14:paraId="16F2A2EC" w14:textId="77777777" w:rsidR="007E7021" w:rsidRDefault="007E7021" w:rsidP="007E7021">
      <w:r w:rsidRPr="001C0E2A">
        <w:t>However</w:t>
      </w:r>
      <w:r>
        <w:t>,</w:t>
      </w:r>
      <w:r w:rsidRPr="001C0E2A">
        <w:t xml:space="preserve"> submissions</w:t>
      </w:r>
      <w:r>
        <w:t xml:space="preserve"> from some licensees</w:t>
      </w:r>
      <w:r w:rsidRPr="001C0E2A">
        <w:t xml:space="preserve"> indicated that </w:t>
      </w:r>
      <w:r>
        <w:t xml:space="preserve">not all processes used by collecting societies to determine fees are able to be well understood. </w:t>
      </w:r>
      <w:r w:rsidRPr="001C0E2A">
        <w:t xml:space="preserve">For instance </w:t>
      </w:r>
      <w:r>
        <w:t>Isentia (sub. 16) noted that while the Code acknowledges that licence negotiations should be transparent, there is no strong obligation for collecting societies to disclose key information in a transparent fashion, stating that:</w:t>
      </w:r>
    </w:p>
    <w:p w14:paraId="7560E391" w14:textId="16B390B3" w:rsidR="007E7021" w:rsidRDefault="007E7021" w:rsidP="007E7021">
      <w:pPr>
        <w:pStyle w:val="Quote"/>
      </w:pPr>
      <w:r>
        <w:t>Currently, the Code acknowledges that the negotiation process should be “transparent”</w:t>
      </w:r>
      <w:r w:rsidR="000E50CF">
        <w:t>.</w:t>
      </w:r>
      <w:r>
        <w:t xml:space="preserve"> However, it does not impose any affirmative obligation on collecting societies to disclose pertinent information in a transparent fashion, including information about licence modelling and/or the basis on which proposed licence fees are calculated.</w:t>
      </w:r>
      <w:r>
        <w:rPr>
          <w:rStyle w:val="EndnoteReference"/>
        </w:rPr>
        <w:endnoteReference w:id="11"/>
      </w:r>
    </w:p>
    <w:p w14:paraId="2107157C" w14:textId="7215DB9E" w:rsidR="007E7021" w:rsidRDefault="007E7021" w:rsidP="007E7021">
      <w:r>
        <w:t xml:space="preserve">While collecting societies face limitations </w:t>
      </w:r>
      <w:r w:rsidDel="00AD2474">
        <w:t>in</w:t>
      </w:r>
      <w:r>
        <w:t xml:space="preserve"> the extent to which they are able to capture comprehensive data to inform fee setting processes, a general lack of information reduces the potential for parties to be informed during licence fee negotiations and therefore able to assess the merits </w:t>
      </w:r>
      <w:r w:rsidRPr="00DF0379">
        <w:t>of any given licence scheme imposed</w:t>
      </w:r>
      <w:r>
        <w:t>. This view was supported by Free TV Australia (sub. 13) which stated that clause 2.3 of the Code is crafted in general terms and that in practice a lack of information results in licence fee calculations being unclear, in turn making it difficult to assess the reasonableness of the terms of agreement.</w:t>
      </w:r>
      <w:r>
        <w:rPr>
          <w:rStyle w:val="EndnoteReference"/>
        </w:rPr>
        <w:endnoteReference w:id="12"/>
      </w:r>
    </w:p>
    <w:p w14:paraId="27CFE76D" w14:textId="77777777" w:rsidR="007E7021" w:rsidRDefault="007E7021" w:rsidP="007E7021">
      <w:r>
        <w:t>This lack of information also raised questions about the suitability of methodologies used in licence fee calculations.</w:t>
      </w:r>
    </w:p>
    <w:p w14:paraId="6DEE0EF8" w14:textId="77777777" w:rsidR="007E7021" w:rsidRDefault="007E7021" w:rsidP="007E7021">
      <w:r>
        <w:t>The capture of accurate and comprehensive usage data is inherently difficult. Collecting societies will often rely on sampling systems, such as usage surveys, to gather this information. Surveys provide an approximation of an organisation’s copying activities, while freeing licensees from administrative burden associated with keeping comprehensive and accurate records.</w:t>
      </w:r>
    </w:p>
    <w:p w14:paraId="60C14025" w14:textId="77777777" w:rsidR="007E7021" w:rsidRDefault="007E7021" w:rsidP="007E7021">
      <w:r>
        <w:t>On the other hand, copying patterns have changed significantly over the past decade, with digital copying and communication taking over print copying. Traditional approaches to calculating licence fees may potentially be less suitable or representative of actual usage.</w:t>
      </w:r>
    </w:p>
    <w:p w14:paraId="70C6B59D" w14:textId="77777777" w:rsidR="007E7021" w:rsidRDefault="007E7021" w:rsidP="007E7021">
      <w:r>
        <w:t>Some statutory licensees argued sampling methodologies overestimate usage, and that they capture non-remunerable materials such as orphaned materials or materials that are in the public domain and freely available online (such as fact sheets or general information pages).</w:t>
      </w:r>
      <w:r>
        <w:rPr>
          <w:rStyle w:val="EndnoteReference"/>
        </w:rPr>
        <w:endnoteReference w:id="13"/>
      </w:r>
    </w:p>
    <w:p w14:paraId="6BFFF998" w14:textId="44367F6B" w:rsidR="00761B63" w:rsidRDefault="00C225BD" w:rsidP="00794AC5">
      <w:r>
        <w:t>Participants including the Australian Society of Authors (ASA) (sub. 8) have stated that the methodologies collecting societies use are not well understood by some stakeholders.</w:t>
      </w:r>
      <w:r w:rsidR="00F03495">
        <w:rPr>
          <w:rStyle w:val="EndnoteReference"/>
        </w:rPr>
        <w:endnoteReference w:id="14"/>
      </w:r>
      <w:r>
        <w:t xml:space="preserve"> </w:t>
      </w:r>
      <w:r w:rsidR="007E7021">
        <w:t>While not in itself intended to resolve which methodology is most appropriate, more information about how licence fees are calculated would improve licensee and member confidence in the copyright system</w:t>
      </w:r>
      <w:r w:rsidR="00F33A28">
        <w:t>.</w:t>
      </w:r>
    </w:p>
    <w:p w14:paraId="50F89CEB" w14:textId="77777777" w:rsidR="007E7021" w:rsidRDefault="007E7021" w:rsidP="007E7021">
      <w:r>
        <w:t xml:space="preserve">Transparency would be improved where the Code provisions are strengthened to require greater transparency around licence fee calculations. However further information is needed in regards to </w:t>
      </w:r>
      <w:r w:rsidRPr="007010FF">
        <w:t>what constraints collecting societies may have in providing more detailed information.</w:t>
      </w:r>
    </w:p>
    <w:p w14:paraId="6CA8D243"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sidRPr="00D61191">
        <w:rPr>
          <w:b/>
        </w:rPr>
        <w:t>Draft finding</w:t>
      </w:r>
      <w:r>
        <w:rPr>
          <w:b/>
        </w:rPr>
        <w:t xml:space="preserve"> 3</w:t>
      </w:r>
      <w:r w:rsidRPr="00D61191">
        <w:rPr>
          <w:b/>
        </w:rPr>
        <w:t>:</w:t>
      </w:r>
      <w:r>
        <w:t xml:space="preserve"> The Code should require sufficient transparency around licences and fee calculations to support negotiations between collecting societies and licensees.</w:t>
      </w:r>
    </w:p>
    <w:p w14:paraId="23974DF3" w14:textId="6261F690"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Pr>
          <w:b/>
        </w:rPr>
        <w:t>Draft r</w:t>
      </w:r>
      <w:r w:rsidRPr="00617BC3">
        <w:rPr>
          <w:b/>
        </w:rPr>
        <w:t>ecommendation</w:t>
      </w:r>
      <w:r>
        <w:rPr>
          <w:b/>
        </w:rPr>
        <w:t xml:space="preserve"> 4</w:t>
      </w:r>
      <w:r w:rsidRPr="00617BC3">
        <w:rPr>
          <w:b/>
        </w:rPr>
        <w:t xml:space="preserve">: </w:t>
      </w:r>
      <w:r w:rsidRPr="00156B85">
        <w:rPr>
          <w:b/>
        </w:rPr>
        <w:t xml:space="preserve">Amend </w:t>
      </w:r>
      <w:r>
        <w:rPr>
          <w:b/>
        </w:rPr>
        <w:t>clause </w:t>
      </w:r>
      <w:r w:rsidRPr="00156B85">
        <w:rPr>
          <w:b/>
        </w:rPr>
        <w:t>2.3</w:t>
      </w:r>
      <w:r w:rsidRPr="00C033AD">
        <w:t xml:space="preserve"> to require collecting societies to make available to </w:t>
      </w:r>
      <w:r>
        <w:t>m</w:t>
      </w:r>
      <w:r w:rsidRPr="00C033AD">
        <w:t xml:space="preserve">embers, </w:t>
      </w:r>
      <w:r>
        <w:t>l</w:t>
      </w:r>
      <w:r w:rsidRPr="00C033AD">
        <w:t xml:space="preserve">icensees and potential </w:t>
      </w:r>
      <w:r>
        <w:t>l</w:t>
      </w:r>
      <w:r w:rsidRPr="00C033AD">
        <w:t>icensees the methodology for calculating licence fees, including any modelling.</w:t>
      </w:r>
    </w:p>
    <w:p w14:paraId="7E96359F"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Pr>
          <w:b/>
        </w:rPr>
        <w:t xml:space="preserve">Discussion question: </w:t>
      </w:r>
      <w:r w:rsidRPr="00CD12C5">
        <w:t>What information would licensees benefit from around how their licences are calculated?</w:t>
      </w:r>
      <w:r>
        <w:t xml:space="preserve"> What limitations are there in providing more information?</w:t>
      </w:r>
    </w:p>
    <w:p w14:paraId="63940680" w14:textId="77777777" w:rsidR="007E7021" w:rsidRDefault="007E7021" w:rsidP="007E7021">
      <w:pPr>
        <w:pStyle w:val="Heading4"/>
      </w:pPr>
      <w:bookmarkStart w:id="93" w:name="_Toc499558575"/>
      <w:bookmarkStart w:id="94" w:name="_Toc499823219"/>
      <w:bookmarkStart w:id="95" w:name="_Toc501010957"/>
      <w:bookmarkStart w:id="96" w:name="_Toc504393003"/>
      <w:bookmarkStart w:id="97" w:name="_Toc506373259"/>
      <w:r>
        <w:t>Distributing information about licence fees</w:t>
      </w:r>
      <w:bookmarkEnd w:id="93"/>
      <w:bookmarkEnd w:id="94"/>
      <w:bookmarkEnd w:id="95"/>
      <w:bookmarkEnd w:id="96"/>
      <w:bookmarkEnd w:id="97"/>
    </w:p>
    <w:p w14:paraId="40CA5283" w14:textId="77777777" w:rsidR="007E7021" w:rsidRDefault="007E7021" w:rsidP="007E7021">
      <w:r>
        <w:t>Where stakeholders have difficulties in understanding how licensing schemes and arrangements work this has adverse impacts on the perceived fairness of the fees they pay, and on their ability to make informed decisions.</w:t>
      </w:r>
    </w:p>
    <w:p w14:paraId="2CCC48A7" w14:textId="77777777" w:rsidR="007E7021" w:rsidRDefault="007E7021" w:rsidP="007E7021">
      <w:r>
        <w:t>The Code requires licences to be drafted such that they can be plainly understood and to be accompanied by practical explanatory guides.</w:t>
      </w:r>
      <w:r>
        <w:rPr>
          <w:rStyle w:val="EndnoteReference"/>
        </w:rPr>
        <w:endnoteReference w:id="15"/>
      </w:r>
      <w:r>
        <w:t xml:space="preserve"> Collecting societies stated that existing approaches to licence fee determination are transparent, and noted the Copyright Tribunal as an avenue for licensees to pursue concerns about their fees.</w:t>
      </w:r>
      <w:r>
        <w:rPr>
          <w:rStyle w:val="EndnoteReference"/>
        </w:rPr>
        <w:endnoteReference w:id="16"/>
      </w:r>
    </w:p>
    <w:p w14:paraId="340BF913" w14:textId="77777777" w:rsidR="007E7021" w:rsidRDefault="007E7021" w:rsidP="007E7021">
      <w:pPr>
        <w:keepLines/>
      </w:pPr>
      <w:r>
        <w:t>Despite this, licensing processes and arrangements are viewed by some to be difficult to understand with the statutory licences described as complex and prolix.</w:t>
      </w:r>
      <w:r>
        <w:rPr>
          <w:rStyle w:val="EndnoteReference"/>
        </w:rPr>
        <w:endnoteReference w:id="17"/>
      </w:r>
      <w:r>
        <w:t xml:space="preserve"> Navigating these arrangements can be particularly burdensome for </w:t>
      </w:r>
      <w:r w:rsidRPr="006161F3">
        <w:t>small business.</w:t>
      </w:r>
      <w:r w:rsidRPr="006161F3">
        <w:rPr>
          <w:rStyle w:val="EndnoteReference"/>
        </w:rPr>
        <w:endnoteReference w:id="18"/>
      </w:r>
    </w:p>
    <w:p w14:paraId="4A5F0F8A" w14:textId="77777777" w:rsidR="007E7021" w:rsidRDefault="007E7021" w:rsidP="007E7021">
      <w:r>
        <w:t xml:space="preserve">There are also concerns about the level of clarity in licence classifications. According to </w:t>
      </w:r>
      <w:r w:rsidRPr="00DF0379">
        <w:t>Live Performance Australia (LPA)</w:t>
      </w:r>
      <w:r>
        <w:t xml:space="preserve"> (sub. 17)</w:t>
      </w:r>
      <w:r w:rsidRPr="00DF0379">
        <w:t xml:space="preserve">, the peak industry body for live performance in Australia, </w:t>
      </w:r>
      <w:r>
        <w:t>current arrangements for classifying licences are subject to change by collecting societies and are a cause of uncertainty for licensees.</w:t>
      </w:r>
    </w:p>
    <w:p w14:paraId="3BE3FF78" w14:textId="77777777" w:rsidR="007E7021" w:rsidRDefault="007E7021" w:rsidP="007E7021">
      <w:r>
        <w:t xml:space="preserve">LPA suggests that the reclassification of event licences from one tariff rate to another—the reasoning for which is not always apparent—can see significantly higher fees incurred, which in turn impacts on performers and the ability to stage events. LPA cites an ‘extreme example,’ in which following reclassification one of their members was invoiced almost $150,000 for an event that they had paid approximately $5,000 for the </w:t>
      </w:r>
      <w:r w:rsidRPr="006161F3">
        <w:t>previous year.</w:t>
      </w:r>
      <w:r w:rsidRPr="006161F3">
        <w:rPr>
          <w:rStyle w:val="EndnoteReference"/>
        </w:rPr>
        <w:endnoteReference w:id="19"/>
      </w:r>
      <w:r w:rsidRPr="006161F3">
        <w:t xml:space="preserve"> LPA</w:t>
      </w:r>
      <w:r>
        <w:t xml:space="preserve"> state that collecting societies need to provide more information around the classification/re-classification of licences.</w:t>
      </w:r>
    </w:p>
    <w:p w14:paraId="34CC6C5F" w14:textId="1102F2C1" w:rsidR="007E7021" w:rsidRDefault="007E7021" w:rsidP="007E7021">
      <w:r>
        <w:t>Providing increased clarity in licence classifications and fee calculations will minimise unnecessary administrative burdens for licensees.</w:t>
      </w:r>
    </w:p>
    <w:p w14:paraId="216640D2" w14:textId="77777777" w:rsidR="007E7021" w:rsidRDefault="007E7021" w:rsidP="007E7021">
      <w:r>
        <w:t>A related issue</w:t>
      </w:r>
      <w:r w:rsidRPr="00DF0379">
        <w:t xml:space="preserve"> </w:t>
      </w:r>
      <w:r w:rsidRPr="00E336A0">
        <w:t>is</w:t>
      </w:r>
      <w:r>
        <w:t xml:space="preserve"> perceived</w:t>
      </w:r>
      <w:r w:rsidRPr="00E336A0">
        <w:t xml:space="preserve"> </w:t>
      </w:r>
      <w:r>
        <w:t xml:space="preserve">inconsistencies around fee structures. LPA submitted that some of its members have been subject to licence fee arrangements wherein costs have changed without notice or explanation. LPA provided an example where licence fees for free admission events that were previously calculated according to gross expenditure on live artist performers have now been broadened to include transport </w:t>
      </w:r>
      <w:r w:rsidRPr="006161F3">
        <w:t>and freight costs. LPA states that the additional costs incurred by licensees can threaten the viability of performances</w:t>
      </w:r>
      <w:r w:rsidRPr="006161F3">
        <w:rPr>
          <w:rStyle w:val="EndnoteReference"/>
        </w:rPr>
        <w:endnoteReference w:id="20"/>
      </w:r>
      <w:r w:rsidRPr="006161F3">
        <w:t xml:space="preserve"> and view that collecting societies need to do more to clarify the elements of fee calculations</w:t>
      </w:r>
      <w:r>
        <w:t>.</w:t>
      </w:r>
    </w:p>
    <w:p w14:paraId="6AD176A1" w14:textId="77777777" w:rsidR="007E7021" w:rsidRDefault="007E7021" w:rsidP="007E7021">
      <w:bookmarkStart w:id="98" w:name="_Toc497741733"/>
      <w:bookmarkStart w:id="99" w:name="_Toc497749234"/>
      <w:bookmarkStart w:id="100" w:name="_Toc497750819"/>
      <w:bookmarkStart w:id="101" w:name="_Toc497755176"/>
      <w:bookmarkStart w:id="102" w:name="_Toc497756703"/>
      <w:r>
        <w:t>Taking into account any additional costs imposed, there could be benefits to collecting societies making available a dedicated resource such as a contact officer to explain licences and licence schemes. Another option could be for the Code to encourage collecting societies to improve the information provided to licensees, such as requiring them to detail the options available to licensees should they wish to seek redress regarding the quantum or structure of their licence fees.</w:t>
      </w:r>
    </w:p>
    <w:p w14:paraId="00C0DD20" w14:textId="77777777" w:rsidR="007E7021" w:rsidRDefault="007E7021" w:rsidP="007E7021">
      <w:r>
        <w:t>Having regard to the existing Code requirements for collecting societies to provide plainly understandable information on licences and licence schemes, stakeholder views are sought on what options might be available to achieve effective and improved communications.</w:t>
      </w:r>
    </w:p>
    <w:p w14:paraId="01EFD7FD"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Pr>
          <w:b/>
        </w:rPr>
        <w:t xml:space="preserve">Draft finding 4: </w:t>
      </w:r>
      <w:r w:rsidRPr="008B765F">
        <w:t>Collecting Societies could more clearly communicate how their licence fee schemes and arrangements operate.</w:t>
      </w:r>
    </w:p>
    <w:p w14:paraId="693DC3B3"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Pr>
          <w:b/>
        </w:rPr>
        <w:t xml:space="preserve">Discussion question: </w:t>
      </w:r>
      <w:r w:rsidRPr="008B765F">
        <w:t>What options are available to</w:t>
      </w:r>
      <w:r>
        <w:t xml:space="preserve"> collecting societies to</w:t>
      </w:r>
      <w:r w:rsidRPr="008B765F">
        <w:t xml:space="preserve"> achieve effective communication</w:t>
      </w:r>
      <w:r>
        <w:t xml:space="preserve"> of licence fee determination processes</w:t>
      </w:r>
      <w:r w:rsidRPr="008B765F">
        <w:t>?</w:t>
      </w:r>
    </w:p>
    <w:p w14:paraId="0189979D" w14:textId="77777777" w:rsidR="007E7021" w:rsidRPr="008A3240" w:rsidRDefault="007E7021" w:rsidP="007E7021">
      <w:pPr>
        <w:pStyle w:val="Heading3"/>
      </w:pPr>
      <w:bookmarkStart w:id="103" w:name="_Toc499558576"/>
      <w:bookmarkStart w:id="104" w:name="_Toc499823220"/>
      <w:bookmarkStart w:id="105" w:name="_Toc501010958"/>
      <w:bookmarkStart w:id="106" w:name="_Toc504393004"/>
      <w:bookmarkStart w:id="107" w:name="_Toc506373260"/>
      <w:bookmarkStart w:id="108" w:name="_Toc498524182"/>
      <w:bookmarkStart w:id="109" w:name="_Toc498613706"/>
      <w:bookmarkStart w:id="110" w:name="_Toc498685022"/>
      <w:bookmarkEnd w:id="98"/>
      <w:bookmarkEnd w:id="99"/>
      <w:bookmarkEnd w:id="100"/>
      <w:bookmarkEnd w:id="101"/>
      <w:bookmarkEnd w:id="102"/>
      <w:r>
        <w:t>Providing more information about how funds are distributed</w:t>
      </w:r>
      <w:bookmarkEnd w:id="103"/>
      <w:bookmarkEnd w:id="104"/>
      <w:bookmarkEnd w:id="105"/>
      <w:bookmarkEnd w:id="106"/>
      <w:bookmarkEnd w:id="107"/>
    </w:p>
    <w:bookmarkEnd w:id="108"/>
    <w:bookmarkEnd w:id="109"/>
    <w:bookmarkEnd w:id="110"/>
    <w:p w14:paraId="168A0448" w14:textId="23E2AA82" w:rsidR="007E7021" w:rsidRDefault="007E7021" w:rsidP="007E7021">
      <w:r>
        <w:t>Rightsholders should have sufficient information to understand th</w:t>
      </w:r>
      <w:r w:rsidR="0000781A">
        <w:t>e</w:t>
      </w:r>
      <w:r>
        <w:t xml:space="preserve"> remuneration</w:t>
      </w:r>
      <w:r w:rsidR="0000781A">
        <w:t xml:space="preserve"> they receive for use of their materials</w:t>
      </w:r>
      <w:r>
        <w:t xml:space="preserve"> and the processes associated with its determination. Licensees should also </w:t>
      </w:r>
      <w:r w:rsidR="0000781A">
        <w:t xml:space="preserve">receive </w:t>
      </w:r>
      <w:r>
        <w:t>adequate information about how the licence fees they pay are divided up and distributed so they have a better understanding of the extent to which their fees are determined on a reasonable and fair basis.</w:t>
      </w:r>
    </w:p>
    <w:p w14:paraId="47D2F202" w14:textId="77777777" w:rsidR="007E7021" w:rsidRDefault="007E7021" w:rsidP="007E7021">
      <w:r>
        <w:t>The Code requires collecting societies to make information on their distribution policy available to members, including how entitlements are calculated, how often they are distributed, and how they adhere to the processes described in their policies.</w:t>
      </w:r>
      <w:r>
        <w:rPr>
          <w:rStyle w:val="EndnoteReference"/>
        </w:rPr>
        <w:endnoteReference w:id="21"/>
      </w:r>
    </w:p>
    <w:p w14:paraId="029B1062" w14:textId="77777777" w:rsidR="007E7021" w:rsidRDefault="007E7021" w:rsidP="007E7021">
      <w:r>
        <w:t xml:space="preserve">However the </w:t>
      </w:r>
      <w:r w:rsidRPr="00303C8C">
        <w:t>Code does not provide any guidance as to how comprehensive or granular this distribution information must be</w:t>
      </w:r>
      <w:r>
        <w:t>. While collecting societies make available information on how they manage and distribute funds, including through distribution policies that are generally published on their websites, stakeholders have submitted that this information can be complex and difficult to navigate or understand.</w:t>
      </w:r>
    </w:p>
    <w:p w14:paraId="11D02CB6" w14:textId="261E9D00" w:rsidR="007E7021" w:rsidRDefault="007E7021" w:rsidP="007E7021">
      <w:r w:rsidRPr="00A618FB">
        <w:t>Copyright Agency has previously stated that the provision of</w:t>
      </w:r>
      <w:r>
        <w:t xml:space="preserve"> some of the</w:t>
      </w:r>
      <w:r w:rsidRPr="00A618FB">
        <w:t xml:space="preserve"> information </w:t>
      </w:r>
      <w:r>
        <w:t xml:space="preserve">stakeholders seek </w:t>
      </w:r>
      <w:r w:rsidRPr="00A618FB">
        <w:t>would provide licensees with an unfair commercial advantage, undermining rather than promoting confidence in collecting societies.</w:t>
      </w:r>
      <w:r>
        <w:rPr>
          <w:rStyle w:val="EndnoteReference"/>
        </w:rPr>
        <w:endnoteReference w:id="22"/>
      </w:r>
      <w:r>
        <w:t xml:space="preserve"> Nevertheless </w:t>
      </w:r>
      <w:r w:rsidR="0000781A">
        <w:t>it has</w:t>
      </w:r>
      <w:r>
        <w:t xml:space="preserve"> provide</w:t>
      </w:r>
      <w:r w:rsidR="0000781A">
        <w:t>d</w:t>
      </w:r>
      <w:r>
        <w:t xml:space="preserve"> additional information in annual reports ‘from time to time.’</w:t>
      </w:r>
      <w:r>
        <w:rPr>
          <w:rStyle w:val="EndnoteReference"/>
        </w:rPr>
        <w:endnoteReference w:id="23"/>
      </w:r>
    </w:p>
    <w:p w14:paraId="7A5002EE" w14:textId="7F79C17E" w:rsidR="007E7021" w:rsidRDefault="007E7021" w:rsidP="007E7021">
      <w:r w:rsidRPr="0072254A">
        <w:t xml:space="preserve">The report of the 2017 triennial Code review </w:t>
      </w:r>
      <w:r>
        <w:t xml:space="preserve">also </w:t>
      </w:r>
      <w:r w:rsidRPr="0072254A">
        <w:t xml:space="preserve">notes that </w:t>
      </w:r>
      <w:r>
        <w:t xml:space="preserve">in response to negotiations involving licensee representatives, </w:t>
      </w:r>
      <w:r w:rsidRPr="0072254A">
        <w:t xml:space="preserve">collecting societies have amended the Code to incorporate a new </w:t>
      </w:r>
      <w:r>
        <w:t xml:space="preserve">clause 2.9 that aims to address the concerns of statutory licensees in particular. The new </w:t>
      </w:r>
      <w:r w:rsidR="0000781A">
        <w:t xml:space="preserve">clause </w:t>
      </w:r>
      <w:r>
        <w:t>requires declared collecting societies to provide at the request of a statutory licensee certain information including information on ‘proportions to classes of recipients from the distribution of licence fees from the Statutory Licensee Class.’</w:t>
      </w:r>
      <w:r>
        <w:rPr>
          <w:rStyle w:val="EndnoteReference"/>
        </w:rPr>
        <w:endnoteReference w:id="24"/>
      </w:r>
    </w:p>
    <w:p w14:paraId="6A8D59DF" w14:textId="1B37A58A" w:rsidR="007E7021" w:rsidRDefault="007E7021" w:rsidP="007E7021">
      <w:r>
        <w:t>The following discussion of distribution processes is structured to describe potential improvements to existing arrangements based on the participant group that will benefit most from them. For instance certain improvements to the level of transparency around licences and fee determination processes would benefit licensees in particular, such as enhancing the level of information</w:t>
      </w:r>
      <w:r w:rsidR="0000781A">
        <w:t xml:space="preserve"> provided to</w:t>
      </w:r>
      <w:r>
        <w:t xml:space="preserve"> licensees regarding </w:t>
      </w:r>
      <w:r w:rsidR="0000781A">
        <w:t xml:space="preserve">the calculation of </w:t>
      </w:r>
      <w:r>
        <w:t>their fees. Other measures would be of particular benefit to collecting societies’ rightsholder members, such as improved communication of how their royalty entitlements are distributed. Finally, some measures to improve transparency and the availability of information about distribution processes would strengthen the system and stakeholder confidence in it more broadly.</w:t>
      </w:r>
    </w:p>
    <w:p w14:paraId="4BBDB221" w14:textId="77777777" w:rsidR="007E7021" w:rsidRDefault="007E7021" w:rsidP="007E7021">
      <w:pPr>
        <w:pStyle w:val="Heading4"/>
      </w:pPr>
      <w:bookmarkStart w:id="111" w:name="_Toc499558577"/>
      <w:bookmarkStart w:id="112" w:name="_Toc499823221"/>
      <w:bookmarkStart w:id="113" w:name="_Toc501010959"/>
      <w:bookmarkStart w:id="114" w:name="_Toc504393005"/>
      <w:bookmarkStart w:id="115" w:name="_Toc506373261"/>
      <w:r>
        <w:t>Addressing licensee concerns</w:t>
      </w:r>
      <w:bookmarkEnd w:id="111"/>
      <w:bookmarkEnd w:id="112"/>
      <w:bookmarkEnd w:id="113"/>
      <w:bookmarkEnd w:id="114"/>
      <w:bookmarkEnd w:id="115"/>
    </w:p>
    <w:p w14:paraId="476767F7" w14:textId="77777777" w:rsidR="007E7021" w:rsidRDefault="007E7021" w:rsidP="007E7021">
      <w:r>
        <w:t>Despite recent improvements in transparency around the distribution of funds, there is still a perception that there is a lack of an effective mechanism to ensure such information continues to be available.</w:t>
      </w:r>
      <w:r w:rsidRPr="008111AE">
        <w:t xml:space="preserve"> </w:t>
      </w:r>
      <w:r>
        <w:t>F</w:t>
      </w:r>
      <w:r w:rsidRPr="008111AE">
        <w:t xml:space="preserve">or instance there is </w:t>
      </w:r>
      <w:r>
        <w:t>a concern that there is</w:t>
      </w:r>
      <w:r w:rsidRPr="008111AE">
        <w:t xml:space="preserve"> no specific </w:t>
      </w:r>
      <w:r w:rsidRPr="00A33854">
        <w:t>obligation</w:t>
      </w:r>
      <w:r w:rsidRPr="00E254DD">
        <w:rPr>
          <w:b/>
        </w:rPr>
        <w:t xml:space="preserve"> </w:t>
      </w:r>
      <w:r w:rsidRPr="008111AE">
        <w:t>to ensure</w:t>
      </w:r>
      <w:r>
        <w:t xml:space="preserve"> more</w:t>
      </w:r>
      <w:r w:rsidRPr="008111AE">
        <w:t xml:space="preserve"> </w:t>
      </w:r>
      <w:r>
        <w:t>detailed rightsholder payments</w:t>
      </w:r>
      <w:r w:rsidRPr="008111AE">
        <w:t xml:space="preserve"> information be made available.</w:t>
      </w:r>
      <w:r>
        <w:rPr>
          <w:rStyle w:val="EndnoteReference"/>
        </w:rPr>
        <w:endnoteReference w:id="25"/>
      </w:r>
    </w:p>
    <w:p w14:paraId="650C4F9C" w14:textId="77777777" w:rsidR="007E7021" w:rsidRDefault="007E7021" w:rsidP="007E7021">
      <w:r>
        <w:t>As well as seeking more information on amounts distributed, some licensees consider that collecting societies’ distribution processes are</w:t>
      </w:r>
      <w:r w:rsidRPr="005814AE">
        <w:t xml:space="preserve"> </w:t>
      </w:r>
      <w:r>
        <w:t xml:space="preserve">also </w:t>
      </w:r>
      <w:r w:rsidRPr="005814AE">
        <w:t xml:space="preserve">opaque. </w:t>
      </w:r>
      <w:r>
        <w:t>These processes involve collecting societies—after recovering operational expenses or retaining commission—distributing to rightsholders the remainder of funds collected from licensees.</w:t>
      </w:r>
    </w:p>
    <w:p w14:paraId="24570E8E" w14:textId="77777777" w:rsidR="007E7021" w:rsidRDefault="007E7021" w:rsidP="007E7021">
      <w:r>
        <w:t>Licensees and their representatives are seeking greater clarity around who are the beneficiaries of remuneration under these arrangements, and what is the quantum of their remuneration. For example, LPA (sub. 17) argued that there is insufficient information available to discern whether royalty revenue is distributed to the relevant owners of copyright, stating that:</w:t>
      </w:r>
    </w:p>
    <w:p w14:paraId="3AD6333B" w14:textId="77777777" w:rsidR="007E7021" w:rsidRDefault="007E7021" w:rsidP="007E7021">
      <w:pPr>
        <w:pStyle w:val="Quote"/>
      </w:pPr>
      <w:r>
        <w:t>There is a lack of clear and detailed disclosure on how the distribution of funds to rights holders correlates to the royalty payments received…Licensees should be able to confirm that fees paid for the use of particular content is fairly distributed to the owner of that content.</w:t>
      </w:r>
      <w:r>
        <w:rPr>
          <w:rStyle w:val="EndnoteReference"/>
        </w:rPr>
        <w:endnoteReference w:id="26"/>
      </w:r>
    </w:p>
    <w:p w14:paraId="46782983" w14:textId="77777777" w:rsidR="007E7021" w:rsidRDefault="007E7021" w:rsidP="007E7021">
      <w:pPr>
        <w:keepNext/>
        <w:keepLines/>
      </w:pPr>
      <w:r>
        <w:t xml:space="preserve">Statutory licensees expressed concerns about the statutory licence schemes’ accountability in relation to the use of public funds. </w:t>
      </w:r>
      <w:r w:rsidRPr="005814AE">
        <w:t xml:space="preserve">Copyright Advisory Group to </w:t>
      </w:r>
      <w:r>
        <w:t xml:space="preserve">the </w:t>
      </w:r>
      <w:r w:rsidRPr="005814AE">
        <w:t xml:space="preserve">COAG Educational Council (CAG) </w:t>
      </w:r>
      <w:r>
        <w:t>(sub. 9) stated that:</w:t>
      </w:r>
    </w:p>
    <w:p w14:paraId="0ADD6095" w14:textId="77777777" w:rsidR="007E7021" w:rsidRDefault="007E7021" w:rsidP="007E7021">
      <w:pPr>
        <w:pStyle w:val="Quote"/>
        <w:keepLines/>
      </w:pPr>
      <w:r>
        <w:t>This lack of transparency sits uncomfortably with Education Department obligations in relation to expenditure of public funds, and best-practice administration for non-government school authorities. The current lack of visibility in terms of the distribution by collection agencies of funds paid out of public education budgets does not meet the best practice standards required by public sector organisations.</w:t>
      </w:r>
      <w:r>
        <w:rPr>
          <w:rStyle w:val="EndnoteReference"/>
        </w:rPr>
        <w:endnoteReference w:id="27"/>
      </w:r>
    </w:p>
    <w:p w14:paraId="69CEED5F" w14:textId="0F9E89CB" w:rsidR="007E7021" w:rsidRDefault="007E7021" w:rsidP="007E7021">
      <w:r>
        <w:t xml:space="preserve">CAG considers there to be insufficient information </w:t>
      </w:r>
      <w:r w:rsidR="00C959FD">
        <w:t>provided by collecting societies about the extent to which</w:t>
      </w:r>
      <w:r>
        <w:t xml:space="preserve"> funds derived from statutory licence fees are distributed to creators of the content (for example authors) in comparison to others (for example publishers)</w:t>
      </w:r>
      <w:r w:rsidR="00C959FD">
        <w:rPr>
          <w:rStyle w:val="EndnoteReference"/>
        </w:rPr>
        <w:endnoteReference w:id="28"/>
      </w:r>
      <w:r>
        <w:t>.</w:t>
      </w:r>
    </w:p>
    <w:p w14:paraId="42754D06" w14:textId="77777777" w:rsidR="007E7021" w:rsidRDefault="007E7021" w:rsidP="007E7021">
      <w:r>
        <w:t xml:space="preserve">To better understand how their fees are allocated, licensees argued that collecting societies should provide more detail regarding the royalty amounts paid to particular members and rightsholders. </w:t>
      </w:r>
      <w:r w:rsidRPr="00D87D9E">
        <w:t xml:space="preserve">Licensees </w:t>
      </w:r>
      <w:r>
        <w:t>have previously sought</w:t>
      </w:r>
      <w:r w:rsidRPr="00D87D9E">
        <w:t xml:space="preserve"> greater visibility of the distribution of licence revenue between classes of recipient, such as the breakdown between authors and publishers, or between </w:t>
      </w:r>
      <w:r w:rsidRPr="00195D41">
        <w:t>domestic and international royalty recipients. According to CAG, such information is available in clear, accessible formats in international jurisdictions such as in the annual reports of</w:t>
      </w:r>
      <w:r>
        <w:t xml:space="preserve"> the</w:t>
      </w:r>
      <w:r w:rsidRPr="00195D41">
        <w:t xml:space="preserve"> Canad</w:t>
      </w:r>
      <w:r>
        <w:t>ian and UK collecting societies.</w:t>
      </w:r>
    </w:p>
    <w:p w14:paraId="2918AE28" w14:textId="77777777" w:rsidR="007E7021" w:rsidRDefault="007E7021" w:rsidP="007E7021">
      <w:r>
        <w:t xml:space="preserve">Improving information around the distribution of funds by collecting societies may assist licensees to negotiate directly with rightsholders. </w:t>
      </w:r>
      <w:r w:rsidRPr="00222EF3">
        <w:t>In the 2014 review of the Code, the NSW Department of Justice and CAG both argued that having access to information about the individual payments made to members may allow public institutions to negotiate better licensing arrangements directly with rightsholders, in turn saving the taxpayer money.</w:t>
      </w:r>
      <w:r>
        <w:rPr>
          <w:rStyle w:val="EndnoteReference"/>
        </w:rPr>
        <w:endnoteReference w:id="29"/>
      </w:r>
      <w:r w:rsidRPr="00222EF3">
        <w:t xml:space="preserve"> This could also provide greater scrutiny over the societies’ administrative expenses and further incentivise them to keep costs low.</w:t>
      </w:r>
      <w:r>
        <w:rPr>
          <w:rStyle w:val="EndnoteReference"/>
        </w:rPr>
        <w:endnoteReference w:id="30"/>
      </w:r>
    </w:p>
    <w:p w14:paraId="32DDF93E" w14:textId="7721F1B1" w:rsidR="007E7021" w:rsidRDefault="007E7021" w:rsidP="007E7021">
      <w:r>
        <w:t xml:space="preserve">Any potential </w:t>
      </w:r>
      <w:r w:rsidR="002E7D11">
        <w:t xml:space="preserve">changes </w:t>
      </w:r>
      <w:r>
        <w:t>in this area need to avoid imposing unreasonable burdens on collecting societies. The provision of information by collecting societies can be costly and sometimes collecting societies themselves do not have access to all of the information that stakeholders may want or need.</w:t>
      </w:r>
    </w:p>
    <w:p w14:paraId="08AF88A8" w14:textId="5018FB39" w:rsidR="007E7021" w:rsidRDefault="007E7021" w:rsidP="007E7021">
      <w:r>
        <w:t xml:space="preserve">In addition, consideration needs to be given to the privacy of members and the sensitivity of particular information. This is an oft-cited response to calls for increased transparency in this area: some of the information that stakeholders want cannot be provided due to its being of a commercially sensitive nature. </w:t>
      </w:r>
      <w:r w:rsidRPr="00E3409B">
        <w:t xml:space="preserve">APRA </w:t>
      </w:r>
      <w:r>
        <w:t>AMCOS (sub. 3) has stated</w:t>
      </w:r>
      <w:r w:rsidRPr="00E3409B">
        <w:t xml:space="preserve"> that </w:t>
      </w:r>
      <w:r>
        <w:t>it</w:t>
      </w:r>
      <w:r w:rsidRPr="00E3409B">
        <w:t xml:space="preserve"> would require permission from ea</w:t>
      </w:r>
      <w:r>
        <w:t>ch rightsholder to report the i</w:t>
      </w:r>
      <w:r w:rsidRPr="00E3409B">
        <w:t>nformation</w:t>
      </w:r>
      <w:r>
        <w:t xml:space="preserve"> some licensees seek</w:t>
      </w:r>
      <w:r w:rsidRPr="00E3409B">
        <w:t>, which would increase their administrative costs and ultimately reduce the total amount of funds for members</w:t>
      </w:r>
      <w:r w:rsidR="00CD4EF7">
        <w:t>:</w:t>
      </w:r>
    </w:p>
    <w:p w14:paraId="511A534C" w14:textId="77777777" w:rsidR="007E7021" w:rsidRPr="00A618FB" w:rsidRDefault="007E7021" w:rsidP="007E7021">
      <w:pPr>
        <w:pStyle w:val="Quote"/>
      </w:pPr>
      <w:r w:rsidRPr="00BB2B8A">
        <w:t>APRA AMCOS does not believe it is appropriate for amounts distributed to individuals to be made public</w:t>
      </w:r>
      <w:r>
        <w:t>—</w:t>
      </w:r>
      <w:r w:rsidRPr="00BB2B8A">
        <w:t xml:space="preserve">to do so would be a violation of the individual member’s rights to </w:t>
      </w:r>
      <w:r w:rsidRPr="00A618FB">
        <w:t>maintain confidentiality over their incomes. It would also, in the case of at least corporate members, amount to the release of sensitive market information that might have a distorting affect on the markets in which the members operate.</w:t>
      </w:r>
      <w:r>
        <w:rPr>
          <w:rStyle w:val="EndnoteReference"/>
        </w:rPr>
        <w:endnoteReference w:id="31"/>
      </w:r>
    </w:p>
    <w:p w14:paraId="79FA6246" w14:textId="77777777" w:rsidR="007E7021" w:rsidRPr="002D60C4" w:rsidRDefault="007E7021" w:rsidP="007E7021">
      <w:r>
        <w:t>Collecting societies</w:t>
      </w:r>
      <w:r w:rsidRPr="002D60C4">
        <w:t xml:space="preserve"> have questioned the </w:t>
      </w:r>
      <w:r>
        <w:t xml:space="preserve">value </w:t>
      </w:r>
      <w:r w:rsidRPr="002D60C4">
        <w:t xml:space="preserve">of the distribution information sought by licensees </w:t>
      </w:r>
      <w:r>
        <w:t>in</w:t>
      </w:r>
      <w:r w:rsidRPr="002D60C4">
        <w:t xml:space="preserve"> allowing them to negotiate directly with rightsholders. Copyright Agency </w:t>
      </w:r>
      <w:r>
        <w:t xml:space="preserve">(sub. 10) </w:t>
      </w:r>
      <w:r w:rsidRPr="002D60C4">
        <w:t>ha</w:t>
      </w:r>
      <w:r>
        <w:t>s</w:t>
      </w:r>
      <w:r w:rsidRPr="002D60C4">
        <w:t xml:space="preserve"> stated that nothing in the terms of government and education statutory licences inhibit</w:t>
      </w:r>
      <w:r>
        <w:t>s</w:t>
      </w:r>
      <w:r w:rsidRPr="002D60C4">
        <w:t xml:space="preserve"> licensees from negotiating directly with rightsholders,</w:t>
      </w:r>
      <w:r>
        <w:rPr>
          <w:rStyle w:val="EndnoteReference"/>
        </w:rPr>
        <w:endnoteReference w:id="32"/>
      </w:r>
      <w:r>
        <w:rPr>
          <w:rStyle w:val="EndnoteReference"/>
        </w:rPr>
        <w:t xml:space="preserve"> </w:t>
      </w:r>
      <w:r w:rsidRPr="002D60C4">
        <w:t>and that access to usage data is what is needed to underpin such negotiations</w:t>
      </w:r>
      <w:r>
        <w:t>.</w:t>
      </w:r>
      <w:r>
        <w:rPr>
          <w:rStyle w:val="EndnoteReference"/>
        </w:rPr>
        <w:endnoteReference w:id="33"/>
      </w:r>
    </w:p>
    <w:p w14:paraId="15990534" w14:textId="77777777" w:rsidR="007E7021" w:rsidRDefault="007E7021" w:rsidP="007E7021">
      <w:pPr>
        <w:rPr>
          <w:highlight w:val="yellow"/>
        </w:rPr>
      </w:pPr>
      <w:r>
        <w:t>The persistence of stakeholder concerns in this area, and the importance of equitable negotiating processes, suggests that overall confidence in the system would be improved by strengthening transparency arrangements in the Code around funds distribution.</w:t>
      </w:r>
    </w:p>
    <w:p w14:paraId="2A69536A" w14:textId="147566F7" w:rsidR="007E7021" w:rsidRDefault="007E7021" w:rsidP="007E7021">
      <w:r>
        <w:t xml:space="preserve">This could be addressed by adding a new </w:t>
      </w:r>
      <w:r w:rsidR="00CD4EF7">
        <w:t xml:space="preserve">clause </w:t>
      </w:r>
      <w:r>
        <w:t>to the Code requiring collecting societies to include more detailed information around payments made to different classes of rightsholders in their annual reports. Taking into account concerns around privacy, this information could be provided at an aggregated level.</w:t>
      </w:r>
    </w:p>
    <w:p w14:paraId="25B1D3D7" w14:textId="77777777" w:rsidR="007E7021" w:rsidRDefault="007E7021" w:rsidP="007E7021">
      <w:r>
        <w:t>In addition, the Code should be amended to oblige collecting societies, at the request of licensees or their representatives, to engage with those licensees or representatives regarding the provision of additional, specific information that licensees need. To overcome privacy issues, collecting societies could provide this information on an anonymised basis.</w:t>
      </w:r>
    </w:p>
    <w:p w14:paraId="321899C7" w14:textId="77777777" w:rsidR="007E7021" w:rsidRDefault="007E7021" w:rsidP="007E7021">
      <w:r>
        <w:t>Further information is sought from stakeholders on the type of information that licensees could benefit from with respect to distributions and the constraints collecting societies face in providing this information.</w:t>
      </w:r>
    </w:p>
    <w:p w14:paraId="74D02362"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sidRPr="005C1C70">
        <w:rPr>
          <w:b/>
        </w:rPr>
        <w:t xml:space="preserve">Draft </w:t>
      </w:r>
      <w:r>
        <w:rPr>
          <w:b/>
        </w:rPr>
        <w:t>f</w:t>
      </w:r>
      <w:r w:rsidRPr="005C1C70">
        <w:rPr>
          <w:b/>
        </w:rPr>
        <w:t>inding</w:t>
      </w:r>
      <w:r>
        <w:rPr>
          <w:b/>
        </w:rPr>
        <w:t xml:space="preserve"> 5</w:t>
      </w:r>
      <w:r>
        <w:t>: Increased transparency is required around collecting societies’ distribution of funds, having regard to issues around commercially-sensitive information and compliance costs. To support this, the Code should:</w:t>
      </w:r>
    </w:p>
    <w:p w14:paraId="6FEA5A5D" w14:textId="77777777" w:rsidR="007E7021" w:rsidRPr="005C1C70" w:rsidRDefault="007E7021" w:rsidP="007E7021">
      <w:pPr>
        <w:pStyle w:val="Bullet1"/>
        <w:numPr>
          <w:ilvl w:val="0"/>
          <w:numId w:val="4"/>
        </w:numPr>
        <w:pBdr>
          <w:top w:val="single" w:sz="4" w:space="1" w:color="auto"/>
          <w:left w:val="single" w:sz="4" w:space="4" w:color="auto"/>
          <w:bottom w:val="single" w:sz="4" w:space="1" w:color="auto"/>
          <w:right w:val="single" w:sz="4" w:space="4" w:color="auto"/>
        </w:pBdr>
        <w:shd w:val="clear" w:color="auto" w:fill="D6F2FA"/>
        <w:tabs>
          <w:tab w:val="clear" w:pos="643"/>
          <w:tab w:val="num" w:pos="926"/>
        </w:tabs>
        <w:ind w:left="567" w:hanging="567"/>
      </w:pPr>
      <w:r w:rsidRPr="005C1C70">
        <w:t>Provide incentives to distribute royalties fairly and efficiently,</w:t>
      </w:r>
      <w:r>
        <w:t xml:space="preserve"> and</w:t>
      </w:r>
    </w:p>
    <w:p w14:paraId="0C99940E" w14:textId="77777777" w:rsidR="007E7021" w:rsidRPr="003F3578" w:rsidRDefault="007E7021" w:rsidP="007E7021">
      <w:pPr>
        <w:pStyle w:val="Bullet1"/>
        <w:numPr>
          <w:ilvl w:val="0"/>
          <w:numId w:val="4"/>
        </w:numPr>
        <w:pBdr>
          <w:top w:val="single" w:sz="4" w:space="1" w:color="auto"/>
          <w:left w:val="single" w:sz="4" w:space="4" w:color="auto"/>
          <w:bottom w:val="single" w:sz="4" w:space="1" w:color="auto"/>
          <w:right w:val="single" w:sz="4" w:space="4" w:color="auto"/>
        </w:pBdr>
        <w:shd w:val="clear" w:color="auto" w:fill="D6F2FA"/>
        <w:tabs>
          <w:tab w:val="clear" w:pos="643"/>
          <w:tab w:val="num" w:pos="926"/>
        </w:tabs>
        <w:ind w:left="567" w:hanging="567"/>
        <w:rPr>
          <w:b/>
        </w:rPr>
      </w:pPr>
      <w:r w:rsidRPr="003F3578">
        <w:t>Support the availability of a level of information rights holders and licensees require to have confidence in the fairness and efficiency of the system.</w:t>
      </w:r>
    </w:p>
    <w:p w14:paraId="7AD190B5" w14:textId="63DC68E1"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Pr>
          <w:b/>
        </w:rPr>
        <w:t>Draft r</w:t>
      </w:r>
      <w:r w:rsidRPr="00991F9A">
        <w:rPr>
          <w:b/>
        </w:rPr>
        <w:t>ecommendation</w:t>
      </w:r>
      <w:r>
        <w:rPr>
          <w:b/>
        </w:rPr>
        <w:t xml:space="preserve"> 5</w:t>
      </w:r>
      <w:r>
        <w:t xml:space="preserve">: </w:t>
      </w:r>
      <w:r w:rsidRPr="00EB01E4">
        <w:rPr>
          <w:b/>
        </w:rPr>
        <w:t xml:space="preserve">Amend </w:t>
      </w:r>
      <w:r>
        <w:rPr>
          <w:b/>
        </w:rPr>
        <w:t>clause </w:t>
      </w:r>
      <w:r w:rsidRPr="00EB01E4">
        <w:rPr>
          <w:b/>
        </w:rPr>
        <w:t>2.6</w:t>
      </w:r>
      <w:r w:rsidRPr="00EB01E4">
        <w:t xml:space="preserve"> to insert new sub</w:t>
      </w:r>
      <w:r>
        <w:t>clause </w:t>
      </w:r>
      <w:r w:rsidRPr="00EB01E4">
        <w:t xml:space="preserve">(e)(iv) to require collecting societies to </w:t>
      </w:r>
      <w:r>
        <w:t xml:space="preserve">detail </w:t>
      </w:r>
      <w:r w:rsidRPr="00EB01E4">
        <w:t>in their Annual Report, at an anonymised or aggregate level where appropriate, the accounting and distribution of licence revenue.</w:t>
      </w:r>
    </w:p>
    <w:p w14:paraId="54A975BA" w14:textId="33CE93C9" w:rsidR="007E7021" w:rsidRDefault="007E7021" w:rsidP="007E7021">
      <w:pPr>
        <w:pBdr>
          <w:top w:val="single" w:sz="4" w:space="1" w:color="auto"/>
          <w:left w:val="single" w:sz="4" w:space="4" w:color="auto"/>
          <w:bottom w:val="single" w:sz="4" w:space="1" w:color="auto"/>
          <w:right w:val="single" w:sz="4" w:space="4" w:color="auto"/>
        </w:pBdr>
        <w:shd w:val="clear" w:color="auto" w:fill="D6F2FA"/>
        <w:rPr>
          <w:lang w:eastAsia="en-US"/>
        </w:rPr>
      </w:pPr>
      <w:r>
        <w:rPr>
          <w:b/>
        </w:rPr>
        <w:t xml:space="preserve">Draft recommendation 6: </w:t>
      </w:r>
      <w:r w:rsidRPr="00EB01E4">
        <w:rPr>
          <w:b/>
        </w:rPr>
        <w:t xml:space="preserve">Amend </w:t>
      </w:r>
      <w:r>
        <w:rPr>
          <w:b/>
        </w:rPr>
        <w:t>clause </w:t>
      </w:r>
      <w:r w:rsidRPr="00EB01E4">
        <w:rPr>
          <w:b/>
        </w:rPr>
        <w:t>2.4 to insert new sub</w:t>
      </w:r>
      <w:r>
        <w:rPr>
          <w:b/>
        </w:rPr>
        <w:t>clause </w:t>
      </w:r>
      <w:r w:rsidRPr="00EB01E4">
        <w:rPr>
          <w:b/>
        </w:rPr>
        <w:t>(d)</w:t>
      </w:r>
      <w:r w:rsidRPr="00EB01E4">
        <w:t xml:space="preserve"> obliging collecting societies to provide more detailed information on particular rights payments on an anonymised basis</w:t>
      </w:r>
      <w:r>
        <w:t xml:space="preserve"> at the request of a licensee or their representative</w:t>
      </w:r>
      <w:r w:rsidRPr="00EB01E4">
        <w:t>.</w:t>
      </w:r>
    </w:p>
    <w:p w14:paraId="041631B9"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sidRPr="00CD12C5">
        <w:rPr>
          <w:b/>
        </w:rPr>
        <w:t>Discussion question</w:t>
      </w:r>
      <w:r>
        <w:t>:</w:t>
      </w:r>
    </w:p>
    <w:p w14:paraId="627E2ED1" w14:textId="77777777" w:rsidR="007E7021" w:rsidRPr="00692C1F" w:rsidRDefault="007E7021" w:rsidP="007E7021">
      <w:pPr>
        <w:pBdr>
          <w:top w:val="single" w:sz="4" w:space="1" w:color="auto"/>
          <w:left w:val="single" w:sz="4" w:space="4" w:color="auto"/>
          <w:bottom w:val="single" w:sz="4" w:space="1" w:color="auto"/>
          <w:right w:val="single" w:sz="4" w:space="4" w:color="auto"/>
        </w:pBdr>
        <w:shd w:val="clear" w:color="auto" w:fill="D6F2FA"/>
        <w:rPr>
          <w:lang w:eastAsia="en-US"/>
        </w:rPr>
      </w:pPr>
      <w:r>
        <w:t>What information would licensees benefit from in relation to the distribution of funds and in what format? What constraints do collecting societies face in providing information to licensees?</w:t>
      </w:r>
    </w:p>
    <w:p w14:paraId="1DD6F300" w14:textId="77777777" w:rsidR="007E7021" w:rsidRDefault="007E7021" w:rsidP="007E7021">
      <w:pPr>
        <w:pStyle w:val="Heading4"/>
      </w:pPr>
      <w:bookmarkStart w:id="116" w:name="_Toc499558578"/>
      <w:bookmarkStart w:id="117" w:name="_Toc499823222"/>
      <w:bookmarkStart w:id="118" w:name="_Toc501010960"/>
      <w:bookmarkStart w:id="119" w:name="_Toc504393006"/>
      <w:bookmarkStart w:id="120" w:name="_Toc506373262"/>
      <w:r>
        <w:t>Addressing member concerns</w:t>
      </w:r>
      <w:bookmarkEnd w:id="116"/>
      <w:bookmarkEnd w:id="117"/>
      <w:bookmarkEnd w:id="118"/>
      <w:bookmarkEnd w:id="119"/>
      <w:bookmarkEnd w:id="120"/>
    </w:p>
    <w:p w14:paraId="5A351021" w14:textId="3B2FFEE6" w:rsidR="007E7021" w:rsidRDefault="007E7021" w:rsidP="007E7021">
      <w:r>
        <w:t xml:space="preserve">Insufficient information about how funds are distributed may undermine members’ confidence in collecting societies </w:t>
      </w:r>
      <w:r w:rsidR="00D72372">
        <w:t>to provide them with appropriate remuneration for use of their works</w:t>
      </w:r>
      <w:r>
        <w:t>. Participants have submitted this is particularly the case for</w:t>
      </w:r>
      <w:r w:rsidRPr="00185F77">
        <w:t xml:space="preserve"> smaller member</w:t>
      </w:r>
      <w:r>
        <w:t>s</w:t>
      </w:r>
      <w:r w:rsidRPr="00E13E8C">
        <w:t xml:space="preserve"> </w:t>
      </w:r>
      <w:r>
        <w:t>who are less able</w:t>
      </w:r>
      <w:r w:rsidRPr="00E13E8C">
        <w:t xml:space="preserve"> </w:t>
      </w:r>
      <w:r>
        <w:t xml:space="preserve">to </w:t>
      </w:r>
      <w:r w:rsidRPr="00E13E8C">
        <w:t xml:space="preserve">participate effectively in processes </w:t>
      </w:r>
      <w:r w:rsidR="005D45A8">
        <w:t>that determine the distribution of royalty revenue</w:t>
      </w:r>
      <w:r w:rsidRPr="00E13E8C">
        <w:t>.</w:t>
      </w:r>
      <w:r>
        <w:t xml:space="preserve"> Associate Professor </w:t>
      </w:r>
      <w:r w:rsidRPr="00D9710E">
        <w:t>Rebecca Giblin and Professor Kimberlee Weatherall</w:t>
      </w:r>
      <w:r w:rsidRPr="00D9710E" w:rsidDel="00D9710E">
        <w:t xml:space="preserve"> </w:t>
      </w:r>
      <w:r>
        <w:t xml:space="preserve">(sub. 1) submitted that </w:t>
      </w:r>
      <w:r w:rsidR="005D45A8">
        <w:t xml:space="preserve">Copyright Agency </w:t>
      </w:r>
      <w:r>
        <w:t>appear</w:t>
      </w:r>
      <w:r w:rsidR="005D45A8">
        <w:t>s</w:t>
      </w:r>
      <w:r w:rsidRPr="00185F77">
        <w:t xml:space="preserve"> to determine distributions via processes that include commercial nego</w:t>
      </w:r>
      <w:r>
        <w:t>tiations with large investors, which leaves smaller members in a</w:t>
      </w:r>
      <w:r w:rsidRPr="00E13E8C">
        <w:t xml:space="preserve"> lesser bargaining position.</w:t>
      </w:r>
      <w:r>
        <w:t xml:space="preserve"> This</w:t>
      </w:r>
      <w:r w:rsidRPr="00E13E8C">
        <w:t xml:space="preserve"> can be all the more significant </w:t>
      </w:r>
      <w:r>
        <w:t>where</w:t>
      </w:r>
      <w:r w:rsidRPr="00E13E8C">
        <w:t xml:space="preserve"> collecting society income </w:t>
      </w:r>
      <w:r>
        <w:t>is</w:t>
      </w:r>
      <w:r w:rsidRPr="00E13E8C">
        <w:t xml:space="preserve"> proportionally more</w:t>
      </w:r>
      <w:r>
        <w:t xml:space="preserve"> significant to smaller members.</w:t>
      </w:r>
    </w:p>
    <w:p w14:paraId="40B8A69E" w14:textId="77777777" w:rsidR="007E7021" w:rsidRDefault="007E7021" w:rsidP="007E7021">
      <w:r w:rsidRPr="00195D41">
        <w:t>Where members have greater visibility of distribution arrangements and processes it improve</w:t>
      </w:r>
      <w:r>
        <w:t>s</w:t>
      </w:r>
      <w:r w:rsidRPr="00195D41">
        <w:t xml:space="preserve"> their confidence in the system and </w:t>
      </w:r>
      <w:r>
        <w:t>outcomes under it</w:t>
      </w:r>
      <w:r w:rsidRPr="00195D41">
        <w:t>. There should also be incentives in the system for collecting societies to ensure all members have access to clear information about how funds are managed and distributed by their collecting society.</w:t>
      </w:r>
    </w:p>
    <w:p w14:paraId="06DCD311" w14:textId="51D1DFC6" w:rsidR="007E7021" w:rsidRDefault="007E7021" w:rsidP="007E7021">
      <w:r>
        <w:t>Some</w:t>
      </w:r>
      <w:r w:rsidRPr="00195D41">
        <w:t xml:space="preserve"> stakeholders</w:t>
      </w:r>
      <w:r>
        <w:t xml:space="preserve"> have indicated</w:t>
      </w:r>
      <w:r w:rsidRPr="00195D41">
        <w:t xml:space="preserve"> that the information on distribution processes that collecting societies do make available can be hard to navigate and difficult to understand. LPA </w:t>
      </w:r>
      <w:r>
        <w:t xml:space="preserve">(sub. 17) </w:t>
      </w:r>
      <w:r w:rsidRPr="00195D41">
        <w:t xml:space="preserve">submitted </w:t>
      </w:r>
      <w:r>
        <w:t>that there</w:t>
      </w:r>
      <w:r w:rsidRPr="00195D41">
        <w:t xml:space="preserve"> is a lack of clear information available on fund allocations while the ASA </w:t>
      </w:r>
      <w:r>
        <w:t xml:space="preserve">(sub. 8) </w:t>
      </w:r>
      <w:r w:rsidRPr="00195D41">
        <w:t>state</w:t>
      </w:r>
      <w:r>
        <w:t>d</w:t>
      </w:r>
      <w:r w:rsidRPr="00195D41">
        <w:t xml:space="preserve"> that for the benefit of members, distribution policies should be as s</w:t>
      </w:r>
      <w:r>
        <w:t>imple and digestible as possible</w:t>
      </w:r>
      <w:r w:rsidRPr="00195D41">
        <w:t>:</w:t>
      </w:r>
    </w:p>
    <w:p w14:paraId="6099FA95" w14:textId="77777777" w:rsidR="007E7021" w:rsidRPr="00195D41" w:rsidRDefault="007E7021" w:rsidP="007E7021">
      <w:pPr>
        <w:pStyle w:val="Quote"/>
        <w:rPr>
          <w:color w:val="auto"/>
        </w:rPr>
      </w:pPr>
      <w:r>
        <w:rPr>
          <w:color w:val="auto"/>
        </w:rPr>
        <w:t>…</w:t>
      </w:r>
      <w:r w:rsidRPr="00195D41">
        <w:rPr>
          <w:color w:val="auto"/>
        </w:rPr>
        <w:t>the Code could be improved by specifying that the Distribution Policy must provide accessible and summarised information, to increase members’ understanding. We believe this would promote greater confidence in collecting societies.</w:t>
      </w:r>
      <w:r w:rsidRPr="00195D41">
        <w:rPr>
          <w:rStyle w:val="EndnoteReference"/>
          <w:color w:val="auto"/>
        </w:rPr>
        <w:endnoteReference w:id="34"/>
      </w:r>
    </w:p>
    <w:p w14:paraId="0E2F03F1" w14:textId="7D7BAE1B" w:rsidR="007E7021" w:rsidRDefault="007E7021" w:rsidP="007E7021">
      <w:r w:rsidRPr="00195D41">
        <w:t>Some collecting society distribution policies run to more than 30 pages and contain informat</w:t>
      </w:r>
      <w:r>
        <w:t>ion spanning a range of topics</w:t>
      </w:r>
      <w:r w:rsidR="004E343D">
        <w:t>.</w:t>
      </w:r>
      <w:r>
        <w:t xml:space="preserve"> </w:t>
      </w:r>
      <w:r w:rsidR="004E343D">
        <w:t>M</w:t>
      </w:r>
      <w:r w:rsidRPr="00195D41">
        <w:t>ost appear to be written in what may be considered dense or legalistic language.</w:t>
      </w:r>
    </w:p>
    <w:p w14:paraId="3CB6F7E9" w14:textId="77777777" w:rsidR="007E7021" w:rsidRPr="008111AE" w:rsidRDefault="007E7021" w:rsidP="007E7021">
      <w:r w:rsidRPr="00195D41">
        <w:t xml:space="preserve">Collecting societies have acknowledged that more can be done to improve the level of information available. </w:t>
      </w:r>
      <w:r>
        <w:rPr>
          <w:lang w:eastAsia="en-US"/>
        </w:rPr>
        <w:t>Copyright Agency (sub. 10) accepted there was a need to ‘develop some new ways of communicating our distribution processes and outcomes to a range of stakeholders with differing levels of interest.’</w:t>
      </w:r>
      <w:r>
        <w:rPr>
          <w:rStyle w:val="EndnoteReference"/>
          <w:lang w:eastAsia="en-US"/>
        </w:rPr>
        <w:endnoteReference w:id="35"/>
      </w:r>
    </w:p>
    <w:p w14:paraId="52518ACC" w14:textId="77777777" w:rsidR="007E7021" w:rsidRDefault="007E7021" w:rsidP="007E7021">
      <w:r>
        <w:t>Greater understanding of distribution policies, potentially through participation in their development, would give members better visibility of their entitlements and a greater level of confidence in the system. Information relating to collecting societies’ distribution policies should also be made available in a more digestible form, for instance through the development of ‘plain English’ guides or summaries of distribution policy information.</w:t>
      </w:r>
    </w:p>
    <w:p w14:paraId="1D469631" w14:textId="77777777" w:rsidR="007E7021" w:rsidRDefault="007E7021" w:rsidP="007E7021">
      <w:r>
        <w:t>To address this, a new provision should be inserted into the Code requiring collecting societies to consult on the development of distribution policies, seek input from stakeholders and publish ‘plain English’ information on their distribution policies.</w:t>
      </w:r>
    </w:p>
    <w:p w14:paraId="37FCA6B9" w14:textId="77777777" w:rsidR="007E7021" w:rsidRDefault="007E7021" w:rsidP="007E7021">
      <w:r>
        <w:t>This will help provide members with more information on how distributions are accounted for and further information is sought from stakeholders on the type of information that members could benefit from with respect to distributions.</w:t>
      </w:r>
    </w:p>
    <w:p w14:paraId="7294E7A3" w14:textId="6139DE1D" w:rsidR="007E7021" w:rsidRDefault="007E7021" w:rsidP="007E7021">
      <w:pPr>
        <w:pBdr>
          <w:top w:val="single" w:sz="4" w:space="1" w:color="auto"/>
          <w:left w:val="single" w:sz="4" w:space="4" w:color="auto"/>
          <w:bottom w:val="single" w:sz="4" w:space="1" w:color="auto"/>
          <w:right w:val="single" w:sz="4" w:space="4" w:color="auto"/>
        </w:pBdr>
        <w:shd w:val="clear" w:color="auto" w:fill="D6F2FA"/>
        <w:rPr>
          <w:b/>
        </w:rPr>
      </w:pPr>
      <w:r w:rsidRPr="00851E8F">
        <w:rPr>
          <w:b/>
        </w:rPr>
        <w:t xml:space="preserve">Draft </w:t>
      </w:r>
      <w:r>
        <w:rPr>
          <w:b/>
        </w:rPr>
        <w:t>f</w:t>
      </w:r>
      <w:r w:rsidRPr="00851E8F">
        <w:rPr>
          <w:b/>
        </w:rPr>
        <w:t>inding</w:t>
      </w:r>
      <w:r>
        <w:rPr>
          <w:b/>
        </w:rPr>
        <w:t xml:space="preserve"> 6</w:t>
      </w:r>
      <w:r>
        <w:t xml:space="preserve">: Stakeholders should be able to access information </w:t>
      </w:r>
      <w:r w:rsidR="009F708F">
        <w:t>about the distribution of funds by collecting societies to their members</w:t>
      </w:r>
      <w:r>
        <w:t xml:space="preserve"> in a form that is digestible to them.</w:t>
      </w:r>
    </w:p>
    <w:p w14:paraId="55874FA6" w14:textId="713AF7FD"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Pr>
          <w:b/>
        </w:rPr>
        <w:t xml:space="preserve">Draft recommendation 7: </w:t>
      </w:r>
      <w:r w:rsidRPr="00EB01E4">
        <w:rPr>
          <w:b/>
        </w:rPr>
        <w:t xml:space="preserve">Amend </w:t>
      </w:r>
      <w:r>
        <w:rPr>
          <w:b/>
        </w:rPr>
        <w:t>clause </w:t>
      </w:r>
      <w:r w:rsidRPr="00EB01E4">
        <w:rPr>
          <w:b/>
        </w:rPr>
        <w:t>2.4 to insert new sub</w:t>
      </w:r>
      <w:r>
        <w:rPr>
          <w:b/>
        </w:rPr>
        <w:t>clause </w:t>
      </w:r>
      <w:r w:rsidRPr="00EB01E4">
        <w:rPr>
          <w:b/>
        </w:rPr>
        <w:t>(c)</w:t>
      </w:r>
      <w:r w:rsidRPr="00EB01E4">
        <w:t xml:space="preserve"> to require that collecting societies consult on the development of distribution policies </w:t>
      </w:r>
      <w:r w:rsidR="009F708F">
        <w:t>in</w:t>
      </w:r>
      <w:r>
        <w:t xml:space="preserve"> a </w:t>
      </w:r>
      <w:r w:rsidR="009F708F">
        <w:t>process that includes affected</w:t>
      </w:r>
      <w:r>
        <w:t xml:space="preserve"> stakeholders,</w:t>
      </w:r>
      <w:r w:rsidRPr="00EB01E4">
        <w:t xml:space="preserve"> and</w:t>
      </w:r>
      <w:r>
        <w:t xml:space="preserve"> that</w:t>
      </w:r>
      <w:r w:rsidRPr="00EB01E4">
        <w:t xml:space="preserve"> each society publish ‘plain English’ information on its distribution policy.</w:t>
      </w:r>
    </w:p>
    <w:p w14:paraId="430781D3" w14:textId="77777777" w:rsidR="007E7021" w:rsidRDefault="007E7021" w:rsidP="007E7021">
      <w:pPr>
        <w:spacing w:after="0"/>
        <w:rPr>
          <w:lang w:eastAsia="en-US"/>
        </w:rPr>
      </w:pPr>
    </w:p>
    <w:p w14:paraId="120C526C"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sidRPr="00CD12C5">
        <w:rPr>
          <w:b/>
        </w:rPr>
        <w:t>Discussion question</w:t>
      </w:r>
      <w:r>
        <w:t>:</w:t>
      </w:r>
    </w:p>
    <w:p w14:paraId="7DC2B9BF" w14:textId="41FBB0A4" w:rsidR="007E7021" w:rsidRPr="00FB4ED7" w:rsidRDefault="007E7021" w:rsidP="007E7021">
      <w:pPr>
        <w:pBdr>
          <w:top w:val="single" w:sz="4" w:space="1" w:color="auto"/>
          <w:left w:val="single" w:sz="4" w:space="4" w:color="auto"/>
          <w:bottom w:val="single" w:sz="4" w:space="1" w:color="auto"/>
          <w:right w:val="single" w:sz="4" w:space="4" w:color="auto"/>
        </w:pBdr>
        <w:shd w:val="clear" w:color="auto" w:fill="D6F2FA"/>
        <w:rPr>
          <w:lang w:eastAsia="en-US"/>
        </w:rPr>
      </w:pPr>
      <w:r>
        <w:t xml:space="preserve">What information would </w:t>
      </w:r>
      <w:r w:rsidR="009F708F">
        <w:t>stakeholders</w:t>
      </w:r>
      <w:r>
        <w:t xml:space="preserve"> benefit from in relation to the distribution of funds and in what format?</w:t>
      </w:r>
    </w:p>
    <w:p w14:paraId="325CBD4A" w14:textId="77777777" w:rsidR="007E7021" w:rsidRDefault="007E7021" w:rsidP="007E7021">
      <w:pPr>
        <w:pStyle w:val="Heading4"/>
      </w:pPr>
      <w:bookmarkStart w:id="121" w:name="_Toc499558579"/>
      <w:bookmarkStart w:id="122" w:name="_Toc499823223"/>
      <w:bookmarkStart w:id="123" w:name="_Toc501010961"/>
      <w:bookmarkStart w:id="124" w:name="_Toc504393007"/>
      <w:bookmarkStart w:id="125" w:name="_Toc506373263"/>
      <w:r>
        <w:t>Improving reporting arrangements</w:t>
      </w:r>
      <w:bookmarkEnd w:id="121"/>
      <w:bookmarkEnd w:id="122"/>
      <w:bookmarkEnd w:id="123"/>
      <w:bookmarkEnd w:id="124"/>
      <w:bookmarkEnd w:id="125"/>
    </w:p>
    <w:p w14:paraId="2AD67EC0" w14:textId="77777777" w:rsidR="007E7021" w:rsidRDefault="007E7021" w:rsidP="007E7021">
      <w:r>
        <w:t>A collecting society may not always be able to distribute all the funds it collects, for instance where it was unable to identify a rightsholder, where there was no claim for payment, or where the amount owed falls below the minimum amount at which a collecting society will distribute funds.</w:t>
      </w:r>
      <w:r>
        <w:rPr>
          <w:rStyle w:val="EndnoteReference"/>
        </w:rPr>
        <w:endnoteReference w:id="36"/>
      </w:r>
    </w:p>
    <w:p w14:paraId="01C94E71" w14:textId="77777777" w:rsidR="007E7021" w:rsidRDefault="007E7021" w:rsidP="007E7021">
      <w:pPr>
        <w:keepLines/>
      </w:pPr>
      <w:r>
        <w:t>Collecting societies will search for the rightsholder and distribute the fee where it identifies them or, where it doesn’t, hold the undistributed funds in trust for a specified period. Unlike collecting societies in most other jurisdictions, the declared collecting societies in Australia have a legal obligation to treat members and non-members equally.</w:t>
      </w:r>
      <w:r>
        <w:rPr>
          <w:rStyle w:val="EndnoteReference"/>
        </w:rPr>
        <w:endnoteReference w:id="37"/>
      </w:r>
      <w:r>
        <w:t xml:space="preserve"> This requires that all allocated but unclaimed money be held in trust on behalf of the rights holder for a period of at least four years and paid out (without interest) to a person who becomes entitled in this period.</w:t>
      </w:r>
      <w:r>
        <w:rPr>
          <w:rStyle w:val="EndnoteReference"/>
        </w:rPr>
        <w:endnoteReference w:id="38"/>
      </w:r>
      <w:r>
        <w:t xml:space="preserve"> Amounts which remain in the trust fund at the expiration of the trust period fall into general revenue for distribution.</w:t>
      </w:r>
    </w:p>
    <w:p w14:paraId="22D2EB7E" w14:textId="26F08DB4" w:rsidR="007E7021" w:rsidRDefault="007E7021" w:rsidP="007E7021">
      <w:r>
        <w:t xml:space="preserve">While expired trust funds usually represent a small percentage of the original fee collection, these amounts are not inconsequential. In 2015–16, for example, Copyright Agency ‘rolled over’ $4.21 million, or around 3.2 per cent, of allocated funds that it had originally collected in the 2011–12 financial </w:t>
      </w:r>
      <w:r w:rsidRPr="00CB65C9">
        <w:t>year</w:t>
      </w:r>
      <w:r w:rsidRPr="00D13EE9">
        <w:rPr>
          <w:rStyle w:val="EndnoteReference"/>
        </w:rPr>
        <w:endnoteReference w:id="39"/>
      </w:r>
      <w:r w:rsidRPr="00CB65C9">
        <w:t>, while for the year ended 30</w:t>
      </w:r>
      <w:r>
        <w:t> June</w:t>
      </w:r>
      <w:r w:rsidRPr="00CB65C9">
        <w:t xml:space="preserve"> 2017 Screenrights report</w:t>
      </w:r>
      <w:r>
        <w:t>ed</w:t>
      </w:r>
      <w:r w:rsidRPr="00CB65C9">
        <w:t xml:space="preserve"> almost $500,000 in expired trust funds</w:t>
      </w:r>
      <w:r>
        <w:t xml:space="preserve"> representing around 1.2 per cent of funds available for distribution.</w:t>
      </w:r>
      <w:r>
        <w:rPr>
          <w:rStyle w:val="EndnoteReference"/>
        </w:rPr>
        <w:endnoteReference w:id="40"/>
      </w:r>
      <w:r>
        <w:t xml:space="preserve"> Cumulated year-on-year, and in addition to interest payments that are earned on trust accounts, these undistributed funds represent a sizeable source of funding for the declared collecting societies.</w:t>
      </w:r>
    </w:p>
    <w:p w14:paraId="10A0FB39" w14:textId="77777777" w:rsidR="007E7021" w:rsidRDefault="007E7021" w:rsidP="007E7021">
      <w:r>
        <w:t xml:space="preserve">This large pool of funds raises the question as to whether the current system provides sufficient incentives for collecting societies to exhaust all reasonable avenues to identify and distribute allocated funds to non-members. In the absence of reporting on this, there is little information on </w:t>
      </w:r>
      <w:r w:rsidRPr="006234D3">
        <w:t>how diligent collect</w:t>
      </w:r>
      <w:r>
        <w:t>ing societies are in their searches</w:t>
      </w:r>
      <w:r w:rsidRPr="006234D3">
        <w:t>, or what happens to the funds once they return to general revenue.</w:t>
      </w:r>
    </w:p>
    <w:p w14:paraId="3AECF426" w14:textId="3B527F0B" w:rsidR="007E7021" w:rsidRDefault="007E7021" w:rsidP="007E7021">
      <w:r>
        <w:t xml:space="preserve">Several participants in this review have perceived </w:t>
      </w:r>
      <w:r w:rsidR="009B018E">
        <w:t xml:space="preserve">a </w:t>
      </w:r>
      <w:r>
        <w:t xml:space="preserve">lack of transparency around how undistributed funds are managed (CAG sub. 9, Council of Australian University Librarians (CAUL) sub. 11, </w:t>
      </w:r>
      <w:r w:rsidRPr="00C86A89">
        <w:t xml:space="preserve">Queensland University of Technology School of Law </w:t>
      </w:r>
      <w:r>
        <w:t>(QUT School of Law)</w:t>
      </w:r>
      <w:r w:rsidRPr="00C86A89">
        <w:t xml:space="preserve"> </w:t>
      </w:r>
      <w:r>
        <w:t>sub. 22, Universities Australia (UA) sub. 24). While, the Code has been amended over recent years to require that collecting societies provide more transparency around undistributed funds, a number of stakeholders have indicated that further information is needed. CAUL have submitted that:</w:t>
      </w:r>
    </w:p>
    <w:p w14:paraId="474E8341" w14:textId="5BF0AB6A" w:rsidR="007E7021" w:rsidRDefault="007E7021" w:rsidP="007E7021">
      <w:pPr>
        <w:pStyle w:val="Quote"/>
      </w:pPr>
      <w:r>
        <w:t>…</w:t>
      </w:r>
      <w:r w:rsidRPr="006A76EE">
        <w:t>the level of transparency in the distribution of funds collected by the agencies is limited (unacceptably so). It is not currently transparent how funds collected from the education sector are used when those funds cannot be distributed to rights holders.</w:t>
      </w:r>
      <w:r>
        <w:rPr>
          <w:rStyle w:val="EndnoteReference"/>
        </w:rPr>
        <w:endnoteReference w:id="41"/>
      </w:r>
    </w:p>
    <w:p w14:paraId="2A0E2025" w14:textId="6D0391D9" w:rsidR="007E7021" w:rsidRDefault="007E7021" w:rsidP="007E7021">
      <w:r>
        <w:t>Following feedback from licensee groups, CAG and the NSW Government, the declared collecting societies have committed to reporting annually on a range of information, some of which pertains to undistributed funds, such as the amount of funds held in trust and total licence fees for which the trust period expired (clause 2.9 of the Code).</w:t>
      </w:r>
      <w:r>
        <w:rPr>
          <w:rStyle w:val="EndnoteReference"/>
        </w:rPr>
        <w:endnoteReference w:id="42"/>
      </w:r>
    </w:p>
    <w:p w14:paraId="7AF3E283" w14:textId="77777777" w:rsidR="007E7021" w:rsidRDefault="007E7021" w:rsidP="007E7021">
      <w:r>
        <w:t>However a number of stakeholders consider that transparency can be improved further.</w:t>
      </w:r>
    </w:p>
    <w:p w14:paraId="7945A8D5" w14:textId="11D358EB" w:rsidR="007E7021" w:rsidRDefault="007E7021" w:rsidP="007E7021">
      <w:r>
        <w:t>There is limited information available regarding the processes undertaken by the declared collecting societies to identify rightsholders, and a submission to this review has indicated concern that particular uses of funds may disincentivise</w:t>
      </w:r>
      <w:r w:rsidR="009B018E">
        <w:t xml:space="preserve"> them from undertaking</w:t>
      </w:r>
      <w:r>
        <w:t xml:space="preserve"> robust searches to locate creators. Associate Professor Rebecca Giblin (sub. 1) was concerned that as an academic who has published educational books and articles, and despite not having been approached by the relevant collecting society, on joining it was identified that revenues were owed to her despite her ‘never having been alerted to its existence’.</w:t>
      </w:r>
    </w:p>
    <w:p w14:paraId="006AED4B" w14:textId="77777777" w:rsidR="007E7021" w:rsidRDefault="007E7021" w:rsidP="007E7021">
      <w:r>
        <w:t>The submission further states that it is ‘unknown how much revenue attributable to the use of our work, and that of other academics, is being rolled over’—that is, rolled over into other uses that may be to the benefit of collecting societies more than to the benefit of other stakeholders such as licensees.</w:t>
      </w:r>
      <w:r>
        <w:rPr>
          <w:rStyle w:val="EndnoteReference"/>
        </w:rPr>
        <w:endnoteReference w:id="43"/>
      </w:r>
    </w:p>
    <w:p w14:paraId="211DF7BE" w14:textId="77777777" w:rsidR="007E7021" w:rsidRDefault="007E7021" w:rsidP="007E7021">
      <w:pPr>
        <w:rPr>
          <w:vertAlign w:val="superscript"/>
        </w:rPr>
      </w:pPr>
      <w:r>
        <w:t>According to its distribution policy, Copyright Agency uses its ‘best endeavours’ to identify and locate non-members to whom payments have been allocated.</w:t>
      </w:r>
      <w:r w:rsidRPr="00D13EE9">
        <w:rPr>
          <w:vertAlign w:val="superscript"/>
        </w:rPr>
        <w:endnoteReference w:id="44"/>
      </w:r>
      <w:r w:rsidRPr="00D13EE9">
        <w:rPr>
          <w:vertAlign w:val="superscript"/>
        </w:rPr>
        <w:t xml:space="preserve"> </w:t>
      </w:r>
      <w:r>
        <w:t xml:space="preserve">However the declared collecting societies are currently not bound to any specific diligent search obligations. Looking internationally for insights that could inform potential improvements, the </w:t>
      </w:r>
      <w:r w:rsidRPr="00D13EE9">
        <w:t xml:space="preserve">EU Directive on certain permitted uses of orphan works </w:t>
      </w:r>
      <w:r>
        <w:t>proposes a harmonised approach to diligence searches to ensure a high level of protection of copyright and related rights.</w:t>
      </w:r>
      <w:r w:rsidRPr="00D13EE9">
        <w:rPr>
          <w:vertAlign w:val="superscript"/>
        </w:rPr>
        <w:endnoteReference w:id="45"/>
      </w:r>
      <w:r>
        <w:t xml:space="preserve"> The Directive provides a non-exhaustive list of sources to be searched before a work can qualify as ‘orphan.’ The UK Government implemented this Directive as part of its 2014 regulations on orphan works,</w:t>
      </w:r>
      <w:r w:rsidRPr="00D13EE9">
        <w:rPr>
          <w:vertAlign w:val="superscript"/>
        </w:rPr>
        <w:endnoteReference w:id="46"/>
      </w:r>
      <w:r w:rsidRPr="00D13EE9">
        <w:rPr>
          <w:vertAlign w:val="superscript"/>
        </w:rPr>
        <w:t xml:space="preserve"> </w:t>
      </w:r>
      <w:r>
        <w:t>with similar approaches adopted in the Netherlands and Italy.</w:t>
      </w:r>
      <w:r w:rsidRPr="00D13EE9">
        <w:rPr>
          <w:vertAlign w:val="superscript"/>
        </w:rPr>
        <w:endnoteReference w:id="47"/>
      </w:r>
    </w:p>
    <w:p w14:paraId="15B5EEEC" w14:textId="36AEF2B0" w:rsidR="007E7021" w:rsidRDefault="007E7021" w:rsidP="007E7021">
      <w:r>
        <w:t xml:space="preserve">From the licensees’ perspective there is also a need for better visibility and communication of the </w:t>
      </w:r>
      <w:r w:rsidR="00FE0539">
        <w:t xml:space="preserve">allocation </w:t>
      </w:r>
      <w:r>
        <w:t xml:space="preserve">of undistributed funds. A number of stakeholders have raised concerns about expired funds being pooled such that they </w:t>
      </w:r>
      <w:r w:rsidDel="005E2BBD">
        <w:t>can</w:t>
      </w:r>
      <w:r>
        <w:t xml:space="preserve"> be drawn on for advocacy purposes, for instance, without this having been clearly indicated to stakeholders</w:t>
      </w:r>
      <w:r w:rsidR="00FE0539">
        <w:t>.</w:t>
      </w:r>
      <w:r w:rsidR="00FE0539">
        <w:rPr>
          <w:rStyle w:val="EndnoteReference"/>
        </w:rPr>
        <w:endnoteReference w:id="48"/>
      </w:r>
    </w:p>
    <w:p w14:paraId="1D05C404" w14:textId="271DDE13" w:rsidR="00283236" w:rsidRDefault="007E7021" w:rsidP="007E7021">
      <w:r>
        <w:t>Implementing measures to improve transparency in the management of undistributed or non</w:t>
      </w:r>
      <w:r>
        <w:noBreakHyphen/>
        <w:t xml:space="preserve">distributable funds would improve confidence in the system. Again international approaches may offer insight. Guidance material </w:t>
      </w:r>
      <w:r w:rsidR="00AC1505">
        <w:t xml:space="preserve">has been </w:t>
      </w:r>
      <w:r>
        <w:t xml:space="preserve">developed under </w:t>
      </w:r>
      <w:r w:rsidR="00283236">
        <w:t>WIPO</w:t>
      </w:r>
      <w:r w:rsidR="007C61FB">
        <w:t xml:space="preserve"> initiatives, for instance, </w:t>
      </w:r>
      <w:r w:rsidR="00AC1505">
        <w:t>with the aim of</w:t>
      </w:r>
      <w:r w:rsidR="00283236">
        <w:t xml:space="preserve"> support</w:t>
      </w:r>
      <w:r w:rsidR="00AC1505">
        <w:t>ing</w:t>
      </w:r>
      <w:r w:rsidR="00283236">
        <w:t xml:space="preserve"> transparency, accountability and governance in c</w:t>
      </w:r>
      <w:r w:rsidR="00AC1505">
        <w:t>opyright c</w:t>
      </w:r>
      <w:r w:rsidR="00283236">
        <w:t>ollective management organisations (CMOs) and their operations</w:t>
      </w:r>
      <w:r w:rsidR="000D4B57">
        <w:t xml:space="preserve">. </w:t>
      </w:r>
    </w:p>
    <w:p w14:paraId="58135794" w14:textId="4A26FDCA" w:rsidR="005F15DB" w:rsidRDefault="00283236" w:rsidP="007E7021">
      <w:r>
        <w:t xml:space="preserve">The </w:t>
      </w:r>
      <w:r w:rsidRPr="00154030">
        <w:rPr>
          <w:i/>
        </w:rPr>
        <w:t>TAG Compendium of Good Practices Concerning the Collective Management of Copyright and Related Rights</w:t>
      </w:r>
      <w:r>
        <w:t xml:space="preserve"> (TAG Compendium) dev</w:t>
      </w:r>
      <w:r w:rsidR="003B4884">
        <w:t xml:space="preserve">eloped under the WIPO’s </w:t>
      </w:r>
      <w:r>
        <w:t>TAG of Excellence project</w:t>
      </w:r>
      <w:r w:rsidR="007E7021">
        <w:rPr>
          <w:rStyle w:val="EndnoteReference"/>
        </w:rPr>
        <w:endnoteReference w:id="49"/>
      </w:r>
      <w:r w:rsidR="007E7021">
        <w:t xml:space="preserve"> set out observations aimed at ensuring the transparency, accountability and governance of copyright CMOs and include</w:t>
      </w:r>
      <w:r w:rsidR="004A5AA6">
        <w:t>d</w:t>
      </w:r>
      <w:r w:rsidR="007E7021">
        <w:t xml:space="preserve"> provisions that address non-distributable funds. The guidance outline</w:t>
      </w:r>
      <w:r w:rsidR="004A5AA6">
        <w:t>d</w:t>
      </w:r>
      <w:r w:rsidR="007E7021">
        <w:t xml:space="preserve"> that ‘the provision of certain basic information about CMOs’ operations is an essential step towards the positive perception of CMOs amongst the general public,’</w:t>
      </w:r>
      <w:r w:rsidR="007E7021">
        <w:rPr>
          <w:rStyle w:val="EndnoteReference"/>
        </w:rPr>
        <w:endnoteReference w:id="50"/>
      </w:r>
      <w:r w:rsidR="007E7021">
        <w:t xml:space="preserve"> and it recommend</w:t>
      </w:r>
      <w:r w:rsidR="001C3FB1">
        <w:t>ed</w:t>
      </w:r>
      <w:r w:rsidR="007E7021">
        <w:t xml:space="preserve"> </w:t>
      </w:r>
      <w:r w:rsidR="007C61FB">
        <w:t xml:space="preserve">the information </w:t>
      </w:r>
      <w:r w:rsidR="007E7021">
        <w:t xml:space="preserve">CMOs </w:t>
      </w:r>
      <w:r w:rsidR="007C61FB">
        <w:t>make</w:t>
      </w:r>
      <w:r w:rsidR="007E7021">
        <w:t xml:space="preserve"> available </w:t>
      </w:r>
      <w:r w:rsidR="007C61FB">
        <w:t xml:space="preserve">include </w:t>
      </w:r>
      <w:r w:rsidR="007E7021">
        <w:t>published policies on the use of non-distributable rights revenue.</w:t>
      </w:r>
      <w:r w:rsidR="007E7021" w:rsidRPr="005F15DB">
        <w:rPr>
          <w:vertAlign w:val="superscript"/>
        </w:rPr>
        <w:endnoteReference w:id="51"/>
      </w:r>
      <w:r w:rsidR="004A5AA6">
        <w:t xml:space="preserve"> </w:t>
      </w:r>
      <w:r w:rsidR="003B4884">
        <w:t>It was</w:t>
      </w:r>
      <w:r w:rsidR="007C61FB">
        <w:t xml:space="preserve"> announced in December 2017 that the TAG of Excellence project will not continue in its current form, however WIPO is developing a new initiative in the ‘Good Practice Toolkit for Collective Management Organizations’ and the draft form of this toolkit provides the same advice on non-distributable funds</w:t>
      </w:r>
      <w:r w:rsidR="003B4884">
        <w:t xml:space="preserve"> as the TAG Compendium</w:t>
      </w:r>
      <w:r w:rsidR="007C61FB">
        <w:t>.</w:t>
      </w:r>
      <w:r w:rsidR="00553615">
        <w:rPr>
          <w:rStyle w:val="EndnoteReference"/>
        </w:rPr>
        <w:endnoteReference w:id="52"/>
      </w:r>
    </w:p>
    <w:p w14:paraId="13D2436E" w14:textId="77777777" w:rsidR="007E7021" w:rsidRDefault="007E7021" w:rsidP="007E7021">
      <w:r>
        <w:t>In the UK, CMOs are required to ensure that they have processes in place to regularly review and approve general policies on non-distributable funds,</w:t>
      </w:r>
      <w:r>
        <w:rPr>
          <w:rStyle w:val="EndnoteReference"/>
        </w:rPr>
        <w:endnoteReference w:id="53"/>
      </w:r>
      <w:r>
        <w:t xml:space="preserve"> and must also publish an audited ‘annual transparency report.’ These reports must contain a range of financial and operational information, including details of the total amount of funds that remain undistributed for a given period, and an explanation of the use to which those amounts have been put.</w:t>
      </w:r>
      <w:r>
        <w:rPr>
          <w:rStyle w:val="EndnoteReference"/>
        </w:rPr>
        <w:endnoteReference w:id="54"/>
      </w:r>
      <w:r w:rsidRPr="002005A9">
        <w:rPr>
          <w:vertAlign w:val="superscript"/>
        </w:rPr>
        <w:t>,</w:t>
      </w:r>
      <w:r w:rsidRPr="002005A9">
        <w:rPr>
          <w:rStyle w:val="EndnoteReference"/>
        </w:rPr>
        <w:t xml:space="preserve"> </w:t>
      </w:r>
      <w:r>
        <w:rPr>
          <w:rStyle w:val="EndnoteReference"/>
        </w:rPr>
        <w:endnoteReference w:id="55"/>
      </w:r>
      <w:r>
        <w:t xml:space="preserve"> Amending the Code to require similar information would benefit stakeholders and would help improve confidence in the system.</w:t>
      </w:r>
    </w:p>
    <w:p w14:paraId="04719ECB" w14:textId="77777777" w:rsidR="007E7021" w:rsidRDefault="007E7021" w:rsidP="007E7021">
      <w:r>
        <w:t>While consideration should be given to any further costs additional transparency provisions may impose, such measures that could be particularly useful to licensees, members, and the public more broadly may include:</w:t>
      </w:r>
    </w:p>
    <w:p w14:paraId="15E57E55" w14:textId="77777777" w:rsidR="007E7021" w:rsidRDefault="007E7021" w:rsidP="007E7021">
      <w:pPr>
        <w:pStyle w:val="Bullet1"/>
        <w:numPr>
          <w:ilvl w:val="0"/>
          <w:numId w:val="4"/>
        </w:numPr>
        <w:tabs>
          <w:tab w:val="clear" w:pos="643"/>
          <w:tab w:val="num" w:pos="926"/>
        </w:tabs>
        <w:ind w:left="567" w:hanging="567"/>
      </w:pPr>
      <w:r>
        <w:t>requirements to provide additional transparency around the specific reasons as to why funds remain undistributed (such as an obligation to publish these), and how non</w:t>
      </w:r>
      <w:r>
        <w:noBreakHyphen/>
        <w:t>distributable funds are to be treated, including exclusions if appropriate, and</w:t>
      </w:r>
    </w:p>
    <w:p w14:paraId="202C3947" w14:textId="4B3ED04A" w:rsidR="007E7021" w:rsidRPr="00E54546" w:rsidRDefault="007E7021" w:rsidP="007E7021">
      <w:pPr>
        <w:pStyle w:val="Bullet1"/>
        <w:numPr>
          <w:ilvl w:val="0"/>
          <w:numId w:val="4"/>
        </w:numPr>
        <w:tabs>
          <w:tab w:val="clear" w:pos="643"/>
          <w:tab w:val="num" w:pos="926"/>
        </w:tabs>
        <w:ind w:left="567" w:hanging="567"/>
      </w:pPr>
      <w:r w:rsidRPr="00E54546">
        <w:t>details of the use to which non-distributable amounts have been put</w:t>
      </w:r>
      <w:r>
        <w:t>.</w:t>
      </w:r>
    </w:p>
    <w:p w14:paraId="5B9E2DAF"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rPr>
          <w:b/>
        </w:rPr>
      </w:pPr>
      <w:bookmarkStart w:id="126" w:name="_Toc499558580"/>
      <w:r w:rsidRPr="00277285">
        <w:rPr>
          <w:b/>
        </w:rPr>
        <w:t xml:space="preserve">Draft finding </w:t>
      </w:r>
      <w:r>
        <w:rPr>
          <w:b/>
        </w:rPr>
        <w:t>7</w:t>
      </w:r>
      <w:r w:rsidRPr="00277285">
        <w:rPr>
          <w:b/>
        </w:rPr>
        <w:t xml:space="preserve">: </w:t>
      </w:r>
      <w:r w:rsidRPr="006F1357">
        <w:t>Transparency should be increased around the management of funds that cannot be distributed to members or rightsholders.</w:t>
      </w:r>
    </w:p>
    <w:p w14:paraId="5E4B8B0F" w14:textId="4D49A16E"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Pr>
          <w:b/>
        </w:rPr>
        <w:t xml:space="preserve">Draft recommendation 8: </w:t>
      </w:r>
      <w:r w:rsidRPr="00630B0E">
        <w:rPr>
          <w:b/>
        </w:rPr>
        <w:t>Amend clauses 2.6 and 2.9</w:t>
      </w:r>
      <w:r>
        <w:rPr>
          <w:b/>
        </w:rPr>
        <w:t xml:space="preserve"> </w:t>
      </w:r>
      <w:r w:rsidRPr="00D13EE9">
        <w:t>to</w:t>
      </w:r>
      <w:r w:rsidRPr="00D86433">
        <w:t xml:space="preserve"> </w:t>
      </w:r>
      <w:r w:rsidRPr="00630B0E">
        <w:t>require detailed additional annual reporting of</w:t>
      </w:r>
      <w:r>
        <w:t xml:space="preserve"> undistributed funds, including:</w:t>
      </w:r>
    </w:p>
    <w:p w14:paraId="13229B4A" w14:textId="72D74609" w:rsidR="007E7021" w:rsidRDefault="007E7021" w:rsidP="00A47FED">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6F2FA"/>
        <w:tabs>
          <w:tab w:val="clear" w:pos="567"/>
        </w:tabs>
        <w:spacing w:after="240"/>
      </w:pPr>
      <w:r w:rsidRPr="005743EF">
        <w:t>reasons why funds remain undistributed,</w:t>
      </w:r>
    </w:p>
    <w:p w14:paraId="31AC1B62" w14:textId="22AE7DFA" w:rsidR="007E7021" w:rsidRPr="00CD12C5" w:rsidRDefault="007E7021" w:rsidP="007E7021">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6F2FA"/>
        <w:tabs>
          <w:tab w:val="clear" w:pos="567"/>
        </w:tabs>
        <w:spacing w:after="240"/>
        <w:rPr>
          <w:b/>
        </w:rPr>
      </w:pPr>
      <w:r>
        <w:t>steps taken to locate and distribute funds to rightsholders, and</w:t>
      </w:r>
    </w:p>
    <w:p w14:paraId="32A34C9A" w14:textId="6D4C2471" w:rsidR="007E7021" w:rsidRPr="00CD12C5" w:rsidRDefault="007E7021" w:rsidP="007E7021">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6F2FA"/>
        <w:tabs>
          <w:tab w:val="clear" w:pos="567"/>
        </w:tabs>
        <w:spacing w:after="240"/>
        <w:rPr>
          <w:b/>
        </w:rPr>
      </w:pPr>
      <w:r>
        <w:t>the uses for which expired, undistributed funds are to be applied.</w:t>
      </w:r>
    </w:p>
    <w:p w14:paraId="3DBE8D28"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sidRPr="003C3487">
        <w:rPr>
          <w:b/>
        </w:rPr>
        <w:t xml:space="preserve">Draft </w:t>
      </w:r>
      <w:r>
        <w:rPr>
          <w:b/>
        </w:rPr>
        <w:t>r</w:t>
      </w:r>
      <w:r w:rsidRPr="003C3487">
        <w:rPr>
          <w:b/>
        </w:rPr>
        <w:t xml:space="preserve">ecommendation </w:t>
      </w:r>
      <w:r>
        <w:rPr>
          <w:b/>
        </w:rPr>
        <w:t>9</w:t>
      </w:r>
      <w:r w:rsidRPr="00CD12C5">
        <w:rPr>
          <w:b/>
        </w:rPr>
        <w:t>: Amend the Code</w:t>
      </w:r>
      <w:r>
        <w:t xml:space="preserve"> to require collecting societies to provide their members with plain-English guidelines stating how non-distributable funds will be allocated and spent by the collecting society, and how such expenditure will serve the interests of members.</w:t>
      </w:r>
    </w:p>
    <w:p w14:paraId="523A0FDF" w14:textId="77777777" w:rsidR="007E7021" w:rsidRDefault="007E7021" w:rsidP="007E7021">
      <w:pPr>
        <w:pStyle w:val="Heading3"/>
      </w:pPr>
      <w:bookmarkStart w:id="127" w:name="_Toc499823224"/>
      <w:bookmarkStart w:id="128" w:name="_Toc501010962"/>
      <w:bookmarkStart w:id="129" w:name="_Toc504393008"/>
      <w:bookmarkStart w:id="130" w:name="_Toc506373264"/>
      <w:r>
        <w:t>Consolidating information</w:t>
      </w:r>
      <w:bookmarkEnd w:id="126"/>
      <w:bookmarkEnd w:id="127"/>
      <w:bookmarkEnd w:id="128"/>
      <w:bookmarkEnd w:id="129"/>
      <w:bookmarkEnd w:id="130"/>
    </w:p>
    <w:p w14:paraId="187FBDC6" w14:textId="77777777" w:rsidR="007E7021" w:rsidRDefault="007E7021" w:rsidP="007E7021">
      <w:r>
        <w:t xml:space="preserve">The addition of specific measures to address particular requirements for more information would go only part of the way to addressing transparency concerns. </w:t>
      </w:r>
      <w:r w:rsidRPr="00D15CBC">
        <w:t>Members and licensees will be better placed to make informed decisions where they have access to information about collecting societies’ conduct and operations.</w:t>
      </w:r>
      <w:r>
        <w:t xml:space="preserve"> Key to its accessibility is where that information is located.</w:t>
      </w:r>
    </w:p>
    <w:p w14:paraId="77A00DA6" w14:textId="5FF90F42" w:rsidR="007E7021" w:rsidRDefault="007E7021" w:rsidP="007E7021">
      <w:r>
        <w:t>The Code already contains general transparency provisions about particular aspects of collecting societies’ operations. For instance there are requirements for collecting societies to publish or disclose information about their financial performance (clause 2.6) and policies and procedures that directly impact either members or licensees (e.g. clause 2.3(c)). The distribution rules of the declared collecting societies are also subject to the scrutiny of the Minister and the Copyright Tribunal.</w:t>
      </w:r>
      <w:r>
        <w:rPr>
          <w:rStyle w:val="EndnoteReference"/>
        </w:rPr>
        <w:endnoteReference w:id="56"/>
      </w:r>
    </w:p>
    <w:p w14:paraId="52388666" w14:textId="77777777" w:rsidR="007E7021" w:rsidRDefault="007E7021" w:rsidP="007E7021">
      <w:r>
        <w:t>Despite these measures, access to information for stakeholders could be improved. To access information on the Code and its provisions, collecting societies’ annual reports, Code Review processes and other relevant material currently requires navigation of multiple websites and numerous different pages and resources within any given website.</w:t>
      </w:r>
    </w:p>
    <w:p w14:paraId="5D88E2E0" w14:textId="77777777" w:rsidR="007E7021" w:rsidRDefault="007E7021" w:rsidP="007E7021">
      <w:r>
        <w:t>Several participants commented that they had become aware of information on the Code and the Code review process only through the discussion paper released as part of this review.</w:t>
      </w:r>
    </w:p>
    <w:p w14:paraId="677493D3" w14:textId="77777777" w:rsidR="007E7021" w:rsidRDefault="007E7021" w:rsidP="007E7021">
      <w:pPr>
        <w:keepNext/>
      </w:pPr>
      <w:r>
        <w:t>The QUT School of Law (sub. 22) said that there is ‘great inconsistency’ in reporting by collecting societies on a range of matters and that:</w:t>
      </w:r>
    </w:p>
    <w:p w14:paraId="7E57E76E" w14:textId="77777777" w:rsidR="007E7021" w:rsidRDefault="007E7021" w:rsidP="007E7021">
      <w:pPr>
        <w:pStyle w:val="Quote"/>
      </w:pPr>
      <w:r>
        <w:t>Some reporting practices have improved over the last few years, but the level of detail is still far below what is necessary for either participants or the general public to be reassured that Australia’s collective licensing systems are performing well.</w:t>
      </w:r>
      <w:r>
        <w:rPr>
          <w:rStyle w:val="EndnoteReference"/>
        </w:rPr>
        <w:endnoteReference w:id="57"/>
      </w:r>
    </w:p>
    <w:p w14:paraId="0D5668BD" w14:textId="4CDAC587" w:rsidR="007E7021" w:rsidRDefault="007E7021" w:rsidP="007E7021">
      <w:r>
        <w:t>Other participants have claimed that some information that would benefit stakeholders is not available at all. LPA (sub. 17) suggests that access to information about collecting societies’ alternative dispute resolution processes would be of value to licensees:</w:t>
      </w:r>
    </w:p>
    <w:p w14:paraId="46FCE537" w14:textId="77777777" w:rsidR="007E7021" w:rsidRPr="007E7021" w:rsidRDefault="007E7021" w:rsidP="007E7021">
      <w:pPr>
        <w:pStyle w:val="Quote"/>
        <w:rPr>
          <w:i w:val="0"/>
        </w:rPr>
      </w:pPr>
      <w:r>
        <w:t>Member feedback indicates that APRA is not advising licence applicants that ADR is available, particularly where there is a potential dispute. LPA intends to do more to educate its Members of the ADR scheme but believes APRA needs to be much more upfront in advising potential licensees of this avenue.</w:t>
      </w:r>
      <w:r>
        <w:rPr>
          <w:rStyle w:val="EndnoteReference"/>
        </w:rPr>
        <w:endnoteReference w:id="58"/>
      </w:r>
    </w:p>
    <w:p w14:paraId="6EF23E8D" w14:textId="77777777" w:rsidR="007E7021" w:rsidRDefault="007E7021" w:rsidP="007E7021">
      <w:r>
        <w:t>The system would benefit from the availability of the range of information about collecting societies’ governance, operations and performance in an accessible, easy-to-navigate form.</w:t>
      </w:r>
    </w:p>
    <w:p w14:paraId="5E56A3AD" w14:textId="77777777" w:rsidR="007E7021" w:rsidRDefault="007E7021" w:rsidP="007E7021">
      <w:r>
        <w:t>In international jurisdictions there are requirements for collecting societies, or CMOs as such organisations are often referred to in other markets, to publish key information relating to their operations and governance. Under the EU Directive, CMOs in the European Union are required to publish on their websites an annual ‘transparency report,’ which should include information on the activities and governance of the CMO, comprehensive financial information and information on the use of amounts deducted for social, cultural and educational services.</w:t>
      </w:r>
    </w:p>
    <w:p w14:paraId="3CD218D0" w14:textId="77777777" w:rsidR="007E7021" w:rsidRDefault="007E7021" w:rsidP="007E7021">
      <w:r>
        <w:t>The notion of an annual ‘transparency report’ which captures all essential information could have broader appeal in Australia and if adopted could address some of the issues raised by participants in this review and enhance confidence in the system generally.</w:t>
      </w:r>
    </w:p>
    <w:p w14:paraId="630EABCB" w14:textId="5CF03E3B" w:rsidR="007E7021" w:rsidRDefault="007E7021" w:rsidP="007E7021">
      <w:r>
        <w:t xml:space="preserve">A lot of the information that is published in response to these requirements is information that collecting societies in Australia already publish. For instance all of the collecting societies make available information on their distribution policies, while financial information is made available through the annual reports and other financial reports published by the societies. </w:t>
      </w:r>
      <w:r w:rsidR="00EF6172">
        <w:t>A summary of</w:t>
      </w:r>
      <w:r w:rsidR="00CF4A0A">
        <w:t xml:space="preserve"> how</w:t>
      </w:r>
      <w:r w:rsidR="00EF6172">
        <w:t xml:space="preserve"> Australia’s largest collecting societies</w:t>
      </w:r>
      <w:r w:rsidR="00CF4A0A">
        <w:t xml:space="preserve">’ reporting practices compare to the reporting categories of the EU transparency report is at Table E2 in Appendix E. </w:t>
      </w:r>
      <w:r>
        <w:t>However the accessibility of this information could be improved.</w:t>
      </w:r>
    </w:p>
    <w:p w14:paraId="44E1687B" w14:textId="54E316FB" w:rsidR="007E7021" w:rsidRDefault="007E7021" w:rsidP="007E7021">
      <w:r>
        <w:t>Participants</w:t>
      </w:r>
      <w:r w:rsidR="00433CDD">
        <w:t xml:space="preserve"> in</w:t>
      </w:r>
      <w:r>
        <w:t xml:space="preserve"> the review have indicated that to improve the level and quality of information made available by collecting societies, and to improve</w:t>
      </w:r>
      <w:r w:rsidR="00CF4A0A">
        <w:t xml:space="preserve"> access to such information for</w:t>
      </w:r>
      <w:r>
        <w:t xml:space="preserve"> licensees, members and other stakeholders, there is benefit in establishing a resource that consolidates such information. A stand-alone, consolidated online portal that provides a ‘one-stop shop’ for information on the Code represents a useful option for achieving this. The portal could include a range of relevant documents such as:</w:t>
      </w:r>
    </w:p>
    <w:p w14:paraId="16721971" w14:textId="77777777" w:rsidR="007E7021" w:rsidRDefault="007E7021" w:rsidP="00897FD5">
      <w:pPr>
        <w:pStyle w:val="Bulletpoint"/>
      </w:pPr>
      <w:r>
        <w:t>an easy-to-understand, accessible description of the purpose and role of the Code</w:t>
      </w:r>
    </w:p>
    <w:p w14:paraId="3246C6F7" w14:textId="77777777" w:rsidR="007E7021" w:rsidRDefault="007E7021" w:rsidP="00897FD5">
      <w:pPr>
        <w:pStyle w:val="Bulletpoint"/>
      </w:pPr>
      <w:r>
        <w:t>a current version of the Code and a register of historical amendments to it</w:t>
      </w:r>
    </w:p>
    <w:p w14:paraId="604BAD12" w14:textId="77777777" w:rsidR="007E7021" w:rsidRDefault="007E7021" w:rsidP="00897FD5">
      <w:pPr>
        <w:pStyle w:val="Bulletpoint"/>
      </w:pPr>
      <w:r>
        <w:t>the annual and triennial reports of the Code Reviewer on collecting societies’ compliance with the Code and the operation of the Code itself</w:t>
      </w:r>
    </w:p>
    <w:p w14:paraId="523B8659" w14:textId="77777777" w:rsidR="007E7021" w:rsidRDefault="007E7021" w:rsidP="00897FD5">
      <w:pPr>
        <w:pStyle w:val="Bulletpoint"/>
      </w:pPr>
      <w:r>
        <w:t>key governance documents of the individual collecting societies including annual and other financial reports, and</w:t>
      </w:r>
    </w:p>
    <w:p w14:paraId="509DD302" w14:textId="54DAF47B" w:rsidR="007E7021" w:rsidRDefault="007E7021" w:rsidP="00897FD5">
      <w:pPr>
        <w:pStyle w:val="Bulletpoint"/>
      </w:pPr>
      <w:r>
        <w:t>resources such as individual societies’ distribution policies and ‘plain English’ guides on processes this review has recommended be made available.</w:t>
      </w:r>
    </w:p>
    <w:p w14:paraId="51B4C2ED" w14:textId="26F58AE7" w:rsidR="007E7021" w:rsidRDefault="007E7021" w:rsidP="007E7021">
      <w:r>
        <w:t xml:space="preserve">This </w:t>
      </w:r>
      <w:r w:rsidR="003127E8">
        <w:t>would consolidate</w:t>
      </w:r>
      <w:r w:rsidR="001B44E3">
        <w:t xml:space="preserve"> all documents relevant to the governance and accountability of the collecting societies bound by the Code</w:t>
      </w:r>
      <w:r>
        <w:t xml:space="preserve"> to a single, accessible location. The portal </w:t>
      </w:r>
      <w:r w:rsidR="00433CDD">
        <w:t>would</w:t>
      </w:r>
      <w:r>
        <w:t xml:space="preserve"> be administered by the collecting societies.</w:t>
      </w:r>
    </w:p>
    <w:p w14:paraId="1EA6D7B7"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rPr>
          <w:b/>
        </w:rPr>
      </w:pPr>
      <w:r>
        <w:rPr>
          <w:b/>
        </w:rPr>
        <w:t>Discussion question:</w:t>
      </w:r>
    </w:p>
    <w:p w14:paraId="01AE4440"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sidRPr="00F60A3D">
        <w:t>What specific resources and information would it be most useful for collecting societies to make available on a consolidated online portal?</w:t>
      </w:r>
    </w:p>
    <w:p w14:paraId="157D0AA4"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sidRPr="000D7EBD">
        <w:rPr>
          <w:b/>
        </w:rPr>
        <w:t xml:space="preserve">Draft recommendation </w:t>
      </w:r>
      <w:r>
        <w:rPr>
          <w:b/>
        </w:rPr>
        <w:t>10</w:t>
      </w:r>
      <w:r>
        <w:t>:</w:t>
      </w:r>
    </w:p>
    <w:p w14:paraId="790E02AE"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sidRPr="000D7EBD">
        <w:rPr>
          <w:b/>
        </w:rPr>
        <w:t>Amend the Code</w:t>
      </w:r>
      <w:r w:rsidRPr="000D7EBD">
        <w:t xml:space="preserve"> to require the collecting societies to establish and maintain a consolidated online portal for the public dissemination of specified governance, financial and data information, including all documents relating to the collecting societies’ compliance with the Code.</w:t>
      </w:r>
    </w:p>
    <w:p w14:paraId="2989BA88" w14:textId="77777777" w:rsidR="007E7021" w:rsidRDefault="007E7021" w:rsidP="007E7021">
      <w:pPr>
        <w:pStyle w:val="Heading2"/>
        <w:tabs>
          <w:tab w:val="left" w:pos="6524"/>
        </w:tabs>
      </w:pPr>
      <w:bookmarkStart w:id="131" w:name="_Toc498613711"/>
      <w:bookmarkStart w:id="132" w:name="_Toc498685027"/>
      <w:bookmarkStart w:id="133" w:name="_Toc498691878"/>
      <w:bookmarkStart w:id="134" w:name="_Toc498695615"/>
      <w:bookmarkStart w:id="135" w:name="_Toc499302295"/>
      <w:bookmarkStart w:id="136" w:name="_Toc499558581"/>
      <w:bookmarkStart w:id="137" w:name="_Toc499823225"/>
      <w:bookmarkStart w:id="138" w:name="_Toc501010963"/>
      <w:bookmarkStart w:id="139" w:name="_Toc504393009"/>
      <w:bookmarkStart w:id="140" w:name="_Toc506373265"/>
      <w:r>
        <w:t>Strengthening governance arrangements</w:t>
      </w:r>
      <w:bookmarkEnd w:id="131"/>
      <w:bookmarkEnd w:id="132"/>
      <w:bookmarkEnd w:id="133"/>
      <w:bookmarkEnd w:id="134"/>
      <w:bookmarkEnd w:id="135"/>
      <w:bookmarkEnd w:id="136"/>
      <w:bookmarkEnd w:id="137"/>
      <w:bookmarkEnd w:id="138"/>
      <w:bookmarkEnd w:id="139"/>
      <w:bookmarkEnd w:id="140"/>
    </w:p>
    <w:p w14:paraId="23C5CDD9" w14:textId="77777777" w:rsidR="007E7021" w:rsidRDefault="007E7021" w:rsidP="007E7021">
      <w:pPr>
        <w:keepNext/>
        <w:keepLines/>
      </w:pPr>
      <w:r>
        <w:t>A key measure of effective governance is the ability to access remedies that are fair and for which the cost of access is proportionate to the scope of the dispute. The introduction of the Code has prompted significant improvements in processes to manage complaints and disputes, and in determining compliance with and enforcement of the Code.</w:t>
      </w:r>
    </w:p>
    <w:p w14:paraId="7676BA85" w14:textId="06945CE9" w:rsidR="007E7021" w:rsidRDefault="007E7021" w:rsidP="007E7021">
      <w:pPr>
        <w:keepNext/>
        <w:keepLines/>
      </w:pPr>
      <w:r>
        <w:t>Nevertheless, gaps remain which could be addressed through amendments to the Code to strengthen governance arrangements. However, the role of the Code and that of the Copyright Tribunal should be clearly delineated as it is only the Tribunal which has the authority and capacity to determine the quantum</w:t>
      </w:r>
      <w:r w:rsidR="00255ED3">
        <w:t xml:space="preserve"> of</w:t>
      </w:r>
      <w:r>
        <w:t xml:space="preserve"> licence fees and the structure of licence schemes</w:t>
      </w:r>
      <w:r w:rsidR="00255ED3">
        <w:t xml:space="preserve"> where parties are unable reach agreement on these matters themselves</w:t>
      </w:r>
      <w:r>
        <w:t>.</w:t>
      </w:r>
    </w:p>
    <w:p w14:paraId="43DE8577" w14:textId="77777777" w:rsidR="007E7021" w:rsidRDefault="007E7021" w:rsidP="007E7021">
      <w:r>
        <w:t>Regular reviews demonstrate that collecting societies have shown a high level of compliance with the Code since its inception. This suggests that it is an effective regulatory tool in its current voluntary form and at this stage there is not a sufficient basis to make the Code mandatory.</w:t>
      </w:r>
    </w:p>
    <w:p w14:paraId="4AB2F787" w14:textId="77777777" w:rsidR="007E7021" w:rsidRDefault="007E7021" w:rsidP="007E7021">
      <w:pPr>
        <w:pStyle w:val="Heading3"/>
      </w:pPr>
      <w:bookmarkStart w:id="141" w:name="_Toc499558582"/>
      <w:bookmarkStart w:id="142" w:name="_Toc499823226"/>
      <w:bookmarkStart w:id="143" w:name="_Toc501010964"/>
      <w:bookmarkStart w:id="144" w:name="_Toc504393010"/>
      <w:bookmarkStart w:id="145" w:name="_Toc506373266"/>
      <w:r>
        <w:t>Improving the effectiveness of complaint and disputes handling</w:t>
      </w:r>
      <w:bookmarkEnd w:id="141"/>
      <w:bookmarkEnd w:id="142"/>
      <w:bookmarkEnd w:id="143"/>
      <w:bookmarkEnd w:id="144"/>
      <w:bookmarkEnd w:id="145"/>
    </w:p>
    <w:p w14:paraId="4ECED2F4" w14:textId="77777777" w:rsidR="007E7021" w:rsidRDefault="007E7021" w:rsidP="007E7021">
      <w:pPr>
        <w:keepNext/>
      </w:pPr>
      <w:r>
        <w:t>The ACCC recognises that a voluntary code will generally be ‘more cost effective, time efficient and user friendly in resolving complaints than government bodies’.</w:t>
      </w:r>
      <w:r>
        <w:rPr>
          <w:rStyle w:val="EndnoteReference"/>
        </w:rPr>
        <w:endnoteReference w:id="59"/>
      </w:r>
      <w:r>
        <w:t xml:space="preserve"> This is because the signatories to a voluntary code have the capacity to quickly assess and resolve a complaint, whereas government bodies will likely require additional time and resourcing to effectively assess complaints, and may have minimal capacity to offer remedies that will satisfy the complainant. The ACCC also advises that, when developing complaints handling procedures, an effective code will incorporate the following</w:t>
      </w:r>
      <w:r>
        <w:rPr>
          <w:rStyle w:val="EndnoteReference"/>
        </w:rPr>
        <w:endnoteReference w:id="60"/>
      </w:r>
      <w:r>
        <w:t>:</w:t>
      </w:r>
    </w:p>
    <w:p w14:paraId="6F7FBD78" w14:textId="77777777" w:rsidR="007E7021" w:rsidRDefault="007E7021" w:rsidP="00897FD5">
      <w:pPr>
        <w:pStyle w:val="Bulletpoint"/>
      </w:pPr>
      <w:r>
        <w:t>a definition of complaint that includes any expression of dissatisfaction with a product or service offered or provided</w:t>
      </w:r>
    </w:p>
    <w:p w14:paraId="129494D7" w14:textId="77777777" w:rsidR="007E7021" w:rsidRDefault="007E7021" w:rsidP="00897FD5">
      <w:pPr>
        <w:pStyle w:val="Bulletpoint"/>
      </w:pPr>
      <w:r>
        <w:t>a procedure whereby complaints should first be considered by signatories to the code</w:t>
      </w:r>
    </w:p>
    <w:p w14:paraId="691EB37A" w14:textId="77777777" w:rsidR="007E7021" w:rsidRDefault="007E7021" w:rsidP="00897FD5">
      <w:pPr>
        <w:pStyle w:val="Bulletpoint"/>
      </w:pPr>
      <w:r>
        <w:t>if the signatories cannot resolve a complaint it should be lodged with an independent decision maker</w:t>
      </w:r>
      <w:r>
        <w:rPr>
          <w:rStyle w:val="EndnoteReference"/>
        </w:rPr>
        <w:endnoteReference w:id="61"/>
      </w:r>
    </w:p>
    <w:p w14:paraId="59D83213" w14:textId="77777777" w:rsidR="007E7021" w:rsidRDefault="007E7021" w:rsidP="00897FD5">
      <w:pPr>
        <w:pStyle w:val="Bulletpoint"/>
      </w:pPr>
      <w:r>
        <w:t>performance criteria for effective complaints handling, such as the benchmark provided by the relevant Australian Standard</w:t>
      </w:r>
      <w:r>
        <w:rPr>
          <w:rStyle w:val="EndnoteReference"/>
        </w:rPr>
        <w:endnoteReference w:id="62"/>
      </w:r>
      <w:r>
        <w:t>.</w:t>
      </w:r>
    </w:p>
    <w:p w14:paraId="5605EC2D" w14:textId="77777777" w:rsidR="007E7021" w:rsidRDefault="007E7021" w:rsidP="007E7021">
      <w:pPr>
        <w:keepNext/>
        <w:widowControl w:val="0"/>
      </w:pPr>
      <w:r>
        <w:t>The Code broadly meets these standards as it requires each of the collecting societies to develop:</w:t>
      </w:r>
    </w:p>
    <w:p w14:paraId="3C425C0E" w14:textId="41F0C77F" w:rsidR="007E7021" w:rsidRDefault="007E7021" w:rsidP="007E7021">
      <w:pPr>
        <w:pStyle w:val="Bullet1"/>
        <w:numPr>
          <w:ilvl w:val="0"/>
          <w:numId w:val="4"/>
        </w:numPr>
        <w:tabs>
          <w:tab w:val="clear" w:pos="643"/>
          <w:tab w:val="num" w:pos="926"/>
        </w:tabs>
        <w:ind w:left="567" w:hanging="567"/>
      </w:pPr>
      <w:r>
        <w:t>complaints handling and dispute resolution procedures (clause 3(a))</w:t>
      </w:r>
    </w:p>
    <w:p w14:paraId="58D25987" w14:textId="35352CB2" w:rsidR="007E7021" w:rsidRDefault="007E7021" w:rsidP="007E7021">
      <w:pPr>
        <w:pStyle w:val="Bullet1"/>
        <w:numPr>
          <w:ilvl w:val="0"/>
          <w:numId w:val="4"/>
        </w:numPr>
        <w:tabs>
          <w:tab w:val="clear" w:pos="643"/>
          <w:tab w:val="num" w:pos="926"/>
        </w:tabs>
        <w:ind w:left="567" w:hanging="567"/>
      </w:pPr>
      <w:r>
        <w:t>complaints handling procedures compliant with the relevant Australian Standard (clause 3(c)), and</w:t>
      </w:r>
    </w:p>
    <w:p w14:paraId="18C18515" w14:textId="33E311CB" w:rsidR="007E7021" w:rsidRDefault="007E7021" w:rsidP="007E7021">
      <w:pPr>
        <w:pStyle w:val="Bullet1"/>
        <w:numPr>
          <w:ilvl w:val="0"/>
          <w:numId w:val="4"/>
        </w:numPr>
        <w:tabs>
          <w:tab w:val="clear" w:pos="643"/>
          <w:tab w:val="num" w:pos="926"/>
        </w:tabs>
        <w:ind w:left="567" w:hanging="567"/>
      </w:pPr>
      <w:r>
        <w:t>appropriate alternative dispute resolution procedures (clause 3(c)(viii)) which in effect facilitates the consideration of complaints by an independent decision maker.</w:t>
      </w:r>
    </w:p>
    <w:p w14:paraId="531B45D4" w14:textId="7473473B" w:rsidR="007E7021" w:rsidRDefault="007E7021" w:rsidP="007E7021">
      <w:pPr>
        <w:widowControl w:val="0"/>
      </w:pPr>
      <w:r>
        <w:t>However, the Code only requires that complaint handling procedures be developed to apply to ‘any complaint about a matter covered by the Code’ (clause 3(b)).</w:t>
      </w:r>
    </w:p>
    <w:p w14:paraId="5852AFA1" w14:textId="77777777" w:rsidR="007E7021" w:rsidRDefault="007E7021" w:rsidP="007E7021">
      <w:pPr>
        <w:widowControl w:val="0"/>
      </w:pPr>
      <w:r>
        <w:t>Whilst the Code is broad in scope and relevantly includes provisions governing the relationships between a collecting society and both its members and its licensees, aspects of a collecting society’s operations may fall outside the scope of the Code and accordingly may not be dealt with under the complaint handling procedures.</w:t>
      </w:r>
    </w:p>
    <w:p w14:paraId="7728969E" w14:textId="77777777" w:rsidR="007E7021" w:rsidRDefault="007E7021" w:rsidP="007E7021">
      <w:pPr>
        <w:keepLines/>
      </w:pPr>
      <w:r w:rsidRPr="004D3891">
        <w:t>For example some</w:t>
      </w:r>
      <w:r>
        <w:t xml:space="preserve"> collecting societies do not allow their alternative dispute resolution</w:t>
      </w:r>
      <w:r w:rsidRPr="004D3891">
        <w:t xml:space="preserve"> </w:t>
      </w:r>
      <w:r>
        <w:t>(ADR)</w:t>
      </w:r>
      <w:r w:rsidRPr="004D3891">
        <w:t xml:space="preserve"> </w:t>
      </w:r>
      <w:r>
        <w:t xml:space="preserve">facilities to be </w:t>
      </w:r>
      <w:r w:rsidRPr="00A3765D">
        <w:t xml:space="preserve">accessed for disputes </w:t>
      </w:r>
      <w:r>
        <w:t>regarding</w:t>
      </w:r>
      <w:r w:rsidRPr="00A3765D">
        <w:t xml:space="preserve"> licence fees</w:t>
      </w:r>
      <w:r>
        <w:rPr>
          <w:rStyle w:val="EndnoteReference"/>
        </w:rPr>
        <w:endnoteReference w:id="63"/>
      </w:r>
      <w:r>
        <w:t xml:space="preserve">, and in recent years the Code Reviewer has confirmed that it </w:t>
      </w:r>
      <w:r w:rsidRPr="00A3765D">
        <w:t xml:space="preserve">is not the role of the Code </w:t>
      </w:r>
      <w:r>
        <w:t>R</w:t>
      </w:r>
      <w:r w:rsidRPr="00A3765D">
        <w:t>eviewer to assess</w:t>
      </w:r>
      <w:r>
        <w:t xml:space="preserve"> licence fee</w:t>
      </w:r>
      <w:r w:rsidRPr="00A3765D">
        <w:t xml:space="preserve"> disputes.</w:t>
      </w:r>
      <w:r w:rsidRPr="004D3891">
        <w:t xml:space="preserve"> While the Copyright Tribunal provides an avenue for </w:t>
      </w:r>
      <w:r>
        <w:t>resolving</w:t>
      </w:r>
      <w:r w:rsidRPr="004D3891">
        <w:t xml:space="preserve"> licence fee disputes, stakeholders have indicated that it </w:t>
      </w:r>
      <w:r>
        <w:t>is an expensive and time-consuming option for achieving resolution, particularly for relatively minor matters</w:t>
      </w:r>
      <w:r w:rsidRPr="004D3891">
        <w:t>.</w:t>
      </w:r>
    </w:p>
    <w:p w14:paraId="6B271126" w14:textId="77777777" w:rsidR="007E7021" w:rsidRDefault="007E7021" w:rsidP="007E7021">
      <w:pPr>
        <w:pStyle w:val="Heading4"/>
        <w:keepNext w:val="0"/>
        <w:widowControl w:val="0"/>
      </w:pPr>
      <w:bookmarkStart w:id="146" w:name="_Toc498524188"/>
      <w:bookmarkStart w:id="147" w:name="_Toc498613714"/>
      <w:bookmarkStart w:id="148" w:name="_Toc498685030"/>
      <w:bookmarkStart w:id="149" w:name="_Toc498691881"/>
      <w:bookmarkStart w:id="150" w:name="_Toc498695618"/>
      <w:bookmarkStart w:id="151" w:name="_Toc499302297"/>
      <w:bookmarkStart w:id="152" w:name="_Toc499558583"/>
      <w:bookmarkStart w:id="153" w:name="_Toc499823227"/>
      <w:bookmarkStart w:id="154" w:name="_Toc501010965"/>
      <w:bookmarkStart w:id="155" w:name="_Toc504393011"/>
      <w:bookmarkStart w:id="156" w:name="_Toc506373267"/>
      <w:r>
        <w:t xml:space="preserve">Assessing current provisions </w:t>
      </w:r>
      <w:bookmarkEnd w:id="146"/>
      <w:bookmarkEnd w:id="147"/>
      <w:bookmarkEnd w:id="148"/>
      <w:bookmarkEnd w:id="149"/>
      <w:bookmarkEnd w:id="150"/>
      <w:bookmarkEnd w:id="151"/>
      <w:r>
        <w:t>for dispute resolution</w:t>
      </w:r>
      <w:bookmarkEnd w:id="152"/>
      <w:bookmarkEnd w:id="153"/>
      <w:bookmarkEnd w:id="154"/>
      <w:bookmarkEnd w:id="155"/>
      <w:bookmarkEnd w:id="156"/>
    </w:p>
    <w:p w14:paraId="54C9D26B" w14:textId="77777777" w:rsidR="007E7021" w:rsidRDefault="007E7021" w:rsidP="007E7021">
      <w:pPr>
        <w:widowControl w:val="0"/>
        <w:rPr>
          <w:lang w:eastAsia="en-US"/>
        </w:rPr>
      </w:pPr>
      <w:r>
        <w:rPr>
          <w:lang w:eastAsia="en-US"/>
        </w:rPr>
        <w:t>An</w:t>
      </w:r>
      <w:r w:rsidRPr="00315D81">
        <w:rPr>
          <w:lang w:eastAsia="en-US"/>
        </w:rPr>
        <w:t xml:space="preserve"> objective of the Code</w:t>
      </w:r>
      <w:r w:rsidRPr="00315D81">
        <w:rPr>
          <w:vertAlign w:val="superscript"/>
          <w:lang w:eastAsia="en-US"/>
        </w:rPr>
        <w:endnoteReference w:id="64"/>
      </w:r>
      <w:r w:rsidRPr="00315D81">
        <w:rPr>
          <w:lang w:eastAsia="en-US"/>
        </w:rPr>
        <w:t xml:space="preserve"> is ‘to ensure that Members and Licensees have access to efficient, fair and low cost procedures for the handling of complaints and the resolution of disputes involving Collecting Societies’.</w:t>
      </w:r>
    </w:p>
    <w:p w14:paraId="5D9A3733" w14:textId="77777777" w:rsidR="007E7021" w:rsidRDefault="007E7021" w:rsidP="007E7021">
      <w:pPr>
        <w:widowControl w:val="0"/>
        <w:rPr>
          <w:lang w:eastAsia="en-US"/>
        </w:rPr>
      </w:pPr>
      <w:r w:rsidRPr="00315D81">
        <w:rPr>
          <w:lang w:eastAsia="en-US"/>
        </w:rPr>
        <w:t>The Code</w:t>
      </w:r>
      <w:r>
        <w:rPr>
          <w:lang w:eastAsia="en-US"/>
        </w:rPr>
        <w:t xml:space="preserve"> therefore</w:t>
      </w:r>
      <w:r w:rsidRPr="00315D81">
        <w:rPr>
          <w:lang w:eastAsia="en-US"/>
        </w:rPr>
        <w:t xml:space="preserve"> requires each collecting society to develop and publicise procedures for both dealing with complaints from members and licensees, and resolving disputes between the societies and its members or licensees</w:t>
      </w:r>
      <w:r w:rsidRPr="00315D81">
        <w:rPr>
          <w:vertAlign w:val="superscript"/>
          <w:lang w:eastAsia="en-US"/>
        </w:rPr>
        <w:endnoteReference w:id="65"/>
      </w:r>
      <w:r w:rsidRPr="00315D81">
        <w:rPr>
          <w:lang w:eastAsia="en-US"/>
        </w:rPr>
        <w:t>. These procedures must comply with the relevant Australian Standard for customer satisfaction</w:t>
      </w:r>
      <w:r w:rsidRPr="00315D81">
        <w:rPr>
          <w:vertAlign w:val="superscript"/>
          <w:lang w:eastAsia="en-US"/>
        </w:rPr>
        <w:endnoteReference w:id="66"/>
      </w:r>
      <w:r w:rsidRPr="00315D81">
        <w:rPr>
          <w:lang w:eastAsia="en-US"/>
        </w:rPr>
        <w:t>, and include appropriate avenues for ADR.</w:t>
      </w:r>
      <w:r w:rsidRPr="00315D81">
        <w:rPr>
          <w:vertAlign w:val="superscript"/>
          <w:lang w:eastAsia="en-US"/>
        </w:rPr>
        <w:endnoteReference w:id="67"/>
      </w:r>
    </w:p>
    <w:p w14:paraId="004481B0" w14:textId="77777777" w:rsidR="007E7021" w:rsidRDefault="007E7021" w:rsidP="007E7021">
      <w:pPr>
        <w:rPr>
          <w:lang w:eastAsia="en-US"/>
        </w:rPr>
      </w:pPr>
      <w:r>
        <w:rPr>
          <w:lang w:eastAsia="en-US"/>
        </w:rPr>
        <w:t>Since the Code was introduced, collecting societies have developed complaints handling policies that adhere to the Australian Standard for customer satisfaction, by:</w:t>
      </w:r>
    </w:p>
    <w:p w14:paraId="5F2FEE77" w14:textId="77777777" w:rsidR="007E7021" w:rsidRDefault="007E7021" w:rsidP="007E7021">
      <w:pPr>
        <w:pStyle w:val="Bullet1"/>
        <w:numPr>
          <w:ilvl w:val="0"/>
          <w:numId w:val="4"/>
        </w:numPr>
        <w:tabs>
          <w:tab w:val="clear" w:pos="643"/>
          <w:tab w:val="num" w:pos="926"/>
        </w:tabs>
        <w:ind w:left="567" w:hanging="567"/>
      </w:pPr>
      <w:r>
        <w:t>providing information to members and licensees about the process for making a complaint—in practice, this has been achieved by each of the collecting societies publishing their complaints handling procedures on their respective websites</w:t>
      </w:r>
    </w:p>
    <w:p w14:paraId="4CDC278B" w14:textId="77777777" w:rsidR="007E7021" w:rsidRDefault="007E7021" w:rsidP="007E7021">
      <w:pPr>
        <w:pStyle w:val="Bullet1"/>
        <w:numPr>
          <w:ilvl w:val="0"/>
          <w:numId w:val="4"/>
        </w:numPr>
        <w:tabs>
          <w:tab w:val="clear" w:pos="643"/>
          <w:tab w:val="num" w:pos="926"/>
        </w:tabs>
        <w:ind w:left="567" w:hanging="567"/>
      </w:pPr>
      <w:r>
        <w:t>appointing a dedicated complaints officer to receive incoming complaints</w:t>
      </w:r>
    </w:p>
    <w:p w14:paraId="34E5DF55" w14:textId="77777777" w:rsidR="007E7021" w:rsidRDefault="007E7021" w:rsidP="007E7021">
      <w:pPr>
        <w:pStyle w:val="Bullet1"/>
        <w:numPr>
          <w:ilvl w:val="0"/>
          <w:numId w:val="4"/>
        </w:numPr>
        <w:tabs>
          <w:tab w:val="clear" w:pos="643"/>
          <w:tab w:val="num" w:pos="926"/>
        </w:tabs>
        <w:ind w:left="567" w:hanging="567"/>
      </w:pPr>
      <w:r>
        <w:t>providing timeframes for assessing and responding to a complaint</w:t>
      </w:r>
    </w:p>
    <w:p w14:paraId="71B57F91" w14:textId="77777777" w:rsidR="007E7021" w:rsidRDefault="007E7021" w:rsidP="007E7021">
      <w:pPr>
        <w:pStyle w:val="Bullet1"/>
        <w:numPr>
          <w:ilvl w:val="0"/>
          <w:numId w:val="4"/>
        </w:numPr>
        <w:tabs>
          <w:tab w:val="clear" w:pos="643"/>
          <w:tab w:val="num" w:pos="926"/>
        </w:tabs>
        <w:ind w:left="567" w:hanging="567"/>
      </w:pPr>
      <w:r>
        <w:t>maintaining a register of all complaints received and responses provided by the collecting society, and</w:t>
      </w:r>
    </w:p>
    <w:p w14:paraId="5AEBC6A6" w14:textId="77777777" w:rsidR="007E7021" w:rsidRDefault="007E7021" w:rsidP="007E7021">
      <w:pPr>
        <w:pStyle w:val="Bullet1"/>
        <w:numPr>
          <w:ilvl w:val="0"/>
          <w:numId w:val="4"/>
        </w:numPr>
        <w:tabs>
          <w:tab w:val="clear" w:pos="643"/>
          <w:tab w:val="num" w:pos="926"/>
        </w:tabs>
        <w:ind w:left="567" w:hanging="567"/>
      </w:pPr>
      <w:r>
        <w:t>providing access to an ADR process if the complainant is unhappy with the response provided by the collecting society.</w:t>
      </w:r>
    </w:p>
    <w:p w14:paraId="2230BA94" w14:textId="77777777" w:rsidR="007E7021" w:rsidRDefault="007E7021" w:rsidP="007E7021">
      <w:pPr>
        <w:rPr>
          <w:lang w:eastAsia="en-US"/>
        </w:rPr>
      </w:pPr>
      <w:r>
        <w:rPr>
          <w:lang w:eastAsia="en-US"/>
        </w:rPr>
        <w:t>To date, it appears that the Code has facilitated the provision of a range of ADR processes by the collecting societies, to the benefit of members and licensees.</w:t>
      </w:r>
    </w:p>
    <w:p w14:paraId="4272854D" w14:textId="77777777" w:rsidR="007E7021" w:rsidRDefault="007E7021" w:rsidP="007E7021">
      <w:pPr>
        <w:rPr>
          <w:lang w:eastAsia="en-US"/>
        </w:rPr>
      </w:pPr>
      <w:r>
        <w:rPr>
          <w:lang w:eastAsia="en-US"/>
        </w:rPr>
        <w:t>Each collecting society (with the exception of ASDACS) has also developed an ADR process, with the range of dispute resolution options differing according to the requirements of each collecting society’s members and licensees.</w:t>
      </w:r>
    </w:p>
    <w:p w14:paraId="3E70A407" w14:textId="77777777" w:rsidR="007E7021" w:rsidRDefault="007E7021" w:rsidP="007E7021">
      <w:pPr>
        <w:keepNext/>
        <w:keepLines/>
        <w:rPr>
          <w:lang w:eastAsia="en-US"/>
        </w:rPr>
      </w:pPr>
      <w:r>
        <w:rPr>
          <w:lang w:eastAsia="en-US"/>
        </w:rPr>
        <w:t>APRA AMCOS (sub. 3) credits the introduction of the Code for a substantial overhaul of its complaints handling systems, and for the subsequent reduction in complaints received in the years since the Code was introduced, stating:</w:t>
      </w:r>
    </w:p>
    <w:p w14:paraId="02517E35" w14:textId="77777777" w:rsidR="007E7021" w:rsidRDefault="007E7021" w:rsidP="007E7021">
      <w:pPr>
        <w:pStyle w:val="Quote"/>
        <w:keepLines/>
        <w:rPr>
          <w:lang w:eastAsia="en-US"/>
        </w:rPr>
      </w:pPr>
      <w:r>
        <w:rPr>
          <w:lang w:eastAsia="en-US"/>
        </w:rPr>
        <w:t>APRA AMCOS comprehensively revised its systems to establish and improve automated systems of complaint recording and monitoring, training and compliance procedures, and communications protocols. Since 2002, due at least in part to the introduction of the Code, the service culture at APRA AMCOS has improved dramatically.</w:t>
      </w:r>
      <w:r>
        <w:rPr>
          <w:rStyle w:val="EndnoteReference"/>
        </w:rPr>
        <w:endnoteReference w:id="68"/>
      </w:r>
    </w:p>
    <w:p w14:paraId="0B636CAE" w14:textId="77777777" w:rsidR="007E7021" w:rsidRDefault="007E7021" w:rsidP="007E7021">
      <w:pPr>
        <w:keepNext/>
        <w:keepLines/>
        <w:rPr>
          <w:lang w:eastAsia="en-US"/>
        </w:rPr>
      </w:pPr>
      <w:r>
        <w:rPr>
          <w:lang w:eastAsia="en-US"/>
        </w:rPr>
        <w:t>Similarly, Screenrights (sub. 23) submits the Code is:</w:t>
      </w:r>
    </w:p>
    <w:p w14:paraId="004D1640" w14:textId="77777777" w:rsidR="007E7021" w:rsidRDefault="007E7021" w:rsidP="007E7021">
      <w:pPr>
        <w:pStyle w:val="Quote"/>
        <w:keepLines/>
        <w:rPr>
          <w:lang w:eastAsia="en-US"/>
        </w:rPr>
      </w:pPr>
      <w:r>
        <w:rPr>
          <w:lang w:eastAsia="en-US"/>
        </w:rPr>
        <w:t>…important in encouraging the development of a culture of positive, polite and helpful behaviour through regular internal examination of conduct. The discipline of annual compliance reporting leads to constant thought being given to the handling of all matters, including matters that do not qualify as ‘complaints’ per se but which require careful internal management.</w:t>
      </w:r>
      <w:r>
        <w:rPr>
          <w:rStyle w:val="EndnoteReference"/>
          <w:lang w:eastAsia="en-US"/>
        </w:rPr>
        <w:endnoteReference w:id="69"/>
      </w:r>
    </w:p>
    <w:p w14:paraId="285B40DA" w14:textId="77777777" w:rsidR="007E7021" w:rsidRDefault="007E7021" w:rsidP="007E7021">
      <w:pPr>
        <w:rPr>
          <w:lang w:eastAsia="en-US"/>
        </w:rPr>
      </w:pPr>
      <w:r>
        <w:rPr>
          <w:lang w:eastAsia="en-US"/>
        </w:rPr>
        <w:t>Appendix D summarises each collecting society’s ADR processes. These include access to a low-cost external facilitator of dispute resolution, which gives parties the option to avoid costly litigation in the Copyright Tribunal or Federal Court, or at the very least use the ADR processes to reduce the matters in dispute between the parties before litigation is contemplated.</w:t>
      </w:r>
    </w:p>
    <w:p w14:paraId="4FD3AAD7" w14:textId="77777777" w:rsidR="007E7021" w:rsidRDefault="007E7021" w:rsidP="007E7021">
      <w:pPr>
        <w:rPr>
          <w:lang w:eastAsia="en-US"/>
        </w:rPr>
      </w:pPr>
      <w:r>
        <w:rPr>
          <w:lang w:eastAsia="en-US"/>
        </w:rPr>
        <w:t>However, some gaps remain. ADR processes are not available for every type of dispute a stakeholder may have with a collecting society. This is particularly so for licensees as some ADR processes cannot be accessed for prospective licensees or for disputes as to the quantum of equitable remuneration payable under a statutory licence.</w:t>
      </w:r>
      <w:r>
        <w:rPr>
          <w:rStyle w:val="EndnoteReference"/>
          <w:lang w:eastAsia="en-US"/>
        </w:rPr>
        <w:endnoteReference w:id="70"/>
      </w:r>
      <w:r>
        <w:rPr>
          <w:lang w:eastAsia="en-US"/>
        </w:rPr>
        <w:t xml:space="preserve"> Further, licensee stakeholders including LPA have advised that there is limited awareness of the ADR schemes offered by collecting societies, particularly amongst smaller licensees.</w:t>
      </w:r>
      <w:r>
        <w:rPr>
          <w:rStyle w:val="EndnoteReference"/>
        </w:rPr>
        <w:endnoteReference w:id="71"/>
      </w:r>
    </w:p>
    <w:p w14:paraId="064DCB85" w14:textId="77777777" w:rsidR="007E7021" w:rsidRDefault="007E7021" w:rsidP="007E7021">
      <w:pPr>
        <w:pStyle w:val="Heading4"/>
      </w:pPr>
      <w:bookmarkStart w:id="157" w:name="_Toc497756683"/>
      <w:bookmarkStart w:id="158" w:name="_Toc499558584"/>
      <w:bookmarkStart w:id="159" w:name="_Toc499823228"/>
      <w:bookmarkStart w:id="160" w:name="_Toc501010966"/>
      <w:bookmarkStart w:id="161" w:name="_Toc504393012"/>
      <w:bookmarkStart w:id="162" w:name="_Toc506373268"/>
      <w:bookmarkEnd w:id="157"/>
      <w:r>
        <w:t>Addressing gaps in complaints and disputes handling</w:t>
      </w:r>
      <w:bookmarkEnd w:id="158"/>
      <w:bookmarkEnd w:id="159"/>
      <w:bookmarkEnd w:id="160"/>
      <w:bookmarkEnd w:id="161"/>
      <w:bookmarkEnd w:id="162"/>
    </w:p>
    <w:p w14:paraId="71855B2B" w14:textId="77777777" w:rsidR="007E7021" w:rsidRDefault="007E7021" w:rsidP="007E7021">
      <w:pPr>
        <w:keepLines/>
        <w:rPr>
          <w:lang w:eastAsia="en-US"/>
        </w:rPr>
      </w:pPr>
      <w:r>
        <w:rPr>
          <w:lang w:eastAsia="en-US"/>
        </w:rPr>
        <w:t>One of the primary benefits of the introduction of the Code is the substantial improvements made by the collecting societies in their complaints handling procedures. The Code requires the collecting societies to establish a robust complaints handling mechanism which includes the maintenance of a complaints register that records all complaints received and the collecting society’s handling of that complaint.</w:t>
      </w:r>
    </w:p>
    <w:p w14:paraId="2407871F" w14:textId="77777777" w:rsidR="007E7021" w:rsidRDefault="007E7021" w:rsidP="007E7021">
      <w:pPr>
        <w:rPr>
          <w:lang w:eastAsia="en-US"/>
        </w:rPr>
      </w:pPr>
      <w:r>
        <w:rPr>
          <w:lang w:eastAsia="en-US"/>
        </w:rPr>
        <w:t>That complaints register is submitted to the Code Reviewer, and the collecting society’s compliance with its complaints handling obligations is assessed by the Code Reviewer in its annual report on compliance with the Code. This has given the collecting societies a clear incentive to improve their standards of service to members and its licensees to reduce the likelihood of complaints being lodged, and to improve the efficacy and fairness with which complaints are handled.</w:t>
      </w:r>
    </w:p>
    <w:p w14:paraId="4FD76589" w14:textId="77777777" w:rsidR="007E7021" w:rsidRPr="00A50DD4" w:rsidRDefault="007E7021" w:rsidP="007E7021">
      <w:pPr>
        <w:rPr>
          <w:lang w:eastAsia="en-US"/>
        </w:rPr>
      </w:pPr>
      <w:r>
        <w:rPr>
          <w:lang w:eastAsia="en-US"/>
        </w:rPr>
        <w:t>The comments of the Code Reviewer support the collecting societies’ views on the benefits of the Code in addressing complaints. For example, in</w:t>
      </w:r>
      <w:r w:rsidRPr="00A50DD4">
        <w:rPr>
          <w:lang w:eastAsia="en-US"/>
        </w:rPr>
        <w:t xml:space="preserve"> the 2011 triennial review the Code Reviewer observed:</w:t>
      </w:r>
    </w:p>
    <w:p w14:paraId="155F183B" w14:textId="77777777" w:rsidR="007E7021" w:rsidRDefault="007E7021" w:rsidP="007E7021">
      <w:pPr>
        <w:pStyle w:val="Quote"/>
        <w:rPr>
          <w:lang w:eastAsia="en-US"/>
        </w:rPr>
      </w:pPr>
      <w:r w:rsidRPr="00A50DD4">
        <w:rPr>
          <w:lang w:eastAsia="en-US"/>
        </w:rPr>
        <w:t>…it is clear that the Code has influenced the conduct of the societies, and that it has been conscientiously applied in their day-to-day activities. The meticulous keeping of Complaints Registers, for instance, under the control of Complaints Officers whose intervention is mandatory, has resulted in a considerable reduction in complaints, despite the growth in the number of members, licensees and transactions.</w:t>
      </w:r>
      <w:r w:rsidRPr="00A50DD4">
        <w:rPr>
          <w:vertAlign w:val="superscript"/>
          <w:lang w:eastAsia="en-US"/>
        </w:rPr>
        <w:endnoteReference w:id="72"/>
      </w:r>
    </w:p>
    <w:p w14:paraId="7C3152A4" w14:textId="77777777" w:rsidR="007E7021" w:rsidRPr="00A50DD4" w:rsidRDefault="007E7021" w:rsidP="007E7021">
      <w:r>
        <w:rPr>
          <w:lang w:eastAsia="en-US"/>
        </w:rPr>
        <w:t>However, the</w:t>
      </w:r>
      <w:r w:rsidRPr="00A50DD4">
        <w:t xml:space="preserve"> Code Reviewer</w:t>
      </w:r>
      <w:r>
        <w:t xml:space="preserve"> has a limited ability to adjudicate</w:t>
      </w:r>
      <w:r w:rsidRPr="00A50DD4">
        <w:t xml:space="preserve"> </w:t>
      </w:r>
      <w:r>
        <w:t xml:space="preserve">complaints and </w:t>
      </w:r>
      <w:r w:rsidRPr="00A50DD4">
        <w:t>disputes</w:t>
      </w:r>
      <w:r>
        <w:t xml:space="preserve">. </w:t>
      </w:r>
      <w:r w:rsidRPr="00A50DD4">
        <w:t xml:space="preserve">In assessing a complaint made against </w:t>
      </w:r>
      <w:r>
        <w:t>Copyright Agency</w:t>
      </w:r>
      <w:r w:rsidRPr="00A50DD4">
        <w:t xml:space="preserve"> to the Code Reviewer by a TAFE Institute, the Code Reviewer stated:</w:t>
      </w:r>
    </w:p>
    <w:p w14:paraId="0B3C5B29" w14:textId="77777777" w:rsidR="007E7021" w:rsidRPr="00A50DD4" w:rsidRDefault="007E7021" w:rsidP="007E7021">
      <w:pPr>
        <w:pStyle w:val="Quote"/>
      </w:pPr>
      <w:r w:rsidRPr="00A50DD4">
        <w:t>However, this last complaint does well illustrate the nature and limitations of the Code of Conduct and its review. The Code necessarily focuses, not upon particular issues and disputes, but upon the relevant Society’s conduct in relation to them. In reviewing the Society’s conduct, the Code Reviewer is not setting himself up as a judge over a particular dispute that may have arisen; his concern is and remains to examine the Society’s conduct.</w:t>
      </w:r>
      <w:r w:rsidRPr="00A50DD4">
        <w:rPr>
          <w:vertAlign w:val="superscript"/>
        </w:rPr>
        <w:endnoteReference w:id="73"/>
      </w:r>
    </w:p>
    <w:p w14:paraId="2581F7DB" w14:textId="77777777" w:rsidR="007E7021" w:rsidRDefault="007E7021" w:rsidP="007E7021">
      <w:pPr>
        <w:rPr>
          <w:lang w:eastAsia="en-US"/>
        </w:rPr>
      </w:pPr>
      <w:r>
        <w:rPr>
          <w:lang w:eastAsia="en-US"/>
        </w:rPr>
        <w:t>In the 2014 triennial review of the Code, t</w:t>
      </w:r>
      <w:r w:rsidRPr="00C46B16">
        <w:rPr>
          <w:lang w:eastAsia="en-US"/>
        </w:rPr>
        <w:t xml:space="preserve">he Code Reviewer noted that his role was to assess complaints made against a collecting society, </w:t>
      </w:r>
      <w:r>
        <w:rPr>
          <w:lang w:eastAsia="en-US"/>
        </w:rPr>
        <w:t>rather than</w:t>
      </w:r>
      <w:r w:rsidRPr="00C46B16">
        <w:rPr>
          <w:lang w:eastAsia="en-US"/>
        </w:rPr>
        <w:t xml:space="preserve"> resolve a dispute between a collecting society and another person.</w:t>
      </w:r>
      <w:r w:rsidRPr="00C46B16">
        <w:rPr>
          <w:vertAlign w:val="superscript"/>
          <w:lang w:eastAsia="en-US"/>
        </w:rPr>
        <w:endnoteReference w:id="74"/>
      </w:r>
      <w:r w:rsidRPr="00C46B16">
        <w:rPr>
          <w:lang w:eastAsia="en-US"/>
        </w:rPr>
        <w:t xml:space="preserve"> Accordingly, the Code Reviewer recommended that the collecting societies attach an explanatory document to the Code setting out the distinction between ‘complaint’ and ‘dispute’ as per his definition of each term. </w:t>
      </w:r>
      <w:r>
        <w:rPr>
          <w:lang w:eastAsia="en-US"/>
        </w:rPr>
        <w:t>This amendment was made in March 2017 by way of an explanatory memorandum annexed to the Code.</w:t>
      </w:r>
    </w:p>
    <w:p w14:paraId="060E5CBC" w14:textId="77777777" w:rsidR="007E7021" w:rsidRDefault="007E7021" w:rsidP="007E7021">
      <w:pPr>
        <w:rPr>
          <w:lang w:eastAsia="en-US"/>
        </w:rPr>
      </w:pPr>
      <w:r>
        <w:rPr>
          <w:lang w:eastAsia="en-US"/>
        </w:rPr>
        <w:t>However, there may be limited awareness of this explanatory memorandum as it is an attachment to the Code and must be accessed separately when viewing the Code online. To improve awareness, the content of the explanatory memorandum should be incorporated into the Code itself.</w:t>
      </w:r>
    </w:p>
    <w:p w14:paraId="70085968" w14:textId="77777777" w:rsidR="007E7021" w:rsidRDefault="007E7021" w:rsidP="007E7021">
      <w:pPr>
        <w:rPr>
          <w:lang w:eastAsia="en-US"/>
        </w:rPr>
      </w:pPr>
      <w:r>
        <w:rPr>
          <w:lang w:eastAsia="en-US"/>
        </w:rPr>
        <w:t>At present, it is not clear whether disputes as to the quantum of licence fees are able to be determined under the ADR processes of the collecting societies, which become available to members and licensees once they have exhausted the complaints handling procedure available to them under the Code.</w:t>
      </w:r>
    </w:p>
    <w:p w14:paraId="0B5AE511" w14:textId="33E34DD7" w:rsidR="007E7021" w:rsidRDefault="007E7021" w:rsidP="007E7021">
      <w:r>
        <w:rPr>
          <w:lang w:eastAsia="en-US"/>
        </w:rPr>
        <w:t>In 2014, clause 2.3(d) of the Code, which previously required that the licence fees of the collecting societies be ‘fair and reasonable’, was amended following the triennial review. The Code Reviewer disputed</w:t>
      </w:r>
      <w:r>
        <w:t xml:space="preserve"> his capacity to investigate where fees were ‘fair and reasonable’, noting that such an investigation would conflict with the </w:t>
      </w:r>
      <w:r w:rsidRPr="008D71BF">
        <w:rPr>
          <w:i/>
        </w:rPr>
        <w:t>Copyright Act 1968</w:t>
      </w:r>
      <w:r>
        <w:t xml:space="preserve"> ‘which provides for licence fee disputes to be addressed by the Copyright Tribunal of Australia’</w:t>
      </w:r>
      <w:r>
        <w:rPr>
          <w:rStyle w:val="EndnoteReference"/>
        </w:rPr>
        <w:endnoteReference w:id="75"/>
      </w:r>
      <w:r>
        <w:t>.</w:t>
      </w:r>
    </w:p>
    <w:p w14:paraId="39128170" w14:textId="2B021C1D" w:rsidR="007E7021" w:rsidRDefault="007E7021" w:rsidP="007E7021">
      <w:r>
        <w:t>Accordingly, the Code Reviewer recommended that the first sentence of clause 2.3(d) of the Code be deleted and replaced with the following:</w:t>
      </w:r>
    </w:p>
    <w:p w14:paraId="15FC6B60" w14:textId="77777777" w:rsidR="007E7021" w:rsidRPr="00D4510F" w:rsidRDefault="007E7021" w:rsidP="007E7021">
      <w:pPr>
        <w:pStyle w:val="Quote"/>
        <w:rPr>
          <w:rStyle w:val="SubtleEmphasis"/>
          <w:i/>
        </w:rPr>
      </w:pPr>
      <w:r w:rsidRPr="00D4510F">
        <w:rPr>
          <w:rStyle w:val="SubtleEmphasis"/>
          <w:i/>
        </w:rPr>
        <w:t>Each collecting society’s policies, procedures and conduct in connection with the setting of licence fees for the use of copyright material will be fair and reasonable.</w:t>
      </w:r>
    </w:p>
    <w:p w14:paraId="0FAFF282" w14:textId="5A2A80F1" w:rsidR="007E7021" w:rsidRDefault="007E7021" w:rsidP="007E7021">
      <w:pPr>
        <w:rPr>
          <w:lang w:eastAsia="en-US"/>
        </w:rPr>
      </w:pPr>
      <w:r>
        <w:rPr>
          <w:lang w:eastAsia="en-US"/>
        </w:rPr>
        <w:t>Despite this amendment, confusion remains regarding the role of the Code</w:t>
      </w:r>
      <w:r w:rsidR="00525AC6">
        <w:rPr>
          <w:lang w:eastAsia="en-US"/>
        </w:rPr>
        <w:t xml:space="preserve"> Reviewer</w:t>
      </w:r>
      <w:r>
        <w:rPr>
          <w:lang w:eastAsia="en-US"/>
        </w:rPr>
        <w:t xml:space="preserve"> in reviewing licence fee pricing. This would be addressed by adding an explanatory note to the Code </w:t>
      </w:r>
      <w:r w:rsidRPr="00352805">
        <w:t xml:space="preserve">to clarify that the </w:t>
      </w:r>
      <w:r>
        <w:t>complaint and dispute resolution</w:t>
      </w:r>
      <w:r w:rsidRPr="00352805">
        <w:t xml:space="preserve"> process</w:t>
      </w:r>
      <w:r>
        <w:t>es established under the Code do</w:t>
      </w:r>
      <w:r w:rsidRPr="00352805">
        <w:t xml:space="preserve"> not include a mechanism </w:t>
      </w:r>
      <w:r>
        <w:t xml:space="preserve">for the Code Reviewer </w:t>
      </w:r>
      <w:r w:rsidRPr="00352805">
        <w:t>to review licence fee pricing</w:t>
      </w:r>
      <w:r>
        <w:rPr>
          <w:lang w:eastAsia="en-US"/>
        </w:rPr>
        <w:t>.</w:t>
      </w:r>
    </w:p>
    <w:p w14:paraId="6BF71447" w14:textId="68C3B730" w:rsidR="007E7021" w:rsidRPr="00E93954" w:rsidRDefault="007E7021" w:rsidP="007E7021">
      <w:pPr>
        <w:pBdr>
          <w:top w:val="single" w:sz="4" w:space="1" w:color="auto"/>
          <w:left w:val="single" w:sz="4" w:space="1" w:color="auto"/>
          <w:bottom w:val="single" w:sz="4" w:space="1" w:color="auto"/>
          <w:right w:val="single" w:sz="4" w:space="1" w:color="auto"/>
        </w:pBdr>
        <w:shd w:val="clear" w:color="auto" w:fill="D6F2FA"/>
      </w:pPr>
      <w:r>
        <w:rPr>
          <w:b/>
        </w:rPr>
        <w:t xml:space="preserve">Draft finding 8: </w:t>
      </w:r>
      <w:r w:rsidRPr="005A37BD">
        <w:t>Increased clarity around the Code</w:t>
      </w:r>
      <w:r w:rsidR="00525AC6">
        <w:t xml:space="preserve"> Reviewer</w:t>
      </w:r>
      <w:r w:rsidRPr="005A37BD">
        <w:t>’s role in addressing complaints and disputes is required</w:t>
      </w:r>
      <w:r>
        <w:t>.</w:t>
      </w:r>
    </w:p>
    <w:p w14:paraId="00D1EAB2" w14:textId="77777777" w:rsidR="007E7021" w:rsidRDefault="007E7021" w:rsidP="007E7021">
      <w:pPr>
        <w:pBdr>
          <w:top w:val="single" w:sz="4" w:space="1" w:color="auto"/>
          <w:left w:val="single" w:sz="4" w:space="1" w:color="auto"/>
          <w:bottom w:val="single" w:sz="4" w:space="1" w:color="auto"/>
          <w:right w:val="single" w:sz="4" w:space="1" w:color="auto"/>
        </w:pBdr>
        <w:shd w:val="clear" w:color="auto" w:fill="D6F2FA"/>
      </w:pPr>
      <w:r>
        <w:rPr>
          <w:b/>
        </w:rPr>
        <w:t>Draft recommendation 11</w:t>
      </w:r>
      <w:r>
        <w:t>: Clarify the role of the Code Reviewer with respect to assessing the complaints handling and dispute resolution processes of collecting societies by:</w:t>
      </w:r>
    </w:p>
    <w:p w14:paraId="10256EBB" w14:textId="34DE9317" w:rsidR="007E7021" w:rsidRDefault="007E7021" w:rsidP="007E7021">
      <w:pPr>
        <w:pStyle w:val="ListParagraph"/>
        <w:numPr>
          <w:ilvl w:val="0"/>
          <w:numId w:val="20"/>
        </w:numPr>
        <w:pBdr>
          <w:top w:val="single" w:sz="4" w:space="1" w:color="auto"/>
          <w:left w:val="single" w:sz="4" w:space="1" w:color="auto"/>
          <w:bottom w:val="single" w:sz="4" w:space="1" w:color="auto"/>
          <w:right w:val="single" w:sz="4" w:space="1" w:color="auto"/>
        </w:pBdr>
        <w:shd w:val="clear" w:color="auto" w:fill="D6F2FA"/>
        <w:tabs>
          <w:tab w:val="clear" w:pos="567"/>
        </w:tabs>
        <w:spacing w:after="240"/>
      </w:pPr>
      <w:r>
        <w:t>incorporating the 2017 Explanatory Memorandum into the Code itself</w:t>
      </w:r>
      <w:r w:rsidR="00E46B7E">
        <w:t>,</w:t>
      </w:r>
      <w:r>
        <w:t xml:space="preserve"> and</w:t>
      </w:r>
    </w:p>
    <w:p w14:paraId="0715BB07" w14:textId="77777777" w:rsidR="007E7021" w:rsidRPr="00352805" w:rsidRDefault="007E7021" w:rsidP="007E7021">
      <w:pPr>
        <w:pStyle w:val="ListParagraph"/>
        <w:numPr>
          <w:ilvl w:val="0"/>
          <w:numId w:val="20"/>
        </w:numPr>
        <w:pBdr>
          <w:top w:val="single" w:sz="4" w:space="1" w:color="auto"/>
          <w:left w:val="single" w:sz="4" w:space="1" w:color="auto"/>
          <w:bottom w:val="single" w:sz="4" w:space="1" w:color="auto"/>
          <w:right w:val="single" w:sz="4" w:space="1" w:color="auto"/>
        </w:pBdr>
        <w:shd w:val="clear" w:color="auto" w:fill="D6F2FA"/>
        <w:tabs>
          <w:tab w:val="clear" w:pos="567"/>
        </w:tabs>
        <w:spacing w:after="240"/>
      </w:pPr>
      <w:r>
        <w:t xml:space="preserve">adding an explanatory note to the Code </w:t>
      </w:r>
      <w:r w:rsidRPr="00352805">
        <w:t xml:space="preserve">to clarify that the </w:t>
      </w:r>
      <w:r>
        <w:t>complaint and dispute resolution</w:t>
      </w:r>
      <w:r w:rsidRPr="00352805">
        <w:t xml:space="preserve"> process</w:t>
      </w:r>
      <w:r>
        <w:t>es established by the collecting societies under the Code</w:t>
      </w:r>
      <w:r w:rsidRPr="00352805">
        <w:t xml:space="preserve"> </w:t>
      </w:r>
      <w:r>
        <w:t xml:space="preserve">do </w:t>
      </w:r>
      <w:r w:rsidRPr="00352805">
        <w:t>not include a mechanism</w:t>
      </w:r>
      <w:r>
        <w:t xml:space="preserve"> for the Code Reviewer</w:t>
      </w:r>
      <w:r w:rsidRPr="00352805">
        <w:t xml:space="preserve"> to review licence fee pricing</w:t>
      </w:r>
      <w:r>
        <w:t>.</w:t>
      </w:r>
    </w:p>
    <w:p w14:paraId="67B4B845" w14:textId="5B62AFEC" w:rsidR="007E7021" w:rsidRDefault="00C500DF" w:rsidP="007E7021">
      <w:pPr>
        <w:pStyle w:val="Heading3"/>
      </w:pPr>
      <w:bookmarkStart w:id="163" w:name="_Toc506373269"/>
      <w:r>
        <w:t>Improving dispute resolution arrangements</w:t>
      </w:r>
      <w:bookmarkEnd w:id="163"/>
    </w:p>
    <w:p w14:paraId="1B0E2485" w14:textId="33A78B3B" w:rsidR="007E7021" w:rsidRDefault="007E7021" w:rsidP="007E7021">
      <w:r>
        <w:rPr>
          <w:lang w:eastAsia="en-US"/>
        </w:rPr>
        <w:t>Clause 3 of the Code sets out obligations for collecting societies to establish complaints handling and dispute resolution processes. Licensees who wish to complain about the quantum of licence fees set by a collecting society may not appeal to the Code Reviewer to resolve their complaint, and it appears that an application to the Copyright Tribunal is generally the only recourse available.</w:t>
      </w:r>
    </w:p>
    <w:p w14:paraId="089BBE43" w14:textId="712F648F" w:rsidR="007E7021" w:rsidRDefault="007E7021" w:rsidP="007E7021">
      <w:pPr>
        <w:keepLines/>
      </w:pPr>
      <w:r>
        <w:t>The Copyright Tribunal is the final arbiter on the pricing of copyright material. The Tribunal can hear licensing disputes and make binding pricing determinations. However as licensees are granted a unique ability to copy or communicate copyright protected works, generally there will be no market rate that the Tribunal can refer to. This is compounded by a lack of information to determine what rate could be agreed to between the parties in a hypothetical (market-based) bargain.</w:t>
      </w:r>
      <w:r>
        <w:rPr>
          <w:rStyle w:val="EndnoteReference"/>
          <w:rFonts w:ascii="Calibri" w:eastAsia="Calibri" w:hAnsi="Calibri" w:cs="Times New Roman"/>
        </w:rPr>
        <w:endnoteReference w:id="76"/>
      </w:r>
      <w:r>
        <w:rPr>
          <w:rFonts w:ascii="Calibri" w:eastAsia="Calibri" w:hAnsi="Calibri" w:cs="Times New Roman"/>
        </w:rPr>
        <w:t xml:space="preserve"> Instead, what is ‘fair and reasonable’ is often a matter of guesswork,</w:t>
      </w:r>
      <w:r>
        <w:rPr>
          <w:rStyle w:val="EndnoteReference"/>
          <w:rFonts w:ascii="Calibri" w:eastAsia="Calibri" w:hAnsi="Calibri" w:cs="Times New Roman"/>
        </w:rPr>
        <w:endnoteReference w:id="77"/>
      </w:r>
      <w:r>
        <w:rPr>
          <w:rFonts w:ascii="Calibri" w:eastAsia="Calibri" w:hAnsi="Calibri" w:cs="Times New Roman"/>
        </w:rPr>
        <w:t xml:space="preserve"> with the Tribunal acknowledging that ‘it is not usually possible to calculate mathematically the correct licence fee in any particular case’.</w:t>
      </w:r>
      <w:r w:rsidRPr="00BB174A">
        <w:rPr>
          <w:rFonts w:ascii="Calibri" w:eastAsia="Calibri" w:hAnsi="Calibri" w:cs="Times New Roman"/>
          <w:vertAlign w:val="superscript"/>
        </w:rPr>
        <w:endnoteReference w:id="78"/>
      </w:r>
    </w:p>
    <w:p w14:paraId="59DECFCE" w14:textId="77777777" w:rsidR="007E7021" w:rsidRDefault="007E7021" w:rsidP="007E7021">
      <w:pPr>
        <w:rPr>
          <w:lang w:eastAsia="en-US"/>
        </w:rPr>
      </w:pPr>
      <w:r>
        <w:rPr>
          <w:lang w:eastAsia="en-US"/>
        </w:rPr>
        <w:t>Licensee associations have suggested that there are substantive barriers to using the Tribunal, including high costs, uncertain outcomes and time consuming nature of Tribunal proceedings. UA (sub. 24) states:</w:t>
      </w:r>
    </w:p>
    <w:p w14:paraId="53D6E5E8" w14:textId="4231BF74" w:rsidR="007E7021" w:rsidRPr="007E7021" w:rsidRDefault="007E7021" w:rsidP="007E7021">
      <w:pPr>
        <w:pStyle w:val="Quote"/>
        <w:rPr>
          <w:i w:val="0"/>
          <w:lang w:eastAsia="en-US"/>
        </w:rPr>
      </w:pPr>
      <w:r>
        <w:rPr>
          <w:lang w:eastAsia="en-US"/>
        </w:rPr>
        <w:t>In theory, it is the role of the Copyright Tribunal to provide a check on the ability of Copyright Agency to use its monopoly position to extract “inequitable” licence fees. The reality is very different. The Copyright Tribunal has fallen far short of imposing the same discipline on the conduct of declared collecting societies as that which would be imposed by competition. The cost of the Copyright Tribunal proceedings, in Universities Australia’s experience, can run into the millions of dollars for education sector licensees and is a significant barrier to seeking the Tribunal’s intervention.</w:t>
      </w:r>
      <w:r>
        <w:rPr>
          <w:rStyle w:val="EndnoteReference"/>
        </w:rPr>
        <w:endnoteReference w:id="79"/>
      </w:r>
    </w:p>
    <w:p w14:paraId="763EC779" w14:textId="77777777" w:rsidR="007E7021" w:rsidRDefault="007E7021" w:rsidP="007E7021">
      <w:pPr>
        <w:rPr>
          <w:lang w:eastAsia="en-US"/>
        </w:rPr>
      </w:pPr>
      <w:r>
        <w:rPr>
          <w:lang w:eastAsia="en-US"/>
        </w:rPr>
        <w:t xml:space="preserve">LPA (sub. 17) also notes that the Tribunal is ‘the only independent body that can determine the fees and conditions for licences in accordance with the market value of content and how it is used’ but advise that it is ‘significantly costly and onerous’ to pursue proceedings through the Tribunal. They argue that this ‘creates scope for copyright collecting societies to set unchallenged arbitrary fees and conditions that do not accurately reflect the value of content within the context in which it is being used’. </w:t>
      </w:r>
      <w:r>
        <w:rPr>
          <w:rStyle w:val="EndnoteReference"/>
        </w:rPr>
        <w:endnoteReference w:id="80"/>
      </w:r>
    </w:p>
    <w:p w14:paraId="61777720" w14:textId="77777777" w:rsidR="007E7021" w:rsidRDefault="007E7021" w:rsidP="007E7021">
      <w:pPr>
        <w:rPr>
          <w:lang w:eastAsia="en-US"/>
        </w:rPr>
      </w:pPr>
      <w:r>
        <w:t xml:space="preserve">However, collecting societies have suggested that </w:t>
      </w:r>
      <w:r>
        <w:rPr>
          <w:lang w:eastAsia="en-US"/>
        </w:rPr>
        <w:t xml:space="preserve">while the Tribunal deals with matters involving significant sums </w:t>
      </w:r>
      <w:r>
        <w:t xml:space="preserve">it can also deal with small disputes. </w:t>
      </w:r>
      <w:r>
        <w:rPr>
          <w:lang w:eastAsia="en-US"/>
        </w:rPr>
        <w:t>PPCA (sub. 21) submits:</w:t>
      </w:r>
    </w:p>
    <w:p w14:paraId="3F21DE5E" w14:textId="77777777" w:rsidR="007E7021" w:rsidRPr="007E7021" w:rsidRDefault="007E7021" w:rsidP="007E7021">
      <w:pPr>
        <w:pStyle w:val="Quote"/>
        <w:rPr>
          <w:i w:val="0"/>
          <w:lang w:eastAsia="en-US"/>
        </w:rPr>
      </w:pPr>
      <w:r>
        <w:rPr>
          <w:lang w:eastAsia="en-US"/>
        </w:rPr>
        <w:t>Whilst the Copyright Tribunal can and does deal with licensing matters involving ongoing commercial relationships and very significant sums, it has also effectively dealt with much more modest matters, including those involving inexperienced self-represented applicants. In contrast to the court system the Copyright Tribunal has the capacity to moderate its processes to suit the particular circumstances of each matter, and determine the best way to resolve any application brought before it.</w:t>
      </w:r>
      <w:r>
        <w:rPr>
          <w:rStyle w:val="EndnoteReference"/>
        </w:rPr>
        <w:endnoteReference w:id="81"/>
      </w:r>
    </w:p>
    <w:p w14:paraId="115C8A87" w14:textId="20F3AFDC" w:rsidR="007E7021" w:rsidRDefault="007E7021" w:rsidP="007E7021">
      <w:pPr>
        <w:rPr>
          <w:b/>
        </w:rPr>
      </w:pPr>
      <w:r w:rsidRPr="009F5A12">
        <w:t>From time to time the Tribunal considers potential improvements to its processes. Currently it is liaising with users of the Tribunal and other interested parties on a proposal to adopt new procedures relating to references filed with the Tribunal which, if adopted, may shorten and simplify proceedings and require parties to attend mediation</w:t>
      </w:r>
      <w:r w:rsidR="00525AC6">
        <w:rPr>
          <w:rStyle w:val="EndnoteReference"/>
        </w:rPr>
        <w:endnoteReference w:id="82"/>
      </w:r>
      <w:r w:rsidRPr="009F5A12">
        <w:t>. It is up to the Tribunal to undertake such consideration, including consideration of potential improvements to the accessibility of its processes for considering license disputes.</w:t>
      </w:r>
    </w:p>
    <w:p w14:paraId="263B105F" w14:textId="77777777" w:rsidR="007E7021" w:rsidRDefault="007E7021" w:rsidP="007E7021">
      <w:pPr>
        <w:rPr>
          <w:lang w:eastAsia="en-US"/>
        </w:rPr>
      </w:pPr>
      <w:r>
        <w:rPr>
          <w:lang w:eastAsia="en-US"/>
        </w:rPr>
        <w:t>It is outside the scope of this review to examine the jurisdiction and decisions of the Tribunal given this is beyond the scope of the voluntary Code. As the Code Reviewer points out, it is beyond the capacity of the Code Reviewer to undertake an assessment of the fairness of a licence fee in circumstances where a tribunal has been created under legislation to undertake that very task</w:t>
      </w:r>
      <w:r>
        <w:rPr>
          <w:rStyle w:val="EndnoteReference"/>
          <w:lang w:eastAsia="en-US"/>
        </w:rPr>
        <w:endnoteReference w:id="83"/>
      </w:r>
      <w:r>
        <w:rPr>
          <w:lang w:eastAsia="en-US"/>
        </w:rPr>
        <w:t>.</w:t>
      </w:r>
    </w:p>
    <w:p w14:paraId="42EFD03F" w14:textId="77777777" w:rsidR="007E7021" w:rsidRDefault="007E7021" w:rsidP="007E7021">
      <w:pPr>
        <w:rPr>
          <w:lang w:eastAsia="en-US"/>
        </w:rPr>
      </w:pPr>
      <w:r>
        <w:rPr>
          <w:lang w:eastAsia="en-US"/>
        </w:rPr>
        <w:t>A consequence of this is that it is not clear that licensees can access the dispute resolution procedures created by the Code to dispute the licence fee, but they may be unwilling to incur the cost and delay of an application to the Tribunal. In practice, this could mean that many licensees may make the decision to accept the fee charged by the collecting society to the extent that a commercial negotiation process does not achieve the desired result. This finding was also reached by the ACCC when it</w:t>
      </w:r>
      <w:r w:rsidRPr="00464D4A">
        <w:rPr>
          <w:lang w:eastAsia="en-US"/>
        </w:rPr>
        <w:t xml:space="preserve"> noted that the Tribunal only constrained APRA</w:t>
      </w:r>
      <w:r>
        <w:rPr>
          <w:lang w:eastAsia="en-US"/>
        </w:rPr>
        <w:t xml:space="preserve"> AMCOS</w:t>
      </w:r>
      <w:r w:rsidRPr="00464D4A">
        <w:rPr>
          <w:lang w:eastAsia="en-US"/>
        </w:rPr>
        <w:t>’s market power ‘beyond the point where the cost to the user of seeking recourse to the Copyright Tribunal would be less than the difference between the price which the user could negotiate directly and that which it considers that the Copyright Trib</w:t>
      </w:r>
      <w:r>
        <w:rPr>
          <w:lang w:eastAsia="en-US"/>
        </w:rPr>
        <w:t>unal would be likely to impose’</w:t>
      </w:r>
      <w:r>
        <w:rPr>
          <w:rStyle w:val="EndnoteReference"/>
        </w:rPr>
        <w:endnoteReference w:id="84"/>
      </w:r>
      <w:r w:rsidRPr="00464D4A">
        <w:rPr>
          <w:lang w:eastAsia="en-US"/>
        </w:rPr>
        <w:t>.</w:t>
      </w:r>
    </w:p>
    <w:p w14:paraId="0514E286" w14:textId="77777777" w:rsidR="007E7021" w:rsidRDefault="007E7021" w:rsidP="007E7021">
      <w:pPr>
        <w:rPr>
          <w:lang w:eastAsia="en-US"/>
        </w:rPr>
      </w:pPr>
      <w:r>
        <w:rPr>
          <w:lang w:eastAsia="en-US"/>
        </w:rPr>
        <w:t>As a step toward addressing this gap, the Code should be amended to include a provision that prevents the collecting societies from unreasonably refusing a request from a licensee to participate in an ADR process for a dispute relating to licence fee pricing. This would improve outcomes for licensees and reduce the need to access the more costly, litigious and time-consuming processes of the Copyright Tribunal. In assessing the collecting societies’ compliance with such a provision, the Code Reviewer would not be required to assess the whether the disputed licence fee was fair or reasonable, only whether the collecting society acted in an unreasonable fashion in denying a licensee’s request to participate in an ADR process.</w:t>
      </w:r>
    </w:p>
    <w:p w14:paraId="0D42D5CC"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Pr>
          <w:b/>
        </w:rPr>
        <w:t xml:space="preserve">Draft finding 9: </w:t>
      </w:r>
      <w:r>
        <w:t>ADR processes may not be sufficiently available for disputes about licence fee pricing.</w:t>
      </w:r>
    </w:p>
    <w:p w14:paraId="58109F8A" w14:textId="1E86A952" w:rsidR="007E7021" w:rsidRDefault="007E7021" w:rsidP="007E7021">
      <w:pPr>
        <w:pBdr>
          <w:top w:val="single" w:sz="4" w:space="1" w:color="auto"/>
          <w:left w:val="single" w:sz="4" w:space="4" w:color="auto"/>
          <w:bottom w:val="single" w:sz="4" w:space="1" w:color="auto"/>
          <w:right w:val="single" w:sz="4" w:space="4" w:color="auto"/>
        </w:pBdr>
        <w:shd w:val="clear" w:color="auto" w:fill="D6F2FA"/>
        <w:rPr>
          <w:lang w:eastAsia="en-US"/>
        </w:rPr>
      </w:pPr>
      <w:r>
        <w:rPr>
          <w:b/>
        </w:rPr>
        <w:t>Draft recommendation 12</w:t>
      </w:r>
      <w:r>
        <w:t>: Amend the Code to include a new clause which provides that a collecting society may not unreasonably refuse a request from a licensee to engage in an ADR process in respect to a dispute over licence fee pricing.</w:t>
      </w:r>
    </w:p>
    <w:p w14:paraId="10C56653" w14:textId="77777777" w:rsidR="007E7021" w:rsidRPr="00B00CCE" w:rsidRDefault="007E7021" w:rsidP="007E7021">
      <w:pPr>
        <w:pStyle w:val="Heading3"/>
        <w:spacing w:after="120"/>
      </w:pPr>
      <w:bookmarkStart w:id="164" w:name="_Toc497045661"/>
      <w:bookmarkStart w:id="165" w:name="_Toc498524198"/>
      <w:bookmarkStart w:id="166" w:name="_Toc498613718"/>
      <w:bookmarkStart w:id="167" w:name="_Toc498685034"/>
      <w:bookmarkStart w:id="168" w:name="_Toc498691885"/>
      <w:bookmarkStart w:id="169" w:name="_Toc498695622"/>
      <w:bookmarkStart w:id="170" w:name="_Toc499302300"/>
      <w:bookmarkStart w:id="171" w:name="_Toc499558585"/>
      <w:bookmarkStart w:id="172" w:name="_Toc499823229"/>
      <w:bookmarkStart w:id="173" w:name="_Toc501010968"/>
      <w:bookmarkStart w:id="174" w:name="_Toc504393014"/>
      <w:bookmarkStart w:id="175" w:name="_Toc506373270"/>
      <w:r>
        <w:t>Improving Code c</w:t>
      </w:r>
      <w:r w:rsidRPr="00B00CCE">
        <w:t>ompliance and enforcement</w:t>
      </w:r>
      <w:bookmarkEnd w:id="164"/>
      <w:bookmarkEnd w:id="165"/>
      <w:bookmarkEnd w:id="166"/>
      <w:bookmarkEnd w:id="167"/>
      <w:bookmarkEnd w:id="168"/>
      <w:bookmarkEnd w:id="169"/>
      <w:bookmarkEnd w:id="170"/>
      <w:bookmarkEnd w:id="171"/>
      <w:bookmarkEnd w:id="172"/>
      <w:bookmarkEnd w:id="173"/>
      <w:bookmarkEnd w:id="174"/>
      <w:bookmarkEnd w:id="175"/>
    </w:p>
    <w:p w14:paraId="7FF334EC" w14:textId="77777777" w:rsidR="007E7021" w:rsidRDefault="007E7021" w:rsidP="007E7021">
      <w:pPr>
        <w:rPr>
          <w:lang w:eastAsia="en-US"/>
        </w:rPr>
      </w:pPr>
      <w:r>
        <w:rPr>
          <w:lang w:eastAsia="en-US"/>
        </w:rPr>
        <w:t>An effective self-regulating industry code of conduct ‘gives consumers and business faith that there is a framework in place that encourages best practice and offers appropriate redress when needed’</w:t>
      </w:r>
      <w:r>
        <w:rPr>
          <w:rStyle w:val="EndnoteReference"/>
          <w:lang w:eastAsia="en-US"/>
        </w:rPr>
        <w:endnoteReference w:id="85"/>
      </w:r>
      <w:r>
        <w:rPr>
          <w:lang w:eastAsia="en-US"/>
        </w:rPr>
        <w:t>. As an alternative to a mandatory industry code regulated by a government body, a voluntary code of conduct administered by industry participants will generally deliver the following benefits:</w:t>
      </w:r>
    </w:p>
    <w:p w14:paraId="30423979" w14:textId="77777777" w:rsidR="007E7021" w:rsidRDefault="007E7021" w:rsidP="00897FD5">
      <w:pPr>
        <w:pStyle w:val="Bulletpoint"/>
      </w:pPr>
      <w:r>
        <w:t>industry participants are usually better placed to tailor codes of conduct to their business conditions and to circumstances particular to their industry</w:t>
      </w:r>
    </w:p>
    <w:p w14:paraId="77A3949F" w14:textId="77777777" w:rsidR="007E7021" w:rsidRDefault="007E7021" w:rsidP="00897FD5">
      <w:pPr>
        <w:pStyle w:val="Bulletpoint"/>
      </w:pPr>
      <w:r>
        <w:t>self-regulation may impose lower compliance costs on industry participants than government regulation</w:t>
      </w:r>
    </w:p>
    <w:p w14:paraId="59898468" w14:textId="77777777" w:rsidR="007E7021" w:rsidRDefault="007E7021" w:rsidP="00897FD5">
      <w:pPr>
        <w:pStyle w:val="Bulletpoint"/>
      </w:pPr>
      <w:r>
        <w:t>self-regulation is more flexible, as voluntary codes of conduct can be amended by industry participants as required, and are not subject to governmental and parliamentary processes, and</w:t>
      </w:r>
    </w:p>
    <w:p w14:paraId="0BA9724F" w14:textId="77777777" w:rsidR="007E7021" w:rsidRDefault="007E7021" w:rsidP="00897FD5">
      <w:pPr>
        <w:pStyle w:val="Bulletpoint"/>
      </w:pPr>
      <w:r>
        <w:t>self-regulation does not impose costs on government in terms of implementation, compliance monitoring and enforcement action.</w:t>
      </w:r>
      <w:r>
        <w:rPr>
          <w:rStyle w:val="EndnoteReference"/>
        </w:rPr>
        <w:endnoteReference w:id="86"/>
      </w:r>
    </w:p>
    <w:p w14:paraId="7E930315" w14:textId="77777777" w:rsidR="007E7021" w:rsidRDefault="007E7021" w:rsidP="007E7021">
      <w:r>
        <w:t>To ensure there is an effective accountability framework for a voluntary code of conduct, industry participants bound by a code should be required to monitor their compliance with the code, and an independent review of compliance with the code should be conducted on a regular basis. A voluntary industry code should also include sanctions for non-compliance to provide incentives for signatories to comply with the code and provide confidence to stakeholders in the code as an effective regulatory tool.</w:t>
      </w:r>
      <w:r>
        <w:rPr>
          <w:rStyle w:val="EndnoteReference"/>
        </w:rPr>
        <w:endnoteReference w:id="87"/>
      </w:r>
    </w:p>
    <w:p w14:paraId="68EA3A48" w14:textId="77777777" w:rsidR="007E7021" w:rsidRDefault="007E7021" w:rsidP="007E7021">
      <w:r>
        <w:t>The Code provides an independent external review conducted annually by a qualified person with relevant expertise in the regulatory sphere in which collecting societies operate (the current Code Reviewer is a retired Federal Court judge and former president of the Copyright Tribunal).</w:t>
      </w:r>
    </w:p>
    <w:p w14:paraId="7CCACD85" w14:textId="77777777" w:rsidR="007E7021" w:rsidRDefault="007E7021" w:rsidP="007E7021">
      <w:r>
        <w:t>However, sanctions for non-compliance are very limited and are regarded as insufficient by some stakeholders.</w:t>
      </w:r>
    </w:p>
    <w:p w14:paraId="0B3B60B4" w14:textId="77777777" w:rsidR="007E7021" w:rsidRDefault="007E7021" w:rsidP="007E7021">
      <w:pPr>
        <w:pStyle w:val="Heading4"/>
      </w:pPr>
      <w:bookmarkStart w:id="176" w:name="_Toc499558586"/>
      <w:bookmarkStart w:id="177" w:name="_Toc499823230"/>
      <w:bookmarkStart w:id="178" w:name="_Toc501010969"/>
      <w:bookmarkStart w:id="179" w:name="_Toc504393015"/>
      <w:bookmarkStart w:id="180" w:name="_Toc506373271"/>
      <w:bookmarkStart w:id="181" w:name="_Toc497045662"/>
      <w:bookmarkStart w:id="182" w:name="_Toc498524199"/>
      <w:bookmarkStart w:id="183" w:name="_Toc498613719"/>
      <w:bookmarkStart w:id="184" w:name="_Toc498685035"/>
      <w:bookmarkStart w:id="185" w:name="_Toc498691886"/>
      <w:bookmarkStart w:id="186" w:name="_Toc498695623"/>
      <w:bookmarkStart w:id="187" w:name="_Toc499302301"/>
      <w:r>
        <w:t>Assessing current processes for determining Code compliance</w:t>
      </w:r>
      <w:bookmarkEnd w:id="176"/>
      <w:bookmarkEnd w:id="177"/>
      <w:bookmarkEnd w:id="178"/>
      <w:bookmarkEnd w:id="179"/>
      <w:bookmarkEnd w:id="180"/>
    </w:p>
    <w:bookmarkEnd w:id="181"/>
    <w:bookmarkEnd w:id="182"/>
    <w:bookmarkEnd w:id="183"/>
    <w:bookmarkEnd w:id="184"/>
    <w:bookmarkEnd w:id="185"/>
    <w:bookmarkEnd w:id="186"/>
    <w:bookmarkEnd w:id="187"/>
    <w:p w14:paraId="7FF996C1" w14:textId="77777777" w:rsidR="007E7021" w:rsidRDefault="007E7021" w:rsidP="007E7021">
      <w:r>
        <w:t xml:space="preserve">Part 5 of the Code sets out the mechanisms for monitoring the collecting societies’ compliance with the Code, the process by which a review of the Code itself is undertaken, and the manner in which amendments to the Code can be </w:t>
      </w:r>
      <w:r w:rsidRPr="00BC0E5D">
        <w:t xml:space="preserve">effected (Box </w:t>
      </w:r>
      <w:r w:rsidRPr="009F5A12">
        <w:t>1</w:t>
      </w:r>
      <w:r w:rsidRPr="00BC0E5D">
        <w:t>).</w:t>
      </w:r>
    </w:p>
    <w:p w14:paraId="25196140" w14:textId="77777777" w:rsidR="007E7021" w:rsidRPr="003432DE" w:rsidRDefault="007E7021" w:rsidP="007E7021">
      <w:pPr>
        <w:pBdr>
          <w:top w:val="single" w:sz="4" w:space="1" w:color="auto"/>
          <w:left w:val="single" w:sz="4" w:space="4" w:color="auto"/>
          <w:bottom w:val="single" w:sz="4" w:space="1" w:color="auto"/>
          <w:right w:val="single" w:sz="4" w:space="4" w:color="auto"/>
        </w:pBdr>
        <w:shd w:val="clear" w:color="auto" w:fill="E7E6E6" w:themeFill="background2"/>
        <w:rPr>
          <w:b/>
        </w:rPr>
      </w:pPr>
      <w:r w:rsidRPr="00BC0E5D">
        <w:rPr>
          <w:b/>
        </w:rPr>
        <w:t xml:space="preserve">Box </w:t>
      </w:r>
      <w:r w:rsidRPr="009F5A12">
        <w:rPr>
          <w:b/>
        </w:rPr>
        <w:t>1</w:t>
      </w:r>
      <w:r w:rsidRPr="00BC0E5D">
        <w:rPr>
          <w:b/>
        </w:rPr>
        <w:t>: Part</w:t>
      </w:r>
      <w:r w:rsidRPr="003432DE">
        <w:rPr>
          <w:b/>
        </w:rPr>
        <w:t xml:space="preserve"> 5 of the Code</w:t>
      </w:r>
    </w:p>
    <w:p w14:paraId="59B4A6E5" w14:textId="24F31CF3" w:rsidR="007E7021" w:rsidRDefault="007E7021" w:rsidP="006E687F">
      <w:pPr>
        <w:pBdr>
          <w:top w:val="single" w:sz="4" w:space="1" w:color="auto"/>
          <w:left w:val="single" w:sz="4" w:space="4" w:color="auto"/>
          <w:bottom w:val="single" w:sz="4" w:space="1" w:color="auto"/>
          <w:right w:val="single" w:sz="4" w:space="4" w:color="auto"/>
        </w:pBdr>
        <w:shd w:val="clear" w:color="auto" w:fill="E7E6E6" w:themeFill="background2"/>
        <w:spacing w:after="120"/>
      </w:pPr>
      <w:r>
        <w:t>Clause 5.1 establishes the role of the Code Reviewer, being a person ‘with specialist expertise in administrative law, copyright law and/or licensing practices to perform the functions conferred by paragraph (c)’. Paragraph (c) relevantly states that the functions of the Code Reviewer are:</w:t>
      </w:r>
    </w:p>
    <w:p w14:paraId="02738672" w14:textId="77777777" w:rsidR="007E7021" w:rsidRDefault="007E7021" w:rsidP="007E7021">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E7E6E6" w:themeFill="background2"/>
        <w:tabs>
          <w:tab w:val="clear" w:pos="567"/>
        </w:tabs>
        <w:spacing w:after="240"/>
      </w:pPr>
      <w:r>
        <w:t>to monitor and prepare annual reports on the level of compliance by Collecting Societies with the obligations imposed on them by this Code;</w:t>
      </w:r>
    </w:p>
    <w:p w14:paraId="24F9826E" w14:textId="2DF26834" w:rsidR="007E7021" w:rsidRDefault="007E7021" w:rsidP="007E7021">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E7E6E6" w:themeFill="background2"/>
        <w:tabs>
          <w:tab w:val="clear" w:pos="567"/>
        </w:tabs>
        <w:spacing w:after="240"/>
      </w:pPr>
      <w:r>
        <w:t>as part of the function under sub-paragraph (i), to consider complaints from Members or Licensees in accordance with clause 5.2(c); and</w:t>
      </w:r>
    </w:p>
    <w:p w14:paraId="130D8697" w14:textId="203C603A" w:rsidR="007E7021" w:rsidRDefault="007E7021" w:rsidP="006E687F">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E7E6E6" w:themeFill="background2"/>
        <w:tabs>
          <w:tab w:val="clear" w:pos="567"/>
        </w:tabs>
        <w:spacing w:after="120"/>
        <w:ind w:left="357" w:hanging="357"/>
      </w:pPr>
      <w:r>
        <w:t>to conduct a review of the Code in accordance with clause 5.3.</w:t>
      </w:r>
    </w:p>
    <w:p w14:paraId="08F1040F" w14:textId="71E7C767" w:rsidR="007E7021" w:rsidRDefault="007E7021" w:rsidP="007E7021">
      <w:pPr>
        <w:pBdr>
          <w:top w:val="single" w:sz="4" w:space="1" w:color="auto"/>
          <w:left w:val="single" w:sz="4" w:space="4" w:color="auto"/>
          <w:bottom w:val="single" w:sz="4" w:space="1" w:color="auto"/>
          <w:right w:val="single" w:sz="4" w:space="4" w:color="auto"/>
        </w:pBdr>
        <w:shd w:val="clear" w:color="auto" w:fill="E7E6E6" w:themeFill="background2"/>
      </w:pPr>
      <w:r>
        <w:t>As outlined in clause 5.1(d), the ‘costs and expenses’ of the Code Reviewer are borne by the Collecting Societies, and the Code Reviewer is to be appointed for a minimum period of three years (clause 5.1(b)).</w:t>
      </w:r>
    </w:p>
    <w:p w14:paraId="21356594"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E7E6E6" w:themeFill="background2"/>
      </w:pPr>
      <w:r>
        <w:t>The first Code Reviewer was the Hon James Burchett QC</w:t>
      </w:r>
      <w:r>
        <w:rPr>
          <w:rStyle w:val="EndnoteReference"/>
        </w:rPr>
        <w:endnoteReference w:id="88"/>
      </w:r>
      <w:r>
        <w:t>, who produced nine annual reports assessing compliance with the Code by the collecting societies</w:t>
      </w:r>
      <w:r>
        <w:rPr>
          <w:rStyle w:val="EndnoteReference"/>
        </w:rPr>
        <w:endnoteReference w:id="89"/>
      </w:r>
      <w:r>
        <w:t>, and three triennial reports on the operation of the Code itself</w:t>
      </w:r>
      <w:r>
        <w:rPr>
          <w:rStyle w:val="EndnoteReference"/>
        </w:rPr>
        <w:endnoteReference w:id="90"/>
      </w:r>
      <w:r>
        <w:t>. He was succeeded in the role by the Hon Kevin Lindgren AM QC</w:t>
      </w:r>
      <w:r>
        <w:rPr>
          <w:rStyle w:val="EndnoteReference"/>
        </w:rPr>
        <w:endnoteReference w:id="91"/>
      </w:r>
      <w:r>
        <w:t>, who remains in the role today. Dr Lindgren has delivered five annual compliance reports</w:t>
      </w:r>
      <w:r>
        <w:rPr>
          <w:rStyle w:val="EndnoteReference"/>
        </w:rPr>
        <w:endnoteReference w:id="92"/>
      </w:r>
      <w:r>
        <w:t xml:space="preserve"> and conducted two triennial reviews of the Code</w:t>
      </w:r>
      <w:r>
        <w:rPr>
          <w:rStyle w:val="EndnoteReference"/>
        </w:rPr>
        <w:endnoteReference w:id="93"/>
      </w:r>
      <w:r>
        <w:t>.</w:t>
      </w:r>
    </w:p>
    <w:p w14:paraId="1886A61A" w14:textId="77777777" w:rsidR="007E7021" w:rsidRPr="00A50DD4" w:rsidRDefault="007E7021" w:rsidP="007E7021">
      <w:pPr>
        <w:pBdr>
          <w:top w:val="single" w:sz="4" w:space="1" w:color="auto"/>
          <w:left w:val="single" w:sz="4" w:space="4" w:color="auto"/>
          <w:bottom w:val="single" w:sz="4" w:space="1" w:color="auto"/>
          <w:right w:val="single" w:sz="4" w:space="4" w:color="auto"/>
        </w:pBdr>
        <w:shd w:val="clear" w:color="auto" w:fill="E7E6E6" w:themeFill="background2"/>
      </w:pPr>
      <w:r w:rsidRPr="00A50DD4">
        <w:t>Each collecting society bound by the Code is required to produce a report to the Code Reviewer on an annual basis, which includes information concerning:</w:t>
      </w:r>
    </w:p>
    <w:p w14:paraId="009EE3EE" w14:textId="77777777" w:rsidR="007E7021" w:rsidRDefault="007E7021" w:rsidP="007E7021">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E7E6E6" w:themeFill="background2"/>
        <w:tabs>
          <w:tab w:val="clear" w:pos="567"/>
        </w:tabs>
        <w:spacing w:after="240"/>
      </w:pPr>
      <w:r>
        <w:t>the collecting society’s staff training in the Code, including in complaint handling procedures;</w:t>
      </w:r>
    </w:p>
    <w:p w14:paraId="6A9AC294" w14:textId="77777777" w:rsidR="007E7021" w:rsidRDefault="007E7021" w:rsidP="007E7021">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E7E6E6" w:themeFill="background2"/>
        <w:tabs>
          <w:tab w:val="clear" w:pos="567"/>
        </w:tabs>
        <w:spacing w:after="240"/>
      </w:pPr>
      <w:r>
        <w:t>the collecting society’s promotion of the importance of copyright and the role and functions of collecting societies, including its own, and including the dissemination of information on these matters; and</w:t>
      </w:r>
    </w:p>
    <w:p w14:paraId="4E278C8B" w14:textId="77777777" w:rsidR="007E7021" w:rsidRPr="00A50DD4" w:rsidRDefault="007E7021" w:rsidP="006E687F">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E7E6E6" w:themeFill="background2"/>
        <w:tabs>
          <w:tab w:val="clear" w:pos="567"/>
        </w:tabs>
        <w:spacing w:after="120"/>
        <w:ind w:left="357" w:hanging="357"/>
      </w:pPr>
      <w:r>
        <w:t>the number of complaints received by the collecting society and how those complaints have been resolved.</w:t>
      </w:r>
    </w:p>
    <w:p w14:paraId="5E47A190"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E7E6E6" w:themeFill="background2"/>
      </w:pPr>
      <w:r w:rsidRPr="00A50DD4">
        <w:t>In addition to the information produced by the collecting societies themselves, the Code Reviewer invites members and licensees of the collecting societies, as well as industry and trade associations that represent members or licensees in their constituency, to make submissions about the collecting societies’ compliance with the Code for consideration by the Code Reviewer</w:t>
      </w:r>
      <w:r>
        <w:rPr>
          <w:rStyle w:val="EndnoteReference"/>
        </w:rPr>
        <w:endnoteReference w:id="94"/>
      </w:r>
      <w:r w:rsidRPr="00A50DD4">
        <w:t xml:space="preserve">. Notification of the annual review of the Code is also advertised in </w:t>
      </w:r>
      <w:r w:rsidRPr="00A50DD4">
        <w:rPr>
          <w:i/>
        </w:rPr>
        <w:t>The Australian</w:t>
      </w:r>
      <w:r w:rsidRPr="00A50DD4">
        <w:t xml:space="preserve"> newspaper, and on each of the collecting societies’ websites.</w:t>
      </w:r>
    </w:p>
    <w:p w14:paraId="7D0DEED2"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E7E6E6" w:themeFill="background2"/>
      </w:pPr>
      <w:r w:rsidRPr="003432DE">
        <w:t xml:space="preserve">The Code Reviewer makes a copy of his annual report available to each collecting society; each individual or group who made a submission to the Code Reviewer; the Commonwealth Department responsible for the administration of the </w:t>
      </w:r>
      <w:r w:rsidRPr="003432DE">
        <w:rPr>
          <w:i/>
        </w:rPr>
        <w:t>Copyright Act 1968</w:t>
      </w:r>
      <w:r w:rsidRPr="003432DE">
        <w:rPr>
          <w:i/>
          <w:vertAlign w:val="superscript"/>
        </w:rPr>
        <w:endnoteReference w:id="95"/>
      </w:r>
      <w:r w:rsidRPr="003432DE">
        <w:t>; and to the public</w:t>
      </w:r>
      <w:r w:rsidRPr="003432DE">
        <w:rPr>
          <w:vertAlign w:val="superscript"/>
        </w:rPr>
        <w:endnoteReference w:id="96"/>
      </w:r>
      <w:r w:rsidRPr="003432DE">
        <w:t>. The Code Reviewer’s reports are published on each of the collecting societies’ websites.</w:t>
      </w:r>
    </w:p>
    <w:p w14:paraId="1A8FE281" w14:textId="77777777" w:rsidR="007E7021" w:rsidRDefault="007E7021" w:rsidP="006E687F">
      <w:pPr>
        <w:pBdr>
          <w:top w:val="single" w:sz="4" w:space="1" w:color="auto"/>
          <w:left w:val="single" w:sz="4" w:space="4" w:color="auto"/>
          <w:bottom w:val="single" w:sz="4" w:space="1" w:color="auto"/>
          <w:right w:val="single" w:sz="4" w:space="4" w:color="auto"/>
        </w:pBdr>
        <w:shd w:val="clear" w:color="auto" w:fill="E7E6E6" w:themeFill="background2"/>
        <w:spacing w:after="120"/>
      </w:pPr>
      <w:r>
        <w:t>For the triennial review of the operation of the Code itself, t</w:t>
      </w:r>
      <w:r w:rsidRPr="00590A79">
        <w:t>he Code Reviewer is required to</w:t>
      </w:r>
    </w:p>
    <w:p w14:paraId="1CF13E37" w14:textId="0CD33979" w:rsidR="007E7021" w:rsidRDefault="007E7021" w:rsidP="007E7021">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E7E6E6" w:themeFill="background2"/>
        <w:tabs>
          <w:tab w:val="clear" w:pos="567"/>
        </w:tabs>
        <w:spacing w:after="240"/>
      </w:pPr>
      <w:r w:rsidRPr="00590A79">
        <w:t>invite written submissions ‘on the operation of the Code and on any amendments that are necessary or desirable to improve the operation of the Code’</w:t>
      </w:r>
      <w:r w:rsidRPr="00590A79">
        <w:rPr>
          <w:vertAlign w:val="superscript"/>
        </w:rPr>
        <w:endnoteReference w:id="97"/>
      </w:r>
    </w:p>
    <w:p w14:paraId="6DEC852A" w14:textId="1E508D95" w:rsidR="007E7021" w:rsidRPr="00590A79" w:rsidRDefault="007E7021" w:rsidP="007E7021">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E7E6E6" w:themeFill="background2"/>
        <w:tabs>
          <w:tab w:val="clear" w:pos="567"/>
        </w:tabs>
        <w:spacing w:after="240"/>
      </w:pPr>
      <w:r w:rsidRPr="00590A79">
        <w:t>convene at least one public meeting that members, licensees and the general public may attend to make oral submissions to the review</w:t>
      </w:r>
      <w:r w:rsidR="006478E5">
        <w:t>,</w:t>
      </w:r>
      <w:r w:rsidRPr="00590A79">
        <w:rPr>
          <w:vertAlign w:val="superscript"/>
        </w:rPr>
        <w:endnoteReference w:id="98"/>
      </w:r>
      <w:r w:rsidRPr="00590A79">
        <w:t xml:space="preserve"> and</w:t>
      </w:r>
    </w:p>
    <w:p w14:paraId="25BD9D83" w14:textId="77777777" w:rsidR="007E7021" w:rsidRDefault="007E7021" w:rsidP="007E7021">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E7E6E6" w:themeFill="background2"/>
        <w:tabs>
          <w:tab w:val="clear" w:pos="567"/>
        </w:tabs>
        <w:spacing w:after="240"/>
      </w:pPr>
      <w:r w:rsidRPr="00590A79">
        <w:t>undertake other consultations as considered appropriate</w:t>
      </w:r>
      <w:r w:rsidRPr="00590A79">
        <w:rPr>
          <w:vertAlign w:val="superscript"/>
        </w:rPr>
        <w:endnoteReference w:id="99"/>
      </w:r>
      <w:r w:rsidRPr="00590A79">
        <w:t>.</w:t>
      </w:r>
    </w:p>
    <w:p w14:paraId="76506ACD" w14:textId="77777777" w:rsidR="007E7021" w:rsidRDefault="007E7021" w:rsidP="007E7021">
      <w:pPr>
        <w:rPr>
          <w:i/>
          <w:iCs/>
          <w:color w:val="404040" w:themeColor="text1" w:themeTint="BF"/>
          <w:lang w:eastAsia="en-US"/>
        </w:rPr>
      </w:pPr>
      <w:r w:rsidRPr="00A50DD4">
        <w:rPr>
          <w:lang w:eastAsia="en-US"/>
        </w:rPr>
        <w:t>Over the fifteen years of annual reporting, the Code Reviewer has almost universally found that all of the collecting societies have substantially complied with the Code</w:t>
      </w:r>
      <w:r>
        <w:rPr>
          <w:i/>
          <w:iCs/>
          <w:color w:val="404040" w:themeColor="text1" w:themeTint="BF"/>
          <w:lang w:eastAsia="en-US"/>
        </w:rPr>
        <w:t>.</w:t>
      </w:r>
    </w:p>
    <w:p w14:paraId="061E2DDE" w14:textId="77777777" w:rsidR="007E7021" w:rsidRDefault="007E7021" w:rsidP="007E7021">
      <w:r w:rsidRPr="00A50DD4">
        <w:t>The first Code Reviewer considered that ‘an examination of complaints received by a society, and the way they were handled, is a revealing indication of the state of its compliance with the Code’</w:t>
      </w:r>
      <w:r w:rsidRPr="00A50DD4">
        <w:rPr>
          <w:vertAlign w:val="superscript"/>
        </w:rPr>
        <w:endnoteReference w:id="100"/>
      </w:r>
      <w:r>
        <w:t>.</w:t>
      </w:r>
    </w:p>
    <w:p w14:paraId="4ED246A2" w14:textId="77777777" w:rsidR="007E7021" w:rsidRPr="00A50DD4" w:rsidRDefault="007E7021" w:rsidP="007E7021">
      <w:pPr>
        <w:keepNext/>
        <w:keepLines/>
      </w:pPr>
      <w:r w:rsidRPr="00A50DD4">
        <w:t>In his third annual report, the Code Reviewer noted that, notwithstanding the voluntary nature of the Code, ‘it is pleasing to note the continued adherence to it of all eight of the Societies that adopted it’, but also observed that ‘adherence has not come without cost’</w:t>
      </w:r>
      <w:r w:rsidRPr="00A50DD4">
        <w:rPr>
          <w:vertAlign w:val="superscript"/>
        </w:rPr>
        <w:endnoteReference w:id="101"/>
      </w:r>
      <w:r w:rsidRPr="00A50DD4">
        <w:t>. The Code Reviewer concluded that:</w:t>
      </w:r>
    </w:p>
    <w:p w14:paraId="73EC9C66" w14:textId="77777777" w:rsidR="007E7021" w:rsidRPr="00A50DD4" w:rsidRDefault="007E7021" w:rsidP="007E7021">
      <w:pPr>
        <w:pStyle w:val="Quote"/>
        <w:keepLines/>
      </w:pPr>
      <w:r w:rsidRPr="00A50DD4">
        <w:t>the willingness of the Societies to engage annually in this quite arduous process argues a commitment to the objectives of the Code, and the regular recurrence of the task of review may be thought likely to concentrate attention upon the requirements of the Code so as to enhance compliance. Several of those interviewed during the review considered the adoption of the Code itself modified procedures and conduct</w:t>
      </w:r>
      <w:r>
        <w:t>—</w:t>
      </w:r>
      <w:r w:rsidRPr="00A50DD4">
        <w:t>as, of course, it was intended and expected to do.</w:t>
      </w:r>
      <w:r w:rsidRPr="00A50DD4">
        <w:rPr>
          <w:vertAlign w:val="superscript"/>
        </w:rPr>
        <w:endnoteReference w:id="102"/>
      </w:r>
    </w:p>
    <w:p w14:paraId="5738F64E" w14:textId="77777777" w:rsidR="007E7021" w:rsidRDefault="007E7021" w:rsidP="007E7021">
      <w:pPr>
        <w:rPr>
          <w:color w:val="404040" w:themeColor="text1" w:themeTint="BF"/>
        </w:rPr>
      </w:pPr>
      <w:r w:rsidRPr="00A50DD4">
        <w:t>The Code Reviewer has also surmised that a lack of submissions received in response to the review may indicate a general level of satisfaction</w:t>
      </w:r>
      <w:r>
        <w:t xml:space="preserve"> regarding collecting societies’ compliance</w:t>
      </w:r>
      <w:r w:rsidRPr="00A50DD4">
        <w:t xml:space="preserve"> with the Code</w:t>
      </w:r>
      <w:r w:rsidRPr="00A50DD4">
        <w:rPr>
          <w:i/>
          <w:iCs/>
          <w:color w:val="404040" w:themeColor="text1" w:themeTint="BF"/>
        </w:rPr>
        <w:t>.</w:t>
      </w:r>
      <w:r w:rsidRPr="007354DE">
        <w:rPr>
          <w:color w:val="404040" w:themeColor="text1" w:themeTint="BF"/>
          <w:vertAlign w:val="superscript"/>
        </w:rPr>
        <w:endnoteReference w:id="103"/>
      </w:r>
    </w:p>
    <w:p w14:paraId="3F4DF4EA" w14:textId="2F0AC347" w:rsidR="007E7021" w:rsidRDefault="007E7021" w:rsidP="007E7021">
      <w:r w:rsidRPr="00A50DD4">
        <w:rPr>
          <w:lang w:eastAsia="en-US"/>
        </w:rPr>
        <w:t xml:space="preserve">The single occasion on which a substantial breach of the Code was found to have occurred was in the 2012/2013 annual Code compliance report, in which the Code Reviewer found that APRA </w:t>
      </w:r>
      <w:r>
        <w:rPr>
          <w:lang w:eastAsia="en-US"/>
        </w:rPr>
        <w:t>AMCOS</w:t>
      </w:r>
      <w:r w:rsidRPr="00A50DD4">
        <w:rPr>
          <w:lang w:eastAsia="en-US"/>
        </w:rPr>
        <w:t xml:space="preserve"> had failed to comply with the Code in numerous respects following a major change to </w:t>
      </w:r>
      <w:r>
        <w:rPr>
          <w:lang w:eastAsia="en-US"/>
        </w:rPr>
        <w:t>its</w:t>
      </w:r>
      <w:r w:rsidRPr="00A50DD4">
        <w:rPr>
          <w:lang w:eastAsia="en-US"/>
        </w:rPr>
        <w:t xml:space="preserve"> distribution policies and processes in respect of performance of music at nightclubs. APRA </w:t>
      </w:r>
      <w:r>
        <w:rPr>
          <w:lang w:eastAsia="en-US"/>
        </w:rPr>
        <w:t>AMCOS</w:t>
      </w:r>
      <w:r w:rsidRPr="00A50DD4">
        <w:rPr>
          <w:lang w:eastAsia="en-US"/>
        </w:rPr>
        <w:t xml:space="preserve"> acknowledged a number of failures on</w:t>
      </w:r>
      <w:r>
        <w:rPr>
          <w:lang w:eastAsia="en-US"/>
        </w:rPr>
        <w:t xml:space="preserve"> its part, including failing to advise members prior to amending its distribution rules and practices, and implementing the changes without amending the relevant documents first, in contravention of clause 2.4 of the Code</w:t>
      </w:r>
      <w:r w:rsidRPr="00A50DD4">
        <w:t>.</w:t>
      </w:r>
      <w:r w:rsidRPr="00A50DD4">
        <w:rPr>
          <w:vertAlign w:val="superscript"/>
        </w:rPr>
        <w:endnoteReference w:id="104"/>
      </w:r>
    </w:p>
    <w:p w14:paraId="2CB98209" w14:textId="0E48CA17" w:rsidR="007E7021" w:rsidRPr="00A50DD4" w:rsidRDefault="007E7021" w:rsidP="007E7021">
      <w:r w:rsidRPr="00A50DD4">
        <w:t>The Code Reviewer outlined the circumstances of APRA</w:t>
      </w:r>
      <w:r>
        <w:t xml:space="preserve"> AMCOS</w:t>
      </w:r>
      <w:r w:rsidRPr="00A50DD4">
        <w:t>’s breach, and the steps taken to rectify it, in his 2012/2013 report and noted APRA</w:t>
      </w:r>
      <w:r>
        <w:t xml:space="preserve"> AMCOS</w:t>
      </w:r>
      <w:r w:rsidRPr="00A50DD4">
        <w:t>’s acknowledgement that it had breached the Code, saying only:</w:t>
      </w:r>
    </w:p>
    <w:p w14:paraId="63BE629E" w14:textId="77777777" w:rsidR="007E7021" w:rsidRPr="00A50DD4" w:rsidRDefault="007E7021" w:rsidP="007E7021">
      <w:pPr>
        <w:pStyle w:val="Quote"/>
      </w:pPr>
      <w:r w:rsidRPr="00A50DD4">
        <w:t>I need not elaborate on this, beyond noting that the complaint was an important one that affected members generally, as distinct from one that affected a particular member.</w:t>
      </w:r>
    </w:p>
    <w:p w14:paraId="19DA2EF4" w14:textId="77777777" w:rsidR="007E7021" w:rsidRPr="00A50DD4" w:rsidRDefault="007E7021" w:rsidP="007E7021">
      <w:r w:rsidRPr="00A50DD4">
        <w:t>As APRA</w:t>
      </w:r>
      <w:r>
        <w:t xml:space="preserve"> AMCOS</w:t>
      </w:r>
      <w:r w:rsidRPr="00A50DD4">
        <w:t xml:space="preserve"> had already taken steps to address and rectify the breach</w:t>
      </w:r>
      <w:r w:rsidRPr="00C9410B">
        <w:rPr>
          <w:vertAlign w:val="superscript"/>
        </w:rPr>
        <w:endnoteReference w:id="105"/>
      </w:r>
      <w:r w:rsidRPr="00A50DD4">
        <w:t xml:space="preserve">, the Code Reviewer did not offer any further censure of APRA </w:t>
      </w:r>
      <w:r>
        <w:t xml:space="preserve">AMCOS </w:t>
      </w:r>
      <w:r w:rsidRPr="00A50DD4">
        <w:t xml:space="preserve">or make any other recommendation as to how APRA </w:t>
      </w:r>
      <w:r>
        <w:t xml:space="preserve">AMCOS </w:t>
      </w:r>
      <w:r w:rsidRPr="00A50DD4">
        <w:t>might amend its procedures to avoid a further breach in future. Indeed, beyond noting that a breach had occurred, the Code does not provide the Code Reviewer with any further tools to sanction or discipline a collecting society’s behaviour if found to be in contravention of the Code, or to direct that any form of remedy or redress be provided to a member or licensee affected by the contravention.</w:t>
      </w:r>
    </w:p>
    <w:p w14:paraId="6247FB2A" w14:textId="7403EA57" w:rsidR="007E7021" w:rsidRDefault="007E7021" w:rsidP="007E7021">
      <w:r>
        <w:t xml:space="preserve">Whilst the Code only specifies that the collecting societies report their compliance with clause 2.7, clause 2.8(a) and clause 3 of the Code in their annual report to the Code Reviewer, the current Code Reviewer Dr Lindgren has requested that each of the collecting societies report to him on their compliance with all of the obligations set out in clause 2 of the Code, which covers a range of issues including </w:t>
      </w:r>
      <w:r w:rsidR="005D277D">
        <w:t>collecting societies’</w:t>
      </w:r>
      <w:r>
        <w:t xml:space="preserve"> licensing and membership framework</w:t>
      </w:r>
      <w:r w:rsidR="006D60CC">
        <w:t>s</w:t>
      </w:r>
      <w:r>
        <w:t>, the nature of expenses incurred by collecting societies, the governance and accountability framework of the collecting society and additional reporting requirements for declared collecting societies.</w:t>
      </w:r>
    </w:p>
    <w:p w14:paraId="7E7B60C2" w14:textId="77777777" w:rsidR="007E7021" w:rsidRDefault="007E7021" w:rsidP="007E7021">
      <w:r>
        <w:t>As a result of Dr Lindgren’s direction, the reports submitted by the collecting societies to the Code Reviewer now provide a more comprehensive insight into the overall activities of the collecting society, particularly in regard to their governance, distribution and licensing policies and procedures. The annual reports of the Code Reviewer reflect this change in reporting by the collecting societies as they are substantially lengthier and more informative than the reports of his predecessor.</w:t>
      </w:r>
    </w:p>
    <w:p w14:paraId="5E3BDEE5" w14:textId="77777777" w:rsidR="007E7021" w:rsidRDefault="007E7021" w:rsidP="007E7021">
      <w:r w:rsidRPr="00A50DD4">
        <w:t>Information and documents submitted to the Code Reviewer for consi</w:t>
      </w:r>
      <w:r>
        <w:t>deration in his annual review are</w:t>
      </w:r>
      <w:r w:rsidRPr="00A50DD4">
        <w:t xml:space="preserve"> assessed as part of </w:t>
      </w:r>
      <w:r>
        <w:t>overall findings on</w:t>
      </w:r>
      <w:r w:rsidRPr="00A50DD4">
        <w:t xml:space="preserve"> complian</w:t>
      </w:r>
      <w:r>
        <w:t xml:space="preserve">ce with the Code. In </w:t>
      </w:r>
      <w:r w:rsidRPr="00A50DD4">
        <w:t xml:space="preserve">practice </w:t>
      </w:r>
      <w:r>
        <w:t>this information</w:t>
      </w:r>
      <w:r w:rsidRPr="00A50DD4">
        <w:t xml:space="preserve"> is the main source of evidence available to him absent any statutory power to compel parties to produce information and/or documents responsive to the parameters of the review.</w:t>
      </w:r>
    </w:p>
    <w:p w14:paraId="39E2F11A" w14:textId="77777777" w:rsidR="007E7021" w:rsidRDefault="007E7021" w:rsidP="007E7021">
      <w:r>
        <w:t>To ensure the ongoing improvement in the range and quality of information available to the Code Reviewer, the additional reporting requirements imposed by the current Code Reviewer should be incorporated into the reporting obligations set out in the Code itself. This will continue to enhance the quality of information contained in the annual report of the Code Reviewer, and thus available to the public.</w:t>
      </w:r>
    </w:p>
    <w:p w14:paraId="52483A3A" w14:textId="77777777" w:rsidR="007E7021" w:rsidRDefault="007E7021" w:rsidP="007E7021">
      <w:r>
        <w:t xml:space="preserve">To increase transparency and accountability in the current annual review process, non-confidential portions of the annual reports that each of the collecting societies submit to the Code Reviewer should be made publicly available, preferably on the central portal recommended above (Draft Recommendation </w:t>
      </w:r>
      <w:r w:rsidRPr="009F5A12">
        <w:t>10).</w:t>
      </w:r>
    </w:p>
    <w:p w14:paraId="37EE9D5C"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sidRPr="00A4127A">
        <w:rPr>
          <w:b/>
        </w:rPr>
        <w:t xml:space="preserve">Draft </w:t>
      </w:r>
      <w:r>
        <w:rPr>
          <w:b/>
        </w:rPr>
        <w:t>f</w:t>
      </w:r>
      <w:r w:rsidRPr="00A4127A">
        <w:rPr>
          <w:b/>
        </w:rPr>
        <w:t xml:space="preserve">inding </w:t>
      </w:r>
      <w:r>
        <w:rPr>
          <w:b/>
        </w:rPr>
        <w:t>10</w:t>
      </w:r>
      <w:r w:rsidRPr="00A4127A">
        <w:rPr>
          <w:b/>
        </w:rPr>
        <w:t>:</w:t>
      </w:r>
      <w:r>
        <w:t xml:space="preserve"> </w:t>
      </w:r>
      <w:r w:rsidRPr="000D7EBD">
        <w:t>Communicating outcomes from</w:t>
      </w:r>
      <w:r>
        <w:t xml:space="preserve"> the annual review of the collecting societies’ compliance with the Code needs to be improved.</w:t>
      </w:r>
    </w:p>
    <w:p w14:paraId="5817A78A" w14:textId="3494D5A6"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Pr>
          <w:b/>
        </w:rPr>
        <w:t>Draft r</w:t>
      </w:r>
      <w:r w:rsidRPr="00991F9A">
        <w:rPr>
          <w:b/>
        </w:rPr>
        <w:t>ecommendation</w:t>
      </w:r>
      <w:r>
        <w:rPr>
          <w:b/>
        </w:rPr>
        <w:t xml:space="preserve"> 13</w:t>
      </w:r>
      <w:r>
        <w:t xml:space="preserve">: </w:t>
      </w:r>
      <w:r w:rsidRPr="009F5A12">
        <w:rPr>
          <w:b/>
        </w:rPr>
        <w:t xml:space="preserve">Amend </w:t>
      </w:r>
      <w:r>
        <w:rPr>
          <w:b/>
        </w:rPr>
        <w:t>clause </w:t>
      </w:r>
      <w:r w:rsidRPr="009F5A12">
        <w:rPr>
          <w:b/>
        </w:rPr>
        <w:t>5.2</w:t>
      </w:r>
      <w:r w:rsidRPr="000D7EBD">
        <w:t xml:space="preserve"> to require the collecting societies bound by the Code to report on their compliance with each of clauses 2.1</w:t>
      </w:r>
      <w:r>
        <w:t>—</w:t>
      </w:r>
      <w:r w:rsidRPr="000D7EBD">
        <w:t xml:space="preserve">2.8 of the Code (and 2.9 of the Code for declared collecting societies) in their annual compliance report to the Code Reviewer pursuant to </w:t>
      </w:r>
      <w:r>
        <w:t>clause </w:t>
      </w:r>
      <w:r w:rsidRPr="000D7EBD">
        <w:t>5.2(b) of the Code.</w:t>
      </w:r>
    </w:p>
    <w:p w14:paraId="1E834029" w14:textId="226EA66F"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sidRPr="00A4127A">
        <w:rPr>
          <w:b/>
        </w:rPr>
        <w:t>Draft recommendation</w:t>
      </w:r>
      <w:r>
        <w:rPr>
          <w:b/>
        </w:rPr>
        <w:t xml:space="preserve"> 14</w:t>
      </w:r>
      <w:r w:rsidRPr="00A4127A">
        <w:rPr>
          <w:b/>
        </w:rPr>
        <w:t>:</w:t>
      </w:r>
      <w:r>
        <w:t xml:space="preserve"> </w:t>
      </w:r>
      <w:r w:rsidRPr="009F5A12">
        <w:rPr>
          <w:b/>
        </w:rPr>
        <w:t xml:space="preserve">Amend </w:t>
      </w:r>
      <w:r>
        <w:rPr>
          <w:b/>
        </w:rPr>
        <w:t>clause </w:t>
      </w:r>
      <w:r w:rsidRPr="009F5A12">
        <w:rPr>
          <w:b/>
        </w:rPr>
        <w:t>5.2(b)</w:t>
      </w:r>
      <w:r w:rsidRPr="00842D1F">
        <w:t xml:space="preserve"> of the Code to require annual compliance reports prepared by the collecting societies for submission to the Code Reviewer to be made public; where such reports include confidential or commercial-in-confidence information, or otherwise includes information which identifies individual members or licensees, such information is to be redacted before publication.</w:t>
      </w:r>
    </w:p>
    <w:p w14:paraId="2C41355E" w14:textId="77777777" w:rsidR="007E7021" w:rsidRDefault="007E7021" w:rsidP="007E7021">
      <w:pPr>
        <w:pStyle w:val="Heading4"/>
      </w:pPr>
      <w:bookmarkStart w:id="188" w:name="_Toc497045664"/>
      <w:bookmarkStart w:id="189" w:name="_Toc498524201"/>
      <w:bookmarkStart w:id="190" w:name="_Toc498613721"/>
      <w:bookmarkStart w:id="191" w:name="_Toc498685037"/>
      <w:bookmarkStart w:id="192" w:name="_Toc498691888"/>
      <w:bookmarkStart w:id="193" w:name="_Toc498695625"/>
      <w:bookmarkStart w:id="194" w:name="_Toc499558587"/>
      <w:bookmarkStart w:id="195" w:name="_Toc499823231"/>
      <w:bookmarkStart w:id="196" w:name="_Toc501010970"/>
      <w:bookmarkStart w:id="197" w:name="_Toc504393016"/>
      <w:bookmarkStart w:id="198" w:name="_Toc506373272"/>
      <w:r>
        <w:t>Assessing current incentives to comply with the Code</w:t>
      </w:r>
      <w:bookmarkEnd w:id="188"/>
      <w:bookmarkEnd w:id="189"/>
      <w:bookmarkEnd w:id="190"/>
      <w:bookmarkEnd w:id="191"/>
      <w:bookmarkEnd w:id="192"/>
      <w:bookmarkEnd w:id="193"/>
      <w:bookmarkEnd w:id="194"/>
      <w:bookmarkEnd w:id="195"/>
      <w:bookmarkEnd w:id="196"/>
      <w:bookmarkEnd w:id="197"/>
      <w:bookmarkEnd w:id="198"/>
    </w:p>
    <w:p w14:paraId="5CA93422" w14:textId="77777777" w:rsidR="007E7021" w:rsidRDefault="007E7021" w:rsidP="007E7021">
      <w:r>
        <w:t>The collecting societies consider the Code Reviewer already has sufficient powers to ensure compliance with the Code. For example, APRA AMCOS (sub. 3) submits that it ‘has always found the publication of a report of the operations of the society, with the associated risk of reputational damage following an adverse finding or comment, to be highly motivating’ in ensuring it complies with the Code, and accordingly it takes ‘the Code process very seriously’</w:t>
      </w:r>
      <w:r>
        <w:rPr>
          <w:rStyle w:val="EndnoteReference"/>
        </w:rPr>
        <w:endnoteReference w:id="106"/>
      </w:r>
      <w:r>
        <w:t>.</w:t>
      </w:r>
    </w:p>
    <w:p w14:paraId="6241E626" w14:textId="77777777" w:rsidR="007E7021" w:rsidRDefault="007E7021" w:rsidP="007E7021">
      <w:r>
        <w:t>As the only sanction available to the Code Reviewer for non-compliance with the Code is to make an adverse finding in his annual report, the ability to publicise this is central to the effectiveness of that sanction.</w:t>
      </w:r>
    </w:p>
    <w:p w14:paraId="15272BEE" w14:textId="0A6987FA" w:rsidR="007E7021" w:rsidRDefault="007E7021" w:rsidP="007E7021">
      <w:r>
        <w:t>However, collecting societies are not obliged to directly advise their members or licensees if the Code Reviewer has found they contravened the Code; they are only required to make a copy of the Code Reviewer’s report available to them. The 2015–16 annual report of the Code Reviewer is 122 pages long and while it is a testament to the rigorous analysis undertaken by Dr Lindgren, its length may discourage many members and licensees from engaging with it. As a result, members and licensees of a collecting society may have limited awareness of any adverse findings made by the Code Reviewer about that collecting society.</w:t>
      </w:r>
    </w:p>
    <w:p w14:paraId="1ACD010F" w14:textId="77777777" w:rsidR="007E7021" w:rsidRDefault="007E7021" w:rsidP="007E7021">
      <w:r>
        <w:t xml:space="preserve">In its </w:t>
      </w:r>
      <w:r w:rsidRPr="00846471">
        <w:rPr>
          <w:i/>
        </w:rPr>
        <w:t>Guidelines for developing effective voluntary industry codes of conduct</w:t>
      </w:r>
      <w:r>
        <w:t>, the ACCC addresses the topic of sanctions for non-compliance, stating that ‘commercially significant sanctions will be necessary to achieve credibility with and compliance by participants, and also engender stakeholder confidence in the industry code’ and ‘sanctions should reflect the nature, seriousness and frequency of the breach.’</w:t>
      </w:r>
      <w:r>
        <w:rPr>
          <w:rStyle w:val="EndnoteReference"/>
        </w:rPr>
        <w:endnoteReference w:id="107"/>
      </w:r>
      <w:r>
        <w:t xml:space="preserve"> The ACCC also provides examples of commercially significant sanctions, including:</w:t>
      </w:r>
    </w:p>
    <w:p w14:paraId="45AE6DBF" w14:textId="77777777" w:rsidR="007E7021" w:rsidRDefault="007E7021" w:rsidP="007E7021">
      <w:pPr>
        <w:pStyle w:val="Bullet1"/>
        <w:numPr>
          <w:ilvl w:val="0"/>
          <w:numId w:val="4"/>
        </w:numPr>
        <w:tabs>
          <w:tab w:val="clear" w:pos="643"/>
          <w:tab w:val="num" w:pos="926"/>
        </w:tabs>
        <w:ind w:left="567" w:hanging="567"/>
      </w:pPr>
      <w:r>
        <w:t>supplying a meaningful remedy to the aggrieved party when a code rule is broken</w:t>
      </w:r>
    </w:p>
    <w:p w14:paraId="4FB5154C" w14:textId="77777777" w:rsidR="007E7021" w:rsidRDefault="007E7021" w:rsidP="007E7021">
      <w:pPr>
        <w:pStyle w:val="Bullet1"/>
        <w:numPr>
          <w:ilvl w:val="0"/>
          <w:numId w:val="4"/>
        </w:numPr>
        <w:tabs>
          <w:tab w:val="clear" w:pos="643"/>
          <w:tab w:val="num" w:pos="926"/>
        </w:tabs>
        <w:ind w:left="567" w:hanging="567"/>
      </w:pPr>
      <w:r>
        <w:t>censures and warnings</w:t>
      </w:r>
    </w:p>
    <w:p w14:paraId="70FEE770" w14:textId="77777777" w:rsidR="007E7021" w:rsidRDefault="007E7021" w:rsidP="007E7021">
      <w:pPr>
        <w:pStyle w:val="Bullet1"/>
        <w:numPr>
          <w:ilvl w:val="0"/>
          <w:numId w:val="4"/>
        </w:numPr>
        <w:tabs>
          <w:tab w:val="clear" w:pos="643"/>
          <w:tab w:val="num" w:pos="926"/>
        </w:tabs>
        <w:ind w:left="567" w:hanging="567"/>
      </w:pPr>
      <w:r>
        <w:t>corrective advertising</w:t>
      </w:r>
    </w:p>
    <w:p w14:paraId="7E01A3ED" w14:textId="77777777" w:rsidR="007E7021" w:rsidRDefault="007E7021" w:rsidP="007E7021">
      <w:pPr>
        <w:pStyle w:val="Bullet1"/>
        <w:numPr>
          <w:ilvl w:val="0"/>
          <w:numId w:val="4"/>
        </w:numPr>
        <w:tabs>
          <w:tab w:val="clear" w:pos="643"/>
          <w:tab w:val="num" w:pos="926"/>
        </w:tabs>
        <w:ind w:left="567" w:hanging="567"/>
      </w:pPr>
      <w:r>
        <w:t>fines</w:t>
      </w:r>
    </w:p>
    <w:p w14:paraId="1FFABF33" w14:textId="77777777" w:rsidR="007E7021" w:rsidRDefault="007E7021" w:rsidP="007E7021">
      <w:pPr>
        <w:pStyle w:val="Bullet1"/>
        <w:numPr>
          <w:ilvl w:val="0"/>
          <w:numId w:val="4"/>
        </w:numPr>
        <w:tabs>
          <w:tab w:val="clear" w:pos="643"/>
          <w:tab w:val="num" w:pos="926"/>
        </w:tabs>
        <w:ind w:left="567" w:hanging="567"/>
      </w:pPr>
      <w:r>
        <w:t>expulsion as a signatory to the code</w:t>
      </w:r>
      <w:r>
        <w:rPr>
          <w:rStyle w:val="EndnoteReference"/>
        </w:rPr>
        <w:endnoteReference w:id="108"/>
      </w:r>
      <w:r>
        <w:t>.</w:t>
      </w:r>
    </w:p>
    <w:p w14:paraId="7185C3FE" w14:textId="77777777" w:rsidR="007E7021" w:rsidRDefault="007E7021" w:rsidP="007E7021">
      <w:r w:rsidRPr="00D91499">
        <w:t>Free</w:t>
      </w:r>
      <w:r>
        <w:t xml:space="preserve"> </w:t>
      </w:r>
      <w:r w:rsidRPr="00D91499">
        <w:t>TV Australia</w:t>
      </w:r>
      <w:r>
        <w:t xml:space="preserve"> (sub. 13) concurred with the ACCC’s position, stating </w:t>
      </w:r>
      <w:r w:rsidRPr="00D91499">
        <w:t>that ‘the fact there are no substantive enforcement mechanisms or sanctions for non-compliance necessarily negates [the Code’s] effectiveness and undermines stakeholders’ confidence in it</w:t>
      </w:r>
      <w:r>
        <w:t>.</w:t>
      </w:r>
      <w:r w:rsidRPr="00D91499">
        <w:t>’</w:t>
      </w:r>
      <w:r>
        <w:rPr>
          <w:rStyle w:val="EndnoteReference"/>
        </w:rPr>
        <w:endnoteReference w:id="109"/>
      </w:r>
    </w:p>
    <w:p w14:paraId="33BCD784" w14:textId="77777777" w:rsidR="007E7021" w:rsidRDefault="007E7021" w:rsidP="007E7021">
      <w:r>
        <w:t>APRA AMCOS directly addresses the ACCC’s recommendation that voluntary codes contain commercially significant sanctions, and advises that ‘APRA AMCOS believes that this would only be appropriate if the Code were to be significantly amended to provide detailed proscriptions as to compliance’.</w:t>
      </w:r>
      <w:r>
        <w:rPr>
          <w:rStyle w:val="EndnoteReference"/>
        </w:rPr>
        <w:endnoteReference w:id="110"/>
      </w:r>
    </w:p>
    <w:p w14:paraId="6EA4C0B0" w14:textId="0240FAA6" w:rsidR="007E7021" w:rsidRDefault="007E7021" w:rsidP="007E7021">
      <w:r>
        <w:t>In this regard, APRA AMCOS submits that the Code in its current form does not contain the level of specificity as to compliance obligations that are seen in other domestic industry codes that do include significant sanctions for breach, such as the Franchising Code of Conduct and the Commercial Radio Codes of Practice. On this basis, they submit that the Code in its current form should not include penalties for non-compliance</w:t>
      </w:r>
      <w:r w:rsidR="00044068">
        <w:t>.</w:t>
      </w:r>
      <w:r>
        <w:rPr>
          <w:rStyle w:val="EndnoteReference"/>
        </w:rPr>
        <w:endnoteReference w:id="111"/>
      </w:r>
    </w:p>
    <w:p w14:paraId="418102B1" w14:textId="77777777" w:rsidR="007E7021" w:rsidRDefault="007E7021" w:rsidP="007E7021">
      <w:r>
        <w:t>The Code does not impose many specific or detailed obligations upon the collecting societies that are bound by it and substantial amendments would be required to clarify when the actions of a collecting society constitute a breach. Therefore, if the obligations imposed by the Code, and hence the requirements for compliance with it continue to be expressed in general terms, it would not be appropriate to apply fines or other significant financial penalties for non-compliance.</w:t>
      </w:r>
    </w:p>
    <w:p w14:paraId="0D5129BA" w14:textId="77777777" w:rsidR="007E7021" w:rsidRDefault="007E7021" w:rsidP="007E7021">
      <w:pPr>
        <w:keepNext/>
      </w:pPr>
      <w:r>
        <w:t>However, even allowing for the strong compliance culture of the collecting societies, the sanctions in the Code are scant. If we accept the submissions of the collecting societies that the prospect of a negative report from the Code Reviewer is a serious incentive to comply with the Code, it follows that introducing a mechanism to more widely publicise any findings of non-compliance by the Code Reviewer would further increase the incentive to comply with the Code. On that basis, an option to address this issue is to amend the Code to require collecting societies to:</w:t>
      </w:r>
    </w:p>
    <w:p w14:paraId="7DBA8DD9" w14:textId="77777777" w:rsidR="007E7021" w:rsidRDefault="007E7021" w:rsidP="007E7021">
      <w:pPr>
        <w:pStyle w:val="Bullet1"/>
        <w:numPr>
          <w:ilvl w:val="0"/>
          <w:numId w:val="4"/>
        </w:numPr>
        <w:tabs>
          <w:tab w:val="clear" w:pos="643"/>
          <w:tab w:val="num" w:pos="926"/>
        </w:tabs>
        <w:ind w:left="567" w:hanging="567"/>
      </w:pPr>
      <w:r>
        <w:t>advise members and licensees if the Code Reviewer finds that they have contravened the Code, including details of the nature of the contravention and any remedy provided</w:t>
      </w:r>
    </w:p>
    <w:p w14:paraId="78E0B065" w14:textId="77777777" w:rsidR="007E7021" w:rsidRDefault="007E7021" w:rsidP="007E7021">
      <w:pPr>
        <w:pStyle w:val="Bullet1"/>
        <w:numPr>
          <w:ilvl w:val="0"/>
          <w:numId w:val="4"/>
        </w:numPr>
        <w:tabs>
          <w:tab w:val="clear" w:pos="643"/>
          <w:tab w:val="num" w:pos="926"/>
        </w:tabs>
        <w:ind w:left="567" w:hanging="567"/>
      </w:pPr>
      <w:r>
        <w:t>maintain a register which details current and historical contraventions of the Code</w:t>
      </w:r>
    </w:p>
    <w:p w14:paraId="5EDC088D" w14:textId="77777777" w:rsidR="007E7021" w:rsidRDefault="007E7021" w:rsidP="007E7021">
      <w:pPr>
        <w:pStyle w:val="Bullet1"/>
        <w:numPr>
          <w:ilvl w:val="0"/>
          <w:numId w:val="4"/>
        </w:numPr>
        <w:tabs>
          <w:tab w:val="clear" w:pos="643"/>
          <w:tab w:val="num" w:pos="926"/>
        </w:tabs>
        <w:ind w:left="567" w:hanging="567"/>
      </w:pPr>
      <w:r>
        <w:t>publish the Code contravention register on a publically-accessible online portal, and</w:t>
      </w:r>
    </w:p>
    <w:p w14:paraId="3A40FEC9" w14:textId="77777777" w:rsidR="007E7021" w:rsidRDefault="007E7021" w:rsidP="007E7021">
      <w:pPr>
        <w:pStyle w:val="Bullet1"/>
        <w:numPr>
          <w:ilvl w:val="0"/>
          <w:numId w:val="4"/>
        </w:numPr>
        <w:tabs>
          <w:tab w:val="clear" w:pos="643"/>
          <w:tab w:val="num" w:pos="926"/>
        </w:tabs>
        <w:ind w:left="567" w:hanging="567"/>
      </w:pPr>
      <w:r>
        <w:t>include in their annual report any finding by the Code Reviewer that they contravened the Code during the financial year covered by the report, and the nature of the contravention.</w:t>
      </w:r>
    </w:p>
    <w:p w14:paraId="6A7B3EA2" w14:textId="77777777" w:rsidR="007E7021" w:rsidRDefault="007E7021" w:rsidP="007E7021">
      <w:pPr>
        <w:keepNext/>
        <w:keepLines/>
        <w:pBdr>
          <w:top w:val="single" w:sz="4" w:space="1" w:color="auto"/>
          <w:left w:val="single" w:sz="4" w:space="4" w:color="auto"/>
          <w:bottom w:val="single" w:sz="4" w:space="1" w:color="auto"/>
          <w:right w:val="single" w:sz="4" w:space="4" w:color="auto"/>
        </w:pBdr>
        <w:shd w:val="clear" w:color="auto" w:fill="D6F2FA"/>
      </w:pPr>
      <w:bookmarkStart w:id="199" w:name="_Toc497045665"/>
      <w:r w:rsidRPr="00F032B2">
        <w:rPr>
          <w:b/>
        </w:rPr>
        <w:t xml:space="preserve">Draft </w:t>
      </w:r>
      <w:r>
        <w:rPr>
          <w:b/>
        </w:rPr>
        <w:t>f</w:t>
      </w:r>
      <w:r w:rsidRPr="00F032B2">
        <w:rPr>
          <w:b/>
        </w:rPr>
        <w:t xml:space="preserve">inding </w:t>
      </w:r>
      <w:r>
        <w:rPr>
          <w:b/>
        </w:rPr>
        <w:t>11</w:t>
      </w:r>
      <w:r w:rsidRPr="00F032B2">
        <w:rPr>
          <w:b/>
        </w:rPr>
        <w:t>:</w:t>
      </w:r>
      <w:r w:rsidRPr="00F032B2">
        <w:t xml:space="preserve"> </w:t>
      </w:r>
      <w:r w:rsidRPr="00747F45">
        <w:t>There should be improved communication around</w:t>
      </w:r>
      <w:r>
        <w:t xml:space="preserve"> non-compliance with the Code</w:t>
      </w:r>
      <w:r w:rsidRPr="00747F45">
        <w:t>.</w:t>
      </w:r>
    </w:p>
    <w:p w14:paraId="151EAFFC" w14:textId="77777777" w:rsidR="007E7021" w:rsidRPr="00682642" w:rsidRDefault="007E7021" w:rsidP="007E7021">
      <w:pPr>
        <w:keepNext/>
        <w:keepLines/>
        <w:pBdr>
          <w:top w:val="single" w:sz="4" w:space="1" w:color="auto"/>
          <w:left w:val="single" w:sz="4" w:space="4" w:color="auto"/>
          <w:bottom w:val="single" w:sz="4" w:space="1" w:color="auto"/>
          <w:right w:val="single" w:sz="4" w:space="4" w:color="auto"/>
        </w:pBdr>
        <w:shd w:val="clear" w:color="auto" w:fill="D6F2FA"/>
      </w:pPr>
      <w:r w:rsidRPr="00A4127A">
        <w:rPr>
          <w:b/>
        </w:rPr>
        <w:t xml:space="preserve">Draft recommendation </w:t>
      </w:r>
      <w:r>
        <w:rPr>
          <w:b/>
        </w:rPr>
        <w:t>15</w:t>
      </w:r>
      <w:r w:rsidRPr="00A4127A">
        <w:rPr>
          <w:b/>
        </w:rPr>
        <w:t xml:space="preserve">: </w:t>
      </w:r>
      <w:r w:rsidRPr="00A4127A">
        <w:t>Amend Code to require collecting societies to notify members / licensees when they have breached the Code, options include:</w:t>
      </w:r>
    </w:p>
    <w:p w14:paraId="555215EF" w14:textId="6408AD93" w:rsidR="007E7021" w:rsidRDefault="007E7021" w:rsidP="007E7021">
      <w:pPr>
        <w:pStyle w:val="ListParagraph"/>
        <w:keepNext/>
        <w:keepLines/>
        <w:numPr>
          <w:ilvl w:val="0"/>
          <w:numId w:val="21"/>
        </w:numPr>
        <w:pBdr>
          <w:top w:val="single" w:sz="4" w:space="1" w:color="auto"/>
          <w:left w:val="single" w:sz="4" w:space="4" w:color="auto"/>
          <w:bottom w:val="single" w:sz="4" w:space="1" w:color="auto"/>
          <w:right w:val="single" w:sz="4" w:space="4" w:color="auto"/>
        </w:pBdr>
        <w:shd w:val="clear" w:color="auto" w:fill="D6F2FA"/>
        <w:tabs>
          <w:tab w:val="clear" w:pos="567"/>
        </w:tabs>
        <w:spacing w:before="240" w:after="160" w:line="259" w:lineRule="auto"/>
      </w:pPr>
      <w:r>
        <w:t>Real time notification of contravention of Code published on the collecting societies’ websites</w:t>
      </w:r>
    </w:p>
    <w:p w14:paraId="4920654A" w14:textId="77777777" w:rsidR="007E7021" w:rsidRDefault="007E7021" w:rsidP="007E7021">
      <w:pPr>
        <w:pStyle w:val="ListParagraph"/>
        <w:keepNext/>
        <w:keepLines/>
        <w:numPr>
          <w:ilvl w:val="0"/>
          <w:numId w:val="21"/>
        </w:numPr>
        <w:pBdr>
          <w:top w:val="single" w:sz="4" w:space="1" w:color="auto"/>
          <w:left w:val="single" w:sz="4" w:space="4" w:color="auto"/>
          <w:bottom w:val="single" w:sz="4" w:space="1" w:color="auto"/>
          <w:right w:val="single" w:sz="4" w:space="4" w:color="auto"/>
        </w:pBdr>
        <w:shd w:val="clear" w:color="auto" w:fill="D6F2FA"/>
        <w:tabs>
          <w:tab w:val="clear" w:pos="567"/>
        </w:tabs>
        <w:spacing w:before="240" w:after="160" w:line="259" w:lineRule="auto"/>
      </w:pPr>
      <w:r>
        <w:t>Report of any contraventions in Code itemised in collecting societies’ annual reports</w:t>
      </w:r>
    </w:p>
    <w:p w14:paraId="7ADA9E32" w14:textId="77777777" w:rsidR="007E7021" w:rsidRDefault="007E7021" w:rsidP="007E7021">
      <w:pPr>
        <w:pStyle w:val="ListParagraph"/>
        <w:keepNext/>
        <w:keepLines/>
        <w:numPr>
          <w:ilvl w:val="0"/>
          <w:numId w:val="21"/>
        </w:numPr>
        <w:pBdr>
          <w:top w:val="single" w:sz="4" w:space="1" w:color="auto"/>
          <w:left w:val="single" w:sz="4" w:space="4" w:color="auto"/>
          <w:bottom w:val="single" w:sz="4" w:space="1" w:color="auto"/>
          <w:right w:val="single" w:sz="4" w:space="4" w:color="auto"/>
        </w:pBdr>
        <w:shd w:val="clear" w:color="auto" w:fill="D6F2FA"/>
        <w:tabs>
          <w:tab w:val="clear" w:pos="567"/>
        </w:tabs>
        <w:spacing w:before="240" w:after="160" w:line="259" w:lineRule="auto"/>
      </w:pPr>
      <w:r>
        <w:t>Report on dedicated online portal for Code compliance and governance materials.</w:t>
      </w:r>
    </w:p>
    <w:p w14:paraId="2FF3EDF5" w14:textId="77777777" w:rsidR="007E7021" w:rsidRPr="00F032B2" w:rsidRDefault="007E7021" w:rsidP="007E7021">
      <w:pPr>
        <w:keepNext/>
        <w:keepLines/>
        <w:pBdr>
          <w:top w:val="single" w:sz="4" w:space="1" w:color="auto"/>
          <w:left w:val="single" w:sz="4" w:space="4" w:color="auto"/>
          <w:bottom w:val="single" w:sz="4" w:space="1" w:color="auto"/>
          <w:right w:val="single" w:sz="4" w:space="4" w:color="auto"/>
        </w:pBdr>
        <w:shd w:val="clear" w:color="auto" w:fill="D6F2FA"/>
        <w:spacing w:before="240" w:after="160" w:line="259" w:lineRule="auto"/>
      </w:pPr>
      <w:r w:rsidRPr="00682642">
        <w:rPr>
          <w:b/>
        </w:rPr>
        <w:t>Draft recommendation 16:</w:t>
      </w:r>
      <w:r w:rsidRPr="00F032B2">
        <w:t xml:space="preserve"> </w:t>
      </w:r>
      <w:r w:rsidRPr="00A4127A">
        <w:t>Amend</w:t>
      </w:r>
      <w:r>
        <w:t xml:space="preserve"> the</w:t>
      </w:r>
      <w:r w:rsidRPr="00A4127A">
        <w:t xml:space="preserve"> Code to require collecting societies to establish and maintain a contraventions register to record all historical and future contraventions of the Code.</w:t>
      </w:r>
    </w:p>
    <w:p w14:paraId="3BFCAB58" w14:textId="77777777" w:rsidR="007E7021" w:rsidRDefault="007E7021" w:rsidP="007E7021">
      <w:pPr>
        <w:pStyle w:val="Heading3"/>
      </w:pPr>
      <w:bookmarkStart w:id="200" w:name="_Toc499558588"/>
      <w:bookmarkStart w:id="201" w:name="_Toc499823232"/>
      <w:bookmarkStart w:id="202" w:name="_Toc501010971"/>
      <w:bookmarkStart w:id="203" w:name="_Toc504393017"/>
      <w:bookmarkStart w:id="204" w:name="_Toc506373273"/>
      <w:bookmarkEnd w:id="199"/>
      <w:r>
        <w:t>Improving the Code review process</w:t>
      </w:r>
      <w:bookmarkEnd w:id="200"/>
      <w:bookmarkEnd w:id="201"/>
      <w:bookmarkEnd w:id="202"/>
      <w:bookmarkEnd w:id="203"/>
      <w:bookmarkEnd w:id="204"/>
    </w:p>
    <w:p w14:paraId="6746128D" w14:textId="77777777" w:rsidR="007E7021" w:rsidRDefault="007E7021" w:rsidP="007E7021">
      <w:pPr>
        <w:rPr>
          <w:rFonts w:eastAsiaTheme="minorHAnsi"/>
          <w:lang w:eastAsia="en-US"/>
        </w:rPr>
      </w:pPr>
      <w:r w:rsidRPr="004C0A81">
        <w:rPr>
          <w:rFonts w:eastAsiaTheme="minorHAnsi"/>
          <w:lang w:eastAsia="en-US"/>
        </w:rPr>
        <w:t>The ACCC recommends that an effective voluntary industry code of conduct include a mechanism for regular review</w:t>
      </w:r>
      <w:r>
        <w:rPr>
          <w:rFonts w:eastAsiaTheme="minorHAnsi"/>
          <w:lang w:eastAsia="en-US"/>
        </w:rPr>
        <w:t xml:space="preserve"> of the operation of the code itself</w:t>
      </w:r>
      <w:r w:rsidRPr="004C0A81">
        <w:rPr>
          <w:rFonts w:eastAsiaTheme="minorHAnsi"/>
          <w:lang w:eastAsia="en-US"/>
        </w:rPr>
        <w:t xml:space="preserve"> ‘to ensure that the standards incorporated are meeting identified objectives and current community expectations and that it is working effectively’</w:t>
      </w:r>
      <w:r>
        <w:rPr>
          <w:rStyle w:val="EndnoteReference"/>
          <w:rFonts w:eastAsiaTheme="minorHAnsi"/>
          <w:lang w:eastAsia="en-US"/>
        </w:rPr>
        <w:endnoteReference w:id="112"/>
      </w:r>
      <w:r w:rsidRPr="004C0A81">
        <w:rPr>
          <w:rFonts w:eastAsiaTheme="minorHAnsi"/>
          <w:lang w:eastAsia="en-US"/>
        </w:rPr>
        <w:t xml:space="preserve">. </w:t>
      </w:r>
      <w:r>
        <w:rPr>
          <w:rFonts w:eastAsiaTheme="minorHAnsi"/>
          <w:lang w:eastAsia="en-US"/>
        </w:rPr>
        <w:t>It is suggested that such a review occur at least triennially, and that it be conducted by a person or panel that can act as an independent auditor, being someone who:</w:t>
      </w:r>
    </w:p>
    <w:p w14:paraId="0642A549" w14:textId="77777777" w:rsidR="007E7021" w:rsidRDefault="007E7021" w:rsidP="00897FD5">
      <w:pPr>
        <w:pStyle w:val="Bulletpoint"/>
      </w:pPr>
      <w:r>
        <w:t>is not a present or past staff member or director of a signatory to the code</w:t>
      </w:r>
    </w:p>
    <w:p w14:paraId="45CB90E0" w14:textId="77777777" w:rsidR="007E7021" w:rsidRDefault="007E7021" w:rsidP="00897FD5">
      <w:pPr>
        <w:pStyle w:val="Bulletpoint"/>
      </w:pPr>
      <w:r>
        <w:t>has not acted or does not act for a signatory to the code</w:t>
      </w:r>
    </w:p>
    <w:p w14:paraId="2D81B36C" w14:textId="77777777" w:rsidR="007E7021" w:rsidRDefault="007E7021" w:rsidP="00897FD5">
      <w:pPr>
        <w:pStyle w:val="Bulletpoint"/>
      </w:pPr>
      <w:r>
        <w:t>is not retained by a signatory to the code in any other capacity, either currently or in the past</w:t>
      </w:r>
    </w:p>
    <w:p w14:paraId="63CD0C1A" w14:textId="77777777" w:rsidR="007E7021" w:rsidRDefault="007E7021" w:rsidP="00897FD5">
      <w:pPr>
        <w:pStyle w:val="Bulletpoint"/>
      </w:pPr>
      <w:r>
        <w:t>has not and does not provide consultancy or other services for any signatory to the code, and</w:t>
      </w:r>
    </w:p>
    <w:p w14:paraId="4C56216E" w14:textId="77777777" w:rsidR="007E7021" w:rsidRDefault="007E7021" w:rsidP="00897FD5">
      <w:pPr>
        <w:pStyle w:val="Bulletpoint"/>
      </w:pPr>
      <w:r>
        <w:t>has no shareholding or other interest in any signatory to the code.</w:t>
      </w:r>
      <w:r>
        <w:rPr>
          <w:rStyle w:val="EndnoteReference"/>
        </w:rPr>
        <w:endnoteReference w:id="113"/>
      </w:r>
    </w:p>
    <w:p w14:paraId="1F4D4697" w14:textId="77777777" w:rsidR="007E7021" w:rsidRDefault="007E7021" w:rsidP="007E7021">
      <w:pPr>
        <w:rPr>
          <w:rFonts w:eastAsiaTheme="minorHAnsi"/>
          <w:lang w:eastAsia="en-US"/>
        </w:rPr>
      </w:pPr>
      <w:r>
        <w:rPr>
          <w:rFonts w:eastAsiaTheme="minorHAnsi"/>
          <w:lang w:eastAsia="en-US"/>
        </w:rPr>
        <w:t>Transparency and accountability of the review process can be increased by seeking input from all stakeholders and other interested parties as to their views on the effectiveness of a voluntary code’s operation, and producing a report on the outcome of the review that is frank in its findings and readily available to the public.</w:t>
      </w:r>
    </w:p>
    <w:p w14:paraId="7299C939" w14:textId="77777777" w:rsidR="007E7021" w:rsidRDefault="007E7021" w:rsidP="007E7021">
      <w:pPr>
        <w:rPr>
          <w:rFonts w:eastAsiaTheme="minorHAnsi"/>
          <w:lang w:eastAsia="en-US"/>
        </w:rPr>
      </w:pPr>
      <w:r>
        <w:rPr>
          <w:rFonts w:eastAsiaTheme="minorHAnsi"/>
          <w:lang w:eastAsia="en-US"/>
        </w:rPr>
        <w:t>In addition to undertaking an annual review of the collecting societies’ compliance with the Code, the Code Reviewer is empowered to undertake a triennial review of the operation of the Code itself, and make recommendations for its amendment.</w:t>
      </w:r>
      <w:r>
        <w:rPr>
          <w:rStyle w:val="EndnoteReference"/>
          <w:rFonts w:eastAsiaTheme="minorHAnsi"/>
          <w:lang w:eastAsia="en-US"/>
        </w:rPr>
        <w:endnoteReference w:id="114"/>
      </w:r>
      <w:r>
        <w:rPr>
          <w:rFonts w:eastAsiaTheme="minorHAnsi"/>
          <w:lang w:eastAsia="en-US"/>
        </w:rPr>
        <w:t xml:space="preserve"> However, the Code Reviewer cannot enforce their recommendations for amendment to the Code, which may be considered a weakness in the construction of the Code. Options for strengthening the review process are considered in this section.</w:t>
      </w:r>
    </w:p>
    <w:p w14:paraId="10C97CA8" w14:textId="77777777" w:rsidR="007E7021" w:rsidRDefault="007E7021" w:rsidP="007E7021">
      <w:pPr>
        <w:pStyle w:val="Heading4"/>
      </w:pPr>
      <w:bookmarkStart w:id="205" w:name="_Toc499558589"/>
      <w:bookmarkStart w:id="206" w:name="_Toc499823233"/>
      <w:bookmarkStart w:id="207" w:name="_Toc501010972"/>
      <w:bookmarkStart w:id="208" w:name="_Toc504393018"/>
      <w:bookmarkStart w:id="209" w:name="_Toc506373274"/>
      <w:r>
        <w:t>The current review process</w:t>
      </w:r>
      <w:bookmarkEnd w:id="205"/>
      <w:bookmarkEnd w:id="206"/>
      <w:bookmarkEnd w:id="207"/>
      <w:bookmarkEnd w:id="208"/>
      <w:bookmarkEnd w:id="209"/>
    </w:p>
    <w:p w14:paraId="1CBFF0B5" w14:textId="64585033" w:rsidR="007E7021" w:rsidRDefault="007E7021" w:rsidP="007E7021">
      <w:pPr>
        <w:keepNext/>
        <w:rPr>
          <w:rFonts w:eastAsiaTheme="minorHAnsi"/>
          <w:lang w:eastAsia="en-US"/>
        </w:rPr>
      </w:pPr>
      <w:r>
        <w:rPr>
          <w:rFonts w:eastAsiaTheme="minorHAnsi"/>
          <w:lang w:eastAsia="en-US"/>
        </w:rPr>
        <w:t>Clause </w:t>
      </w:r>
      <w:r w:rsidRPr="00BB5AB9">
        <w:rPr>
          <w:rFonts w:eastAsiaTheme="minorHAnsi"/>
          <w:lang w:eastAsia="en-US"/>
        </w:rPr>
        <w:t xml:space="preserve">5.3(a)(ii) requires that the Code be reviewed at least once every three </w:t>
      </w:r>
      <w:r w:rsidRPr="00BC0E5D">
        <w:rPr>
          <w:rFonts w:eastAsiaTheme="minorHAnsi"/>
          <w:lang w:eastAsia="en-US"/>
        </w:rPr>
        <w:t>years (Box 1). This</w:t>
      </w:r>
      <w:r>
        <w:rPr>
          <w:rFonts w:eastAsiaTheme="minorHAnsi"/>
          <w:lang w:eastAsia="en-US"/>
        </w:rPr>
        <w:t xml:space="preserve"> </w:t>
      </w:r>
      <w:r w:rsidRPr="00BB5AB9">
        <w:rPr>
          <w:rFonts w:eastAsiaTheme="minorHAnsi"/>
          <w:lang w:eastAsia="en-US"/>
        </w:rPr>
        <w:t>review has occurred triennially from April 2005 to April 2017.</w:t>
      </w:r>
    </w:p>
    <w:p w14:paraId="0A8201A9" w14:textId="77777777" w:rsidR="007E7021" w:rsidRDefault="007E7021" w:rsidP="007E7021">
      <w:pPr>
        <w:spacing w:after="160" w:line="259" w:lineRule="auto"/>
        <w:rPr>
          <w:rFonts w:eastAsiaTheme="minorHAnsi"/>
          <w:lang w:eastAsia="en-US"/>
        </w:rPr>
      </w:pPr>
      <w:r>
        <w:rPr>
          <w:rFonts w:eastAsiaTheme="minorHAnsi"/>
          <w:lang w:eastAsia="en-US"/>
        </w:rPr>
        <w:t>The collecting societies bound by the Code are each obliged to inform their respective members and licensees ‘in an appropriate manner’ that a review of the Code is being conducted and that they may make submissions to the Code Reviewer.</w:t>
      </w:r>
      <w:r>
        <w:rPr>
          <w:rStyle w:val="EndnoteReference"/>
          <w:rFonts w:eastAsiaTheme="minorHAnsi"/>
          <w:lang w:eastAsia="en-US"/>
        </w:rPr>
        <w:endnoteReference w:id="115"/>
      </w:r>
      <w:r w:rsidRPr="007A1D6F">
        <w:rPr>
          <w:rFonts w:eastAsiaTheme="minorHAnsi"/>
          <w:vertAlign w:val="superscript"/>
          <w:lang w:eastAsia="en-US"/>
        </w:rPr>
        <w:t>,</w:t>
      </w:r>
      <w:r>
        <w:rPr>
          <w:rStyle w:val="EndnoteReference"/>
          <w:rFonts w:eastAsiaTheme="minorHAnsi"/>
          <w:lang w:eastAsia="en-US"/>
        </w:rPr>
        <w:endnoteReference w:id="116"/>
      </w:r>
    </w:p>
    <w:p w14:paraId="388662D2" w14:textId="2DEBA12B" w:rsidR="007E7021" w:rsidRDefault="007E7021" w:rsidP="007E7021">
      <w:pPr>
        <w:spacing w:after="160" w:line="259" w:lineRule="auto"/>
        <w:rPr>
          <w:rFonts w:eastAsiaTheme="minorHAnsi"/>
          <w:lang w:eastAsia="en-US"/>
        </w:rPr>
      </w:pPr>
      <w:r>
        <w:rPr>
          <w:rFonts w:eastAsiaTheme="minorHAnsi"/>
          <w:lang w:eastAsia="en-US"/>
        </w:rPr>
        <w:t>Clause </w:t>
      </w:r>
      <w:r w:rsidRPr="00BB5AB9">
        <w:rPr>
          <w:rFonts w:eastAsiaTheme="minorHAnsi"/>
          <w:lang w:eastAsia="en-US"/>
        </w:rPr>
        <w:t>5.3(e) requires the Code Reviewer to prepare a report of the review ‘and will make such recommendations as he or she considers appropriate in relation to the operation of the Code, including recommendations for amendments of the Code’. The Code is silent as to whether the collecting societies are required to adopt the Code Reviewer’s recommended amendments to the Code, or how amendments are implemented. In practice, the Code may only be amended if all the collecting societies bound by it unanimously agree to do so.</w:t>
      </w:r>
    </w:p>
    <w:p w14:paraId="1689F57F" w14:textId="77777777" w:rsidR="007E7021" w:rsidRDefault="007E7021" w:rsidP="007E7021">
      <w:r>
        <w:t>The Code has been amended on a number of occasions since 2002, and the Code itself includes an appendix table summarising all amendments incorporated since its inception.</w:t>
      </w:r>
    </w:p>
    <w:p w14:paraId="459BCF7F" w14:textId="77777777" w:rsidR="007E7021" w:rsidRDefault="007E7021" w:rsidP="007E7021">
      <w:r>
        <w:t>However, the recommendations are not always actioned in a timely manner. Two recommendations flowing from the 2014 Triennial review were not fully actioned until March 2017, almost three years after the recommendations were made.</w:t>
      </w:r>
    </w:p>
    <w:p w14:paraId="0574041F" w14:textId="5EFB7C28" w:rsidR="007E7021" w:rsidRDefault="00AB02E4" w:rsidP="007E7021">
      <w:r>
        <w:t>The sufficiency of the current Code review process to ensure that the Code is appropriately amended in response to stakeholder concerns has been called into</w:t>
      </w:r>
      <w:r w:rsidR="007E7021">
        <w:t xml:space="preserve"> question</w:t>
      </w:r>
      <w:r>
        <w:t xml:space="preserve"> in the past</w:t>
      </w:r>
      <w:r w:rsidR="007E7021">
        <w:t xml:space="preserve"> as the Code Reviewer has previously declined to make amendments to the Code </w:t>
      </w:r>
      <w:r>
        <w:t xml:space="preserve">where such amendments are not </w:t>
      </w:r>
      <w:r w:rsidR="00330B18">
        <w:t>aligned with</w:t>
      </w:r>
      <w:r w:rsidR="007E7021">
        <w:t xml:space="preserve"> the broader regulatory framework.</w:t>
      </w:r>
    </w:p>
    <w:p w14:paraId="4ECEC997" w14:textId="1D5FC7C9" w:rsidR="007E7021" w:rsidRDefault="007E7021" w:rsidP="007E7021">
      <w:pPr>
        <w:rPr>
          <w:lang w:eastAsia="en-US"/>
        </w:rPr>
      </w:pPr>
      <w:r>
        <w:t>Issues raised in the 2014 triennial review (from the State of NSW and CAG) were considered of sufficient substance to warrant a supplementary report</w:t>
      </w:r>
      <w:r w:rsidR="00AB02E4">
        <w:t xml:space="preserve"> of the Code Reviewer</w:t>
      </w:r>
      <w:r>
        <w:t xml:space="preserve"> in 2015 following wide-ranging consultation with </w:t>
      </w:r>
      <w:r w:rsidR="00AB02E4">
        <w:t xml:space="preserve">affected </w:t>
      </w:r>
      <w:r>
        <w:t xml:space="preserve">parties. The State of NSW and CAG sought an amendment to the Code </w:t>
      </w:r>
      <w:r>
        <w:rPr>
          <w:lang w:eastAsia="en-US"/>
        </w:rPr>
        <w:t>to require declared collecting societies to provide greater transparency and disclosure with regard to the distribution of statutory licence revenue between classes of recipient,</w:t>
      </w:r>
      <w:r>
        <w:rPr>
          <w:rStyle w:val="EndnoteReference"/>
          <w:lang w:eastAsia="en-US"/>
        </w:rPr>
        <w:endnoteReference w:id="117"/>
      </w:r>
      <w:r>
        <w:rPr>
          <w:lang w:eastAsia="en-US"/>
        </w:rPr>
        <w:t xml:space="preserve"> and to disclose payments made by a declared collecting society to an individual member upon the request of a statutory licensee.</w:t>
      </w:r>
      <w:r>
        <w:rPr>
          <w:rStyle w:val="EndnoteReference"/>
          <w:lang w:eastAsia="en-US"/>
        </w:rPr>
        <w:endnoteReference w:id="118"/>
      </w:r>
      <w:r>
        <w:rPr>
          <w:lang w:eastAsia="en-US"/>
        </w:rPr>
        <w:t xml:space="preserve"> Such information could be used by statutory licensees to determine whether cost savings could be achieved by approaching these individual rights holders to negotiate direct licences,</w:t>
      </w:r>
      <w:r>
        <w:rPr>
          <w:rStyle w:val="EndnoteReference"/>
          <w:lang w:eastAsia="en-US"/>
        </w:rPr>
        <w:endnoteReference w:id="119"/>
      </w:r>
      <w:r>
        <w:rPr>
          <w:lang w:eastAsia="en-US"/>
        </w:rPr>
        <w:t xml:space="preserve"> and reduce payments made under the statutory licence.</w:t>
      </w:r>
    </w:p>
    <w:p w14:paraId="6E1885C3" w14:textId="77777777" w:rsidR="007E7021" w:rsidRDefault="007E7021" w:rsidP="007E7021">
      <w:pPr>
        <w:rPr>
          <w:lang w:eastAsia="en-US"/>
        </w:rPr>
      </w:pPr>
      <w:r>
        <w:rPr>
          <w:lang w:eastAsia="en-US"/>
        </w:rPr>
        <w:t>In considering whether to recommend the amendments being sought by CAG and the State of NSW, the Code Reviewer noted ‘there is no express limitation on the nature of amendments that I am at liberty to recommend’</w:t>
      </w:r>
      <w:r>
        <w:rPr>
          <w:rStyle w:val="EndnoteReference"/>
          <w:lang w:eastAsia="en-US"/>
        </w:rPr>
        <w:endnoteReference w:id="120"/>
      </w:r>
      <w:r>
        <w:rPr>
          <w:lang w:eastAsia="en-US"/>
        </w:rPr>
        <w:t xml:space="preserve"> when considering the provisions of the Code itself, but recognised that it was inappropriate to consider the Code in isolation of the broader regulatory framework.</w:t>
      </w:r>
    </w:p>
    <w:p w14:paraId="3DD076DC" w14:textId="6EDF6288" w:rsidR="007E7021" w:rsidRDefault="007E7021" w:rsidP="007E7021">
      <w:pPr>
        <w:rPr>
          <w:iCs/>
          <w:lang w:eastAsia="en-US"/>
        </w:rPr>
      </w:pPr>
      <w:r w:rsidRPr="009C50D4">
        <w:rPr>
          <w:iCs/>
          <w:lang w:eastAsia="en-US"/>
        </w:rPr>
        <w:t xml:space="preserve">Whilst the Code Reviewer did not recommend this amendment, in March 2017 the Code was amended to include a new </w:t>
      </w:r>
      <w:r>
        <w:rPr>
          <w:iCs/>
          <w:lang w:eastAsia="en-US"/>
        </w:rPr>
        <w:t>clause </w:t>
      </w:r>
      <w:r w:rsidRPr="009C50D4">
        <w:rPr>
          <w:iCs/>
          <w:lang w:eastAsia="en-US"/>
        </w:rPr>
        <w:t xml:space="preserve">2.9 which requires the declared collecting </w:t>
      </w:r>
      <w:r>
        <w:rPr>
          <w:iCs/>
          <w:lang w:eastAsia="en-US"/>
        </w:rPr>
        <w:t>societies to include in their annual reports certain information about the receipt and distribution of statutory licence fees, and to provide some more granular detail about the use of statutory licence fees when requested to do so by a statutory licensee class.</w:t>
      </w:r>
    </w:p>
    <w:p w14:paraId="37CD84D7" w14:textId="7E802EA7" w:rsidR="007E7021" w:rsidRDefault="007E7021" w:rsidP="007E7021">
      <w:pPr>
        <w:rPr>
          <w:iCs/>
          <w:lang w:eastAsia="en-US"/>
        </w:rPr>
      </w:pPr>
      <w:r>
        <w:rPr>
          <w:iCs/>
          <w:lang w:eastAsia="en-US"/>
        </w:rPr>
        <w:t>This brief overview of recent amendments made to the Code highlights the lack of clarity provided within the Code itself on the procedures to be followed by the collecting societies once the Code Reviewer has recommended an amendment to the Code be made. For this reason, it is recommended that the Code include some procedural steps for implementing amendments to the Code in a timely fashion to increase stakeholder confidence in the Code as a dynamic instrument that can respond to the changing environment in which collecting societies operate.</w:t>
      </w:r>
    </w:p>
    <w:p w14:paraId="43490A5F" w14:textId="7FD8B610" w:rsidR="007E7021" w:rsidRDefault="007E7021" w:rsidP="007E7021">
      <w:pPr>
        <w:keepNext/>
        <w:keepLines/>
        <w:pBdr>
          <w:top w:val="single" w:sz="4" w:space="1" w:color="auto"/>
          <w:left w:val="single" w:sz="4" w:space="4" w:color="auto"/>
          <w:bottom w:val="single" w:sz="4" w:space="1" w:color="auto"/>
          <w:right w:val="single" w:sz="4" w:space="4" w:color="auto"/>
        </w:pBdr>
        <w:shd w:val="clear" w:color="auto" w:fill="D6F2FA"/>
        <w:rPr>
          <w:iCs/>
          <w:lang w:eastAsia="en-US"/>
        </w:rPr>
      </w:pPr>
      <w:r w:rsidRPr="00A4127A">
        <w:rPr>
          <w:b/>
        </w:rPr>
        <w:t xml:space="preserve">Draft </w:t>
      </w:r>
      <w:r>
        <w:rPr>
          <w:b/>
        </w:rPr>
        <w:t>f</w:t>
      </w:r>
      <w:r w:rsidRPr="00A4127A">
        <w:rPr>
          <w:b/>
        </w:rPr>
        <w:t xml:space="preserve">inding </w:t>
      </w:r>
      <w:r>
        <w:rPr>
          <w:b/>
        </w:rPr>
        <w:t>12</w:t>
      </w:r>
      <w:r w:rsidRPr="00A4127A">
        <w:rPr>
          <w:b/>
        </w:rPr>
        <w:t>:</w:t>
      </w:r>
      <w:r>
        <w:t xml:space="preserve"> </w:t>
      </w:r>
      <w:r w:rsidRPr="009E21D1">
        <w:t>The processes for implementing amendments to the Code need to be improved.</w:t>
      </w:r>
    </w:p>
    <w:p w14:paraId="641FBBCC" w14:textId="77777777" w:rsidR="007E7021" w:rsidRPr="007D4377" w:rsidRDefault="007E7021" w:rsidP="007E7021">
      <w:pPr>
        <w:keepNext/>
        <w:keepLines/>
        <w:pBdr>
          <w:top w:val="single" w:sz="4" w:space="1" w:color="auto"/>
          <w:left w:val="single" w:sz="4" w:space="4" w:color="auto"/>
          <w:bottom w:val="single" w:sz="4" w:space="1" w:color="auto"/>
          <w:right w:val="single" w:sz="4" w:space="4" w:color="auto"/>
        </w:pBdr>
        <w:shd w:val="clear" w:color="auto" w:fill="D6F2FA"/>
        <w:spacing w:after="0"/>
        <w:ind w:left="567" w:hanging="567"/>
      </w:pPr>
      <w:r w:rsidRPr="00001B30">
        <w:rPr>
          <w:b/>
        </w:rPr>
        <w:t xml:space="preserve">Draft recommendation </w:t>
      </w:r>
      <w:r>
        <w:rPr>
          <w:b/>
        </w:rPr>
        <w:t>17</w:t>
      </w:r>
      <w:r w:rsidRPr="00001B30">
        <w:t xml:space="preserve">: </w:t>
      </w:r>
      <w:r w:rsidRPr="007D4377">
        <w:t>Amend Code to provide procedural steps for:</w:t>
      </w:r>
    </w:p>
    <w:p w14:paraId="30746BE2" w14:textId="77777777" w:rsidR="007E7021" w:rsidRPr="007D4377" w:rsidRDefault="007E7021" w:rsidP="007E7021">
      <w:pPr>
        <w:pStyle w:val="ListParagraph"/>
        <w:keepNext/>
        <w:keepLines/>
        <w:numPr>
          <w:ilvl w:val="0"/>
          <w:numId w:val="19"/>
        </w:numPr>
        <w:pBdr>
          <w:top w:val="single" w:sz="4" w:space="1" w:color="auto"/>
          <w:left w:val="single" w:sz="4" w:space="4" w:color="auto"/>
          <w:bottom w:val="single" w:sz="4" w:space="1" w:color="auto"/>
          <w:right w:val="single" w:sz="4" w:space="4" w:color="auto"/>
        </w:pBdr>
        <w:shd w:val="clear" w:color="auto" w:fill="D6F2FA"/>
        <w:tabs>
          <w:tab w:val="clear" w:pos="567"/>
        </w:tabs>
        <w:spacing w:after="0"/>
      </w:pPr>
      <w:r w:rsidRPr="007D4377">
        <w:t>requiring collecting societies to consider recommendations of Triennial Code Reviewer to make certain amendments to the Code within a specified time frame, including voting on whether to adopt recommendations</w:t>
      </w:r>
    </w:p>
    <w:p w14:paraId="7D5B90B8" w14:textId="77777777" w:rsidR="007E7021" w:rsidRPr="007D4377" w:rsidRDefault="007E7021" w:rsidP="007E7021">
      <w:pPr>
        <w:pStyle w:val="ListParagraph"/>
        <w:keepNext/>
        <w:keepLines/>
        <w:numPr>
          <w:ilvl w:val="0"/>
          <w:numId w:val="19"/>
        </w:numPr>
        <w:pBdr>
          <w:top w:val="single" w:sz="4" w:space="1" w:color="auto"/>
          <w:left w:val="single" w:sz="4" w:space="4" w:color="auto"/>
          <w:bottom w:val="single" w:sz="4" w:space="1" w:color="auto"/>
          <w:right w:val="single" w:sz="4" w:space="4" w:color="auto"/>
        </w:pBdr>
        <w:shd w:val="clear" w:color="auto" w:fill="D6F2FA"/>
        <w:tabs>
          <w:tab w:val="clear" w:pos="567"/>
        </w:tabs>
        <w:spacing w:after="0"/>
      </w:pPr>
      <w:r w:rsidRPr="007D4377">
        <w:t>updating the Code to reflect the agreed amendments within a specified time frame (</w:t>
      </w:r>
      <w:r>
        <w:t>for example</w:t>
      </w:r>
      <w:r w:rsidRPr="007D4377">
        <w:t xml:space="preserve"> within 60 days)</w:t>
      </w:r>
    </w:p>
    <w:p w14:paraId="3CCBD7F5" w14:textId="77777777" w:rsidR="007E7021" w:rsidRPr="00682642" w:rsidRDefault="007E7021" w:rsidP="007E7021">
      <w:pPr>
        <w:pStyle w:val="ListParagraph"/>
        <w:keepNext/>
        <w:keepLines/>
        <w:numPr>
          <w:ilvl w:val="0"/>
          <w:numId w:val="19"/>
        </w:numPr>
        <w:pBdr>
          <w:top w:val="single" w:sz="4" w:space="1" w:color="auto"/>
          <w:left w:val="single" w:sz="4" w:space="4" w:color="auto"/>
          <w:bottom w:val="single" w:sz="4" w:space="1" w:color="auto"/>
          <w:right w:val="single" w:sz="4" w:space="4" w:color="auto"/>
        </w:pBdr>
        <w:shd w:val="clear" w:color="auto" w:fill="D6F2FA"/>
        <w:tabs>
          <w:tab w:val="clear" w:pos="567"/>
        </w:tabs>
        <w:spacing w:after="0"/>
        <w:rPr>
          <w:sz w:val="20"/>
          <w:szCs w:val="20"/>
        </w:rPr>
      </w:pPr>
      <w:r w:rsidRPr="007D4377">
        <w:t>advising affected stakeholders of the amendments to the Code, including plain English explanation of impact of amendments</w:t>
      </w:r>
      <w:r>
        <w:t>, and</w:t>
      </w:r>
    </w:p>
    <w:p w14:paraId="7328A83E" w14:textId="77777777" w:rsidR="007E7021" w:rsidRPr="00682642" w:rsidRDefault="007E7021" w:rsidP="007E7021">
      <w:pPr>
        <w:pStyle w:val="ListParagraph"/>
        <w:keepNext/>
        <w:keepLines/>
        <w:numPr>
          <w:ilvl w:val="0"/>
          <w:numId w:val="19"/>
        </w:numPr>
        <w:pBdr>
          <w:top w:val="single" w:sz="4" w:space="1" w:color="auto"/>
          <w:left w:val="single" w:sz="4" w:space="4" w:color="auto"/>
          <w:bottom w:val="single" w:sz="4" w:space="1" w:color="auto"/>
          <w:right w:val="single" w:sz="4" w:space="4" w:color="auto"/>
        </w:pBdr>
        <w:shd w:val="clear" w:color="auto" w:fill="D6F2FA"/>
        <w:tabs>
          <w:tab w:val="clear" w:pos="567"/>
        </w:tabs>
        <w:spacing w:after="0"/>
        <w:rPr>
          <w:sz w:val="20"/>
          <w:szCs w:val="20"/>
        </w:rPr>
      </w:pPr>
      <w:r>
        <w:t>Reporting to the Triennial Code Reviewer on amendments made to the Code, including advising where any recommendation of the Triennial Code Reviewer as to amendment to the Code was not adopted, and the reason/s why</w:t>
      </w:r>
      <w:r w:rsidRPr="007D4377">
        <w:t>.</w:t>
      </w:r>
    </w:p>
    <w:p w14:paraId="79CB5558" w14:textId="77777777" w:rsidR="007E7021" w:rsidRDefault="007E7021" w:rsidP="007E7021">
      <w:pPr>
        <w:rPr>
          <w:iCs/>
          <w:lang w:eastAsia="en-US"/>
        </w:rPr>
      </w:pPr>
    </w:p>
    <w:p w14:paraId="089616DF" w14:textId="0135727C" w:rsidR="007E7021" w:rsidRDefault="007E7021" w:rsidP="007E7021">
      <w:pPr>
        <w:pStyle w:val="Heading4"/>
      </w:pPr>
      <w:bookmarkStart w:id="210" w:name="_Toc499558590"/>
      <w:bookmarkStart w:id="211" w:name="_Toc499823234"/>
      <w:bookmarkStart w:id="212" w:name="_Toc501010973"/>
      <w:bookmarkStart w:id="213" w:name="_Toc504393019"/>
      <w:bookmarkStart w:id="214" w:name="_Toc506373275"/>
      <w:r>
        <w:t>Assessing the</w:t>
      </w:r>
      <w:r w:rsidR="0053757F">
        <w:t xml:space="preserve"> triennial</w:t>
      </w:r>
      <w:r>
        <w:t xml:space="preserve"> Code review process</w:t>
      </w:r>
      <w:bookmarkEnd w:id="210"/>
      <w:bookmarkEnd w:id="211"/>
      <w:bookmarkEnd w:id="212"/>
      <w:bookmarkEnd w:id="213"/>
      <w:bookmarkEnd w:id="214"/>
    </w:p>
    <w:p w14:paraId="00F80CE8" w14:textId="5F7B5CB3" w:rsidR="007E7021" w:rsidRDefault="007E7021" w:rsidP="007E7021">
      <w:pPr>
        <w:rPr>
          <w:lang w:eastAsia="en-US"/>
        </w:rPr>
      </w:pPr>
      <w:r>
        <w:rPr>
          <w:lang w:eastAsia="en-US"/>
        </w:rPr>
        <w:t xml:space="preserve">There is some disagreement between collecting societies and other stakeholders as to whether the </w:t>
      </w:r>
      <w:r w:rsidR="0053757F">
        <w:rPr>
          <w:lang w:eastAsia="en-US"/>
        </w:rPr>
        <w:t xml:space="preserve">triennial </w:t>
      </w:r>
      <w:r>
        <w:rPr>
          <w:lang w:eastAsia="en-US"/>
        </w:rPr>
        <w:t xml:space="preserve">Code review process is an effective mechanism for addressing concerns about the operation of the Code. The collecting societies generally view the triennial review process as effective and sufficient </w:t>
      </w:r>
      <w:r w:rsidRPr="009F5A12">
        <w:rPr>
          <w:lang w:eastAsia="en-US"/>
        </w:rPr>
        <w:t>(Copyright Agency sub. 10</w:t>
      </w:r>
      <w:r>
        <w:rPr>
          <w:lang w:eastAsia="en-US"/>
        </w:rPr>
        <w:t xml:space="preserve">, </w:t>
      </w:r>
      <w:r w:rsidRPr="007421CD">
        <w:rPr>
          <w:lang w:eastAsia="en-US"/>
        </w:rPr>
        <w:t>Phonographic Performance Company of Australia</w:t>
      </w:r>
      <w:r w:rsidRPr="009F5A12" w:rsidDel="007421CD">
        <w:rPr>
          <w:lang w:eastAsia="en-US"/>
        </w:rPr>
        <w:t xml:space="preserve"> </w:t>
      </w:r>
      <w:r w:rsidRPr="009F5A12">
        <w:rPr>
          <w:lang w:eastAsia="en-US"/>
        </w:rPr>
        <w:t xml:space="preserve">sub. </w:t>
      </w:r>
      <w:r>
        <w:rPr>
          <w:lang w:eastAsia="en-US"/>
        </w:rPr>
        <w:t xml:space="preserve">21, </w:t>
      </w:r>
      <w:r w:rsidRPr="00423C66">
        <w:rPr>
          <w:lang w:eastAsia="en-US"/>
        </w:rPr>
        <w:t xml:space="preserve">Screenrights sub. </w:t>
      </w:r>
      <w:r>
        <w:rPr>
          <w:lang w:eastAsia="en-US"/>
        </w:rPr>
        <w:t>23</w:t>
      </w:r>
      <w:r w:rsidRPr="007421CD">
        <w:rPr>
          <w:lang w:eastAsia="en-US"/>
        </w:rPr>
        <w:t>).</w:t>
      </w:r>
    </w:p>
    <w:p w14:paraId="4713D3FB" w14:textId="77777777" w:rsidR="007E7021" w:rsidRDefault="007E7021" w:rsidP="007E7021">
      <w:pPr>
        <w:rPr>
          <w:lang w:eastAsia="en-US"/>
        </w:rPr>
      </w:pPr>
      <w:r>
        <w:rPr>
          <w:lang w:eastAsia="en-US"/>
        </w:rPr>
        <w:t>In comparison, Universities Australia (sub. 24) suggested that the triennial review process serves to highlight the ‘shortcomings of the Code’ noting the unwillingness of the Code Reviewer to recommend the amendments sought by CAG and the State of NSW in their submissions to the 2014 triennial Code review .</w:t>
      </w:r>
    </w:p>
    <w:p w14:paraId="5EB82AC3" w14:textId="77777777" w:rsidR="007E7021" w:rsidRDefault="007E7021" w:rsidP="007E7021">
      <w:pPr>
        <w:rPr>
          <w:lang w:eastAsia="en-US"/>
        </w:rPr>
      </w:pPr>
      <w:r>
        <w:rPr>
          <w:lang w:eastAsia="en-US"/>
        </w:rPr>
        <w:t>CAG (sub. 9) states that the Code has ‘proved to be completely ineffective as a means of dealing with statutory licensee concerns’ and the Code review process is ‘totally inadequate for undertaking a root-and-branch review of the kind that in our view is warranted.’</w:t>
      </w:r>
      <w:r>
        <w:rPr>
          <w:rStyle w:val="EndnoteReference"/>
          <w:lang w:eastAsia="en-US"/>
        </w:rPr>
        <w:endnoteReference w:id="121"/>
      </w:r>
      <w:r>
        <w:rPr>
          <w:lang w:eastAsia="en-US"/>
        </w:rPr>
        <w:t xml:space="preserve"> CAG notes that its participation in the 2014 triennial review was a ‘failed’ attempt to have the Code Reviewer address their concerns about the lack of transparency with regards to the distribution of statutory licensee revenue between classes of recipient.</w:t>
      </w:r>
      <w:r>
        <w:rPr>
          <w:rStyle w:val="EndnoteReference"/>
          <w:lang w:eastAsia="en-US"/>
        </w:rPr>
        <w:endnoteReference w:id="122"/>
      </w:r>
      <w:r>
        <w:rPr>
          <w:lang w:eastAsia="en-US"/>
        </w:rPr>
        <w:t xml:space="preserve"> In its view, the fact that the Code Reviewer felt that he was unable to recommend the amendments sought by CAG and the State of NSW ‘highlights the lack of sufficient oversight created by the Code framework.’</w:t>
      </w:r>
      <w:r>
        <w:rPr>
          <w:rStyle w:val="EndnoteReference"/>
          <w:lang w:eastAsia="en-US"/>
        </w:rPr>
        <w:endnoteReference w:id="123"/>
      </w:r>
    </w:p>
    <w:p w14:paraId="5A4D5354" w14:textId="77777777" w:rsidR="007E7021" w:rsidRDefault="007E7021" w:rsidP="007E7021">
      <w:pPr>
        <w:rPr>
          <w:lang w:eastAsia="en-US"/>
        </w:rPr>
      </w:pPr>
      <w:r>
        <w:rPr>
          <w:lang w:eastAsia="en-US"/>
        </w:rPr>
        <w:t>Although the Code was amended to require the declared collecting societies to include additional information in their annual reports regarding the collection and distribution of licence fees, CAG advised that it was not informed about this amendment to the Code and only learned of it from the Department’s discussion paper for this review. CAG is concerned that there is ‘nothing to compel the collecting societies to consult with licensees regarding this change’ to the Code, or to otherwise inform licensees after the change was made to the Code</w:t>
      </w:r>
      <w:r>
        <w:rPr>
          <w:rStyle w:val="EndnoteReference"/>
          <w:lang w:eastAsia="en-US"/>
        </w:rPr>
        <w:endnoteReference w:id="124"/>
      </w:r>
      <w:r>
        <w:rPr>
          <w:lang w:eastAsia="en-US"/>
        </w:rPr>
        <w:t>.</w:t>
      </w:r>
    </w:p>
    <w:p w14:paraId="6382AB35" w14:textId="77777777" w:rsidR="007E7021" w:rsidRDefault="007E7021" w:rsidP="007E7021">
      <w:pPr>
        <w:rPr>
          <w:lang w:eastAsia="en-US"/>
        </w:rPr>
      </w:pPr>
      <w:r>
        <w:rPr>
          <w:lang w:eastAsia="en-US"/>
        </w:rPr>
        <w:t>Free TV Australia (sub. 13) is also concerned that the Code can be changed by the participating collecting societies ‘without consultation or input from members or licensees, or consideration by the Code Reviewer.’ It suggests that licensees should be consulted in the Code review process as the Code should ‘protect the interests of licensees in circumstances where collecting societies can wield substantial market power in negotiating blanket licences that licensees sometimes have no other choice but to enter into for essential business inputs’.</w:t>
      </w:r>
    </w:p>
    <w:p w14:paraId="26EF0D76" w14:textId="77777777" w:rsidR="007E7021" w:rsidRDefault="007E7021" w:rsidP="007E7021">
      <w:pPr>
        <w:rPr>
          <w:lang w:eastAsia="en-US"/>
        </w:rPr>
      </w:pPr>
      <w:r>
        <w:rPr>
          <w:lang w:eastAsia="en-US"/>
        </w:rPr>
        <w:t>Those stakeholders who may be impacted by proposed amendments to the Code should have the opportunity to express any reservations about an amendment prior to it being incorporated into the Code. They should also be informed promptly after an amendment has been adopted into the Code and advised on the extent to which such amendment may affect their relationships with the collecting societies bound by the Code.</w:t>
      </w:r>
    </w:p>
    <w:p w14:paraId="3BE42F59" w14:textId="48EA3887" w:rsidR="007E7021" w:rsidRDefault="007E7021" w:rsidP="007E7021">
      <w:pPr>
        <w:pBdr>
          <w:top w:val="single" w:sz="4" w:space="1" w:color="auto"/>
          <w:left w:val="single" w:sz="4" w:space="4" w:color="auto"/>
          <w:bottom w:val="single" w:sz="4" w:space="1" w:color="auto"/>
          <w:right w:val="single" w:sz="4" w:space="4" w:color="auto"/>
        </w:pBdr>
        <w:shd w:val="clear" w:color="auto" w:fill="D6F2FA"/>
        <w:rPr>
          <w:lang w:eastAsia="en-US"/>
        </w:rPr>
      </w:pPr>
      <w:r w:rsidRPr="00A4127A">
        <w:rPr>
          <w:b/>
        </w:rPr>
        <w:t xml:space="preserve">Draft </w:t>
      </w:r>
      <w:r>
        <w:rPr>
          <w:b/>
        </w:rPr>
        <w:t>f</w:t>
      </w:r>
      <w:r w:rsidRPr="00A4127A">
        <w:rPr>
          <w:b/>
        </w:rPr>
        <w:t xml:space="preserve">inding </w:t>
      </w:r>
      <w:r>
        <w:rPr>
          <w:b/>
        </w:rPr>
        <w:t>13</w:t>
      </w:r>
      <w:r w:rsidRPr="00A4127A">
        <w:rPr>
          <w:b/>
        </w:rPr>
        <w:t>:</w:t>
      </w:r>
      <w:r>
        <w:t xml:space="preserve"> Collecting societies should consult with affected stakeholders when considering amendments to the Code, </w:t>
      </w:r>
      <w:r w:rsidRPr="00CF4811">
        <w:t xml:space="preserve">to ensure confidence in </w:t>
      </w:r>
      <w:r w:rsidR="005E355D">
        <w:t xml:space="preserve">the </w:t>
      </w:r>
      <w:r w:rsidRPr="00CF4811">
        <w:t>review system.</w:t>
      </w:r>
    </w:p>
    <w:p w14:paraId="3BF94E1C"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sidRPr="00001B30">
        <w:rPr>
          <w:b/>
        </w:rPr>
        <w:t>Draft recommendation</w:t>
      </w:r>
      <w:r>
        <w:rPr>
          <w:b/>
        </w:rPr>
        <w:t xml:space="preserve"> 18</w:t>
      </w:r>
      <w:r w:rsidRPr="00001B30">
        <w:t xml:space="preserve">: </w:t>
      </w:r>
      <w:r w:rsidRPr="0034728F">
        <w:t xml:space="preserve">Amend </w:t>
      </w:r>
      <w:r w:rsidRPr="007D4377">
        <w:t xml:space="preserve">the </w:t>
      </w:r>
      <w:r w:rsidRPr="0034728F">
        <w:t xml:space="preserve">Code to </w:t>
      </w:r>
      <w:r w:rsidRPr="007D4377">
        <w:t>specify</w:t>
      </w:r>
      <w:r w:rsidRPr="0034728F">
        <w:t xml:space="preserve"> that</w:t>
      </w:r>
      <w:r w:rsidRPr="007D4377">
        <w:t>, in circumstances where the collecting societies wish to make an amendment to the Code absent a specific recommendation made pursuant to the triennial review process, such</w:t>
      </w:r>
      <w:r w:rsidRPr="0034728F">
        <w:t xml:space="preserve"> amendments </w:t>
      </w:r>
      <w:r w:rsidRPr="007D4377">
        <w:t xml:space="preserve">are to </w:t>
      </w:r>
      <w:r w:rsidRPr="0034728F">
        <w:t xml:space="preserve">be </w:t>
      </w:r>
      <w:r w:rsidRPr="007D4377">
        <w:t>made</w:t>
      </w:r>
      <w:r w:rsidRPr="0034728F">
        <w:t xml:space="preserve"> in a transparent manner and subject to consultation with licensees and members.</w:t>
      </w:r>
    </w:p>
    <w:p w14:paraId="66366DC6" w14:textId="27A61106" w:rsidR="007E7021" w:rsidRDefault="007E7021" w:rsidP="007E7021">
      <w:pPr>
        <w:pStyle w:val="Heading4"/>
      </w:pPr>
      <w:bookmarkStart w:id="215" w:name="_Toc499558591"/>
      <w:bookmarkStart w:id="216" w:name="_Toc499823235"/>
      <w:bookmarkStart w:id="217" w:name="_Toc501010974"/>
      <w:bookmarkStart w:id="218" w:name="_Toc504393020"/>
      <w:bookmarkStart w:id="219" w:name="_Toc506373276"/>
      <w:r>
        <w:t>Improving the integrity of the</w:t>
      </w:r>
      <w:r w:rsidR="0053757F">
        <w:t xml:space="preserve"> annual and triennial</w:t>
      </w:r>
      <w:r>
        <w:t xml:space="preserve"> </w:t>
      </w:r>
      <w:r w:rsidR="0053757F">
        <w:t xml:space="preserve">Code </w:t>
      </w:r>
      <w:r>
        <w:t>review process</w:t>
      </w:r>
      <w:bookmarkEnd w:id="215"/>
      <w:bookmarkEnd w:id="216"/>
      <w:bookmarkEnd w:id="217"/>
      <w:r w:rsidR="0053757F">
        <w:t>es</w:t>
      </w:r>
      <w:bookmarkEnd w:id="218"/>
      <w:bookmarkEnd w:id="219"/>
    </w:p>
    <w:p w14:paraId="30B0748E" w14:textId="77777777" w:rsidR="007E7021" w:rsidRDefault="007E7021" w:rsidP="007E7021">
      <w:pPr>
        <w:rPr>
          <w:lang w:eastAsia="en-US"/>
        </w:rPr>
      </w:pPr>
      <w:r>
        <w:rPr>
          <w:lang w:eastAsia="en-US"/>
        </w:rPr>
        <w:t>The collecting societies bound by the Code have consistently expressed satisfaction with the function of the Code Reviewer. Screenrights (sub. 23) disputed the suggestion that either the current or former Code Reviewer was vulnerable to regulatory capture, noting ‘that the very high standing and experience of the Code Reviewers as former Copyright Tribunal Presidents and Judges of the Federal Court of Australia minimises the likelihood of their impartiality being compromised.’</w:t>
      </w:r>
      <w:r>
        <w:rPr>
          <w:rStyle w:val="EndnoteReference"/>
          <w:lang w:eastAsia="en-US"/>
        </w:rPr>
        <w:endnoteReference w:id="125"/>
      </w:r>
      <w:r>
        <w:rPr>
          <w:lang w:eastAsia="en-US"/>
        </w:rPr>
        <w:t xml:space="preserve"> Similarly, ASDACS (sub. 7) submitted that it ‘is confident that the current Code Reviewer has the qualifications in assuring the compliance of the copyright collecting societies, as well as raising any concerns around the power that he has to implement further change’.</w:t>
      </w:r>
    </w:p>
    <w:p w14:paraId="0D4FA911" w14:textId="626DFDDA" w:rsidR="007E7021" w:rsidRDefault="007E7021" w:rsidP="007E7021">
      <w:pPr>
        <w:rPr>
          <w:lang w:eastAsia="en-US"/>
        </w:rPr>
      </w:pPr>
      <w:r>
        <w:rPr>
          <w:lang w:eastAsia="en-US"/>
        </w:rPr>
        <w:t>However, the Australian Digital Alliance (sub. 5) is critical of the Code’s current review processes as it ‘does not incorporate sufficient measures for effective oversight including… independent mechanisms for external review and amendment’</w:t>
      </w:r>
      <w:r>
        <w:rPr>
          <w:rStyle w:val="EndnoteReference"/>
          <w:lang w:eastAsia="en-US"/>
        </w:rPr>
        <w:endnoteReference w:id="126"/>
      </w:r>
      <w:r>
        <w:rPr>
          <w:lang w:eastAsia="en-US"/>
        </w:rPr>
        <w:t>.</w:t>
      </w:r>
    </w:p>
    <w:p w14:paraId="4415AD7E" w14:textId="77777777" w:rsidR="007E7021" w:rsidRDefault="007E7021" w:rsidP="007E7021">
      <w:pPr>
        <w:rPr>
          <w:lang w:eastAsia="en-US"/>
        </w:rPr>
      </w:pPr>
      <w:r>
        <w:rPr>
          <w:lang w:eastAsia="en-US"/>
        </w:rPr>
        <w:t>Free TV Australia (sub. 13) notes that the Code Reviewer is ‘appointed and paid for by the collecting societies, and reappointment is at their absolute discretion’, and whilst Free TV does not suggest there has been ‘any lack of independence of Code Reviewers, it would increase confidence in the operation of the Code if stronger guarantees of independence were incorporated in the process in relation to appointment and re-appointment’</w:t>
      </w:r>
      <w:r>
        <w:rPr>
          <w:rStyle w:val="EndnoteReference"/>
          <w:lang w:eastAsia="en-US"/>
        </w:rPr>
        <w:endnoteReference w:id="127"/>
      </w:r>
      <w:r>
        <w:rPr>
          <w:lang w:eastAsia="en-US"/>
        </w:rPr>
        <w:t>.</w:t>
      </w:r>
    </w:p>
    <w:p w14:paraId="0EAD9D15" w14:textId="77777777" w:rsidR="007E7021" w:rsidRDefault="007E7021" w:rsidP="007E7021">
      <w:r>
        <w:t>Accordingly, there is no evidence to suggest that either the current Code Reviewer or his predecessor lack in qualifications, experience or independence. As retired Federal Court judges and former Presidents of the Copyright Tribunal, the Code Reviewers have demonstrated impeccable records for independence, impartiality and professionalism.</w:t>
      </w:r>
    </w:p>
    <w:p w14:paraId="356FEE18" w14:textId="77777777" w:rsidR="007E7021" w:rsidRDefault="007E7021" w:rsidP="007E7021">
      <w:r>
        <w:t>There are some efficiencies in having one person undertake both the annual review of compliance with the Code and the triennial reviews of the operation of the Code itself. Some of the recommendations made by the Code Reviewer in the triennial review process are the result of his detailed understanding of the practical issues faced by the collecting societies in complying with the Code, particularly in regard to recommendations that deal with those provisions of the Code relating to complaints handling and dispute resolution procedures.</w:t>
      </w:r>
    </w:p>
    <w:p w14:paraId="220DE2CA" w14:textId="77777777" w:rsidR="007E7021" w:rsidRDefault="007E7021" w:rsidP="007E7021">
      <w:r>
        <w:t>However, the lack of separation between the annual and triennial review process could undermine confidence in the Code. While there has been no observed partiality in how either review is undertaken, the separation of the reviews would minimise the potential for outcomes from the triennial review to be seen to reinforce those from the annual reviews. It could also afford the potential for a fresh perspective on the findings from the annual reviews.</w:t>
      </w:r>
    </w:p>
    <w:p w14:paraId="09C23195" w14:textId="4123E732" w:rsidR="007E7021" w:rsidRDefault="007E7021" w:rsidP="007E7021">
      <w:r>
        <w:t>Therefore the Code should be amended to separate the</w:t>
      </w:r>
      <w:r w:rsidR="0053757F">
        <w:t xml:space="preserve"> administration of</w:t>
      </w:r>
      <w:r>
        <w:t xml:space="preserve"> </w:t>
      </w:r>
      <w:r w:rsidR="0053757F">
        <w:t xml:space="preserve">the </w:t>
      </w:r>
      <w:r>
        <w:t>annual</w:t>
      </w:r>
      <w:r w:rsidR="0053757F">
        <w:t xml:space="preserve"> review</w:t>
      </w:r>
      <w:r>
        <w:t xml:space="preserve"> </w:t>
      </w:r>
      <w:r w:rsidR="0053757F">
        <w:t xml:space="preserve">of collecting societies’ compliance with the Code </w:t>
      </w:r>
      <w:r>
        <w:t>from the triennial review</w:t>
      </w:r>
      <w:r w:rsidR="0053757F">
        <w:t xml:space="preserve"> of the operation of the Code itself</w:t>
      </w:r>
      <w:r>
        <w:t>.</w:t>
      </w:r>
    </w:p>
    <w:p w14:paraId="79F4DE91" w14:textId="5542043D" w:rsidR="007E7021" w:rsidRDefault="007E7021" w:rsidP="007E7021">
      <w:r>
        <w:t xml:space="preserve">There remains the question of how the review framework is </w:t>
      </w:r>
      <w:r w:rsidR="002E7D11">
        <w:t>updated</w:t>
      </w:r>
      <w:r>
        <w:t>, and which party or parties have the appropriate qualifications, independence and experience to take on the role of the triennial review process. It may also be appropriate to consider whether key stakeholder groups such as member associations, licensee associations and large statutory licensee bodies should be represented on any such panel or committee.</w:t>
      </w:r>
    </w:p>
    <w:p w14:paraId="420B5EC8" w14:textId="77777777" w:rsidR="007E7021" w:rsidRDefault="007E7021" w:rsidP="007E7021">
      <w:pPr>
        <w:keepNext/>
        <w:pBdr>
          <w:top w:val="single" w:sz="4" w:space="1" w:color="auto"/>
          <w:left w:val="single" w:sz="4" w:space="4" w:color="auto"/>
          <w:bottom w:val="single" w:sz="4" w:space="1" w:color="auto"/>
          <w:right w:val="single" w:sz="4" w:space="4" w:color="auto"/>
        </w:pBdr>
        <w:shd w:val="clear" w:color="auto" w:fill="D6F2FA"/>
      </w:pPr>
      <w:r w:rsidRPr="00A4127A">
        <w:rPr>
          <w:b/>
        </w:rPr>
        <w:t xml:space="preserve">Draft </w:t>
      </w:r>
      <w:r>
        <w:rPr>
          <w:b/>
        </w:rPr>
        <w:t>f</w:t>
      </w:r>
      <w:r w:rsidRPr="00A4127A">
        <w:rPr>
          <w:b/>
        </w:rPr>
        <w:t xml:space="preserve">inding </w:t>
      </w:r>
      <w:r>
        <w:rPr>
          <w:b/>
        </w:rPr>
        <w:t>14</w:t>
      </w:r>
      <w:r w:rsidRPr="00A4127A">
        <w:rPr>
          <w:b/>
        </w:rPr>
        <w:t>:</w:t>
      </w:r>
    </w:p>
    <w:p w14:paraId="493FED1B"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t>The annual r</w:t>
      </w:r>
      <w:r w:rsidRPr="00C362FA">
        <w:t>eview of</w:t>
      </w:r>
      <w:r>
        <w:t xml:space="preserve"> collecting societies’</w:t>
      </w:r>
      <w:r w:rsidRPr="00C362FA">
        <w:t xml:space="preserve"> compliance with the Code and the triennial review </w:t>
      </w:r>
      <w:r>
        <w:t xml:space="preserve">of the operation of the Code itself </w:t>
      </w:r>
      <w:r w:rsidRPr="00C362FA">
        <w:t>should be conducted by separate parties.</w:t>
      </w:r>
    </w:p>
    <w:p w14:paraId="34780578" w14:textId="77777777" w:rsidR="007E7021" w:rsidRDefault="007E7021" w:rsidP="007E7021">
      <w:pPr>
        <w:keepNext/>
        <w:keepLines/>
        <w:pBdr>
          <w:top w:val="single" w:sz="4" w:space="1" w:color="auto"/>
          <w:left w:val="single" w:sz="4" w:space="4" w:color="auto"/>
          <w:bottom w:val="single" w:sz="4" w:space="1" w:color="auto"/>
          <w:right w:val="single" w:sz="4" w:space="4" w:color="auto"/>
        </w:pBdr>
        <w:shd w:val="clear" w:color="auto" w:fill="D6F2FA"/>
      </w:pPr>
      <w:r w:rsidRPr="00682642">
        <w:rPr>
          <w:b/>
        </w:rPr>
        <w:t>Draft recommendation 19</w:t>
      </w:r>
      <w:r>
        <w:t>:</w:t>
      </w:r>
    </w:p>
    <w:p w14:paraId="7B768C34" w14:textId="77777777" w:rsidR="007E7021" w:rsidRPr="00E6245B" w:rsidRDefault="007E7021" w:rsidP="007E7021">
      <w:pPr>
        <w:keepLines/>
        <w:pBdr>
          <w:top w:val="single" w:sz="4" w:space="1" w:color="auto"/>
          <w:left w:val="single" w:sz="4" w:space="4" w:color="auto"/>
          <w:bottom w:val="single" w:sz="4" w:space="1" w:color="auto"/>
          <w:right w:val="single" w:sz="4" w:space="4" w:color="auto"/>
        </w:pBdr>
        <w:shd w:val="clear" w:color="auto" w:fill="D6F2FA"/>
      </w:pPr>
      <w:r>
        <w:t xml:space="preserve">The </w:t>
      </w:r>
      <w:r w:rsidRPr="007D4377">
        <w:t>Code should be amended</w:t>
      </w:r>
      <w:r>
        <w:t xml:space="preserve"> </w:t>
      </w:r>
      <w:r w:rsidRPr="007D4377">
        <w:t xml:space="preserve">to separate the administration of the annual review of compliance by collecting societies with the Code from the triennial review of the operation of the Code itself. </w:t>
      </w:r>
      <w:r>
        <w:t>The a</w:t>
      </w:r>
      <w:r w:rsidRPr="007D4377">
        <w:t xml:space="preserve">nnual review would remain with Code Reviewer, but </w:t>
      </w:r>
      <w:r>
        <w:t xml:space="preserve">the </w:t>
      </w:r>
      <w:r w:rsidRPr="007D4377">
        <w:t>triennial review</w:t>
      </w:r>
      <w:r>
        <w:t xml:space="preserve"> would be</w:t>
      </w:r>
      <w:r w:rsidRPr="007D4377">
        <w:t xml:space="preserve"> conducted by </w:t>
      </w:r>
      <w:r>
        <w:t xml:space="preserve">a </w:t>
      </w:r>
      <w:r w:rsidRPr="007D4377">
        <w:t>separate independent body/expert. An advisory body could be set up for the review with representatives from a range of stakeholders.</w:t>
      </w:r>
    </w:p>
    <w:p w14:paraId="0DEDAF43" w14:textId="77777777" w:rsidR="007E7021" w:rsidRDefault="007E7021" w:rsidP="007E7021">
      <w:pPr>
        <w:pStyle w:val="Heading3"/>
      </w:pPr>
      <w:bookmarkStart w:id="220" w:name="_Toc499558592"/>
      <w:bookmarkStart w:id="221" w:name="_Toc499823236"/>
      <w:bookmarkStart w:id="222" w:name="_Toc501010975"/>
      <w:bookmarkStart w:id="223" w:name="_Toc504393021"/>
      <w:bookmarkStart w:id="224" w:name="_Toc506373277"/>
      <w:bookmarkStart w:id="225" w:name="_Toc497741768"/>
      <w:bookmarkStart w:id="226" w:name="_Toc497749270"/>
      <w:bookmarkStart w:id="227" w:name="_Toc497750855"/>
      <w:bookmarkStart w:id="228" w:name="_Toc497755212"/>
      <w:bookmarkStart w:id="229" w:name="_Toc498524211"/>
      <w:r>
        <w:t>Optimising the use of data</w:t>
      </w:r>
      <w:bookmarkEnd w:id="220"/>
      <w:bookmarkEnd w:id="221"/>
      <w:bookmarkEnd w:id="222"/>
      <w:bookmarkEnd w:id="223"/>
      <w:bookmarkEnd w:id="224"/>
    </w:p>
    <w:p w14:paraId="7269674B" w14:textId="196952BE" w:rsidR="007E7021" w:rsidRDefault="007E7021" w:rsidP="00897FD5">
      <w:pPr>
        <w:pStyle w:val="Bullet-tables"/>
        <w:numPr>
          <w:ilvl w:val="0"/>
          <w:numId w:val="0"/>
        </w:numPr>
      </w:pPr>
      <w:r>
        <w:t xml:space="preserve">Despite evolving technology and clear improvements in the ability to capture data that would support improved collecting society practices, concerns remain in areas where data should be able to help. This is despite evidence that some collecting societies are making their best endeavours to optimise their use of data to benefit members and licensees. Some concerns raised about the methodologies underpinning the calculation of licence fees, and the distribution of funds would be addressed where collecting societies were encouraged to better expose their use of data. This could also contribute to better data collection and management practices where such reporting </w:t>
      </w:r>
      <w:r w:rsidR="00BA2CAC">
        <w:t xml:space="preserve">fosters </w:t>
      </w:r>
      <w:r>
        <w:t>best practice.</w:t>
      </w:r>
    </w:p>
    <w:p w14:paraId="50AC8CCD" w14:textId="77777777" w:rsidR="007E7021" w:rsidRDefault="007E7021" w:rsidP="007E7021">
      <w:r>
        <w:t>Some stakeholders have flagged that new technologies are having a significant impact on the consumption and distribution of copyright materials, and on collecting societies and their stakeholders. It is clear from submissions to this review that some aspects to this impact are positive, others are not.</w:t>
      </w:r>
    </w:p>
    <w:p w14:paraId="06A26553" w14:textId="237FE1D8" w:rsidR="007E7021" w:rsidRPr="000B42F7" w:rsidRDefault="007E7021" w:rsidP="007E7021">
      <w:r>
        <w:t xml:space="preserve">Data can provide for better monitoring, streamlined transactions and administration. </w:t>
      </w:r>
      <w:r w:rsidR="00651C9C">
        <w:rPr>
          <w:lang w:eastAsia="en-US"/>
        </w:rPr>
        <w:t>Screenrights (sub. </w:t>
      </w:r>
      <w:r>
        <w:rPr>
          <w:lang w:eastAsia="en-US"/>
        </w:rPr>
        <w:t>23) noted that digitisation and internet-based delivery has improved the use of online resource centres in schools. In turn, Screenrights submits that this has voided the need for more costly and inconvenient means of collecting data such as through surveys.</w:t>
      </w:r>
      <w:r>
        <w:rPr>
          <w:rStyle w:val="EndnoteReference"/>
          <w:lang w:eastAsia="en-US"/>
        </w:rPr>
        <w:endnoteReference w:id="128"/>
      </w:r>
    </w:p>
    <w:p w14:paraId="1F15D441" w14:textId="77777777" w:rsidR="007E7021" w:rsidRDefault="007E7021" w:rsidP="00897FD5">
      <w:pPr>
        <w:pStyle w:val="Bullet-tables"/>
        <w:numPr>
          <w:ilvl w:val="0"/>
          <w:numId w:val="0"/>
        </w:numPr>
      </w:pPr>
      <w:r>
        <w:t>Australia’s copyright system continues to adapt to new digital processes and products. As technology and the broader media and communications environment evolves the ways in which copyright materials are produced, distributed, consumed and administered are also changing. These changes present both challenges and opportunities. In relation to potential opportunities, there is an important role for data to play in strengthening administration of copyright materials in Australia, and there is room for the Code to assist in facilitating this.</w:t>
      </w:r>
    </w:p>
    <w:p w14:paraId="78C78BD7" w14:textId="77777777" w:rsidR="005E355D" w:rsidRPr="009B7F75" w:rsidRDefault="005E355D" w:rsidP="00897FD5">
      <w:pPr>
        <w:pStyle w:val="Bullet-tables"/>
        <w:numPr>
          <w:ilvl w:val="0"/>
          <w:numId w:val="0"/>
        </w:numPr>
      </w:pPr>
    </w:p>
    <w:p w14:paraId="237C96CF" w14:textId="77777777" w:rsidR="007E7021" w:rsidRDefault="007E7021" w:rsidP="007E7021">
      <w:pPr>
        <w:pBdr>
          <w:top w:val="single" w:sz="4" w:space="1" w:color="auto"/>
          <w:left w:val="single" w:sz="4" w:space="4" w:color="auto"/>
          <w:bottom w:val="single" w:sz="4" w:space="1" w:color="auto"/>
          <w:right w:val="single" w:sz="4" w:space="4" w:color="auto"/>
        </w:pBdr>
        <w:shd w:val="clear" w:color="auto" w:fill="D6F2FA"/>
      </w:pPr>
      <w:r>
        <w:rPr>
          <w:b/>
        </w:rPr>
        <w:t>Draft r</w:t>
      </w:r>
      <w:r w:rsidRPr="009B7F75">
        <w:rPr>
          <w:b/>
        </w:rPr>
        <w:t>ecommendation</w:t>
      </w:r>
      <w:r>
        <w:rPr>
          <w:b/>
        </w:rPr>
        <w:t xml:space="preserve"> 20</w:t>
      </w:r>
      <w:r>
        <w:t>:</w:t>
      </w:r>
    </w:p>
    <w:p w14:paraId="7DB24AD4" w14:textId="60A98315" w:rsidR="007E7021" w:rsidRDefault="007E7021" w:rsidP="007E7021">
      <w:pPr>
        <w:pBdr>
          <w:top w:val="single" w:sz="4" w:space="1" w:color="auto"/>
          <w:left w:val="single" w:sz="4" w:space="4" w:color="auto"/>
          <w:bottom w:val="single" w:sz="4" w:space="1" w:color="auto"/>
          <w:right w:val="single" w:sz="4" w:space="4" w:color="auto"/>
        </w:pBdr>
        <w:shd w:val="clear" w:color="auto" w:fill="D6F2FA"/>
        <w:rPr>
          <w:lang w:eastAsia="en-US"/>
        </w:rPr>
      </w:pPr>
      <w:r>
        <w:t xml:space="preserve">Amend </w:t>
      </w:r>
      <w:r w:rsidRPr="007D4377">
        <w:t>the Code to require collecting societies to provide information to the Code Reviewer on steps taken to improve the capture and exploitation of data to achieve better business practices, to be assessed in the Code Reviewer</w:t>
      </w:r>
      <w:r w:rsidR="00E46B7E">
        <w:t>’</w:t>
      </w:r>
      <w:r w:rsidRPr="007D4377">
        <w:t>s annual report on compliance with the Code by the collecting societies.</w:t>
      </w:r>
    </w:p>
    <w:p w14:paraId="3BED99BB" w14:textId="77777777" w:rsidR="007E7021" w:rsidRDefault="007E7021" w:rsidP="007E7021">
      <w:pPr>
        <w:pStyle w:val="Heading3"/>
      </w:pPr>
      <w:bookmarkStart w:id="230" w:name="_Toc499558594"/>
      <w:bookmarkStart w:id="231" w:name="_Toc499823238"/>
      <w:bookmarkStart w:id="232" w:name="_Toc501010976"/>
      <w:bookmarkStart w:id="233" w:name="_Toc504393022"/>
      <w:bookmarkStart w:id="234" w:name="_Toc506373278"/>
      <w:r>
        <w:t>There is insufficient evidence that the Code should be mandatory</w:t>
      </w:r>
      <w:bookmarkEnd w:id="230"/>
      <w:bookmarkEnd w:id="231"/>
      <w:bookmarkEnd w:id="232"/>
      <w:bookmarkEnd w:id="233"/>
      <w:bookmarkEnd w:id="234"/>
    </w:p>
    <w:p w14:paraId="252F785F" w14:textId="77777777" w:rsidR="007E7021" w:rsidRDefault="007E7021" w:rsidP="007E7021">
      <w:pPr>
        <w:rPr>
          <w:lang w:eastAsia="en-US"/>
        </w:rPr>
      </w:pPr>
      <w:r>
        <w:rPr>
          <w:lang w:eastAsia="en-US"/>
        </w:rPr>
        <w:t>As part of its terms of reference, this review has considered whether the Code should continue to be purely voluntary in nature. Currently, the collecting societies to whom the Code applies are only bound to comply because they have voluntarily agreed to it, and any of them may decide to withdraw that agreement at any time.</w:t>
      </w:r>
    </w:p>
    <w:p w14:paraId="29299B65" w14:textId="77777777" w:rsidR="007E7021" w:rsidRDefault="007E7021" w:rsidP="007E7021">
      <w:pPr>
        <w:rPr>
          <w:lang w:eastAsia="en-US"/>
        </w:rPr>
      </w:pPr>
      <w:r>
        <w:rPr>
          <w:lang w:eastAsia="en-US"/>
        </w:rPr>
        <w:t>The Code does not specify anything beyond stating that the Code applies ‘to those Collecting Societies that have agreed to be bound by the Code’. The Code does not identify which of the collecting societies are currently bound by the Code, nor does specify a process for a collecting society to cease its agreement to be bound by the Code. Presumably, a collecting society can withdraw its consent to be bound by the Code, and such a decision would mean the provisions of the Code would immediately cease to apply to them.</w:t>
      </w:r>
    </w:p>
    <w:p w14:paraId="3C3B4516" w14:textId="6A006443" w:rsidR="007E7021" w:rsidRDefault="007E7021" w:rsidP="007E7021">
      <w:pPr>
        <w:rPr>
          <w:lang w:eastAsia="en-US"/>
        </w:rPr>
      </w:pPr>
      <w:r>
        <w:rPr>
          <w:lang w:eastAsia="en-US"/>
        </w:rPr>
        <w:t xml:space="preserve">Self-regulation </w:t>
      </w:r>
      <w:r w:rsidR="00BA2CAC">
        <w:rPr>
          <w:lang w:eastAsia="en-US"/>
        </w:rPr>
        <w:t xml:space="preserve">of this nature </w:t>
      </w:r>
      <w:r>
        <w:rPr>
          <w:lang w:eastAsia="en-US"/>
        </w:rPr>
        <w:t>encourages a cooperative resolution to issues of concern to stakeholders, while avoiding the high costs typically associated with making and maintaining legislation.</w:t>
      </w:r>
      <w:r>
        <w:rPr>
          <w:rStyle w:val="EndnoteReference"/>
          <w:lang w:eastAsia="en-US"/>
        </w:rPr>
        <w:endnoteReference w:id="129"/>
      </w:r>
      <w:r>
        <w:rPr>
          <w:lang w:eastAsia="en-US"/>
        </w:rPr>
        <w:t xml:space="preserve"> Other potential advantages of self-regulation include flexibility to respond to changes in the environment, and tailoring solutions to specific conditions and challenges of the particular industry.</w:t>
      </w:r>
    </w:p>
    <w:p w14:paraId="48D63D33" w14:textId="77777777" w:rsidR="007E7021" w:rsidRDefault="007E7021" w:rsidP="007E7021">
      <w:pPr>
        <w:rPr>
          <w:lang w:eastAsia="en-US"/>
        </w:rPr>
      </w:pPr>
      <w:r>
        <w:rPr>
          <w:lang w:eastAsia="en-US"/>
        </w:rPr>
        <w:t>While voluntary codes of conduct allow industry members to opt-in, mandatory codes, by contrast, provide a minimum standard that all participants in the industry must adhere to.</w:t>
      </w:r>
      <w:r>
        <w:rPr>
          <w:rStyle w:val="EndnoteReference"/>
          <w:lang w:eastAsia="en-US"/>
        </w:rPr>
        <w:endnoteReference w:id="130"/>
      </w:r>
      <w:r>
        <w:rPr>
          <w:lang w:eastAsia="en-US"/>
        </w:rPr>
        <w:t xml:space="preserve"> These are prescribed as regulation, for example, under Commonwealth or state and territory fair trading laws, and are able to be enforced by a regulator.</w:t>
      </w:r>
      <w:r>
        <w:rPr>
          <w:rStyle w:val="EndnoteReference"/>
          <w:lang w:eastAsia="en-US"/>
        </w:rPr>
        <w:endnoteReference w:id="131"/>
      </w:r>
    </w:p>
    <w:p w14:paraId="5DF6B00E" w14:textId="77777777" w:rsidR="007E7021" w:rsidRPr="008B1624" w:rsidRDefault="007E7021" w:rsidP="007E7021">
      <w:pPr>
        <w:rPr>
          <w:lang w:eastAsia="en-US"/>
        </w:rPr>
      </w:pPr>
      <w:r w:rsidRPr="008B1624">
        <w:rPr>
          <w:lang w:eastAsia="en-US"/>
        </w:rPr>
        <w:t>In 2000, the Government left open the prospect of prescribing a mandatory code for collecting societies if, for example, copyright users or members were to become dissatisfied with the Code or its operation.</w:t>
      </w:r>
      <w:r w:rsidRPr="008B1624">
        <w:rPr>
          <w:vertAlign w:val="superscript"/>
          <w:lang w:eastAsia="en-US"/>
        </w:rPr>
        <w:endnoteReference w:id="132"/>
      </w:r>
      <w:r w:rsidRPr="008B1624">
        <w:rPr>
          <w:lang w:eastAsia="en-US"/>
        </w:rPr>
        <w:t xml:space="preserve"> The P</w:t>
      </w:r>
      <w:r>
        <w:rPr>
          <w:lang w:eastAsia="en-US"/>
        </w:rPr>
        <w:t xml:space="preserve">roductivity </w:t>
      </w:r>
      <w:r w:rsidRPr="008B1624">
        <w:rPr>
          <w:lang w:eastAsia="en-US"/>
        </w:rPr>
        <w:t>C</w:t>
      </w:r>
      <w:r>
        <w:rPr>
          <w:lang w:eastAsia="en-US"/>
        </w:rPr>
        <w:t>ommission</w:t>
      </w:r>
      <w:r w:rsidRPr="008B1624">
        <w:rPr>
          <w:lang w:eastAsia="en-US"/>
        </w:rPr>
        <w:t xml:space="preserve"> has raised the possibility that the Code be made mandatory for all collecting societies.</w:t>
      </w:r>
      <w:r w:rsidRPr="008B1624">
        <w:rPr>
          <w:vertAlign w:val="superscript"/>
          <w:lang w:eastAsia="en-US"/>
        </w:rPr>
        <w:endnoteReference w:id="133"/>
      </w:r>
    </w:p>
    <w:p w14:paraId="5BCD03D1" w14:textId="4EDDE50B" w:rsidR="007E7021" w:rsidRDefault="007E7021" w:rsidP="007E7021">
      <w:pPr>
        <w:rPr>
          <w:lang w:eastAsia="en-US"/>
        </w:rPr>
      </w:pPr>
      <w:r w:rsidRPr="008B1624">
        <w:rPr>
          <w:lang w:eastAsia="en-US"/>
        </w:rPr>
        <w:t xml:space="preserve">For a code of conduct to be prescribed under the </w:t>
      </w:r>
      <w:r w:rsidRPr="008B1624">
        <w:rPr>
          <w:i/>
          <w:lang w:eastAsia="en-US"/>
        </w:rPr>
        <w:t>Competition and Consumer Act 2010</w:t>
      </w:r>
      <w:r w:rsidRPr="008B1624">
        <w:rPr>
          <w:lang w:eastAsia="en-US"/>
        </w:rPr>
        <w:t xml:space="preserve"> (Cth), the Government must first be satisfied that there are clearly defined issues that the industry is either unable or unwilling to address.</w:t>
      </w:r>
      <w:r w:rsidRPr="008B1624">
        <w:rPr>
          <w:vertAlign w:val="superscript"/>
          <w:lang w:eastAsia="en-US"/>
        </w:rPr>
        <w:endnoteReference w:id="134"/>
      </w:r>
      <w:r>
        <w:rPr>
          <w:lang w:eastAsia="en-US"/>
        </w:rPr>
        <w:t xml:space="preserve"> Both voluntary and mandatory codes may be prescribed under section 51AE of the </w:t>
      </w:r>
      <w:r w:rsidR="00BA2CAC">
        <w:rPr>
          <w:lang w:eastAsia="en-US"/>
        </w:rPr>
        <w:t xml:space="preserve">Competition and Consumer Act </w:t>
      </w:r>
      <w:r>
        <w:rPr>
          <w:lang w:eastAsia="en-US"/>
        </w:rPr>
        <w:t>and therefore become enforceable by the ACCC under that Act.</w:t>
      </w:r>
    </w:p>
    <w:p w14:paraId="631856FE" w14:textId="77777777" w:rsidR="007E7021" w:rsidRDefault="007E7021" w:rsidP="007E7021">
      <w:pPr>
        <w:rPr>
          <w:lang w:eastAsia="en-US"/>
        </w:rPr>
      </w:pPr>
      <w:r>
        <w:rPr>
          <w:lang w:eastAsia="en-US"/>
        </w:rPr>
        <w:t>The ACCC notes that the Government has made it clear that the Minister</w:t>
      </w:r>
      <w:r>
        <w:rPr>
          <w:rStyle w:val="EndnoteReference"/>
          <w:lang w:eastAsia="en-US"/>
        </w:rPr>
        <w:endnoteReference w:id="135"/>
      </w:r>
      <w:r>
        <w:rPr>
          <w:lang w:eastAsia="en-US"/>
        </w:rPr>
        <w:t xml:space="preserve"> will only consider initiating a proposal for prescription for a code of conduct if a range of factors are met, including:</w:t>
      </w:r>
    </w:p>
    <w:p w14:paraId="37CE47F5" w14:textId="77777777" w:rsidR="007E7021" w:rsidRDefault="007E7021" w:rsidP="00897FD5">
      <w:pPr>
        <w:pStyle w:val="Bulletpoint"/>
      </w:pPr>
      <w:r>
        <w:t>the code would remedy an identified market failure or promote a social policy objective</w:t>
      </w:r>
    </w:p>
    <w:p w14:paraId="7FAB5B3D" w14:textId="77777777" w:rsidR="007E7021" w:rsidRDefault="007E7021" w:rsidP="00897FD5">
      <w:pPr>
        <w:pStyle w:val="Bulletpoint"/>
      </w:pPr>
      <w:r>
        <w:t>there are significant and irremediable deficiencies in any existing self-regulatory regime—for example, the code scheme has inadequate industry coverage or the code itself fails to address industry problems, and</w:t>
      </w:r>
    </w:p>
    <w:p w14:paraId="6BD8402C" w14:textId="516A932A" w:rsidR="007E7021" w:rsidRDefault="007E7021" w:rsidP="00897FD5">
      <w:pPr>
        <w:pStyle w:val="Bulletpoint"/>
      </w:pPr>
      <w:r>
        <w:t>a systematic enforcement issue exists because there is a history of breaches of any voluntary industry codes</w:t>
      </w:r>
      <w:r w:rsidR="006478E5">
        <w:t>.</w:t>
      </w:r>
      <w:r>
        <w:rPr>
          <w:rStyle w:val="EndnoteReference"/>
        </w:rPr>
        <w:endnoteReference w:id="136"/>
      </w:r>
    </w:p>
    <w:p w14:paraId="6222D27E" w14:textId="77777777" w:rsidR="007E7021" w:rsidRDefault="007E7021" w:rsidP="007E7021">
      <w:pPr>
        <w:rPr>
          <w:lang w:eastAsia="en-US"/>
        </w:rPr>
      </w:pPr>
      <w:r>
        <w:rPr>
          <w:lang w:eastAsia="en-US"/>
        </w:rPr>
        <w:t>As outlined above, the Code already substantially addresses these factors. The eight largest collecting societies in Australia, representing the vast majority of collective rights management activity within Australia, are all signatories to the Code so it cannot be argued that the Code has inadequate industry coverage. As noted by the Code Reviewer on many occasions since its inception, the collecting societies have consistently demonstrated a high degree of compliance with the Code.</w:t>
      </w:r>
    </w:p>
    <w:p w14:paraId="6CF20503" w14:textId="77777777" w:rsidR="007E7021" w:rsidRDefault="007E7021" w:rsidP="007E7021">
      <w:pPr>
        <w:rPr>
          <w:lang w:eastAsia="en-US"/>
        </w:rPr>
      </w:pPr>
      <w:r>
        <w:rPr>
          <w:lang w:eastAsia="en-US"/>
        </w:rPr>
        <w:t>The ACCC notes the Government ‘will only consider prescribing a code of conduct under the CCA if it is not already underpinned in other federal legislation.’</w:t>
      </w:r>
      <w:r>
        <w:rPr>
          <w:rStyle w:val="EndnoteReference"/>
          <w:lang w:eastAsia="en-US"/>
        </w:rPr>
        <w:endnoteReference w:id="137"/>
      </w:r>
      <w:r>
        <w:rPr>
          <w:lang w:eastAsia="en-US"/>
        </w:rPr>
        <w:t xml:space="preserve"> Whilst the Code is not specifically referenced in any government legislation or regulation, Screenrights (sub. 23) has nevertheless submitted that ‘the </w:t>
      </w:r>
      <w:r w:rsidRPr="00E334D9">
        <w:rPr>
          <w:i/>
          <w:lang w:eastAsia="en-US"/>
        </w:rPr>
        <w:t>Copyright Act 1968</w:t>
      </w:r>
      <w:r>
        <w:rPr>
          <w:lang w:eastAsia="en-US"/>
        </w:rPr>
        <w:t>, the regulations made under it, and the jurisdiction created by it, suggest that the Societies’ voluntary Code of Conduct is not an obvious candidate for being prescribed’.</w:t>
      </w:r>
      <w:r>
        <w:rPr>
          <w:rStyle w:val="EndnoteReference"/>
          <w:lang w:eastAsia="en-US"/>
        </w:rPr>
        <w:endnoteReference w:id="138"/>
      </w:r>
    </w:p>
    <w:p w14:paraId="1BB72ABF" w14:textId="77777777" w:rsidR="007E7021" w:rsidRDefault="007E7021" w:rsidP="007E7021">
      <w:pPr>
        <w:rPr>
          <w:lang w:eastAsia="en-US"/>
        </w:rPr>
      </w:pPr>
      <w:r>
        <w:rPr>
          <w:lang w:eastAsia="en-US"/>
        </w:rPr>
        <w:t>In responding to this issue, the collecting societies have submitted that the Code should continue to be voluntary, and suggest that the case for prescribing the Code is not convincing. However, some participants called for the Code to be made mandatory (Australian Publishers Association (APA) sub. 6, Free TV Australia sub. 13).</w:t>
      </w:r>
    </w:p>
    <w:p w14:paraId="5CEF8F2B" w14:textId="77777777" w:rsidR="007E7021" w:rsidRDefault="007E7021" w:rsidP="007E7021">
      <w:pPr>
        <w:rPr>
          <w:lang w:eastAsia="en-US"/>
        </w:rPr>
      </w:pPr>
      <w:r>
        <w:rPr>
          <w:lang w:eastAsia="en-US"/>
        </w:rPr>
        <w:t>Free TV Australia is of the view the framework regulating collecting societies should be strengthened, and whilst they note that all key collecting societies have agreed to participate in the Code, ‘it would be preferable if participation was mandatory rather than voluntary’ and accordingly supports the introduction regulatory oversight and ‘a requirement to be bound by the Code’.</w:t>
      </w:r>
      <w:r>
        <w:rPr>
          <w:rStyle w:val="EndnoteReference"/>
          <w:lang w:eastAsia="en-US"/>
        </w:rPr>
        <w:endnoteReference w:id="139"/>
      </w:r>
    </w:p>
    <w:p w14:paraId="6D543DC9" w14:textId="77777777" w:rsidR="007E7021" w:rsidRDefault="007E7021" w:rsidP="007E7021">
      <w:pPr>
        <w:rPr>
          <w:lang w:eastAsia="en-US"/>
        </w:rPr>
      </w:pPr>
      <w:r>
        <w:rPr>
          <w:lang w:eastAsia="en-US"/>
        </w:rPr>
        <w:t>CAG (sub. 9) considered that the fact the Code is not mandatory is evidence of the failure of governance arrangements for collecting societies in Australia. CAG is supportive of any reform to make the ACCC responsible for the oversight of collecting societies.</w:t>
      </w:r>
    </w:p>
    <w:p w14:paraId="53D327B4" w14:textId="77777777" w:rsidR="007E7021" w:rsidRDefault="007E7021" w:rsidP="007E7021">
      <w:pPr>
        <w:rPr>
          <w:lang w:eastAsia="en-US"/>
        </w:rPr>
      </w:pPr>
      <w:r>
        <w:rPr>
          <w:lang w:eastAsia="en-US"/>
        </w:rPr>
        <w:t>Although it did not consider the Code should be mandatory, UA (sub. 24) called for the declared collecting societies to meet mandated transparency standards and obligations regarding the use of statutory funds, through guidelines issued by the Minister.</w:t>
      </w:r>
      <w:r>
        <w:rPr>
          <w:rStyle w:val="EndnoteReference"/>
          <w:lang w:eastAsia="en-US"/>
        </w:rPr>
        <w:endnoteReference w:id="140"/>
      </w:r>
      <w:r>
        <w:rPr>
          <w:lang w:eastAsia="en-US"/>
        </w:rPr>
        <w:t xml:space="preserve"> UA further submitted that the ACCC could be given responsibility for ensuring compliance with the suggested mandatory guidelines.</w:t>
      </w:r>
    </w:p>
    <w:p w14:paraId="66A6FC94" w14:textId="77777777" w:rsidR="007E7021" w:rsidRDefault="007E7021" w:rsidP="007E7021">
      <w:pPr>
        <w:rPr>
          <w:lang w:eastAsia="en-US"/>
        </w:rPr>
      </w:pPr>
      <w:r>
        <w:rPr>
          <w:lang w:eastAsia="en-US"/>
        </w:rPr>
        <w:t>The APA (sub. 6) submits that whilst there may be ‘a value in making the Code mandatory’ it should not be legislated as this would make the Code inflexible and difficult to amend which would be ‘contrary to the interests of rightsholders and licensees’.</w:t>
      </w:r>
      <w:r>
        <w:rPr>
          <w:rStyle w:val="EndnoteReference"/>
          <w:lang w:eastAsia="en-US"/>
        </w:rPr>
        <w:endnoteReference w:id="141"/>
      </w:r>
    </w:p>
    <w:p w14:paraId="2F34B1F4" w14:textId="624F9287" w:rsidR="007E7021" w:rsidRDefault="007E7021" w:rsidP="007E7021">
      <w:pPr>
        <w:rPr>
          <w:lang w:eastAsia="en-US"/>
        </w:rPr>
      </w:pPr>
      <w:r>
        <w:rPr>
          <w:lang w:eastAsia="en-US"/>
        </w:rPr>
        <w:t xml:space="preserve">Overall there is insufficient evidence that the current voluntary Code is failing to an extent that intervention is required in the form of prescription under s51AE of the </w:t>
      </w:r>
      <w:r w:rsidRPr="006D5474">
        <w:rPr>
          <w:i/>
          <w:lang w:eastAsia="en-US"/>
        </w:rPr>
        <w:t>Competition and Consumer Act</w:t>
      </w:r>
      <w:r>
        <w:rPr>
          <w:i/>
          <w:lang w:eastAsia="en-US"/>
        </w:rPr>
        <w:t> </w:t>
      </w:r>
      <w:r w:rsidRPr="006D5474">
        <w:rPr>
          <w:i/>
          <w:lang w:eastAsia="en-US"/>
        </w:rPr>
        <w:t>2010</w:t>
      </w:r>
      <w:r>
        <w:rPr>
          <w:lang w:eastAsia="en-US"/>
        </w:rPr>
        <w:t>.</w:t>
      </w:r>
    </w:p>
    <w:p w14:paraId="139B9E9B" w14:textId="77777777" w:rsidR="007E7021" w:rsidRDefault="007E7021" w:rsidP="007E7021">
      <w:pPr>
        <w:rPr>
          <w:lang w:eastAsia="en-US"/>
        </w:rPr>
      </w:pPr>
      <w:r>
        <w:rPr>
          <w:lang w:eastAsia="en-US"/>
        </w:rPr>
        <w:t>However, this review has identified a range of areas in which the Code could be strengthened to increase stakeholder awareness of the Code, improve transparency of governance and access of collecting societies for both members and licensees.</w:t>
      </w:r>
    </w:p>
    <w:p w14:paraId="5420664A" w14:textId="77777777" w:rsidR="007E7021" w:rsidRDefault="007E7021" w:rsidP="007E7021">
      <w:pPr>
        <w:rPr>
          <w:lang w:eastAsia="en-US"/>
        </w:rPr>
      </w:pPr>
      <w:r>
        <w:rPr>
          <w:lang w:eastAsia="en-US"/>
        </w:rPr>
        <w:t>If the Code is amended in accordance with the recommendations of this review, it may be appropriate to revisit the question of the Code’s effectiveness once the amendments are implemented and reflected in updates to the practices, policies and procedures of the collecting societies bound by the Code. This process could be undertaken in the first triennial review following this review, due in 2020, and could relevantly consider whether the Code should continue to be voluntary.</w:t>
      </w:r>
      <w:bookmarkEnd w:id="225"/>
      <w:bookmarkEnd w:id="226"/>
      <w:bookmarkEnd w:id="227"/>
      <w:bookmarkEnd w:id="228"/>
      <w:bookmarkEnd w:id="229"/>
    </w:p>
    <w:p w14:paraId="7A0117BF" w14:textId="77777777" w:rsidR="007E7021" w:rsidRDefault="007E7021" w:rsidP="007E7021">
      <w:pPr>
        <w:pStyle w:val="Heading2"/>
      </w:pPr>
      <w:bookmarkStart w:id="235" w:name="_Toc498613739"/>
      <w:bookmarkStart w:id="236" w:name="_Toc498682747"/>
      <w:bookmarkStart w:id="237" w:name="_Toc498682953"/>
      <w:bookmarkStart w:id="238" w:name="_Toc498695638"/>
      <w:bookmarkStart w:id="239" w:name="_Toc499302316"/>
      <w:bookmarkStart w:id="240" w:name="_Toc499558595"/>
      <w:bookmarkStart w:id="241" w:name="_Toc499823239"/>
      <w:bookmarkStart w:id="242" w:name="_Toc501010977"/>
      <w:bookmarkStart w:id="243" w:name="_Toc504393023"/>
      <w:bookmarkStart w:id="244" w:name="_Toc506373279"/>
      <w:r>
        <w:t>The Operations of the Declared Collecting Societies</w:t>
      </w:r>
      <w:bookmarkStart w:id="245" w:name="_Toc497741773"/>
      <w:bookmarkStart w:id="246" w:name="_Toc497749275"/>
      <w:bookmarkStart w:id="247" w:name="_Toc497750860"/>
      <w:bookmarkStart w:id="248" w:name="_Toc497755217"/>
      <w:bookmarkEnd w:id="235"/>
      <w:bookmarkEnd w:id="236"/>
      <w:bookmarkEnd w:id="237"/>
      <w:bookmarkEnd w:id="238"/>
      <w:bookmarkEnd w:id="239"/>
      <w:bookmarkEnd w:id="240"/>
      <w:bookmarkEnd w:id="241"/>
      <w:bookmarkEnd w:id="242"/>
      <w:bookmarkEnd w:id="243"/>
      <w:bookmarkEnd w:id="244"/>
    </w:p>
    <w:p w14:paraId="16F8E5B0" w14:textId="77777777" w:rsidR="007E7021" w:rsidRDefault="007E7021" w:rsidP="007E7021">
      <w:r>
        <w:t>As declared collecting societies under the Copyright Act, Copyright Agency and Screenrights are responsible for administering statutory licensing schemes under the Act.</w:t>
      </w:r>
      <w:r>
        <w:rPr>
          <w:rStyle w:val="EndnoteReference"/>
        </w:rPr>
        <w:endnoteReference w:id="142"/>
      </w:r>
    </w:p>
    <w:p w14:paraId="6590489B" w14:textId="77777777" w:rsidR="007E7021" w:rsidRDefault="007E7021" w:rsidP="007E7021">
      <w:r>
        <w:t xml:space="preserve">These schemes allow employees of specified institutions to communicate and reproduce any copyright protected works without the rightsholder’s prior approval. </w:t>
      </w:r>
      <w:r w:rsidRPr="000755CC">
        <w:t>Copyright Agency</w:t>
      </w:r>
      <w:r>
        <w:t xml:space="preserve"> administers statutory licences for the reproduction and communication of text and images, including digital content such as webpages, under Parts VB (covering employees of educational institutions such as schools, TAFE and universities) and VII Division 2 (covering employees of Commonwealth and state governments).</w:t>
      </w:r>
      <w:r>
        <w:rPr>
          <w:rStyle w:val="EndnoteReference"/>
        </w:rPr>
        <w:endnoteReference w:id="143"/>
      </w:r>
      <w:r>
        <w:t xml:space="preserve"> </w:t>
      </w:r>
      <w:r w:rsidRPr="000755CC">
        <w:t xml:space="preserve">Screenrights </w:t>
      </w:r>
      <w:r>
        <w:t>administers licences for the copying and communication of copyright material transmitted via broadcast, under Parts VA (education) and VII Division 2 (government).</w:t>
      </w:r>
      <w:r>
        <w:rPr>
          <w:rStyle w:val="EndnoteReference"/>
        </w:rPr>
        <w:endnoteReference w:id="144"/>
      </w:r>
    </w:p>
    <w:p w14:paraId="6B3E60EF" w14:textId="77777777" w:rsidR="007E7021" w:rsidRDefault="007E7021" w:rsidP="007E7021">
      <w:pPr>
        <w:rPr>
          <w:lang w:eastAsia="en-US"/>
        </w:rPr>
      </w:pPr>
      <w:r>
        <w:t>Some stakeholders have submitted that the</w:t>
      </w:r>
      <w:r>
        <w:rPr>
          <w:lang w:eastAsia="en-US"/>
        </w:rPr>
        <w:t xml:space="preserve"> role of the declared collecting societies in administering the statutory licence schemes should be reviewed. These issues are outside the scope of this current review process.</w:t>
      </w:r>
    </w:p>
    <w:p w14:paraId="5319AFFA" w14:textId="77777777" w:rsidR="007E7021" w:rsidRDefault="007E7021" w:rsidP="007E7021">
      <w:r>
        <w:t>A number of submissions also raised concerns regarding the accumulation and use of undistributed funds by the declared collecting societies. Increasing transparency around the reporting of undistributed funds was addressed in the ‘distribution of funds’ section.</w:t>
      </w:r>
    </w:p>
    <w:p w14:paraId="1B80ED1A" w14:textId="77777777" w:rsidR="007E7021" w:rsidRDefault="007E7021" w:rsidP="007E7021">
      <w:r>
        <w:rPr>
          <w:lang w:eastAsia="en-US"/>
        </w:rPr>
        <w:t>Collecting societies are not always able to distribute all the funds they collect. Some stakeholders have expressed concerns about collecting societies’ uses of these undistributed funds where they have expired, such as th</w:t>
      </w:r>
      <w:r w:rsidRPr="00CD12C5">
        <w:rPr>
          <w:lang w:eastAsia="en-US"/>
        </w:rPr>
        <w:t>e</w:t>
      </w:r>
      <w:r>
        <w:rPr>
          <w:lang w:eastAsia="en-US"/>
        </w:rPr>
        <w:t xml:space="preserve"> use</w:t>
      </w:r>
      <w:r w:rsidRPr="00CD12C5">
        <w:rPr>
          <w:lang w:eastAsia="en-US"/>
        </w:rPr>
        <w:t xml:space="preserve"> of</w:t>
      </w:r>
      <w:r>
        <w:rPr>
          <w:lang w:eastAsia="en-US"/>
        </w:rPr>
        <w:t xml:space="preserve"> the</w:t>
      </w:r>
      <w:r w:rsidRPr="00CD12C5">
        <w:rPr>
          <w:lang w:eastAsia="en-US"/>
        </w:rPr>
        <w:t xml:space="preserve"> unclaimed revenues collected under statutory licensing schemes to fund advocacy.</w:t>
      </w:r>
      <w:r w:rsidRPr="00CD12C5">
        <w:rPr>
          <w:rStyle w:val="EndnoteReference"/>
        </w:rPr>
        <w:endnoteReference w:id="145"/>
      </w:r>
    </w:p>
    <w:p w14:paraId="3C14CBC6" w14:textId="77777777" w:rsidR="007E7021" w:rsidRDefault="007E7021" w:rsidP="007E7021">
      <w:pPr>
        <w:rPr>
          <w:lang w:eastAsia="en-US"/>
        </w:rPr>
      </w:pPr>
      <w:r>
        <w:rPr>
          <w:lang w:eastAsia="en-US"/>
        </w:rPr>
        <w:t>The Code provides for collecting societies to deduct from their revenues amounts authorised by their constitutions and that these may include for example ‘the costs of promotional activities, educational programs, cultural funds…’</w:t>
      </w:r>
      <w:r w:rsidRPr="00602BA2">
        <w:rPr>
          <w:rStyle w:val="EndnoteReference"/>
        </w:rPr>
        <w:t xml:space="preserve"> </w:t>
      </w:r>
      <w:r w:rsidRPr="00227538">
        <w:rPr>
          <w:rStyle w:val="EndnoteReference"/>
        </w:rPr>
        <w:endnoteReference w:id="146"/>
      </w:r>
      <w:r>
        <w:rPr>
          <w:lang w:eastAsia="en-US"/>
        </w:rPr>
        <w:t xml:space="preserve"> but it does not specifically outline how expired undistributed funds should be used.</w:t>
      </w:r>
    </w:p>
    <w:p w14:paraId="04DA2FCB" w14:textId="30121755" w:rsidR="007E7021" w:rsidRDefault="007E7021" w:rsidP="007E7021">
      <w:r>
        <w:t xml:space="preserve">While outside the scope of this review, the use of undistributed funds is covered in the Guidelines for the Declaration of Collecting Societies </w:t>
      </w:r>
      <w:r>
        <w:rPr>
          <w:lang w:eastAsia="en-US"/>
        </w:rPr>
        <w:t xml:space="preserve">(the Guidelines). The Guidelines have more detailed requirements regarding the handling of undistributed funds. They </w:t>
      </w:r>
      <w:r w:rsidRPr="006C0F3A">
        <w:rPr>
          <w:lang w:eastAsia="en-US"/>
        </w:rPr>
        <w:t>state that amounts which remain in the trust fund at the expiration of the trust period should fall into general revenue for distribution in respect of the then accounting p</w:t>
      </w:r>
      <w:r w:rsidRPr="00D25B15">
        <w:rPr>
          <w:lang w:eastAsia="en-US"/>
        </w:rPr>
        <w:t xml:space="preserve">eriod. </w:t>
      </w:r>
      <w:r w:rsidRPr="004145DD">
        <w:rPr>
          <w:lang w:eastAsia="en-US"/>
        </w:rPr>
        <w:t xml:space="preserve">They also require that where funds go into trust, distribution on the best data which is to hand immediately prior to the </w:t>
      </w:r>
      <w:r w:rsidRPr="00CD12C5">
        <w:t>expiration of that trust period should be considered as a preferable alternative to allowing the funds to fall back into general revenue. Lastly, the Guidelines state that directors</w:t>
      </w:r>
      <w:r w:rsidR="00BA2CAC">
        <w:t xml:space="preserve"> of a declared collecting society</w:t>
      </w:r>
      <w:r w:rsidRPr="00CD12C5">
        <w:t xml:space="preserve"> should minimise any element of cross-subsidy between the operation of the statutory licence scheme and any other activities of the society.</w:t>
      </w:r>
    </w:p>
    <w:p w14:paraId="41682F73" w14:textId="77777777" w:rsidR="007E7021" w:rsidRDefault="007E7021" w:rsidP="007E7021">
      <w:r>
        <w:t>The Guidelines are to be read in conjunction with the Copyright Act and Copyright Regulations, as they reference and contextualise the obligations set out therein. They state that the fundamental objectives of regulating collecting societies are to ensure:</w:t>
      </w:r>
    </w:p>
    <w:p w14:paraId="54F12B2A" w14:textId="77777777" w:rsidR="007E7021" w:rsidRDefault="007E7021" w:rsidP="007E7021">
      <w:pPr>
        <w:pStyle w:val="Bullet1"/>
        <w:numPr>
          <w:ilvl w:val="0"/>
          <w:numId w:val="4"/>
        </w:numPr>
        <w:tabs>
          <w:tab w:val="clear" w:pos="643"/>
          <w:tab w:val="num" w:pos="926"/>
        </w:tabs>
        <w:ind w:left="567" w:hanging="567"/>
      </w:pPr>
      <w:r>
        <w:t>that each society diligently collects all money to which it is entitled, and none to which it is not</w:t>
      </w:r>
    </w:p>
    <w:p w14:paraId="4311C2AC" w14:textId="77777777" w:rsidR="007E7021" w:rsidRDefault="007E7021" w:rsidP="007E7021">
      <w:pPr>
        <w:pStyle w:val="Bullet1"/>
        <w:numPr>
          <w:ilvl w:val="0"/>
          <w:numId w:val="4"/>
        </w:numPr>
        <w:tabs>
          <w:tab w:val="clear" w:pos="643"/>
          <w:tab w:val="num" w:pos="926"/>
        </w:tabs>
        <w:ind w:left="567" w:hanging="567"/>
      </w:pPr>
      <w:r>
        <w:t>that each society manage its operations efficiently and does not incur improper expenses</w:t>
      </w:r>
    </w:p>
    <w:p w14:paraId="1B662737" w14:textId="77777777" w:rsidR="007E7021" w:rsidRDefault="007E7021" w:rsidP="007E7021">
      <w:pPr>
        <w:pStyle w:val="Bullet1"/>
        <w:numPr>
          <w:ilvl w:val="0"/>
          <w:numId w:val="4"/>
        </w:numPr>
        <w:tabs>
          <w:tab w:val="clear" w:pos="643"/>
          <w:tab w:val="num" w:pos="926"/>
        </w:tabs>
        <w:ind w:left="567" w:hanging="567"/>
      </w:pPr>
      <w:r>
        <w:t>that the distribution of royalties relevant to copyright owners is fair, and is seen to be fair, and</w:t>
      </w:r>
    </w:p>
    <w:p w14:paraId="38FB1D95" w14:textId="77777777" w:rsidR="007E7021" w:rsidRDefault="007E7021" w:rsidP="007E7021">
      <w:pPr>
        <w:pStyle w:val="Bullet1"/>
        <w:numPr>
          <w:ilvl w:val="0"/>
          <w:numId w:val="4"/>
        </w:numPr>
        <w:tabs>
          <w:tab w:val="clear" w:pos="643"/>
          <w:tab w:val="num" w:pos="926"/>
        </w:tabs>
        <w:ind w:left="567" w:hanging="567"/>
      </w:pPr>
      <w:r>
        <w:t>that the society maintains an even hand as between current and future beneficiaries.</w:t>
      </w:r>
    </w:p>
    <w:p w14:paraId="14AAA43D" w14:textId="77777777" w:rsidR="007E7021" w:rsidRDefault="007E7021" w:rsidP="007E7021">
      <w:r>
        <w:t>The Guidelines were introduced in 1990, and have been updated once, in 2001, to reflect the introduction of Part VC of the Copyright Act (retransmission of free-to-air broadcasts).</w:t>
      </w:r>
    </w:p>
    <w:p w14:paraId="113C936E" w14:textId="77777777" w:rsidR="007E7021" w:rsidRDefault="007E7021" w:rsidP="007E7021">
      <w:r>
        <w:t>Of the two declared collecting societies, Copyright Agency has more substantial holdings of undistributed funds in trust, and more funds that become expired undistributed funds once the relevant trust period has ended. For example, it advises that in June 2016, 3.2% of funds allocated in 2012 (from all sources of licence fees) remained unpaid</w:t>
      </w:r>
      <w:r>
        <w:rPr>
          <w:rStyle w:val="EndnoteReference"/>
        </w:rPr>
        <w:endnoteReference w:id="147"/>
      </w:r>
      <w:r>
        <w:t>, or a total of $4,532,622.46</w:t>
      </w:r>
      <w:r>
        <w:rPr>
          <w:rStyle w:val="EndnoteReference"/>
        </w:rPr>
        <w:endnoteReference w:id="148"/>
      </w:r>
      <w:r>
        <w:t>.</w:t>
      </w:r>
    </w:p>
    <w:p w14:paraId="4337E4ED" w14:textId="7C7435B0" w:rsidR="007E7021" w:rsidRDefault="007E7021" w:rsidP="007E7021">
      <w:r>
        <w:t>Until recently, Copyright Agency would return expired undistributed funds to the pool for distribution to members to offset the operating expenses deducted from all member revenue. However, following the findings made by the ALRC Report on Copyright and the Digital Economy, which included the possible abandonment of the statutory licensing scheme and the introduction of a fair use exception to copyright infringement, Copyright Agency resolved to take action to protect itself and its members’ interests by establishing a Future Fund. In its Directors’ Report and Financial Report for the year ended 30 June 2015, it states:</w:t>
      </w:r>
    </w:p>
    <w:p w14:paraId="52563BD4" w14:textId="6863DC21" w:rsidR="007E7021" w:rsidRPr="0022736F" w:rsidRDefault="007E7021" w:rsidP="007E7021">
      <w:pPr>
        <w:keepNext/>
        <w:ind w:left="567"/>
        <w:rPr>
          <w:i/>
        </w:rPr>
      </w:pPr>
      <w:r w:rsidRPr="0022736F">
        <w:rPr>
          <w:i/>
        </w:rPr>
        <w:t>In</w:t>
      </w:r>
      <w:r>
        <w:rPr>
          <w:i/>
        </w:rPr>
        <w:t> June</w:t>
      </w:r>
      <w:r w:rsidRPr="0022736F">
        <w:rPr>
          <w:i/>
        </w:rPr>
        <w:t xml:space="preserve"> 2013, the Board considered the issues which would arise in the event of a sudden and material decrease of revenue following a substantial change to the legislative structure or the unremunerated exceptions in the Copyright Act 1968. It was resolved that in order to safeguard and manage the rights of members including but not confined to ta</w:t>
      </w:r>
      <w:r w:rsidRPr="0022736F">
        <w:rPr>
          <w:rFonts w:cs="Calibri"/>
          <w:i/>
        </w:rPr>
        <w:t>k</w:t>
      </w:r>
      <w:r w:rsidRPr="0022736F">
        <w:rPr>
          <w:i/>
        </w:rPr>
        <w:t>ing such necessary actions in communications, research and advocacy, it would establish a Future Fund to provide adequate reserves to resource such activity to the extent required consistent with its prudent judgement. In accordance with Art 74(b)(ii) of the company’s Constitution, the Board resolved that amounts equal to the following be paid to the Future Fund, in the order as listed, until the Future Fund reached its target balance:</w:t>
      </w:r>
    </w:p>
    <w:p w14:paraId="514204CA" w14:textId="77777777" w:rsidR="007E7021" w:rsidRPr="0022736F" w:rsidRDefault="007E7021" w:rsidP="00CC6845">
      <w:pPr>
        <w:pStyle w:val="ListParagraph"/>
        <w:numPr>
          <w:ilvl w:val="0"/>
          <w:numId w:val="14"/>
        </w:numPr>
        <w:tabs>
          <w:tab w:val="clear" w:pos="567"/>
        </w:tabs>
        <w:spacing w:after="240"/>
        <w:ind w:left="1134" w:hanging="567"/>
        <w:rPr>
          <w:i/>
        </w:rPr>
      </w:pPr>
      <w:r w:rsidRPr="0022736F">
        <w:rPr>
          <w:i/>
        </w:rPr>
        <w:t>interest and investment income received after 1 July 2013, after deduction of up to 1.5% for Cultural Fund; and</w:t>
      </w:r>
    </w:p>
    <w:p w14:paraId="6CBE8BE0" w14:textId="77777777" w:rsidR="007E7021" w:rsidRPr="0022736F" w:rsidRDefault="007E7021" w:rsidP="00CC6845">
      <w:pPr>
        <w:pStyle w:val="ListParagraph"/>
        <w:numPr>
          <w:ilvl w:val="0"/>
          <w:numId w:val="14"/>
        </w:numPr>
        <w:tabs>
          <w:tab w:val="clear" w:pos="567"/>
        </w:tabs>
        <w:spacing w:after="240"/>
        <w:ind w:left="1134" w:hanging="567"/>
        <w:rPr>
          <w:i/>
        </w:rPr>
      </w:pPr>
      <w:r w:rsidRPr="0022736F">
        <w:rPr>
          <w:i/>
        </w:rPr>
        <w:t>the then balance of the Distributions Rollover and, after 1 July 2013, all unpaid allocations rolled into trust at the end of the relevant trust period; and</w:t>
      </w:r>
    </w:p>
    <w:p w14:paraId="6509100D" w14:textId="77777777" w:rsidR="007E7021" w:rsidRPr="0022736F" w:rsidRDefault="007E7021" w:rsidP="00CC6845">
      <w:pPr>
        <w:pStyle w:val="ListParagraph"/>
        <w:numPr>
          <w:ilvl w:val="0"/>
          <w:numId w:val="14"/>
        </w:numPr>
        <w:tabs>
          <w:tab w:val="clear" w:pos="567"/>
        </w:tabs>
        <w:spacing w:after="240"/>
        <w:ind w:left="1134" w:hanging="567"/>
        <w:rPr>
          <w:i/>
        </w:rPr>
      </w:pPr>
      <w:r w:rsidRPr="0022736F">
        <w:rPr>
          <w:i/>
        </w:rPr>
        <w:t>such other percentage of the company’s total revenue as the Board at that time considers appropriate.</w:t>
      </w:r>
      <w:r w:rsidRPr="000E2312">
        <w:rPr>
          <w:rStyle w:val="EndnoteReference"/>
        </w:rPr>
        <w:endnoteReference w:id="149"/>
      </w:r>
    </w:p>
    <w:p w14:paraId="27B9B058" w14:textId="77777777" w:rsidR="007E7021" w:rsidRDefault="007E7021" w:rsidP="007E7021">
      <w:r>
        <w:t>In its 2017 Directors’ Report, it states:</w:t>
      </w:r>
    </w:p>
    <w:p w14:paraId="19AEEFD8" w14:textId="6A3F9EAD" w:rsidR="007E7021" w:rsidRPr="003700D3" w:rsidRDefault="007E7021" w:rsidP="007E7021">
      <w:pPr>
        <w:pStyle w:val="Quote"/>
      </w:pPr>
      <w:r w:rsidRPr="003700D3">
        <w:t>The Fund was built up over time from interest on licence fees and allocations that were unpaid after four years. In</w:t>
      </w:r>
      <w:r>
        <w:t> June</w:t>
      </w:r>
      <w:r w:rsidRPr="003700D3">
        <w:t xml:space="preserve"> 2016, only 3.2% of funds allocated in 2012 (from all sources of licence fees) remained unpaid.</w:t>
      </w:r>
    </w:p>
    <w:p w14:paraId="6733FD12" w14:textId="77777777" w:rsidR="007E7021" w:rsidRDefault="007E7021" w:rsidP="007E7021">
      <w:pPr>
        <w:pStyle w:val="Quote"/>
      </w:pPr>
      <w:r w:rsidRPr="003700D3">
        <w:t>The Fund is currently capped at $15m, and interest on licence fees and any unpaid allocations are now effectively returned to members as an offset against operating costs</w:t>
      </w:r>
      <w:r w:rsidRPr="000E2312">
        <w:rPr>
          <w:rStyle w:val="EndnoteReference"/>
          <w:i w:val="0"/>
        </w:rPr>
        <w:endnoteReference w:id="150"/>
      </w:r>
    </w:p>
    <w:p w14:paraId="50807FF1" w14:textId="77777777" w:rsidR="007E7021" w:rsidRDefault="007E7021" w:rsidP="007E7021">
      <w:r>
        <w:t>Numerous submissions to this review, particularly those from groups representing statutory licensees, have questioned whether Copyright Agency has the ‘power to use statutory funds—paid by licensees—to pay for advocacy campaigns that oppose positions held by those same licensees.’</w:t>
      </w:r>
      <w:r>
        <w:rPr>
          <w:rStyle w:val="EndnoteReference"/>
        </w:rPr>
        <w:endnoteReference w:id="151"/>
      </w:r>
      <w:r>
        <w:t xml:space="preserve"> These submissions have also criticised Copyright Agency for creating the Future Fund, and diverting such a large sum of money to the fund, with limited consultation with or communication to its members.</w:t>
      </w:r>
    </w:p>
    <w:p w14:paraId="6CB929AC" w14:textId="77777777" w:rsidR="007E7021" w:rsidRPr="00227538" w:rsidRDefault="007E7021" w:rsidP="007E7021">
      <w:r>
        <w:t>Looking internationally there are examples of government playing a role in</w:t>
      </w:r>
      <w:r w:rsidRPr="00227538">
        <w:t xml:space="preserve"> establishing guidance or obligations around the end use of funds that cannot be distributed. The EU Directive, for instance, states that ‘Member States may limit or determine the permitted uses of non-distributable amounts, inter alia, by ensuring that such amounts are used in a separate and independent way in order to fund social, cultural and educational activities for the benefit of rightholders.’</w:t>
      </w:r>
      <w:r w:rsidRPr="00227538">
        <w:rPr>
          <w:rStyle w:val="EndnoteReference"/>
        </w:rPr>
        <w:endnoteReference w:id="152"/>
      </w:r>
    </w:p>
    <w:p w14:paraId="1680A59F" w14:textId="77777777" w:rsidR="007E7021" w:rsidRDefault="007E7021" w:rsidP="007E7021">
      <w:r>
        <w:t>S</w:t>
      </w:r>
      <w:r w:rsidRPr="00227538">
        <w:t>ubmissions</w:t>
      </w:r>
      <w:r>
        <w:t xml:space="preserve"> to this review on </w:t>
      </w:r>
      <w:r w:rsidRPr="00227538">
        <w:t>what might constitute an appropriate approach to the use of such funds are divided. Some view they should be refunded to licensees</w:t>
      </w:r>
      <w:r>
        <w:t xml:space="preserve"> (such as QUT School of Law, sub. 22)</w:t>
      </w:r>
      <w:r w:rsidRPr="00227538">
        <w:t>,</w:t>
      </w:r>
      <w:r w:rsidRPr="00227538">
        <w:rPr>
          <w:rStyle w:val="EndnoteReference"/>
        </w:rPr>
        <w:endnoteReference w:id="153"/>
      </w:r>
      <w:r w:rsidRPr="00227538">
        <w:t xml:space="preserve"> while others</w:t>
      </w:r>
      <w:r>
        <w:t xml:space="preserve"> have</w:t>
      </w:r>
      <w:r w:rsidRPr="00227538">
        <w:t xml:space="preserve"> submitted</w:t>
      </w:r>
      <w:r>
        <w:t xml:space="preserve"> to the review</w:t>
      </w:r>
      <w:r w:rsidRPr="00227538">
        <w:t xml:space="preserve"> that the money belongs to members and they should be used for cultural activities supported by collecting societies</w:t>
      </w:r>
      <w:r>
        <w:t xml:space="preserve"> (see ASA, sub. 8)</w:t>
      </w:r>
      <w:r w:rsidRPr="00227538">
        <w:t>.</w:t>
      </w:r>
      <w:r w:rsidRPr="00227538">
        <w:rPr>
          <w:rStyle w:val="EndnoteReference"/>
        </w:rPr>
        <w:endnoteReference w:id="154"/>
      </w:r>
      <w:r w:rsidRPr="00227538">
        <w:t xml:space="preserve"> The latter argument reflects recommendations of the Simpson Report, which </w:t>
      </w:r>
      <w:r>
        <w:t>recommended</w:t>
      </w:r>
      <w:r w:rsidRPr="00227538">
        <w:t xml:space="preserve"> </w:t>
      </w:r>
      <w:r>
        <w:t>allocation</w:t>
      </w:r>
      <w:r w:rsidRPr="00227538">
        <w:t xml:space="preserve"> to the cultural purposes of the wider industry secto</w:t>
      </w:r>
      <w:r>
        <w:t>r.</w:t>
      </w:r>
    </w:p>
    <w:p w14:paraId="605E7B3C" w14:textId="35EE956A" w:rsidR="007E7021" w:rsidRDefault="007E7021" w:rsidP="007E7021">
      <w:r>
        <w:t>I</w:t>
      </w:r>
      <w:r w:rsidRPr="00227538">
        <w:t xml:space="preserve">t is </w:t>
      </w:r>
      <w:r>
        <w:t>beyond</w:t>
      </w:r>
      <w:r w:rsidRPr="00227538">
        <w:t xml:space="preserve"> the scope of this review to provide specific direction on wha</w:t>
      </w:r>
      <w:r>
        <w:t xml:space="preserve">t specific uses of declared collecting societies’ undistributed funds might be, although there is the potential for </w:t>
      </w:r>
      <w:r w:rsidRPr="00227538">
        <w:t xml:space="preserve">efficiency improvements </w:t>
      </w:r>
      <w:r>
        <w:t>to be made. Non-</w:t>
      </w:r>
      <w:r w:rsidRPr="00227538">
        <w:t>distributable funds could be used to improve collecting societies’ systems for locating rightsholders. This would help reduce both the amount of undistributed funds going into trust, and the overall pool of expired undistributed funds. Another potential use of non-distributable funds could be to offset costs incurred by collecting societies in the improvement of their distribution policies and communication</w:t>
      </w:r>
      <w:r w:rsidR="00CB5959">
        <w:t xml:space="preserve"> practices</w:t>
      </w:r>
      <w:r w:rsidRPr="00227538">
        <w:t>, as recommended earlier in this report.</w:t>
      </w:r>
    </w:p>
    <w:p w14:paraId="23AA88A9" w14:textId="77777777" w:rsidR="007E7021" w:rsidRDefault="007E7021" w:rsidP="007E7021">
      <w:r>
        <w:t xml:space="preserve">Increased transparency of how undistributed funds are being </w:t>
      </w:r>
      <w:r w:rsidRPr="000F3C1C">
        <w:t>used (recommendation</w:t>
      </w:r>
      <w:r w:rsidRPr="009F5A12">
        <w:t>s 8 and 9</w:t>
      </w:r>
      <w:r w:rsidRPr="000F3C1C">
        <w:t>) will</w:t>
      </w:r>
      <w:r>
        <w:t xml:space="preserve"> provide greater insight on how these funds are used.</w:t>
      </w:r>
    </w:p>
    <w:p w14:paraId="60498965" w14:textId="77777777" w:rsidR="007E7021" w:rsidRDefault="007E7021" w:rsidP="007E7021">
      <w:r>
        <w:t>Any future examination of the Guidelines could consider the issues raised around undistributed funds in this review and would be assisted by the transparency measures recommended in this review in respect of monitoring and reporting on funds.</w:t>
      </w:r>
    </w:p>
    <w:p w14:paraId="0028C4E8" w14:textId="77777777" w:rsidR="007E7021" w:rsidRDefault="007E7021" w:rsidP="007E7021">
      <w:pPr>
        <w:pStyle w:val="Heading2"/>
        <w:pageBreakBefore/>
      </w:pPr>
      <w:bookmarkStart w:id="249" w:name="_Toc497741774"/>
      <w:bookmarkStart w:id="250" w:name="_Toc497749276"/>
      <w:bookmarkStart w:id="251" w:name="_Toc497750861"/>
      <w:bookmarkStart w:id="252" w:name="_Toc497755218"/>
      <w:bookmarkStart w:id="253" w:name="_Toc498613744"/>
      <w:bookmarkStart w:id="254" w:name="_Toc498685059"/>
      <w:bookmarkStart w:id="255" w:name="_Toc498691905"/>
      <w:bookmarkStart w:id="256" w:name="_Toc498695642"/>
      <w:bookmarkStart w:id="257" w:name="_Toc499302320"/>
      <w:bookmarkStart w:id="258" w:name="_Toc499558596"/>
      <w:bookmarkStart w:id="259" w:name="_Toc499823240"/>
      <w:bookmarkStart w:id="260" w:name="_Toc501010978"/>
      <w:bookmarkStart w:id="261" w:name="_Toc504393024"/>
      <w:bookmarkStart w:id="262" w:name="_Toc506373280"/>
      <w:bookmarkStart w:id="263" w:name="_Toc498524217"/>
      <w:bookmarkEnd w:id="245"/>
      <w:bookmarkEnd w:id="246"/>
      <w:bookmarkEnd w:id="247"/>
      <w:bookmarkEnd w:id="248"/>
      <w:r>
        <w:t>Appendix A: Conduct of this review</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3716AA42" w14:textId="62169E2F" w:rsidR="007E7021" w:rsidRDefault="007E7021" w:rsidP="007E7021">
      <w:pPr>
        <w:rPr>
          <w:lang w:eastAsia="en-US"/>
        </w:rPr>
      </w:pPr>
      <w:r>
        <w:rPr>
          <w:lang w:eastAsia="en-US"/>
        </w:rPr>
        <w:t>In August 2017 the Australian Government asked the Department of Communications and the Arts to review the efficacy of the voluntary Code of Conduct for Copyright Collecting Societies (the Code). The Bureau of Communications and Arts Research (</w:t>
      </w:r>
      <w:r w:rsidR="002E7D11">
        <w:rPr>
          <w:lang w:eastAsia="en-US"/>
        </w:rPr>
        <w:t>the Bureau</w:t>
      </w:r>
      <w:r>
        <w:rPr>
          <w:lang w:eastAsia="en-US"/>
        </w:rPr>
        <w:t>), the Department’s economic and statistical research unit, is leading the review, in consultation with the Australian Competition and Consumer Commission (ACCC).</w:t>
      </w:r>
    </w:p>
    <w:p w14:paraId="3FDCB52C" w14:textId="7721469A" w:rsidR="00645805" w:rsidRDefault="007E7021" w:rsidP="007E7021">
      <w:pPr>
        <w:rPr>
          <w:lang w:eastAsia="en-US"/>
        </w:rPr>
      </w:pPr>
      <w:r>
        <w:rPr>
          <w:lang w:eastAsia="en-US"/>
        </w:rPr>
        <w:t>This review implements the Government’s response to Recommendation 5.4 of the Productivity Commission’s (PC) 2016 inquiry report on Australia’s intellectual property arrangements.</w:t>
      </w:r>
      <w:r>
        <w:rPr>
          <w:rStyle w:val="EndnoteReference"/>
          <w:lang w:eastAsia="en-US"/>
        </w:rPr>
        <w:endnoteReference w:id="155"/>
      </w:r>
    </w:p>
    <w:p w14:paraId="0FDD32E0" w14:textId="77777777" w:rsidR="00645805" w:rsidRDefault="00645805" w:rsidP="00645805">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rPr>
          <w:lang w:eastAsia="en-US"/>
        </w:rPr>
      </w:pPr>
      <w:bookmarkStart w:id="264" w:name="_Toc504393025"/>
      <w:bookmarkStart w:id="265" w:name="_Toc506373281"/>
      <w:r>
        <w:rPr>
          <w:lang w:eastAsia="en-US"/>
        </w:rPr>
        <w:t>Recommendation 5.4</w:t>
      </w:r>
      <w:bookmarkEnd w:id="264"/>
      <w:bookmarkEnd w:id="265"/>
    </w:p>
    <w:p w14:paraId="33F58016" w14:textId="77777777" w:rsidR="00645805" w:rsidRDefault="00645805" w:rsidP="00645805">
      <w:pPr>
        <w:pBdr>
          <w:top w:val="single" w:sz="4" w:space="1" w:color="auto"/>
          <w:left w:val="single" w:sz="4" w:space="4" w:color="auto"/>
          <w:bottom w:val="single" w:sz="4" w:space="1" w:color="auto"/>
          <w:right w:val="single" w:sz="4" w:space="4" w:color="auto"/>
        </w:pBdr>
        <w:shd w:val="clear" w:color="auto" w:fill="F2F2F2" w:themeFill="background1" w:themeFillShade="F2"/>
        <w:rPr>
          <w:lang w:eastAsia="en-US"/>
        </w:rPr>
      </w:pPr>
      <w:r>
        <w:rPr>
          <w:lang w:eastAsia="en-US"/>
        </w:rPr>
        <w:t xml:space="preserve">The Australian Government should strengthen the governance and transparency arrangements for collecting societies. In particular: </w:t>
      </w:r>
    </w:p>
    <w:p w14:paraId="6C3F951F" w14:textId="77777777" w:rsidR="00645805" w:rsidRDefault="00645805" w:rsidP="00645805">
      <w:pPr>
        <w:pStyle w:val="Bullet1"/>
        <w:pBdr>
          <w:top w:val="single" w:sz="4" w:space="1" w:color="auto"/>
          <w:left w:val="single" w:sz="4" w:space="4" w:color="auto"/>
          <w:bottom w:val="single" w:sz="4" w:space="1" w:color="auto"/>
          <w:right w:val="single" w:sz="4" w:space="4" w:color="auto"/>
        </w:pBdr>
        <w:shd w:val="clear" w:color="auto" w:fill="F2F2F2" w:themeFill="background1" w:themeFillShade="F2"/>
      </w:pPr>
      <w:r>
        <w:t>The Australian Competition and Consumer Commission should undertake a review of the current code, assessing its efficacy in balancing the interests of copyright collecting societies and licensees.</w:t>
      </w:r>
    </w:p>
    <w:p w14:paraId="36F22C6E" w14:textId="5E48AAE4" w:rsidR="00645805" w:rsidRDefault="00645805" w:rsidP="00645805">
      <w:pPr>
        <w:pStyle w:val="Bullet1"/>
        <w:pBdr>
          <w:top w:val="single" w:sz="4" w:space="1" w:color="auto"/>
          <w:left w:val="single" w:sz="4" w:space="4" w:color="auto"/>
          <w:bottom w:val="single" w:sz="4" w:space="1" w:color="auto"/>
          <w:right w:val="single" w:sz="4" w:space="4" w:color="auto"/>
        </w:pBdr>
        <w:shd w:val="clear" w:color="auto" w:fill="F2F2F2" w:themeFill="background1" w:themeFillShade="F2"/>
      </w:pPr>
      <w:r>
        <w:t>The review should consider whether the current voluntary code: represents best practice, contains sufficient monitoring and review mechanisms, and if the code should be mandatory for all collecting societies.</w:t>
      </w:r>
    </w:p>
    <w:p w14:paraId="2AB0423A" w14:textId="77777777" w:rsidR="007E7021" w:rsidRDefault="007E7021" w:rsidP="007E7021">
      <w:pPr>
        <w:rPr>
          <w:rFonts w:eastAsiaTheme="minorHAnsi"/>
          <w:lang w:eastAsia="en-US"/>
        </w:rPr>
      </w:pPr>
      <w:r>
        <w:rPr>
          <w:rFonts w:eastAsiaTheme="minorHAnsi"/>
          <w:lang w:eastAsia="en-US"/>
        </w:rPr>
        <w:t xml:space="preserve">The review is examining the extent to which the Code promotes </w:t>
      </w:r>
      <w:r w:rsidRPr="00934C49">
        <w:rPr>
          <w:rFonts w:eastAsiaTheme="minorHAnsi"/>
          <w:lang w:eastAsia="en-US"/>
        </w:rPr>
        <w:t xml:space="preserve">fair and efficient outcomes for both members and licensees of collecting societies. This </w:t>
      </w:r>
      <w:r>
        <w:rPr>
          <w:rFonts w:eastAsiaTheme="minorHAnsi"/>
          <w:lang w:eastAsia="en-US"/>
        </w:rPr>
        <w:t>includes</w:t>
      </w:r>
      <w:r w:rsidRPr="00934C49">
        <w:rPr>
          <w:rFonts w:eastAsiaTheme="minorHAnsi"/>
          <w:lang w:eastAsia="en-US"/>
        </w:rPr>
        <w:t xml:space="preserve"> assessing:</w:t>
      </w:r>
    </w:p>
    <w:p w14:paraId="46E98522" w14:textId="77777777" w:rsidR="007E7021" w:rsidRDefault="007E7021" w:rsidP="00897FD5">
      <w:pPr>
        <w:pStyle w:val="Bulletpoint"/>
      </w:pPr>
      <w:r>
        <w:t xml:space="preserve">whether the Code </w:t>
      </w:r>
      <w:r w:rsidRPr="00934C49">
        <w:t>meets its rationale and objectives, including promoting confidence and participation in the system, and mitigating any potential market power issues where these occur in r</w:t>
      </w:r>
      <w:r>
        <w:t>elation to collecting societies,</w:t>
      </w:r>
    </w:p>
    <w:p w14:paraId="07A54FEF" w14:textId="77777777" w:rsidR="007E7021" w:rsidRDefault="007E7021" w:rsidP="00897FD5">
      <w:pPr>
        <w:pStyle w:val="Bulletpoint"/>
      </w:pPr>
      <w:r>
        <w:t xml:space="preserve">the extent to which </w:t>
      </w:r>
      <w:r w:rsidRPr="00934C49">
        <w:t>the Code promotes transparency, accountability and good governance, including whether the Code contains sufficient monitoring and review mechanisms to ach</w:t>
      </w:r>
      <w:r>
        <w:t>ieve this, and</w:t>
      </w:r>
    </w:p>
    <w:p w14:paraId="6BF82A7C" w14:textId="77777777" w:rsidR="007E7021" w:rsidRDefault="007E7021" w:rsidP="00897FD5">
      <w:pPr>
        <w:pStyle w:val="Bulletpoint"/>
      </w:pPr>
      <w:r>
        <w:t xml:space="preserve">the extent to </w:t>
      </w:r>
      <w:r w:rsidRPr="00C7385E">
        <w:t>which</w:t>
      </w:r>
      <w:r>
        <w:t xml:space="preserve"> the Code represents best practice compared to other domestic and international codes and guidelines.</w:t>
      </w:r>
    </w:p>
    <w:p w14:paraId="2A82CCC3" w14:textId="18BF5DF3" w:rsidR="007E7021" w:rsidRDefault="007E7021" w:rsidP="007E7021">
      <w:r>
        <w:t xml:space="preserve">On 25 August 2017 the </w:t>
      </w:r>
      <w:r w:rsidR="002E7D11">
        <w:t xml:space="preserve">Bureau </w:t>
      </w:r>
      <w:r>
        <w:t>released terms of reference for the review, and a discussion paper. Submissions on the discussion paper were requested by 15 September 2017. Due to stakeholder feedback the submissions period was extended and closed on 29 September 2017.</w:t>
      </w:r>
    </w:p>
    <w:p w14:paraId="76F61619" w14:textId="77777777" w:rsidR="007E7021" w:rsidRDefault="007E7021" w:rsidP="007E7021">
      <w:pPr>
        <w:spacing w:after="160" w:line="259" w:lineRule="auto"/>
      </w:pPr>
      <w:r>
        <w:t>A total of 26 submissions were received, 2 of which were provided on a confidential basis. Non</w:t>
      </w:r>
      <w:r>
        <w:noBreakHyphen/>
        <w:t>confidential submissions were published on the Department’s website on 10 October 2017. A list of participants who provided submissions to the review that are published on the Department’s website are detailed in Table A1.</w:t>
      </w:r>
    </w:p>
    <w:p w14:paraId="59BAC54D" w14:textId="77777777" w:rsidR="007E7021" w:rsidRPr="000F3C1C" w:rsidRDefault="007E7021" w:rsidP="007E7021">
      <w:pPr>
        <w:pStyle w:val="Tablefigureheading"/>
        <w:keepLines/>
      </w:pPr>
      <w:bookmarkStart w:id="266" w:name="_Toc499823242"/>
      <w:bookmarkStart w:id="267" w:name="_Toc501010980"/>
      <w:bookmarkStart w:id="268" w:name="_Toc506371895"/>
      <w:r w:rsidRPr="000F3C1C">
        <w:t xml:space="preserve">Table </w:t>
      </w:r>
      <w:r>
        <w:t>A</w:t>
      </w:r>
      <w:r w:rsidRPr="00877B79">
        <w:t>1.</w:t>
      </w:r>
      <w:r>
        <w:t xml:space="preserve"> Public submissions to the Review of the Code of Conduct for Copyright Collecting Societies</w:t>
      </w:r>
      <w:bookmarkEnd w:id="266"/>
      <w:bookmarkEnd w:id="267"/>
      <w:bookmarkEnd w:id="268"/>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A1. Public submissions to the Review of the Code of Conduct for Copyright Collecting Societies.&#10;&#10;Table A1 outlines the list of participants who have made a public submission to the review. It indicates there were 24 public submissions to the review, from a range of different stakeholders including collecting societies, industry bodies and associations, licensees, rightsowners and content creators."/>
      </w:tblPr>
      <w:tblGrid>
        <w:gridCol w:w="6946"/>
        <w:gridCol w:w="2280"/>
      </w:tblGrid>
      <w:tr w:rsidR="007864CC" w14:paraId="6A3EB061" w14:textId="77777777" w:rsidTr="007864CC">
        <w:trPr>
          <w:cantSplit/>
          <w:tblHeader/>
        </w:trPr>
        <w:tc>
          <w:tcPr>
            <w:tcW w:w="6946" w:type="dxa"/>
            <w:tcBorders>
              <w:top w:val="nil"/>
              <w:left w:val="nil"/>
              <w:bottom w:val="thickThinLargeGap" w:sz="24" w:space="0" w:color="auto"/>
              <w:right w:val="nil"/>
            </w:tcBorders>
            <w:shd w:val="clear" w:color="auto" w:fill="113651"/>
            <w:hideMark/>
          </w:tcPr>
          <w:p w14:paraId="7855A659" w14:textId="77777777" w:rsidR="007864CC" w:rsidRDefault="007864CC" w:rsidP="007864CC">
            <w:pPr>
              <w:pStyle w:val="Tableheading"/>
            </w:pPr>
            <w:r w:rsidRPr="00500306">
              <w:t>List of participants who made public submissions to this review</w:t>
            </w:r>
          </w:p>
        </w:tc>
        <w:tc>
          <w:tcPr>
            <w:tcW w:w="2280" w:type="dxa"/>
            <w:tcBorders>
              <w:top w:val="nil"/>
              <w:left w:val="nil"/>
              <w:bottom w:val="thickThinLargeGap" w:sz="24" w:space="0" w:color="auto"/>
              <w:right w:val="nil"/>
            </w:tcBorders>
            <w:shd w:val="clear" w:color="auto" w:fill="113651"/>
            <w:hideMark/>
          </w:tcPr>
          <w:p w14:paraId="08DB9062" w14:textId="37BE0283" w:rsidR="007864CC" w:rsidRDefault="007864CC" w:rsidP="007864CC">
            <w:pPr>
              <w:pStyle w:val="Tableheading"/>
            </w:pPr>
            <w:r w:rsidRPr="00500306">
              <w:t>Submission number</w:t>
            </w:r>
          </w:p>
        </w:tc>
      </w:tr>
      <w:tr w:rsidR="007864CC" w14:paraId="780F13B1" w14:textId="77777777" w:rsidTr="007864CC">
        <w:trPr>
          <w:cantSplit/>
        </w:trPr>
        <w:tc>
          <w:tcPr>
            <w:tcW w:w="6946" w:type="dxa"/>
            <w:tcBorders>
              <w:top w:val="thickThinLargeGap" w:sz="24" w:space="0" w:color="auto"/>
              <w:left w:val="nil"/>
              <w:bottom w:val="single" w:sz="4" w:space="0" w:color="auto"/>
              <w:right w:val="nil"/>
            </w:tcBorders>
          </w:tcPr>
          <w:p w14:paraId="02015C99" w14:textId="37292712" w:rsidR="007864CC" w:rsidRDefault="007864CC" w:rsidP="007864CC">
            <w:pPr>
              <w:pStyle w:val="Tabletext"/>
            </w:pPr>
            <w:r w:rsidRPr="00CA6054">
              <w:t>Associate Professor Rebecca Giblin and Professor Kimberlee Weatherall</w:t>
            </w:r>
          </w:p>
        </w:tc>
        <w:tc>
          <w:tcPr>
            <w:tcW w:w="2280" w:type="dxa"/>
            <w:tcBorders>
              <w:top w:val="thickThinLargeGap" w:sz="24" w:space="0" w:color="auto"/>
              <w:left w:val="nil"/>
              <w:bottom w:val="single" w:sz="4" w:space="0" w:color="auto"/>
              <w:right w:val="nil"/>
            </w:tcBorders>
          </w:tcPr>
          <w:p w14:paraId="094A0784" w14:textId="40CCC11E" w:rsidR="007864CC" w:rsidRDefault="007864CC" w:rsidP="007864CC">
            <w:pPr>
              <w:pStyle w:val="Tabletext"/>
              <w:jc w:val="center"/>
            </w:pPr>
            <w:r>
              <w:t>1</w:t>
            </w:r>
          </w:p>
        </w:tc>
      </w:tr>
      <w:tr w:rsidR="007864CC" w14:paraId="58989AB3" w14:textId="77777777" w:rsidTr="007864CC">
        <w:trPr>
          <w:cantSplit/>
        </w:trPr>
        <w:tc>
          <w:tcPr>
            <w:tcW w:w="6946" w:type="dxa"/>
            <w:tcBorders>
              <w:top w:val="single" w:sz="4" w:space="0" w:color="auto"/>
              <w:left w:val="nil"/>
              <w:bottom w:val="single" w:sz="4" w:space="0" w:color="auto"/>
              <w:right w:val="nil"/>
            </w:tcBorders>
          </w:tcPr>
          <w:p w14:paraId="75735BBC" w14:textId="0A19851A" w:rsidR="007864CC" w:rsidRDefault="007864CC" w:rsidP="007864CC">
            <w:pPr>
              <w:pStyle w:val="Tabletext"/>
            </w:pPr>
            <w:r w:rsidRPr="00CA6054">
              <w:t>Australasian Music Publishers’ Association Limited</w:t>
            </w:r>
          </w:p>
        </w:tc>
        <w:tc>
          <w:tcPr>
            <w:tcW w:w="2280" w:type="dxa"/>
            <w:tcBorders>
              <w:top w:val="single" w:sz="4" w:space="0" w:color="auto"/>
              <w:left w:val="nil"/>
              <w:bottom w:val="single" w:sz="4" w:space="0" w:color="auto"/>
              <w:right w:val="nil"/>
            </w:tcBorders>
          </w:tcPr>
          <w:p w14:paraId="65932252" w14:textId="1013EAD3" w:rsidR="007864CC" w:rsidRDefault="007864CC" w:rsidP="007864CC">
            <w:pPr>
              <w:pStyle w:val="Tabletext"/>
              <w:jc w:val="center"/>
            </w:pPr>
            <w:r>
              <w:t>2</w:t>
            </w:r>
          </w:p>
        </w:tc>
      </w:tr>
      <w:tr w:rsidR="007864CC" w14:paraId="1C9ADBC5" w14:textId="77777777" w:rsidTr="007864CC">
        <w:trPr>
          <w:cantSplit/>
        </w:trPr>
        <w:tc>
          <w:tcPr>
            <w:tcW w:w="6946" w:type="dxa"/>
            <w:tcBorders>
              <w:top w:val="single" w:sz="4" w:space="0" w:color="auto"/>
              <w:left w:val="nil"/>
              <w:bottom w:val="single" w:sz="4" w:space="0" w:color="auto"/>
              <w:right w:val="nil"/>
            </w:tcBorders>
          </w:tcPr>
          <w:p w14:paraId="248E5468" w14:textId="672452DA" w:rsidR="007864CC" w:rsidRDefault="007864CC" w:rsidP="007864CC">
            <w:pPr>
              <w:pStyle w:val="Tabletext"/>
            </w:pPr>
            <w:r w:rsidRPr="00CA6054">
              <w:t>Australasian Performing Rights Association and Australasian Mechanical Copyright Owners Society</w:t>
            </w:r>
          </w:p>
        </w:tc>
        <w:tc>
          <w:tcPr>
            <w:tcW w:w="2280" w:type="dxa"/>
            <w:tcBorders>
              <w:top w:val="single" w:sz="4" w:space="0" w:color="auto"/>
              <w:left w:val="nil"/>
              <w:bottom w:val="single" w:sz="4" w:space="0" w:color="auto"/>
              <w:right w:val="nil"/>
            </w:tcBorders>
          </w:tcPr>
          <w:p w14:paraId="0348D833" w14:textId="778B69DB" w:rsidR="007864CC" w:rsidRDefault="007864CC" w:rsidP="007864CC">
            <w:pPr>
              <w:pStyle w:val="Tabletext"/>
              <w:jc w:val="center"/>
            </w:pPr>
            <w:r>
              <w:t>3</w:t>
            </w:r>
          </w:p>
        </w:tc>
      </w:tr>
      <w:tr w:rsidR="007864CC" w14:paraId="74A1C240" w14:textId="77777777" w:rsidTr="007864CC">
        <w:trPr>
          <w:cantSplit/>
        </w:trPr>
        <w:tc>
          <w:tcPr>
            <w:tcW w:w="6946" w:type="dxa"/>
            <w:tcBorders>
              <w:top w:val="single" w:sz="4" w:space="0" w:color="auto"/>
              <w:left w:val="nil"/>
              <w:bottom w:val="single" w:sz="4" w:space="0" w:color="auto"/>
              <w:right w:val="nil"/>
            </w:tcBorders>
          </w:tcPr>
          <w:p w14:paraId="5DC6BBD3" w14:textId="3A68EFA5" w:rsidR="007864CC" w:rsidRDefault="007864CC" w:rsidP="007864CC">
            <w:pPr>
              <w:pStyle w:val="Tabletext"/>
            </w:pPr>
            <w:r w:rsidRPr="00CA6054">
              <w:t>Australian Copyright Council</w:t>
            </w:r>
          </w:p>
        </w:tc>
        <w:tc>
          <w:tcPr>
            <w:tcW w:w="2280" w:type="dxa"/>
            <w:tcBorders>
              <w:top w:val="single" w:sz="4" w:space="0" w:color="auto"/>
              <w:left w:val="nil"/>
              <w:bottom w:val="single" w:sz="4" w:space="0" w:color="auto"/>
              <w:right w:val="nil"/>
            </w:tcBorders>
          </w:tcPr>
          <w:p w14:paraId="2C2077D4" w14:textId="66BE54CC" w:rsidR="007864CC" w:rsidRDefault="007864CC" w:rsidP="007864CC">
            <w:pPr>
              <w:pStyle w:val="Tabletext"/>
              <w:jc w:val="center"/>
            </w:pPr>
            <w:r>
              <w:t>4</w:t>
            </w:r>
          </w:p>
        </w:tc>
      </w:tr>
      <w:tr w:rsidR="007864CC" w14:paraId="3CC7DF51" w14:textId="77777777" w:rsidTr="007864CC">
        <w:trPr>
          <w:cantSplit/>
        </w:trPr>
        <w:tc>
          <w:tcPr>
            <w:tcW w:w="6946" w:type="dxa"/>
            <w:tcBorders>
              <w:top w:val="single" w:sz="4" w:space="0" w:color="auto"/>
              <w:left w:val="nil"/>
              <w:bottom w:val="single" w:sz="4" w:space="0" w:color="auto"/>
              <w:right w:val="nil"/>
            </w:tcBorders>
          </w:tcPr>
          <w:p w14:paraId="5426C4F3" w14:textId="2EC7F75E" w:rsidR="007864CC" w:rsidRDefault="007864CC" w:rsidP="007864CC">
            <w:pPr>
              <w:pStyle w:val="Tabletext"/>
            </w:pPr>
            <w:r>
              <w:t>Australian Digital Alliance</w:t>
            </w:r>
          </w:p>
        </w:tc>
        <w:tc>
          <w:tcPr>
            <w:tcW w:w="2280" w:type="dxa"/>
            <w:tcBorders>
              <w:top w:val="single" w:sz="4" w:space="0" w:color="auto"/>
              <w:left w:val="nil"/>
              <w:bottom w:val="single" w:sz="4" w:space="0" w:color="auto"/>
              <w:right w:val="nil"/>
            </w:tcBorders>
          </w:tcPr>
          <w:p w14:paraId="6E5E9004" w14:textId="4869A225" w:rsidR="007864CC" w:rsidRDefault="007864CC" w:rsidP="007864CC">
            <w:pPr>
              <w:pStyle w:val="Tabletext"/>
              <w:jc w:val="center"/>
            </w:pPr>
            <w:r>
              <w:t>5</w:t>
            </w:r>
          </w:p>
        </w:tc>
      </w:tr>
      <w:tr w:rsidR="007864CC" w14:paraId="69B76BD0" w14:textId="77777777" w:rsidTr="007864CC">
        <w:trPr>
          <w:cantSplit/>
        </w:trPr>
        <w:tc>
          <w:tcPr>
            <w:tcW w:w="6946" w:type="dxa"/>
            <w:tcBorders>
              <w:top w:val="single" w:sz="4" w:space="0" w:color="auto"/>
              <w:left w:val="nil"/>
              <w:bottom w:val="single" w:sz="4" w:space="0" w:color="auto"/>
              <w:right w:val="nil"/>
            </w:tcBorders>
          </w:tcPr>
          <w:p w14:paraId="513B39CA" w14:textId="177E4CD8" w:rsidR="007864CC" w:rsidRDefault="007864CC" w:rsidP="007864CC">
            <w:pPr>
              <w:pStyle w:val="Tabletext"/>
            </w:pPr>
            <w:r w:rsidRPr="00CA6054">
              <w:rPr>
                <w:color w:val="000000"/>
              </w:rPr>
              <w:t>Australian Publishers Association Limited</w:t>
            </w:r>
          </w:p>
        </w:tc>
        <w:tc>
          <w:tcPr>
            <w:tcW w:w="2280" w:type="dxa"/>
            <w:tcBorders>
              <w:top w:val="single" w:sz="4" w:space="0" w:color="auto"/>
              <w:left w:val="nil"/>
              <w:bottom w:val="single" w:sz="4" w:space="0" w:color="auto"/>
              <w:right w:val="nil"/>
            </w:tcBorders>
          </w:tcPr>
          <w:p w14:paraId="6824E022" w14:textId="6356C76B" w:rsidR="007864CC" w:rsidRDefault="007864CC" w:rsidP="007864CC">
            <w:pPr>
              <w:pStyle w:val="Tabletext"/>
              <w:jc w:val="center"/>
            </w:pPr>
            <w:r>
              <w:t>6</w:t>
            </w:r>
          </w:p>
        </w:tc>
      </w:tr>
      <w:tr w:rsidR="007864CC" w14:paraId="635A6A5E" w14:textId="77777777" w:rsidTr="007864CC">
        <w:trPr>
          <w:cantSplit/>
        </w:trPr>
        <w:tc>
          <w:tcPr>
            <w:tcW w:w="6946" w:type="dxa"/>
            <w:tcBorders>
              <w:top w:val="single" w:sz="4" w:space="0" w:color="auto"/>
              <w:left w:val="nil"/>
              <w:bottom w:val="single" w:sz="4" w:space="0" w:color="auto"/>
              <w:right w:val="nil"/>
            </w:tcBorders>
          </w:tcPr>
          <w:p w14:paraId="114E43E8" w14:textId="132D429E" w:rsidR="007864CC" w:rsidRDefault="007864CC" w:rsidP="007864CC">
            <w:pPr>
              <w:pStyle w:val="Tabletext"/>
            </w:pPr>
            <w:r w:rsidRPr="00CA6054">
              <w:rPr>
                <w:color w:val="000000"/>
              </w:rPr>
              <w:t>Australian Screen Directors Authorship Collecting Society</w:t>
            </w:r>
          </w:p>
        </w:tc>
        <w:tc>
          <w:tcPr>
            <w:tcW w:w="2280" w:type="dxa"/>
            <w:tcBorders>
              <w:top w:val="single" w:sz="4" w:space="0" w:color="auto"/>
              <w:left w:val="nil"/>
              <w:bottom w:val="single" w:sz="4" w:space="0" w:color="auto"/>
              <w:right w:val="nil"/>
            </w:tcBorders>
          </w:tcPr>
          <w:p w14:paraId="028FD7E7" w14:textId="4A616CB5" w:rsidR="007864CC" w:rsidRDefault="007864CC" w:rsidP="007864CC">
            <w:pPr>
              <w:pStyle w:val="Tabletext"/>
              <w:jc w:val="center"/>
            </w:pPr>
            <w:r>
              <w:t>7</w:t>
            </w:r>
          </w:p>
        </w:tc>
      </w:tr>
      <w:tr w:rsidR="007864CC" w14:paraId="630D9A48" w14:textId="77777777" w:rsidTr="007864CC">
        <w:trPr>
          <w:cantSplit/>
        </w:trPr>
        <w:tc>
          <w:tcPr>
            <w:tcW w:w="6946" w:type="dxa"/>
            <w:tcBorders>
              <w:top w:val="single" w:sz="4" w:space="0" w:color="auto"/>
              <w:left w:val="nil"/>
              <w:bottom w:val="single" w:sz="4" w:space="0" w:color="auto"/>
              <w:right w:val="nil"/>
            </w:tcBorders>
          </w:tcPr>
          <w:p w14:paraId="29454466" w14:textId="16943645" w:rsidR="007864CC" w:rsidRDefault="007864CC" w:rsidP="007864CC">
            <w:pPr>
              <w:pStyle w:val="Tabletext"/>
            </w:pPr>
            <w:r w:rsidRPr="00CA6054">
              <w:t>Australian Society of Authors</w:t>
            </w:r>
          </w:p>
        </w:tc>
        <w:tc>
          <w:tcPr>
            <w:tcW w:w="2280" w:type="dxa"/>
            <w:tcBorders>
              <w:top w:val="single" w:sz="4" w:space="0" w:color="auto"/>
              <w:left w:val="nil"/>
              <w:bottom w:val="single" w:sz="4" w:space="0" w:color="auto"/>
              <w:right w:val="nil"/>
            </w:tcBorders>
          </w:tcPr>
          <w:p w14:paraId="615DB5A0" w14:textId="4EF2B8BA" w:rsidR="007864CC" w:rsidRDefault="007864CC" w:rsidP="007864CC">
            <w:pPr>
              <w:pStyle w:val="Tabletext"/>
              <w:jc w:val="center"/>
            </w:pPr>
            <w:r>
              <w:t>8</w:t>
            </w:r>
          </w:p>
        </w:tc>
      </w:tr>
      <w:tr w:rsidR="007864CC" w14:paraId="1592D008" w14:textId="77777777" w:rsidTr="007864CC">
        <w:trPr>
          <w:cantSplit/>
        </w:trPr>
        <w:tc>
          <w:tcPr>
            <w:tcW w:w="6946" w:type="dxa"/>
            <w:tcBorders>
              <w:top w:val="single" w:sz="4" w:space="0" w:color="auto"/>
              <w:left w:val="nil"/>
              <w:bottom w:val="single" w:sz="4" w:space="0" w:color="auto"/>
              <w:right w:val="nil"/>
            </w:tcBorders>
          </w:tcPr>
          <w:p w14:paraId="27915AD3" w14:textId="50A5923C" w:rsidR="007864CC" w:rsidRDefault="007864CC" w:rsidP="007864CC">
            <w:pPr>
              <w:pStyle w:val="Tabletext"/>
            </w:pPr>
            <w:r w:rsidRPr="00CA6054">
              <w:rPr>
                <w:color w:val="000000"/>
              </w:rPr>
              <w:t>Copyright Advisory Group</w:t>
            </w:r>
          </w:p>
        </w:tc>
        <w:tc>
          <w:tcPr>
            <w:tcW w:w="2280" w:type="dxa"/>
            <w:tcBorders>
              <w:top w:val="single" w:sz="4" w:space="0" w:color="auto"/>
              <w:left w:val="nil"/>
              <w:bottom w:val="single" w:sz="4" w:space="0" w:color="auto"/>
              <w:right w:val="nil"/>
            </w:tcBorders>
          </w:tcPr>
          <w:p w14:paraId="0E56088D" w14:textId="7AE7D964" w:rsidR="007864CC" w:rsidRDefault="007864CC" w:rsidP="007864CC">
            <w:pPr>
              <w:pStyle w:val="Tabletext"/>
              <w:jc w:val="center"/>
            </w:pPr>
            <w:r>
              <w:t>9</w:t>
            </w:r>
          </w:p>
        </w:tc>
      </w:tr>
      <w:tr w:rsidR="007864CC" w14:paraId="44818895" w14:textId="77777777" w:rsidTr="007864CC">
        <w:trPr>
          <w:cantSplit/>
        </w:trPr>
        <w:tc>
          <w:tcPr>
            <w:tcW w:w="6946" w:type="dxa"/>
            <w:tcBorders>
              <w:top w:val="single" w:sz="4" w:space="0" w:color="auto"/>
              <w:left w:val="nil"/>
              <w:bottom w:val="single" w:sz="4" w:space="0" w:color="auto"/>
              <w:right w:val="nil"/>
            </w:tcBorders>
          </w:tcPr>
          <w:p w14:paraId="23E89769" w14:textId="2B8BCA1D" w:rsidR="007864CC" w:rsidRDefault="007864CC" w:rsidP="007864CC">
            <w:pPr>
              <w:pStyle w:val="Tabletext"/>
            </w:pPr>
            <w:r w:rsidRPr="00CA6054">
              <w:rPr>
                <w:color w:val="000000"/>
              </w:rPr>
              <w:t>Copyright Agency</w:t>
            </w:r>
          </w:p>
        </w:tc>
        <w:tc>
          <w:tcPr>
            <w:tcW w:w="2280" w:type="dxa"/>
            <w:tcBorders>
              <w:top w:val="single" w:sz="4" w:space="0" w:color="auto"/>
              <w:left w:val="nil"/>
              <w:bottom w:val="single" w:sz="4" w:space="0" w:color="auto"/>
              <w:right w:val="nil"/>
            </w:tcBorders>
          </w:tcPr>
          <w:p w14:paraId="2D056F09" w14:textId="2CD58CE2" w:rsidR="007864CC" w:rsidRDefault="007864CC" w:rsidP="007864CC">
            <w:pPr>
              <w:pStyle w:val="Tabletext"/>
              <w:jc w:val="center"/>
            </w:pPr>
            <w:r>
              <w:t>10</w:t>
            </w:r>
          </w:p>
        </w:tc>
      </w:tr>
      <w:tr w:rsidR="007864CC" w14:paraId="7FF84CD6" w14:textId="77777777" w:rsidTr="007864CC">
        <w:trPr>
          <w:cantSplit/>
        </w:trPr>
        <w:tc>
          <w:tcPr>
            <w:tcW w:w="6946" w:type="dxa"/>
            <w:tcBorders>
              <w:top w:val="single" w:sz="4" w:space="0" w:color="auto"/>
              <w:left w:val="nil"/>
              <w:bottom w:val="single" w:sz="4" w:space="0" w:color="auto"/>
              <w:right w:val="nil"/>
            </w:tcBorders>
          </w:tcPr>
          <w:p w14:paraId="236510D7" w14:textId="178A857B" w:rsidR="007864CC" w:rsidRDefault="007864CC" w:rsidP="007864CC">
            <w:pPr>
              <w:pStyle w:val="Tabletext"/>
            </w:pPr>
            <w:r w:rsidRPr="00CA6054">
              <w:rPr>
                <w:color w:val="000000"/>
              </w:rPr>
              <w:t>Council of Australian University Librarians</w:t>
            </w:r>
          </w:p>
        </w:tc>
        <w:tc>
          <w:tcPr>
            <w:tcW w:w="2280" w:type="dxa"/>
            <w:tcBorders>
              <w:top w:val="single" w:sz="4" w:space="0" w:color="auto"/>
              <w:left w:val="nil"/>
              <w:bottom w:val="single" w:sz="4" w:space="0" w:color="auto"/>
              <w:right w:val="nil"/>
            </w:tcBorders>
          </w:tcPr>
          <w:p w14:paraId="7743D2BB" w14:textId="382F8F2F" w:rsidR="007864CC" w:rsidRDefault="007864CC" w:rsidP="007864CC">
            <w:pPr>
              <w:pStyle w:val="Tabletext"/>
              <w:jc w:val="center"/>
            </w:pPr>
            <w:r>
              <w:t>11</w:t>
            </w:r>
          </w:p>
        </w:tc>
      </w:tr>
      <w:tr w:rsidR="007864CC" w14:paraId="1281EAFD" w14:textId="77777777" w:rsidTr="007864CC">
        <w:trPr>
          <w:cantSplit/>
        </w:trPr>
        <w:tc>
          <w:tcPr>
            <w:tcW w:w="6946" w:type="dxa"/>
            <w:tcBorders>
              <w:top w:val="single" w:sz="4" w:space="0" w:color="auto"/>
              <w:left w:val="nil"/>
              <w:bottom w:val="single" w:sz="4" w:space="0" w:color="auto"/>
              <w:right w:val="nil"/>
            </w:tcBorders>
          </w:tcPr>
          <w:p w14:paraId="62A6A532" w14:textId="1394CD34" w:rsidR="007864CC" w:rsidRDefault="007864CC" w:rsidP="007864CC">
            <w:pPr>
              <w:pStyle w:val="Tabletext"/>
            </w:pPr>
            <w:r w:rsidRPr="00CA6054">
              <w:rPr>
                <w:color w:val="000000"/>
              </w:rPr>
              <w:t>D’Arcy Partnership</w:t>
            </w:r>
          </w:p>
        </w:tc>
        <w:tc>
          <w:tcPr>
            <w:tcW w:w="2280" w:type="dxa"/>
            <w:tcBorders>
              <w:top w:val="single" w:sz="4" w:space="0" w:color="auto"/>
              <w:left w:val="nil"/>
              <w:bottom w:val="single" w:sz="4" w:space="0" w:color="auto"/>
              <w:right w:val="nil"/>
            </w:tcBorders>
          </w:tcPr>
          <w:p w14:paraId="2E1C6600" w14:textId="4E90F02C" w:rsidR="007864CC" w:rsidRDefault="007864CC" w:rsidP="007864CC">
            <w:pPr>
              <w:pStyle w:val="Tabletext"/>
              <w:jc w:val="center"/>
            </w:pPr>
            <w:r>
              <w:t>12</w:t>
            </w:r>
          </w:p>
        </w:tc>
      </w:tr>
      <w:tr w:rsidR="007864CC" w14:paraId="71CA751E" w14:textId="77777777" w:rsidTr="007864CC">
        <w:trPr>
          <w:cantSplit/>
        </w:trPr>
        <w:tc>
          <w:tcPr>
            <w:tcW w:w="6946" w:type="dxa"/>
            <w:tcBorders>
              <w:top w:val="single" w:sz="4" w:space="0" w:color="auto"/>
              <w:left w:val="nil"/>
              <w:bottom w:val="single" w:sz="4" w:space="0" w:color="auto"/>
              <w:right w:val="nil"/>
            </w:tcBorders>
          </w:tcPr>
          <w:p w14:paraId="6490E350" w14:textId="295AAF3D" w:rsidR="007864CC" w:rsidRDefault="007864CC" w:rsidP="007864CC">
            <w:pPr>
              <w:pStyle w:val="Tabletext"/>
            </w:pPr>
            <w:r w:rsidRPr="00CA6054">
              <w:rPr>
                <w:color w:val="000000"/>
              </w:rPr>
              <w:t>Free TV Australia</w:t>
            </w:r>
          </w:p>
        </w:tc>
        <w:tc>
          <w:tcPr>
            <w:tcW w:w="2280" w:type="dxa"/>
            <w:tcBorders>
              <w:top w:val="single" w:sz="4" w:space="0" w:color="auto"/>
              <w:left w:val="nil"/>
              <w:bottom w:val="single" w:sz="4" w:space="0" w:color="auto"/>
              <w:right w:val="nil"/>
            </w:tcBorders>
          </w:tcPr>
          <w:p w14:paraId="256D6BBA" w14:textId="1701762D" w:rsidR="007864CC" w:rsidRDefault="007864CC" w:rsidP="007864CC">
            <w:pPr>
              <w:pStyle w:val="Tabletext"/>
              <w:jc w:val="center"/>
            </w:pPr>
            <w:r>
              <w:t>13</w:t>
            </w:r>
          </w:p>
        </w:tc>
      </w:tr>
      <w:tr w:rsidR="007864CC" w14:paraId="7BA3CB5E" w14:textId="77777777" w:rsidTr="007864CC">
        <w:trPr>
          <w:cantSplit/>
        </w:trPr>
        <w:tc>
          <w:tcPr>
            <w:tcW w:w="6946" w:type="dxa"/>
            <w:tcBorders>
              <w:top w:val="single" w:sz="4" w:space="0" w:color="auto"/>
              <w:left w:val="nil"/>
              <w:bottom w:val="single" w:sz="4" w:space="0" w:color="auto"/>
              <w:right w:val="nil"/>
            </w:tcBorders>
          </w:tcPr>
          <w:p w14:paraId="4F5A8E18" w14:textId="2E1F6CF9" w:rsidR="007864CC" w:rsidRDefault="007864CC" w:rsidP="007864CC">
            <w:pPr>
              <w:pStyle w:val="Tabletext"/>
            </w:pPr>
            <w:r w:rsidRPr="00CA6054">
              <w:rPr>
                <w:color w:val="000000"/>
              </w:rPr>
              <w:t>International Federation of Reproduction Rights Organisations</w:t>
            </w:r>
          </w:p>
        </w:tc>
        <w:tc>
          <w:tcPr>
            <w:tcW w:w="2280" w:type="dxa"/>
            <w:tcBorders>
              <w:top w:val="single" w:sz="4" w:space="0" w:color="auto"/>
              <w:left w:val="nil"/>
              <w:bottom w:val="single" w:sz="4" w:space="0" w:color="auto"/>
              <w:right w:val="nil"/>
            </w:tcBorders>
          </w:tcPr>
          <w:p w14:paraId="600A0662" w14:textId="06A45105" w:rsidR="007864CC" w:rsidRDefault="007864CC" w:rsidP="007864CC">
            <w:pPr>
              <w:pStyle w:val="Tabletext"/>
              <w:jc w:val="center"/>
            </w:pPr>
            <w:r>
              <w:t>14</w:t>
            </w:r>
          </w:p>
        </w:tc>
      </w:tr>
      <w:tr w:rsidR="007864CC" w14:paraId="28B90979" w14:textId="77777777" w:rsidTr="007864CC">
        <w:trPr>
          <w:cantSplit/>
        </w:trPr>
        <w:tc>
          <w:tcPr>
            <w:tcW w:w="6946" w:type="dxa"/>
            <w:tcBorders>
              <w:top w:val="single" w:sz="4" w:space="0" w:color="auto"/>
              <w:left w:val="nil"/>
              <w:bottom w:val="single" w:sz="4" w:space="0" w:color="auto"/>
              <w:right w:val="nil"/>
            </w:tcBorders>
          </w:tcPr>
          <w:p w14:paraId="131E6EBF" w14:textId="68C4E802" w:rsidR="007864CC" w:rsidRDefault="007864CC" w:rsidP="007864CC">
            <w:pPr>
              <w:pStyle w:val="Tabletext"/>
            </w:pPr>
            <w:r w:rsidRPr="000A15CF">
              <w:rPr>
                <w:color w:val="000000"/>
              </w:rPr>
              <w:t>International Federati</w:t>
            </w:r>
            <w:r>
              <w:rPr>
                <w:color w:val="000000"/>
              </w:rPr>
              <w:t>on of the Phonographic Industry</w:t>
            </w:r>
          </w:p>
        </w:tc>
        <w:tc>
          <w:tcPr>
            <w:tcW w:w="2280" w:type="dxa"/>
            <w:tcBorders>
              <w:top w:val="single" w:sz="4" w:space="0" w:color="auto"/>
              <w:left w:val="nil"/>
              <w:bottom w:val="single" w:sz="4" w:space="0" w:color="auto"/>
              <w:right w:val="nil"/>
            </w:tcBorders>
          </w:tcPr>
          <w:p w14:paraId="118B5142" w14:textId="65058198" w:rsidR="007864CC" w:rsidRDefault="007864CC" w:rsidP="007864CC">
            <w:pPr>
              <w:pStyle w:val="Tabletext"/>
              <w:jc w:val="center"/>
            </w:pPr>
            <w:r>
              <w:t>15</w:t>
            </w:r>
          </w:p>
        </w:tc>
      </w:tr>
      <w:tr w:rsidR="007864CC" w14:paraId="5D85C720" w14:textId="77777777" w:rsidTr="007864CC">
        <w:trPr>
          <w:cantSplit/>
        </w:trPr>
        <w:tc>
          <w:tcPr>
            <w:tcW w:w="6946" w:type="dxa"/>
            <w:tcBorders>
              <w:top w:val="single" w:sz="4" w:space="0" w:color="auto"/>
              <w:left w:val="nil"/>
              <w:bottom w:val="single" w:sz="4" w:space="0" w:color="auto"/>
              <w:right w:val="nil"/>
            </w:tcBorders>
          </w:tcPr>
          <w:p w14:paraId="25D9EF74" w14:textId="1F49A180" w:rsidR="007864CC" w:rsidRDefault="007864CC" w:rsidP="007864CC">
            <w:pPr>
              <w:pStyle w:val="Tabletext"/>
            </w:pPr>
            <w:r w:rsidRPr="00CA6054">
              <w:rPr>
                <w:color w:val="000000"/>
              </w:rPr>
              <w:t>Isentia</w:t>
            </w:r>
          </w:p>
        </w:tc>
        <w:tc>
          <w:tcPr>
            <w:tcW w:w="2280" w:type="dxa"/>
            <w:tcBorders>
              <w:top w:val="single" w:sz="4" w:space="0" w:color="auto"/>
              <w:left w:val="nil"/>
              <w:bottom w:val="single" w:sz="4" w:space="0" w:color="auto"/>
              <w:right w:val="nil"/>
            </w:tcBorders>
          </w:tcPr>
          <w:p w14:paraId="34C3FB20" w14:textId="66C579F3" w:rsidR="007864CC" w:rsidRDefault="007864CC" w:rsidP="007864CC">
            <w:pPr>
              <w:pStyle w:val="Tabletext"/>
              <w:jc w:val="center"/>
            </w:pPr>
            <w:r>
              <w:t>16</w:t>
            </w:r>
          </w:p>
        </w:tc>
      </w:tr>
      <w:tr w:rsidR="007864CC" w14:paraId="7156EFB7" w14:textId="77777777" w:rsidTr="007864CC">
        <w:trPr>
          <w:cantSplit/>
        </w:trPr>
        <w:tc>
          <w:tcPr>
            <w:tcW w:w="6946" w:type="dxa"/>
            <w:tcBorders>
              <w:top w:val="single" w:sz="4" w:space="0" w:color="auto"/>
              <w:left w:val="nil"/>
              <w:bottom w:val="single" w:sz="4" w:space="0" w:color="auto"/>
              <w:right w:val="nil"/>
            </w:tcBorders>
          </w:tcPr>
          <w:p w14:paraId="1ECC95E9" w14:textId="40E43FEF" w:rsidR="007864CC" w:rsidRDefault="007864CC" w:rsidP="007864CC">
            <w:pPr>
              <w:pStyle w:val="Tabletext"/>
            </w:pPr>
            <w:r w:rsidRPr="00CA6054">
              <w:rPr>
                <w:color w:val="000000"/>
              </w:rPr>
              <w:t>Live Performance Australia</w:t>
            </w:r>
          </w:p>
        </w:tc>
        <w:tc>
          <w:tcPr>
            <w:tcW w:w="2280" w:type="dxa"/>
            <w:tcBorders>
              <w:top w:val="single" w:sz="4" w:space="0" w:color="auto"/>
              <w:left w:val="nil"/>
              <w:bottom w:val="single" w:sz="4" w:space="0" w:color="auto"/>
              <w:right w:val="nil"/>
            </w:tcBorders>
          </w:tcPr>
          <w:p w14:paraId="299FC50B" w14:textId="0F7599CE" w:rsidR="007864CC" w:rsidRDefault="007864CC" w:rsidP="007864CC">
            <w:pPr>
              <w:pStyle w:val="Tabletext"/>
              <w:jc w:val="center"/>
            </w:pPr>
            <w:r>
              <w:t>17</w:t>
            </w:r>
          </w:p>
        </w:tc>
      </w:tr>
      <w:tr w:rsidR="007864CC" w14:paraId="023DEE38" w14:textId="77777777" w:rsidTr="007864CC">
        <w:trPr>
          <w:cantSplit/>
        </w:trPr>
        <w:tc>
          <w:tcPr>
            <w:tcW w:w="6946" w:type="dxa"/>
            <w:tcBorders>
              <w:top w:val="single" w:sz="4" w:space="0" w:color="auto"/>
              <w:left w:val="nil"/>
              <w:bottom w:val="single" w:sz="4" w:space="0" w:color="auto"/>
              <w:right w:val="nil"/>
            </w:tcBorders>
          </w:tcPr>
          <w:p w14:paraId="48A74628" w14:textId="2D9A2F7B" w:rsidR="007864CC" w:rsidRDefault="007864CC" w:rsidP="007864CC">
            <w:pPr>
              <w:pStyle w:val="Tabletext"/>
            </w:pPr>
            <w:r w:rsidRPr="00CA6054">
              <w:rPr>
                <w:color w:val="000000"/>
              </w:rPr>
              <w:t>Motion Picture Association and Australian Screen Association</w:t>
            </w:r>
          </w:p>
        </w:tc>
        <w:tc>
          <w:tcPr>
            <w:tcW w:w="2280" w:type="dxa"/>
            <w:tcBorders>
              <w:top w:val="single" w:sz="4" w:space="0" w:color="auto"/>
              <w:left w:val="nil"/>
              <w:bottom w:val="single" w:sz="4" w:space="0" w:color="auto"/>
              <w:right w:val="nil"/>
            </w:tcBorders>
          </w:tcPr>
          <w:p w14:paraId="543B4E76" w14:textId="0F1C4BA4" w:rsidR="007864CC" w:rsidRDefault="007864CC" w:rsidP="007864CC">
            <w:pPr>
              <w:pStyle w:val="Tabletext"/>
              <w:jc w:val="center"/>
            </w:pPr>
            <w:r>
              <w:t>18</w:t>
            </w:r>
          </w:p>
        </w:tc>
      </w:tr>
      <w:tr w:rsidR="007864CC" w14:paraId="7D5724B6" w14:textId="77777777" w:rsidTr="007864CC">
        <w:trPr>
          <w:cantSplit/>
        </w:trPr>
        <w:tc>
          <w:tcPr>
            <w:tcW w:w="6946" w:type="dxa"/>
            <w:tcBorders>
              <w:top w:val="single" w:sz="4" w:space="0" w:color="auto"/>
              <w:left w:val="nil"/>
              <w:bottom w:val="single" w:sz="4" w:space="0" w:color="auto"/>
              <w:right w:val="nil"/>
            </w:tcBorders>
          </w:tcPr>
          <w:p w14:paraId="6D43EE1C" w14:textId="4B8E90C5" w:rsidR="007864CC" w:rsidRDefault="007864CC" w:rsidP="007864CC">
            <w:pPr>
              <w:pStyle w:val="Tabletext"/>
            </w:pPr>
            <w:r w:rsidRPr="00CA6054">
              <w:rPr>
                <w:color w:val="000000"/>
              </w:rPr>
              <w:t xml:space="preserve">National </w:t>
            </w:r>
            <w:r>
              <w:rPr>
                <w:color w:val="000000"/>
              </w:rPr>
              <w:t>Association for the Visual Arts</w:t>
            </w:r>
          </w:p>
        </w:tc>
        <w:tc>
          <w:tcPr>
            <w:tcW w:w="2280" w:type="dxa"/>
            <w:tcBorders>
              <w:top w:val="single" w:sz="4" w:space="0" w:color="auto"/>
              <w:left w:val="nil"/>
              <w:bottom w:val="single" w:sz="4" w:space="0" w:color="auto"/>
              <w:right w:val="nil"/>
            </w:tcBorders>
          </w:tcPr>
          <w:p w14:paraId="62129125" w14:textId="3754A644" w:rsidR="007864CC" w:rsidRDefault="007864CC" w:rsidP="007864CC">
            <w:pPr>
              <w:pStyle w:val="Tabletext"/>
              <w:jc w:val="center"/>
            </w:pPr>
            <w:r>
              <w:t>19</w:t>
            </w:r>
          </w:p>
        </w:tc>
      </w:tr>
      <w:tr w:rsidR="007864CC" w14:paraId="1F990CB9" w14:textId="77777777" w:rsidTr="007864CC">
        <w:trPr>
          <w:cantSplit/>
        </w:trPr>
        <w:tc>
          <w:tcPr>
            <w:tcW w:w="6946" w:type="dxa"/>
            <w:tcBorders>
              <w:top w:val="single" w:sz="4" w:space="0" w:color="auto"/>
              <w:left w:val="nil"/>
              <w:bottom w:val="single" w:sz="4" w:space="0" w:color="auto"/>
              <w:right w:val="nil"/>
            </w:tcBorders>
          </w:tcPr>
          <w:p w14:paraId="6BD5E8E2" w14:textId="457B4A3B" w:rsidR="007864CC" w:rsidRDefault="007864CC" w:rsidP="007864CC">
            <w:pPr>
              <w:pStyle w:val="Tabletext"/>
            </w:pPr>
            <w:r w:rsidRPr="00CA6054">
              <w:rPr>
                <w:color w:val="000000"/>
              </w:rPr>
              <w:t>Open Eye Pty Ltd</w:t>
            </w:r>
          </w:p>
        </w:tc>
        <w:tc>
          <w:tcPr>
            <w:tcW w:w="2280" w:type="dxa"/>
            <w:tcBorders>
              <w:top w:val="single" w:sz="4" w:space="0" w:color="auto"/>
              <w:left w:val="nil"/>
              <w:bottom w:val="single" w:sz="4" w:space="0" w:color="auto"/>
              <w:right w:val="nil"/>
            </w:tcBorders>
          </w:tcPr>
          <w:p w14:paraId="08542841" w14:textId="25DB96DF" w:rsidR="007864CC" w:rsidRDefault="007864CC" w:rsidP="007864CC">
            <w:pPr>
              <w:pStyle w:val="Tabletext"/>
              <w:jc w:val="center"/>
            </w:pPr>
            <w:r>
              <w:t>20</w:t>
            </w:r>
          </w:p>
        </w:tc>
      </w:tr>
      <w:tr w:rsidR="007864CC" w14:paraId="3231ECC9" w14:textId="77777777" w:rsidTr="007864CC">
        <w:trPr>
          <w:cantSplit/>
        </w:trPr>
        <w:tc>
          <w:tcPr>
            <w:tcW w:w="6946" w:type="dxa"/>
            <w:tcBorders>
              <w:top w:val="single" w:sz="4" w:space="0" w:color="auto"/>
              <w:left w:val="nil"/>
              <w:bottom w:val="single" w:sz="4" w:space="0" w:color="auto"/>
              <w:right w:val="nil"/>
            </w:tcBorders>
          </w:tcPr>
          <w:p w14:paraId="38D3262D" w14:textId="7437AFE4" w:rsidR="007864CC" w:rsidRDefault="007864CC" w:rsidP="007864CC">
            <w:pPr>
              <w:pStyle w:val="Tabletext"/>
            </w:pPr>
            <w:r w:rsidRPr="00CA6054">
              <w:rPr>
                <w:color w:val="000000"/>
              </w:rPr>
              <w:t>Phonographic P</w:t>
            </w:r>
            <w:r>
              <w:rPr>
                <w:color w:val="000000"/>
              </w:rPr>
              <w:t>erformance Company of Australia</w:t>
            </w:r>
          </w:p>
        </w:tc>
        <w:tc>
          <w:tcPr>
            <w:tcW w:w="2280" w:type="dxa"/>
            <w:tcBorders>
              <w:top w:val="single" w:sz="4" w:space="0" w:color="auto"/>
              <w:left w:val="nil"/>
              <w:bottom w:val="single" w:sz="4" w:space="0" w:color="auto"/>
              <w:right w:val="nil"/>
            </w:tcBorders>
          </w:tcPr>
          <w:p w14:paraId="176C5628" w14:textId="1763B797" w:rsidR="007864CC" w:rsidRDefault="007864CC" w:rsidP="007864CC">
            <w:pPr>
              <w:pStyle w:val="Tabletext"/>
              <w:jc w:val="center"/>
            </w:pPr>
            <w:r>
              <w:t>21</w:t>
            </w:r>
          </w:p>
        </w:tc>
      </w:tr>
      <w:tr w:rsidR="007864CC" w14:paraId="7C0761E0" w14:textId="77777777" w:rsidTr="007864CC">
        <w:trPr>
          <w:cantSplit/>
        </w:trPr>
        <w:tc>
          <w:tcPr>
            <w:tcW w:w="6946" w:type="dxa"/>
            <w:tcBorders>
              <w:top w:val="single" w:sz="4" w:space="0" w:color="auto"/>
              <w:left w:val="nil"/>
              <w:bottom w:val="single" w:sz="4" w:space="0" w:color="auto"/>
              <w:right w:val="nil"/>
            </w:tcBorders>
          </w:tcPr>
          <w:p w14:paraId="307D02EC" w14:textId="6786D5C6" w:rsidR="007864CC" w:rsidRDefault="007864CC" w:rsidP="007864CC">
            <w:pPr>
              <w:pStyle w:val="Tabletext"/>
            </w:pPr>
            <w:r w:rsidRPr="00CA6054">
              <w:rPr>
                <w:color w:val="000000"/>
              </w:rPr>
              <w:t>Queensland University of Technology School of Law</w:t>
            </w:r>
          </w:p>
        </w:tc>
        <w:tc>
          <w:tcPr>
            <w:tcW w:w="2280" w:type="dxa"/>
            <w:tcBorders>
              <w:top w:val="single" w:sz="4" w:space="0" w:color="auto"/>
              <w:left w:val="nil"/>
              <w:bottom w:val="single" w:sz="4" w:space="0" w:color="auto"/>
              <w:right w:val="nil"/>
            </w:tcBorders>
          </w:tcPr>
          <w:p w14:paraId="46E5E177" w14:textId="3AC3F66E" w:rsidR="007864CC" w:rsidRDefault="007864CC" w:rsidP="007864CC">
            <w:pPr>
              <w:pStyle w:val="Tabletext"/>
              <w:jc w:val="center"/>
            </w:pPr>
            <w:r>
              <w:t>22</w:t>
            </w:r>
          </w:p>
        </w:tc>
      </w:tr>
      <w:tr w:rsidR="007864CC" w14:paraId="3A194ECD" w14:textId="77777777" w:rsidTr="007864CC">
        <w:trPr>
          <w:cantSplit/>
        </w:trPr>
        <w:tc>
          <w:tcPr>
            <w:tcW w:w="6946" w:type="dxa"/>
            <w:tcBorders>
              <w:top w:val="single" w:sz="4" w:space="0" w:color="auto"/>
              <w:left w:val="nil"/>
              <w:bottom w:val="single" w:sz="4" w:space="0" w:color="auto"/>
              <w:right w:val="nil"/>
            </w:tcBorders>
          </w:tcPr>
          <w:p w14:paraId="39118C1E" w14:textId="0AD1AA36" w:rsidR="007864CC" w:rsidRDefault="007864CC" w:rsidP="007864CC">
            <w:pPr>
              <w:pStyle w:val="Tabletext"/>
            </w:pPr>
            <w:r w:rsidRPr="00CA6054">
              <w:rPr>
                <w:color w:val="000000"/>
              </w:rPr>
              <w:t>Screenrights</w:t>
            </w:r>
          </w:p>
        </w:tc>
        <w:tc>
          <w:tcPr>
            <w:tcW w:w="2280" w:type="dxa"/>
            <w:tcBorders>
              <w:top w:val="single" w:sz="4" w:space="0" w:color="auto"/>
              <w:left w:val="nil"/>
              <w:bottom w:val="single" w:sz="4" w:space="0" w:color="auto"/>
              <w:right w:val="nil"/>
            </w:tcBorders>
          </w:tcPr>
          <w:p w14:paraId="713930FD" w14:textId="287BA1B3" w:rsidR="007864CC" w:rsidRDefault="007864CC" w:rsidP="007864CC">
            <w:pPr>
              <w:pStyle w:val="Tabletext"/>
              <w:jc w:val="center"/>
            </w:pPr>
            <w:r>
              <w:t>23</w:t>
            </w:r>
          </w:p>
        </w:tc>
      </w:tr>
      <w:tr w:rsidR="007864CC" w14:paraId="5A487200" w14:textId="77777777" w:rsidTr="007864CC">
        <w:trPr>
          <w:cantSplit/>
        </w:trPr>
        <w:tc>
          <w:tcPr>
            <w:tcW w:w="6946" w:type="dxa"/>
            <w:tcBorders>
              <w:top w:val="single" w:sz="4" w:space="0" w:color="auto"/>
              <w:left w:val="nil"/>
              <w:bottom w:val="single" w:sz="12" w:space="0" w:color="auto"/>
              <w:right w:val="nil"/>
            </w:tcBorders>
          </w:tcPr>
          <w:p w14:paraId="725D94FE" w14:textId="7AA82902" w:rsidR="007864CC" w:rsidRDefault="007864CC" w:rsidP="007864CC">
            <w:pPr>
              <w:pStyle w:val="Tabletext"/>
            </w:pPr>
            <w:r w:rsidRPr="00CA6054">
              <w:rPr>
                <w:color w:val="000000"/>
              </w:rPr>
              <w:t>Universities Australia</w:t>
            </w:r>
          </w:p>
        </w:tc>
        <w:tc>
          <w:tcPr>
            <w:tcW w:w="2280" w:type="dxa"/>
            <w:tcBorders>
              <w:top w:val="single" w:sz="4" w:space="0" w:color="auto"/>
              <w:left w:val="nil"/>
              <w:bottom w:val="single" w:sz="12" w:space="0" w:color="auto"/>
              <w:right w:val="nil"/>
            </w:tcBorders>
          </w:tcPr>
          <w:p w14:paraId="0B29B66F" w14:textId="203A22CC" w:rsidR="007864CC" w:rsidRDefault="007864CC" w:rsidP="007864CC">
            <w:pPr>
              <w:pStyle w:val="Tabletext"/>
              <w:jc w:val="center"/>
            </w:pPr>
            <w:r>
              <w:t>24</w:t>
            </w:r>
          </w:p>
        </w:tc>
      </w:tr>
    </w:tbl>
    <w:p w14:paraId="14DD9C36" w14:textId="77777777" w:rsidR="007864CC" w:rsidRDefault="007864CC" w:rsidP="007E7021"/>
    <w:p w14:paraId="5F424091" w14:textId="410615AD" w:rsidR="007E7021" w:rsidRDefault="007E7021" w:rsidP="007E7021">
      <w:r>
        <w:t xml:space="preserve">In addition to consultation on the discussion paper, the </w:t>
      </w:r>
      <w:r w:rsidR="002E7D11">
        <w:t xml:space="preserve">Bureau </w:t>
      </w:r>
      <w:r>
        <w:t xml:space="preserve">has undertaken a range of other research and consultation processes to inform its analysis and its development of potential options for </w:t>
      </w:r>
      <w:r w:rsidR="002E7D11">
        <w:t>improving the Code</w:t>
      </w:r>
      <w:r>
        <w:t>. This has included extensive desktop research and analysis of collecting societies</w:t>
      </w:r>
      <w:r w:rsidR="00CB5959">
        <w:t>’</w:t>
      </w:r>
      <w:r>
        <w:t xml:space="preserve"> operations and governance, past government reviews of copyright matters, and historical reviews of the Code and compliance with it. The B</w:t>
      </w:r>
      <w:r w:rsidR="002E7D11">
        <w:t>ureau</w:t>
      </w:r>
      <w:r>
        <w:t xml:space="preserve"> has also analysed trends, developments and approaches to regulation of collective management organisations in international jurisdictions (see Appendix E for an overview of international analysis).</w:t>
      </w:r>
    </w:p>
    <w:p w14:paraId="0BB3DB90" w14:textId="217A58EE" w:rsidR="007E7021" w:rsidRDefault="007E7021" w:rsidP="007E7021">
      <w:r>
        <w:t>Other forms of consultation the B</w:t>
      </w:r>
      <w:r w:rsidR="002E7D11">
        <w:t>ureau</w:t>
      </w:r>
      <w:r>
        <w:t xml:space="preserve"> has undertaken have included individual meetings with a wide range of stakeholders with an interest in copyright matters. Meetings have been held with a cross-section of collecting societies, licensees, government stakeholders and industry bodies. The review team met with the</w:t>
      </w:r>
      <w:r w:rsidRPr="001C0872">
        <w:t xml:space="preserve"> Hon </w:t>
      </w:r>
      <w:r>
        <w:t>Dr</w:t>
      </w:r>
      <w:r w:rsidRPr="001C0872">
        <w:t xml:space="preserve"> K</w:t>
      </w:r>
      <w:r>
        <w:t xml:space="preserve">evin </w:t>
      </w:r>
      <w:r w:rsidRPr="001C0872">
        <w:t>Lindgren AM, QC,</w:t>
      </w:r>
      <w:r>
        <w:t xml:space="preserve"> who currently performs the role of Code Reviewer. The meeting provided useful insights on the Code review processes.</w:t>
      </w:r>
    </w:p>
    <w:p w14:paraId="0DFAD179" w14:textId="6DB25616" w:rsidR="007E7021" w:rsidRDefault="007E7021" w:rsidP="007E7021">
      <w:r>
        <w:t>The B</w:t>
      </w:r>
      <w:r w:rsidR="002E7D11">
        <w:t>ureau</w:t>
      </w:r>
      <w:r>
        <w:t xml:space="preserve"> has also consulted with other government agencies with a particular interest in copyright matters.</w:t>
      </w:r>
    </w:p>
    <w:p w14:paraId="6A42BE3C" w14:textId="693509C4" w:rsidR="007E7021" w:rsidRDefault="007E7021" w:rsidP="007E7021">
      <w:r>
        <w:t>The B</w:t>
      </w:r>
      <w:r w:rsidR="002E7D11">
        <w:t>ureau</w:t>
      </w:r>
      <w:r>
        <w:t xml:space="preserve"> established an External Reference Group (ERG) to provide industry expertise and guidance to the review, comprising stakeholder representatives from collecting societies, licensee groups, rightsholder groups and other interested parties. Input from the ERG has assisted the </w:t>
      </w:r>
      <w:r w:rsidR="002E7D11">
        <w:t xml:space="preserve">Bureau </w:t>
      </w:r>
      <w:r>
        <w:t xml:space="preserve">in formulating findings and recommendations as to potential options for </w:t>
      </w:r>
      <w:r w:rsidR="002E7D11">
        <w:t>improving the Code</w:t>
      </w:r>
      <w:r>
        <w:t>. The ERG membership is listed at Table A2.</w:t>
      </w:r>
    </w:p>
    <w:p w14:paraId="1D88F53E" w14:textId="32C4963F" w:rsidR="007E7021" w:rsidRDefault="007E7021" w:rsidP="007E7021">
      <w:r>
        <w:t>Following submissions and consultation on the draft report, the B</w:t>
      </w:r>
      <w:r w:rsidR="002E7D11">
        <w:t>ureau</w:t>
      </w:r>
      <w:r>
        <w:t xml:space="preserve"> will provide a final report, including recommendations on ways to improve overall </w:t>
      </w:r>
      <w:r w:rsidRPr="00AC5B34">
        <w:t xml:space="preserve">confidence in the system, to the Minister for Communications </w:t>
      </w:r>
      <w:r>
        <w:t>in</w:t>
      </w:r>
      <w:r w:rsidRPr="00AC5B34">
        <w:t xml:space="preserve"> 2018.</w:t>
      </w:r>
    </w:p>
    <w:p w14:paraId="2A34FF27" w14:textId="77777777" w:rsidR="007E7021" w:rsidRDefault="007E7021" w:rsidP="007E7021">
      <w:pPr>
        <w:pStyle w:val="Tablefigureheading"/>
      </w:pPr>
      <w:bookmarkStart w:id="269" w:name="_Toc499823243"/>
      <w:bookmarkStart w:id="270" w:name="_Toc501010981"/>
      <w:bookmarkStart w:id="271" w:name="_Toc506371896"/>
      <w:r w:rsidRPr="000F3C1C">
        <w:t xml:space="preserve">Table </w:t>
      </w:r>
      <w:r>
        <w:t>A</w:t>
      </w:r>
      <w:r w:rsidRPr="000F3C1C">
        <w:t>2.</w:t>
      </w:r>
      <w:r>
        <w:t xml:space="preserve"> Membership of the External Reference Group</w:t>
      </w:r>
      <w:bookmarkEnd w:id="269"/>
      <w:bookmarkEnd w:id="270"/>
      <w:bookmarkEnd w:id="271"/>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A2. Membership of the External Reference Group.&#10;&#10;Table A2 lists the parties who are a member of the External Reference Group that was established to provide industry expertise and guidance to the review process.  It shows there was a diversity of stakeholders represented by the group, including government, collecting societies, licensees and industry associations."/>
      </w:tblPr>
      <w:tblGrid>
        <w:gridCol w:w="4111"/>
        <w:gridCol w:w="5115"/>
      </w:tblGrid>
      <w:tr w:rsidR="00897FD5" w14:paraId="1FA63556" w14:textId="77777777" w:rsidTr="00897FD5">
        <w:trPr>
          <w:cantSplit/>
          <w:tblHeader/>
        </w:trPr>
        <w:tc>
          <w:tcPr>
            <w:tcW w:w="4111" w:type="dxa"/>
            <w:tcBorders>
              <w:top w:val="nil"/>
              <w:left w:val="nil"/>
              <w:bottom w:val="thickThinLargeGap" w:sz="24" w:space="0" w:color="auto"/>
              <w:right w:val="nil"/>
            </w:tcBorders>
            <w:shd w:val="clear" w:color="auto" w:fill="113651"/>
          </w:tcPr>
          <w:p w14:paraId="2C1A4602" w14:textId="755218F8" w:rsidR="00897FD5" w:rsidRDefault="00897FD5" w:rsidP="00CC6845">
            <w:pPr>
              <w:pStyle w:val="Tableheading"/>
            </w:pPr>
            <w:r>
              <w:t>Name</w:t>
            </w:r>
          </w:p>
        </w:tc>
        <w:tc>
          <w:tcPr>
            <w:tcW w:w="5115" w:type="dxa"/>
            <w:tcBorders>
              <w:top w:val="nil"/>
              <w:left w:val="nil"/>
              <w:bottom w:val="thickThinLargeGap" w:sz="24" w:space="0" w:color="auto"/>
              <w:right w:val="nil"/>
            </w:tcBorders>
            <w:shd w:val="clear" w:color="auto" w:fill="113651"/>
          </w:tcPr>
          <w:p w14:paraId="06FC7F24" w14:textId="06E7B695" w:rsidR="00897FD5" w:rsidRDefault="00897FD5" w:rsidP="00CC6845">
            <w:pPr>
              <w:pStyle w:val="Tableheading"/>
            </w:pPr>
            <w:r>
              <w:t>Stakeholder type</w:t>
            </w:r>
          </w:p>
        </w:tc>
      </w:tr>
      <w:tr w:rsidR="00897FD5" w14:paraId="7F3F548A" w14:textId="77777777" w:rsidTr="00897FD5">
        <w:trPr>
          <w:cantSplit/>
        </w:trPr>
        <w:tc>
          <w:tcPr>
            <w:tcW w:w="4111" w:type="dxa"/>
            <w:tcBorders>
              <w:top w:val="thickThinLargeGap" w:sz="24" w:space="0" w:color="auto"/>
              <w:left w:val="nil"/>
              <w:bottom w:val="single" w:sz="4" w:space="0" w:color="auto"/>
              <w:right w:val="nil"/>
            </w:tcBorders>
          </w:tcPr>
          <w:p w14:paraId="4658F2FE" w14:textId="534BB094" w:rsidR="00897FD5" w:rsidRDefault="00897FD5" w:rsidP="00897FD5">
            <w:pPr>
              <w:pStyle w:val="Tablerowtext"/>
            </w:pPr>
            <w:r w:rsidRPr="003518A5">
              <w:t>Bureau of Communications and Arts Research</w:t>
            </w:r>
          </w:p>
        </w:tc>
        <w:tc>
          <w:tcPr>
            <w:tcW w:w="5115" w:type="dxa"/>
            <w:tcBorders>
              <w:top w:val="thickThinLargeGap" w:sz="24" w:space="0" w:color="auto"/>
              <w:left w:val="nil"/>
              <w:bottom w:val="single" w:sz="4" w:space="0" w:color="auto"/>
              <w:right w:val="nil"/>
            </w:tcBorders>
          </w:tcPr>
          <w:p w14:paraId="5D6ED071" w14:textId="19C1F7E8" w:rsidR="00897FD5" w:rsidRDefault="00897FD5" w:rsidP="00897FD5">
            <w:pPr>
              <w:pStyle w:val="Tablerowtext"/>
            </w:pPr>
            <w:r w:rsidRPr="003518A5">
              <w:t>Reference group lead</w:t>
            </w:r>
          </w:p>
        </w:tc>
      </w:tr>
      <w:tr w:rsidR="00897FD5" w14:paraId="047DEC4C" w14:textId="77777777" w:rsidTr="00897FD5">
        <w:trPr>
          <w:cantSplit/>
        </w:trPr>
        <w:tc>
          <w:tcPr>
            <w:tcW w:w="4111" w:type="dxa"/>
            <w:tcBorders>
              <w:top w:val="single" w:sz="4" w:space="0" w:color="auto"/>
              <w:left w:val="nil"/>
              <w:bottom w:val="single" w:sz="4" w:space="0" w:color="auto"/>
              <w:right w:val="nil"/>
            </w:tcBorders>
          </w:tcPr>
          <w:p w14:paraId="3B9B3C00" w14:textId="41504677" w:rsidR="00897FD5" w:rsidRDefault="00897FD5" w:rsidP="00897FD5">
            <w:pPr>
              <w:pStyle w:val="Tablerowtext"/>
            </w:pPr>
            <w:r w:rsidRPr="003518A5">
              <w:t>Copyright Agency</w:t>
            </w:r>
          </w:p>
        </w:tc>
        <w:tc>
          <w:tcPr>
            <w:tcW w:w="5115" w:type="dxa"/>
            <w:tcBorders>
              <w:top w:val="single" w:sz="4" w:space="0" w:color="auto"/>
              <w:left w:val="nil"/>
              <w:bottom w:val="single" w:sz="4" w:space="0" w:color="auto"/>
              <w:right w:val="nil"/>
            </w:tcBorders>
          </w:tcPr>
          <w:p w14:paraId="4D59AE3B" w14:textId="3FAC0C23" w:rsidR="00897FD5" w:rsidRDefault="00897FD5" w:rsidP="00897FD5">
            <w:pPr>
              <w:pStyle w:val="Tablerowtext"/>
            </w:pPr>
            <w:r w:rsidRPr="003518A5">
              <w:t>Declared copyright collecting society</w:t>
            </w:r>
          </w:p>
        </w:tc>
      </w:tr>
      <w:tr w:rsidR="00897FD5" w14:paraId="0CFC6D8E" w14:textId="77777777" w:rsidTr="00897FD5">
        <w:trPr>
          <w:cantSplit/>
        </w:trPr>
        <w:tc>
          <w:tcPr>
            <w:tcW w:w="4111" w:type="dxa"/>
            <w:tcBorders>
              <w:top w:val="single" w:sz="4" w:space="0" w:color="auto"/>
              <w:left w:val="nil"/>
              <w:bottom w:val="single" w:sz="4" w:space="0" w:color="auto"/>
              <w:right w:val="nil"/>
            </w:tcBorders>
          </w:tcPr>
          <w:p w14:paraId="6DDED16F" w14:textId="465A6A70" w:rsidR="00897FD5" w:rsidRDefault="00897FD5" w:rsidP="00897FD5">
            <w:pPr>
              <w:pStyle w:val="Tablerowtext"/>
            </w:pPr>
            <w:r w:rsidRPr="003518A5">
              <w:t>Screenrights</w:t>
            </w:r>
          </w:p>
        </w:tc>
        <w:tc>
          <w:tcPr>
            <w:tcW w:w="5115" w:type="dxa"/>
            <w:tcBorders>
              <w:top w:val="single" w:sz="4" w:space="0" w:color="auto"/>
              <w:left w:val="nil"/>
              <w:bottom w:val="single" w:sz="4" w:space="0" w:color="auto"/>
              <w:right w:val="nil"/>
            </w:tcBorders>
          </w:tcPr>
          <w:p w14:paraId="18158783" w14:textId="15B22EB8" w:rsidR="00897FD5" w:rsidRDefault="00897FD5" w:rsidP="00897FD5">
            <w:pPr>
              <w:pStyle w:val="Tablerowtext"/>
            </w:pPr>
            <w:r w:rsidRPr="003518A5">
              <w:t>Declared copyright collecting society</w:t>
            </w:r>
          </w:p>
        </w:tc>
      </w:tr>
      <w:tr w:rsidR="00897FD5" w14:paraId="0DD3C86F" w14:textId="77777777" w:rsidTr="00897FD5">
        <w:trPr>
          <w:cantSplit/>
        </w:trPr>
        <w:tc>
          <w:tcPr>
            <w:tcW w:w="4111" w:type="dxa"/>
            <w:tcBorders>
              <w:top w:val="single" w:sz="4" w:space="0" w:color="auto"/>
              <w:left w:val="nil"/>
              <w:bottom w:val="single" w:sz="4" w:space="0" w:color="auto"/>
              <w:right w:val="nil"/>
            </w:tcBorders>
          </w:tcPr>
          <w:p w14:paraId="4B03A692" w14:textId="6FB70F20" w:rsidR="00897FD5" w:rsidRDefault="00897FD5" w:rsidP="00897FD5">
            <w:pPr>
              <w:pStyle w:val="Tablerowtext"/>
            </w:pPr>
            <w:r w:rsidRPr="003518A5">
              <w:t xml:space="preserve">Australian Performing Rights Association </w:t>
            </w:r>
          </w:p>
        </w:tc>
        <w:tc>
          <w:tcPr>
            <w:tcW w:w="5115" w:type="dxa"/>
            <w:tcBorders>
              <w:top w:val="single" w:sz="4" w:space="0" w:color="auto"/>
              <w:left w:val="nil"/>
              <w:bottom w:val="single" w:sz="4" w:space="0" w:color="auto"/>
              <w:right w:val="nil"/>
            </w:tcBorders>
          </w:tcPr>
          <w:p w14:paraId="6619FB8A" w14:textId="5CCC2700" w:rsidR="00897FD5" w:rsidRDefault="00897FD5" w:rsidP="00897FD5">
            <w:pPr>
              <w:pStyle w:val="Tablerowtext"/>
            </w:pPr>
            <w:r w:rsidRPr="003518A5">
              <w:t>Non-declared copyright collecting society</w:t>
            </w:r>
          </w:p>
        </w:tc>
      </w:tr>
      <w:tr w:rsidR="00897FD5" w14:paraId="7DF255B4" w14:textId="77777777" w:rsidTr="00897FD5">
        <w:trPr>
          <w:cantSplit/>
        </w:trPr>
        <w:tc>
          <w:tcPr>
            <w:tcW w:w="4111" w:type="dxa"/>
            <w:tcBorders>
              <w:top w:val="single" w:sz="4" w:space="0" w:color="auto"/>
              <w:left w:val="nil"/>
              <w:bottom w:val="single" w:sz="4" w:space="0" w:color="auto"/>
              <w:right w:val="nil"/>
            </w:tcBorders>
          </w:tcPr>
          <w:p w14:paraId="10BD0200" w14:textId="1F0105E4" w:rsidR="00897FD5" w:rsidRDefault="00897FD5" w:rsidP="00897FD5">
            <w:pPr>
              <w:pStyle w:val="Tablerowtext"/>
            </w:pPr>
            <w:r w:rsidRPr="003518A5">
              <w:rPr>
                <w:color w:val="000000"/>
              </w:rPr>
              <w:t>Copyright Advisory Group</w:t>
            </w:r>
            <w:r>
              <w:rPr>
                <w:color w:val="000000"/>
              </w:rPr>
              <w:t>—</w:t>
            </w:r>
            <w:r w:rsidRPr="003518A5">
              <w:rPr>
                <w:color w:val="000000"/>
              </w:rPr>
              <w:t>COAG Education Council</w:t>
            </w:r>
          </w:p>
        </w:tc>
        <w:tc>
          <w:tcPr>
            <w:tcW w:w="5115" w:type="dxa"/>
            <w:tcBorders>
              <w:top w:val="single" w:sz="4" w:space="0" w:color="auto"/>
              <w:left w:val="nil"/>
              <w:bottom w:val="single" w:sz="4" w:space="0" w:color="auto"/>
              <w:right w:val="nil"/>
            </w:tcBorders>
          </w:tcPr>
          <w:p w14:paraId="3E026BE7" w14:textId="054BBBF8" w:rsidR="00897FD5" w:rsidRDefault="00897FD5" w:rsidP="00897FD5">
            <w:pPr>
              <w:pStyle w:val="Tablerowtext"/>
            </w:pPr>
            <w:r w:rsidRPr="003518A5">
              <w:t>Statutory licensee association</w:t>
            </w:r>
            <w:r>
              <w:t>—</w:t>
            </w:r>
            <w:r w:rsidRPr="003518A5">
              <w:t>representing all Commonwealth, State and Territory Departments of Education, all Catholic Education Offices, Independent Schools and majority of TAFE colleges</w:t>
            </w:r>
          </w:p>
        </w:tc>
      </w:tr>
      <w:tr w:rsidR="00897FD5" w14:paraId="0B6A1A8E" w14:textId="77777777" w:rsidTr="00897FD5">
        <w:trPr>
          <w:cantSplit/>
        </w:trPr>
        <w:tc>
          <w:tcPr>
            <w:tcW w:w="4111" w:type="dxa"/>
            <w:tcBorders>
              <w:top w:val="single" w:sz="4" w:space="0" w:color="auto"/>
              <w:left w:val="nil"/>
              <w:bottom w:val="single" w:sz="4" w:space="0" w:color="auto"/>
              <w:right w:val="nil"/>
            </w:tcBorders>
          </w:tcPr>
          <w:p w14:paraId="54CEE3F5" w14:textId="4576DF27" w:rsidR="00897FD5" w:rsidRDefault="00897FD5" w:rsidP="00897FD5">
            <w:pPr>
              <w:pStyle w:val="Tablerowtext"/>
            </w:pPr>
            <w:r w:rsidRPr="003518A5">
              <w:rPr>
                <w:color w:val="000000"/>
              </w:rPr>
              <w:t>Universities Australia</w:t>
            </w:r>
          </w:p>
        </w:tc>
        <w:tc>
          <w:tcPr>
            <w:tcW w:w="5115" w:type="dxa"/>
            <w:tcBorders>
              <w:top w:val="single" w:sz="4" w:space="0" w:color="auto"/>
              <w:left w:val="nil"/>
              <w:bottom w:val="single" w:sz="4" w:space="0" w:color="auto"/>
              <w:right w:val="nil"/>
            </w:tcBorders>
          </w:tcPr>
          <w:p w14:paraId="200C1ABA" w14:textId="7C5BAEA2" w:rsidR="00897FD5" w:rsidRDefault="00897FD5" w:rsidP="00897FD5">
            <w:pPr>
              <w:pStyle w:val="Tablerowtext"/>
            </w:pPr>
            <w:r w:rsidRPr="003518A5">
              <w:t>Body representing all of Australia’s universities</w:t>
            </w:r>
            <w:r>
              <w:t>—</w:t>
            </w:r>
            <w:r w:rsidRPr="003518A5">
              <w:t>its members are both statutory licensees and creators of copyright (e.g. academic publishing)</w:t>
            </w:r>
          </w:p>
        </w:tc>
      </w:tr>
      <w:tr w:rsidR="00897FD5" w14:paraId="4EA29F07" w14:textId="77777777" w:rsidTr="00897FD5">
        <w:trPr>
          <w:cantSplit/>
        </w:trPr>
        <w:tc>
          <w:tcPr>
            <w:tcW w:w="4111" w:type="dxa"/>
            <w:tcBorders>
              <w:top w:val="single" w:sz="4" w:space="0" w:color="auto"/>
              <w:left w:val="nil"/>
              <w:bottom w:val="single" w:sz="4" w:space="0" w:color="auto"/>
              <w:right w:val="nil"/>
            </w:tcBorders>
          </w:tcPr>
          <w:p w14:paraId="008969EB" w14:textId="64478A64" w:rsidR="00897FD5" w:rsidRDefault="00897FD5" w:rsidP="00897FD5">
            <w:pPr>
              <w:pStyle w:val="Tablerowtext"/>
            </w:pPr>
            <w:r w:rsidRPr="003518A5">
              <w:rPr>
                <w:color w:val="000000"/>
              </w:rPr>
              <w:t>Victorian Government</w:t>
            </w:r>
            <w:r>
              <w:rPr>
                <w:color w:val="000000"/>
              </w:rPr>
              <w:t>—</w:t>
            </w:r>
            <w:r w:rsidRPr="003518A5">
              <w:rPr>
                <w:color w:val="000000"/>
              </w:rPr>
              <w:t>Dep</w:t>
            </w:r>
            <w:r>
              <w:rPr>
                <w:color w:val="000000"/>
              </w:rPr>
              <w:t>ar</w:t>
            </w:r>
            <w:r w:rsidRPr="003518A5">
              <w:rPr>
                <w:color w:val="000000"/>
              </w:rPr>
              <w:t>t</w:t>
            </w:r>
            <w:r>
              <w:rPr>
                <w:color w:val="000000"/>
              </w:rPr>
              <w:t>ment</w:t>
            </w:r>
            <w:r w:rsidRPr="003518A5">
              <w:rPr>
                <w:color w:val="000000"/>
              </w:rPr>
              <w:t xml:space="preserve"> of Treasury and Finance</w:t>
            </w:r>
          </w:p>
        </w:tc>
        <w:tc>
          <w:tcPr>
            <w:tcW w:w="5115" w:type="dxa"/>
            <w:tcBorders>
              <w:top w:val="single" w:sz="4" w:space="0" w:color="auto"/>
              <w:left w:val="nil"/>
              <w:bottom w:val="single" w:sz="4" w:space="0" w:color="auto"/>
              <w:right w:val="nil"/>
            </w:tcBorders>
          </w:tcPr>
          <w:p w14:paraId="32B115EB" w14:textId="2794FCD1" w:rsidR="00897FD5" w:rsidRDefault="00897FD5" w:rsidP="00897FD5">
            <w:pPr>
              <w:pStyle w:val="Tablerowtext"/>
            </w:pPr>
            <w:r w:rsidRPr="003518A5">
              <w:t>Statutory licensee</w:t>
            </w:r>
            <w:r>
              <w:t>—</w:t>
            </w:r>
            <w:r w:rsidRPr="003518A5">
              <w:t>Government</w:t>
            </w:r>
          </w:p>
        </w:tc>
      </w:tr>
      <w:tr w:rsidR="00897FD5" w14:paraId="37FDC107" w14:textId="77777777" w:rsidTr="00897FD5">
        <w:trPr>
          <w:cantSplit/>
        </w:trPr>
        <w:tc>
          <w:tcPr>
            <w:tcW w:w="4111" w:type="dxa"/>
            <w:tcBorders>
              <w:top w:val="single" w:sz="4" w:space="0" w:color="auto"/>
              <w:left w:val="nil"/>
              <w:bottom w:val="single" w:sz="4" w:space="0" w:color="auto"/>
              <w:right w:val="nil"/>
            </w:tcBorders>
          </w:tcPr>
          <w:p w14:paraId="4FBBBFE6" w14:textId="19B39347" w:rsidR="00897FD5" w:rsidRDefault="00897FD5" w:rsidP="00897FD5">
            <w:pPr>
              <w:pStyle w:val="Tablerowtext"/>
            </w:pPr>
            <w:r w:rsidRPr="003518A5">
              <w:rPr>
                <w:color w:val="000000"/>
              </w:rPr>
              <w:t>Live Performance Australia</w:t>
            </w:r>
          </w:p>
        </w:tc>
        <w:tc>
          <w:tcPr>
            <w:tcW w:w="5115" w:type="dxa"/>
            <w:tcBorders>
              <w:top w:val="single" w:sz="4" w:space="0" w:color="auto"/>
              <w:left w:val="nil"/>
              <w:bottom w:val="single" w:sz="4" w:space="0" w:color="auto"/>
              <w:right w:val="nil"/>
            </w:tcBorders>
          </w:tcPr>
          <w:p w14:paraId="70BDAF5F" w14:textId="1925CADC" w:rsidR="00897FD5" w:rsidRDefault="00897FD5" w:rsidP="00897FD5">
            <w:pPr>
              <w:pStyle w:val="Tablerowtext"/>
            </w:pPr>
            <w:r w:rsidRPr="003518A5">
              <w:t>Licensee association</w:t>
            </w:r>
            <w:r>
              <w:t>—</w:t>
            </w:r>
            <w:r w:rsidRPr="003518A5">
              <w:t>peak body for the live performance industry</w:t>
            </w:r>
          </w:p>
        </w:tc>
      </w:tr>
      <w:tr w:rsidR="00897FD5" w14:paraId="68174452" w14:textId="77777777" w:rsidTr="00897FD5">
        <w:trPr>
          <w:cantSplit/>
        </w:trPr>
        <w:tc>
          <w:tcPr>
            <w:tcW w:w="4111" w:type="dxa"/>
            <w:tcBorders>
              <w:top w:val="single" w:sz="4" w:space="0" w:color="auto"/>
              <w:left w:val="nil"/>
              <w:bottom w:val="single" w:sz="4" w:space="0" w:color="auto"/>
              <w:right w:val="nil"/>
            </w:tcBorders>
          </w:tcPr>
          <w:p w14:paraId="1CE30A94" w14:textId="59E41903" w:rsidR="00897FD5" w:rsidRDefault="00897FD5" w:rsidP="00897FD5">
            <w:pPr>
              <w:pStyle w:val="Tablerowtext"/>
            </w:pPr>
            <w:r w:rsidRPr="003518A5">
              <w:t xml:space="preserve">Clubs Australia </w:t>
            </w:r>
          </w:p>
        </w:tc>
        <w:tc>
          <w:tcPr>
            <w:tcW w:w="5115" w:type="dxa"/>
            <w:tcBorders>
              <w:top w:val="single" w:sz="4" w:space="0" w:color="auto"/>
              <w:left w:val="nil"/>
              <w:bottom w:val="single" w:sz="4" w:space="0" w:color="auto"/>
              <w:right w:val="nil"/>
            </w:tcBorders>
          </w:tcPr>
          <w:p w14:paraId="4D198BDC" w14:textId="3B17ADBE" w:rsidR="00897FD5" w:rsidRDefault="00CB5959" w:rsidP="00897FD5">
            <w:pPr>
              <w:pStyle w:val="Tablerowtext"/>
            </w:pPr>
            <w:r>
              <w:t>L</w:t>
            </w:r>
            <w:r w:rsidRPr="003518A5">
              <w:t xml:space="preserve">icensee </w:t>
            </w:r>
            <w:r w:rsidR="00897FD5" w:rsidRPr="003518A5">
              <w:t>association</w:t>
            </w:r>
            <w:r w:rsidR="00897FD5">
              <w:t>—</w:t>
            </w:r>
            <w:r w:rsidR="00897FD5" w:rsidRPr="003518A5">
              <w:t>representing registered sporting</w:t>
            </w:r>
            <w:r w:rsidR="00897FD5">
              <w:t>/</w:t>
            </w:r>
            <w:r w:rsidR="00897FD5" w:rsidRPr="003518A5">
              <w:t>recreational clubs</w:t>
            </w:r>
          </w:p>
        </w:tc>
      </w:tr>
      <w:tr w:rsidR="00897FD5" w14:paraId="26F725C0" w14:textId="77777777" w:rsidTr="00897FD5">
        <w:trPr>
          <w:cantSplit/>
        </w:trPr>
        <w:tc>
          <w:tcPr>
            <w:tcW w:w="4111" w:type="dxa"/>
            <w:tcBorders>
              <w:top w:val="single" w:sz="4" w:space="0" w:color="auto"/>
              <w:left w:val="nil"/>
              <w:bottom w:val="single" w:sz="4" w:space="0" w:color="auto"/>
              <w:right w:val="nil"/>
            </w:tcBorders>
          </w:tcPr>
          <w:p w14:paraId="5FA4EFFA" w14:textId="09837D04" w:rsidR="00897FD5" w:rsidRDefault="00897FD5" w:rsidP="00897FD5">
            <w:pPr>
              <w:pStyle w:val="Tablerowtext"/>
            </w:pPr>
            <w:r w:rsidRPr="003518A5">
              <w:rPr>
                <w:color w:val="000000"/>
              </w:rPr>
              <w:t>Australian Society of Authors</w:t>
            </w:r>
          </w:p>
        </w:tc>
        <w:tc>
          <w:tcPr>
            <w:tcW w:w="5115" w:type="dxa"/>
            <w:tcBorders>
              <w:top w:val="single" w:sz="4" w:space="0" w:color="auto"/>
              <w:left w:val="nil"/>
              <w:bottom w:val="single" w:sz="4" w:space="0" w:color="auto"/>
              <w:right w:val="nil"/>
            </w:tcBorders>
          </w:tcPr>
          <w:p w14:paraId="55974321" w14:textId="145FBE06" w:rsidR="00897FD5" w:rsidRDefault="00897FD5" w:rsidP="00897FD5">
            <w:pPr>
              <w:pStyle w:val="Tablerowtext"/>
            </w:pPr>
            <w:r w:rsidRPr="003518A5">
              <w:t>Member association</w:t>
            </w:r>
            <w:r>
              <w:t>—</w:t>
            </w:r>
            <w:r w:rsidRPr="003518A5">
              <w:t>peak national association representing the interests of Australia's authors and illustrators.</w:t>
            </w:r>
          </w:p>
        </w:tc>
      </w:tr>
      <w:tr w:rsidR="00897FD5" w:rsidRPr="00CC6845" w14:paraId="10072B05" w14:textId="77777777" w:rsidTr="00897FD5">
        <w:trPr>
          <w:cantSplit/>
        </w:trPr>
        <w:tc>
          <w:tcPr>
            <w:tcW w:w="4111" w:type="dxa"/>
            <w:tcBorders>
              <w:top w:val="single" w:sz="4" w:space="0" w:color="auto"/>
              <w:left w:val="nil"/>
              <w:bottom w:val="single" w:sz="12" w:space="0" w:color="auto"/>
              <w:right w:val="nil"/>
            </w:tcBorders>
          </w:tcPr>
          <w:p w14:paraId="4FEC172D" w14:textId="7063CD71" w:rsidR="00897FD5" w:rsidRPr="00CC6845" w:rsidRDefault="00897FD5" w:rsidP="00CC6845">
            <w:pPr>
              <w:pStyle w:val="Tabletext"/>
            </w:pPr>
            <w:r w:rsidRPr="00CC6845">
              <w:t>Australian Copyright Council</w:t>
            </w:r>
          </w:p>
        </w:tc>
        <w:tc>
          <w:tcPr>
            <w:tcW w:w="5115" w:type="dxa"/>
            <w:tcBorders>
              <w:top w:val="single" w:sz="4" w:space="0" w:color="auto"/>
              <w:left w:val="nil"/>
              <w:bottom w:val="single" w:sz="12" w:space="0" w:color="auto"/>
              <w:right w:val="nil"/>
            </w:tcBorders>
          </w:tcPr>
          <w:p w14:paraId="2F41F2AA" w14:textId="3FCD4AF5" w:rsidR="00897FD5" w:rsidRPr="00CC6845" w:rsidRDefault="00897FD5" w:rsidP="00CC6845">
            <w:pPr>
              <w:pStyle w:val="Tabletext"/>
            </w:pPr>
            <w:r w:rsidRPr="00CC6845">
              <w:t>An independent organisation representing the peak bodies for professional artists and content creators working in Australia’s creative industries and Australia’s major copyright collecting societies.</w:t>
            </w:r>
          </w:p>
        </w:tc>
      </w:tr>
    </w:tbl>
    <w:p w14:paraId="7E0A0853" w14:textId="77777777" w:rsidR="00897FD5" w:rsidRDefault="00897FD5" w:rsidP="00897FD5"/>
    <w:p w14:paraId="4A843942" w14:textId="77777777" w:rsidR="007E7021" w:rsidRDefault="007E7021" w:rsidP="007E7021">
      <w:pPr>
        <w:pStyle w:val="Heading2"/>
        <w:pageBreakBefore/>
      </w:pPr>
      <w:bookmarkStart w:id="272" w:name="_Toc498613747"/>
      <w:bookmarkStart w:id="273" w:name="_Toc498685062"/>
      <w:bookmarkStart w:id="274" w:name="_Toc498691908"/>
      <w:bookmarkStart w:id="275" w:name="_Toc498695645"/>
      <w:bookmarkStart w:id="276" w:name="_Toc499302323"/>
      <w:bookmarkStart w:id="277" w:name="_Toc499558599"/>
      <w:bookmarkStart w:id="278" w:name="_Toc499823244"/>
      <w:bookmarkStart w:id="279" w:name="_Toc501010982"/>
      <w:bookmarkStart w:id="280" w:name="_Toc504393026"/>
      <w:bookmarkStart w:id="281" w:name="_Toc506373282"/>
      <w:r>
        <w:t>Appendix B: Terms of Reference</w:t>
      </w:r>
      <w:bookmarkEnd w:id="263"/>
      <w:bookmarkEnd w:id="272"/>
      <w:bookmarkEnd w:id="273"/>
      <w:bookmarkEnd w:id="274"/>
      <w:bookmarkEnd w:id="275"/>
      <w:bookmarkEnd w:id="276"/>
      <w:bookmarkEnd w:id="277"/>
      <w:bookmarkEnd w:id="278"/>
      <w:bookmarkEnd w:id="279"/>
      <w:bookmarkEnd w:id="280"/>
      <w:bookmarkEnd w:id="281"/>
    </w:p>
    <w:p w14:paraId="4D956C5F" w14:textId="77777777" w:rsidR="007E7021" w:rsidRDefault="007E7021" w:rsidP="007E7021">
      <w:pPr>
        <w:pStyle w:val="Heading3"/>
      </w:pPr>
      <w:bookmarkStart w:id="282" w:name="_Toc492454415"/>
      <w:bookmarkStart w:id="283" w:name="_Toc499558600"/>
      <w:bookmarkStart w:id="284" w:name="_Toc499823245"/>
      <w:bookmarkStart w:id="285" w:name="_Toc501010983"/>
      <w:bookmarkStart w:id="286" w:name="_Toc504393027"/>
      <w:bookmarkStart w:id="287" w:name="_Toc506373283"/>
      <w:r>
        <w:t>Background</w:t>
      </w:r>
      <w:bookmarkEnd w:id="282"/>
      <w:bookmarkEnd w:id="283"/>
      <w:bookmarkEnd w:id="284"/>
      <w:bookmarkEnd w:id="285"/>
      <w:bookmarkEnd w:id="286"/>
      <w:bookmarkEnd w:id="287"/>
    </w:p>
    <w:p w14:paraId="786B58B7" w14:textId="77777777" w:rsidR="007E7021" w:rsidRDefault="007E7021" w:rsidP="007E7021">
      <w:r>
        <w:t>This review responds to recommendation 5.4 of the Productivity Commission’s Inquiry Report into Intellectual Property Arrangements, noting the Australian Government’s stated preference for the Department of Communications and the Arts to undertake the review, in consultation with the Australian Competition and Consumer Commission (ACCC).</w:t>
      </w:r>
    </w:p>
    <w:p w14:paraId="49376D60" w14:textId="77777777" w:rsidR="007E7021" w:rsidRDefault="007E7021" w:rsidP="007E7021">
      <w:pPr>
        <w:pStyle w:val="Heading3"/>
      </w:pPr>
      <w:bookmarkStart w:id="288" w:name="_Toc492454416"/>
      <w:bookmarkStart w:id="289" w:name="_Toc499558601"/>
      <w:bookmarkStart w:id="290" w:name="_Toc499823246"/>
      <w:bookmarkStart w:id="291" w:name="_Toc501010984"/>
      <w:bookmarkStart w:id="292" w:name="_Toc504393028"/>
      <w:bookmarkStart w:id="293" w:name="_Toc506373284"/>
      <w:r>
        <w:t>Scope</w:t>
      </w:r>
      <w:bookmarkEnd w:id="288"/>
      <w:bookmarkEnd w:id="289"/>
      <w:bookmarkEnd w:id="290"/>
      <w:bookmarkEnd w:id="291"/>
      <w:bookmarkEnd w:id="292"/>
      <w:bookmarkEnd w:id="293"/>
    </w:p>
    <w:p w14:paraId="6E6BD051" w14:textId="77777777" w:rsidR="007E7021" w:rsidRDefault="007E7021" w:rsidP="007E7021">
      <w:r>
        <w:t>The Bureau of Communications and Arts Research (BCAR), within the Department of Communications and the Arts, will review and report on the efficacy of the Code of Conduct for Collecting Societies (the Code).</w:t>
      </w:r>
    </w:p>
    <w:p w14:paraId="3923A877" w14:textId="77777777" w:rsidR="007E7021" w:rsidRDefault="007E7021" w:rsidP="007E7021">
      <w:r>
        <w:t>In undertaking this review, the BCAR will assess the extent to which the Code promotes fair and efficient outcomes. This will include assessing:</w:t>
      </w:r>
    </w:p>
    <w:p w14:paraId="2802AC95" w14:textId="77777777" w:rsidR="007E7021" w:rsidRDefault="007E7021" w:rsidP="00897FD5">
      <w:pPr>
        <w:pStyle w:val="Bulletpoint"/>
      </w:pPr>
      <w:r>
        <w:t>whether the Code is meeting its rationale and objectives, including promoting confidence and participation in the system, and mitigating any potential market power issues where these occur in relation to collecting societies</w:t>
      </w:r>
    </w:p>
    <w:p w14:paraId="09A39152" w14:textId="77777777" w:rsidR="007E7021" w:rsidRDefault="007E7021" w:rsidP="00897FD5">
      <w:pPr>
        <w:pStyle w:val="Bulletpoint"/>
      </w:pPr>
      <w:r>
        <w:t>the extent to which the Code promotes transparency, accountability and good governance including by examining whether the Code contains sufficient monitoring and review mechanisms, and</w:t>
      </w:r>
    </w:p>
    <w:p w14:paraId="630AAB50" w14:textId="77777777" w:rsidR="007E7021" w:rsidRDefault="007E7021" w:rsidP="00897FD5">
      <w:pPr>
        <w:pStyle w:val="Bulletpoint"/>
      </w:pPr>
      <w:r>
        <w:t>the extent to which the Code represents best practice in comparison with other domestic and international codes and guidelines.</w:t>
      </w:r>
    </w:p>
    <w:p w14:paraId="2B5B0291" w14:textId="77777777" w:rsidR="007E7021" w:rsidRDefault="007E7021" w:rsidP="007E7021">
      <w:r>
        <w:t>Any other matters that are deemed significant and relevant to the scope of the review following stakeholder consultation may also be examined.</w:t>
      </w:r>
    </w:p>
    <w:p w14:paraId="5D7E3ABB" w14:textId="77777777" w:rsidR="007E7021" w:rsidRDefault="007E7021" w:rsidP="007E7021">
      <w:r>
        <w:t>The review will then make findings and recommendations on ways to improve overall confidence in the system and how these could be implemented. Recommendations will address whether the Code should be made mandatory and whether objectives or provisions of the Code should be amended, taking into account additional compliance costs for affected parties.</w:t>
      </w:r>
    </w:p>
    <w:p w14:paraId="4EA011C4" w14:textId="77777777" w:rsidR="007E7021" w:rsidRDefault="007E7021" w:rsidP="007E7021">
      <w:r>
        <w:t>The review will, where appropriate, draw on the work of previous inquiries into copyright, but only insofar as they relate to the operations and governance of collecting societies. This review will not include examination of the jurisdiction and decisions of the Copyright Tribunal, and whether or not specific licence fees or royalty payments are fair and reasonable.</w:t>
      </w:r>
    </w:p>
    <w:p w14:paraId="6DD67360" w14:textId="77777777" w:rsidR="007E7021" w:rsidRDefault="007E7021" w:rsidP="007E7021">
      <w:pPr>
        <w:pStyle w:val="Heading3"/>
      </w:pPr>
      <w:bookmarkStart w:id="294" w:name="_Toc492454417"/>
      <w:bookmarkStart w:id="295" w:name="_Toc499558602"/>
      <w:bookmarkStart w:id="296" w:name="_Toc499823247"/>
      <w:bookmarkStart w:id="297" w:name="_Toc501010985"/>
      <w:bookmarkStart w:id="298" w:name="_Toc504393029"/>
      <w:bookmarkStart w:id="299" w:name="_Toc506373285"/>
      <w:r>
        <w:t>Process and governance</w:t>
      </w:r>
      <w:bookmarkEnd w:id="294"/>
      <w:bookmarkEnd w:id="295"/>
      <w:bookmarkEnd w:id="296"/>
      <w:bookmarkEnd w:id="297"/>
      <w:bookmarkEnd w:id="298"/>
      <w:bookmarkEnd w:id="299"/>
    </w:p>
    <w:p w14:paraId="57152EA6" w14:textId="77777777" w:rsidR="007E7021" w:rsidRDefault="007E7021" w:rsidP="007E7021">
      <w:r>
        <w:t>The review team will be informed by subject-matter expertise from within the Department, as well as broader support and technical advice from the ACCC, and other relevant government agencies on the implications for any changes for competition and the general interests of consumers.</w:t>
      </w:r>
    </w:p>
    <w:p w14:paraId="62AB6B0C" w14:textId="77777777" w:rsidR="007E7021" w:rsidRDefault="007E7021" w:rsidP="007E7021">
      <w:r>
        <w:t>The BCAR will consult widely with collecting societies, user groups and other relevant stakeholders about the Code’s efficacy and the review’s proposed recommendations. Public consultation will be undertaken following the release of a discussion paper in mid-2017, and the publication of a draft report in late-2017. Public submissions will be made available on the Department’s website.</w:t>
      </w:r>
    </w:p>
    <w:p w14:paraId="653695E8" w14:textId="77777777" w:rsidR="007E7021" w:rsidRDefault="007E7021" w:rsidP="007E7021">
      <w:pPr>
        <w:keepLines/>
      </w:pPr>
      <w:r>
        <w:t>An external reference group consisting of key representatives from collecting societies, licensee groups and other interested parties will also be assembled after the publication of the discussion paper to provide input into the process. Membership of this group will be published on the Department’s website once finalised.</w:t>
      </w:r>
    </w:p>
    <w:p w14:paraId="7A21CA5B" w14:textId="77777777" w:rsidR="007E7021" w:rsidRDefault="007E7021" w:rsidP="007E7021">
      <w:r>
        <w:t>The review team will report on its findings and recommendations to the Minister for Communications in 2018. The final report will be publicly released.</w:t>
      </w:r>
    </w:p>
    <w:p w14:paraId="74D08ACF" w14:textId="77777777" w:rsidR="007E7021" w:rsidRDefault="007E7021" w:rsidP="007E7021">
      <w:pPr>
        <w:pStyle w:val="Heading2"/>
        <w:pageBreakBefore/>
      </w:pPr>
      <w:bookmarkStart w:id="300" w:name="_Toc498524218"/>
      <w:bookmarkStart w:id="301" w:name="_Toc498613748"/>
      <w:bookmarkStart w:id="302" w:name="_Toc498685063"/>
      <w:bookmarkStart w:id="303" w:name="_Toc498691909"/>
      <w:bookmarkStart w:id="304" w:name="_Toc498695646"/>
      <w:bookmarkStart w:id="305" w:name="_Toc499302324"/>
      <w:bookmarkStart w:id="306" w:name="_Toc499558605"/>
      <w:bookmarkStart w:id="307" w:name="_Toc497741775"/>
      <w:bookmarkStart w:id="308" w:name="_Toc497749277"/>
      <w:bookmarkStart w:id="309" w:name="_Toc497750862"/>
      <w:bookmarkStart w:id="310" w:name="_Toc497755219"/>
      <w:bookmarkStart w:id="311" w:name="_Toc499823248"/>
      <w:bookmarkStart w:id="312" w:name="_Toc501010986"/>
      <w:bookmarkStart w:id="313" w:name="_Toc504393030"/>
      <w:bookmarkStart w:id="314" w:name="_Toc506373286"/>
      <w:r>
        <w:t xml:space="preserve">Appendix </w:t>
      </w:r>
      <w:bookmarkEnd w:id="300"/>
      <w:bookmarkEnd w:id="301"/>
      <w:bookmarkEnd w:id="302"/>
      <w:bookmarkEnd w:id="303"/>
      <w:bookmarkEnd w:id="304"/>
      <w:bookmarkEnd w:id="305"/>
      <w:r>
        <w:t>C: Legislative and regulatory framework for Australia’s copyright collecting societies</w:t>
      </w:r>
      <w:bookmarkStart w:id="315" w:name="_Toc498691911"/>
      <w:bookmarkStart w:id="316" w:name="_Toc498695648"/>
      <w:bookmarkStart w:id="317" w:name="_Toc499302326"/>
      <w:bookmarkEnd w:id="306"/>
      <w:bookmarkEnd w:id="307"/>
      <w:bookmarkEnd w:id="308"/>
      <w:bookmarkEnd w:id="309"/>
      <w:bookmarkEnd w:id="310"/>
      <w:bookmarkEnd w:id="311"/>
      <w:bookmarkEnd w:id="312"/>
      <w:bookmarkEnd w:id="313"/>
      <w:bookmarkEnd w:id="314"/>
    </w:p>
    <w:p w14:paraId="7F6A2DB1" w14:textId="77777777" w:rsidR="007E7021" w:rsidRDefault="007E7021" w:rsidP="007E7021">
      <w:pPr>
        <w:pStyle w:val="Tablefigureheading"/>
      </w:pPr>
      <w:bookmarkStart w:id="318" w:name="_Toc501010987"/>
      <w:bookmarkStart w:id="319" w:name="_Toc506371897"/>
      <w:r w:rsidRPr="000F3C1C">
        <w:t xml:space="preserve">Table </w:t>
      </w:r>
      <w:r>
        <w:t>C1</w:t>
      </w:r>
      <w:r w:rsidRPr="000F3C1C">
        <w:t>.</w:t>
      </w:r>
      <w:r>
        <w:t xml:space="preserve"> Regulation relevant to copyright collecting societies</w:t>
      </w:r>
      <w:bookmarkEnd w:id="318"/>
      <w:bookmarkEnd w:id="319"/>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C1. Regulation relevant to copyright collecting societies.&#10;&#10;This table describes the key regulatory frameworks and mechanisms relevant to copyright collecting societies. It provides summaries of the scope and purpose of each of the key regulatory mechansims, for instance it describes how the Copyright Act and regulations interact with the governance of collecting societies, such as in relation to their establishment, membership rights and reporting requirements, as well as the societies' powers and obligations as a collecting society."/>
      </w:tblPr>
      <w:tblGrid>
        <w:gridCol w:w="2552"/>
        <w:gridCol w:w="6674"/>
      </w:tblGrid>
      <w:tr w:rsidR="007864CC" w14:paraId="37D31263" w14:textId="77777777" w:rsidTr="007864CC">
        <w:trPr>
          <w:cantSplit/>
          <w:tblHeader/>
        </w:trPr>
        <w:tc>
          <w:tcPr>
            <w:tcW w:w="2552" w:type="dxa"/>
            <w:tcBorders>
              <w:top w:val="nil"/>
              <w:left w:val="nil"/>
              <w:bottom w:val="thickThinLargeGap" w:sz="24" w:space="0" w:color="auto"/>
              <w:right w:val="nil"/>
            </w:tcBorders>
            <w:shd w:val="clear" w:color="auto" w:fill="113651"/>
            <w:hideMark/>
          </w:tcPr>
          <w:p w14:paraId="14BE6DBB" w14:textId="5E039C42" w:rsidR="00297099" w:rsidRPr="00297099" w:rsidRDefault="00CB5959" w:rsidP="00CB5959">
            <w:pPr>
              <w:pStyle w:val="Tableheading"/>
            </w:pPr>
            <w:r>
              <w:t>Regulatory instrument</w:t>
            </w:r>
          </w:p>
        </w:tc>
        <w:tc>
          <w:tcPr>
            <w:tcW w:w="6674" w:type="dxa"/>
            <w:tcBorders>
              <w:top w:val="nil"/>
              <w:left w:val="nil"/>
              <w:bottom w:val="thickThinLargeGap" w:sz="24" w:space="0" w:color="auto"/>
              <w:right w:val="nil"/>
            </w:tcBorders>
            <w:shd w:val="clear" w:color="auto" w:fill="113651"/>
            <w:hideMark/>
          </w:tcPr>
          <w:p w14:paraId="6884558E" w14:textId="328A8748" w:rsidR="007864CC" w:rsidRDefault="00F510F4" w:rsidP="00F510F4">
            <w:pPr>
              <w:pStyle w:val="Tableheading"/>
            </w:pPr>
            <w:r>
              <w:t>Application to copyright collecting societies</w:t>
            </w:r>
          </w:p>
        </w:tc>
      </w:tr>
      <w:tr w:rsidR="007864CC" w14:paraId="21872AEC" w14:textId="77777777" w:rsidTr="007864CC">
        <w:trPr>
          <w:cantSplit/>
        </w:trPr>
        <w:tc>
          <w:tcPr>
            <w:tcW w:w="2552" w:type="dxa"/>
            <w:tcBorders>
              <w:top w:val="thickThinLargeGap" w:sz="24" w:space="0" w:color="auto"/>
              <w:left w:val="nil"/>
              <w:bottom w:val="single" w:sz="4" w:space="0" w:color="auto"/>
              <w:right w:val="nil"/>
            </w:tcBorders>
          </w:tcPr>
          <w:p w14:paraId="377525B9" w14:textId="5768C162" w:rsidR="007864CC" w:rsidRDefault="007864CC" w:rsidP="007864CC">
            <w:pPr>
              <w:pStyle w:val="Tablerowtext"/>
            </w:pPr>
            <w:r>
              <w:t>Copyright Act and Regulations</w:t>
            </w:r>
          </w:p>
        </w:tc>
        <w:tc>
          <w:tcPr>
            <w:tcW w:w="6674" w:type="dxa"/>
            <w:tcBorders>
              <w:top w:val="thickThinLargeGap" w:sz="24" w:space="0" w:color="auto"/>
              <w:left w:val="nil"/>
              <w:bottom w:val="single" w:sz="4" w:space="0" w:color="auto"/>
              <w:right w:val="nil"/>
            </w:tcBorders>
          </w:tcPr>
          <w:p w14:paraId="75D37CAB" w14:textId="77777777" w:rsidR="007864CC" w:rsidRPr="00692C1F" w:rsidRDefault="007864CC" w:rsidP="007864CC">
            <w:pPr>
              <w:pStyle w:val="Tablerowtext"/>
            </w:pPr>
            <w:r w:rsidRPr="00692C1F">
              <w:t xml:space="preserve">The </w:t>
            </w:r>
            <w:r w:rsidRPr="00692C1F">
              <w:rPr>
                <w:i/>
              </w:rPr>
              <w:t>Copyright Act 1968</w:t>
            </w:r>
            <w:r w:rsidRPr="00692C1F">
              <w:t xml:space="preserve"> and the </w:t>
            </w:r>
            <w:r w:rsidRPr="00692C1F">
              <w:rPr>
                <w:i/>
              </w:rPr>
              <w:t>Copyright Regulations 1969</w:t>
            </w:r>
            <w:r w:rsidRPr="00692C1F">
              <w:t xml:space="preserve"> regulate copyright in Australia in relation to original literary, dramatic, musical and artistic works, and subject matter other than works.</w:t>
            </w:r>
          </w:p>
          <w:p w14:paraId="2435082B" w14:textId="4D62994B" w:rsidR="007864CC" w:rsidRDefault="007864CC" w:rsidP="007864CC">
            <w:pPr>
              <w:pStyle w:val="Tablerowtext"/>
            </w:pPr>
            <w:r w:rsidRPr="00692C1F">
              <w:t>The Copyright Act and Regulations also contain provisions that govern declared collecting societies specifically, including in relation to their establishment, membership rights and reporting requirements as well as the societies' powers and obligations as a collecting society.</w:t>
            </w:r>
            <w:r w:rsidRPr="00692C1F">
              <w:rPr>
                <w:rStyle w:val="EndnoteReference"/>
                <w:sz w:val="20"/>
                <w:szCs w:val="20"/>
              </w:rPr>
              <w:endnoteReference w:id="156"/>
            </w:r>
            <w:r w:rsidRPr="00692C1F">
              <w:t xml:space="preserve"> The Act and Regulations also set out what must be contained in the societies’ rules (memorandum and articles of association) including, in particular, provisions about the collection and distribution of revenue, the holding on trust of amounts for non-members and access to records of the society by its members.</w:t>
            </w:r>
          </w:p>
        </w:tc>
      </w:tr>
      <w:tr w:rsidR="007864CC" w14:paraId="184BB5CB" w14:textId="77777777" w:rsidTr="007864CC">
        <w:trPr>
          <w:cantSplit/>
        </w:trPr>
        <w:tc>
          <w:tcPr>
            <w:tcW w:w="2552" w:type="dxa"/>
            <w:tcBorders>
              <w:top w:val="single" w:sz="4" w:space="0" w:color="auto"/>
              <w:left w:val="nil"/>
              <w:bottom w:val="single" w:sz="4" w:space="0" w:color="auto"/>
              <w:right w:val="nil"/>
            </w:tcBorders>
          </w:tcPr>
          <w:p w14:paraId="59865648" w14:textId="3899F0AF" w:rsidR="007864CC" w:rsidRDefault="007864CC" w:rsidP="007864CC">
            <w:pPr>
              <w:pStyle w:val="Tablerowtext"/>
            </w:pPr>
            <w:r>
              <w:t>Guidelines for Declaration of Collecting Societies</w:t>
            </w:r>
          </w:p>
        </w:tc>
        <w:tc>
          <w:tcPr>
            <w:tcW w:w="6674" w:type="dxa"/>
            <w:tcBorders>
              <w:top w:val="single" w:sz="4" w:space="0" w:color="auto"/>
              <w:left w:val="nil"/>
              <w:bottom w:val="single" w:sz="4" w:space="0" w:color="auto"/>
              <w:right w:val="nil"/>
            </w:tcBorders>
          </w:tcPr>
          <w:p w14:paraId="11A8EAFD" w14:textId="04B3479D" w:rsidR="007864CC" w:rsidRDefault="007864CC" w:rsidP="007864CC">
            <w:pPr>
              <w:pStyle w:val="Tablerowtext"/>
            </w:pPr>
            <w:r w:rsidRPr="00692C1F">
              <w:t xml:space="preserve">The </w:t>
            </w:r>
            <w:r w:rsidRPr="00692C1F">
              <w:rPr>
                <w:i/>
              </w:rPr>
              <w:t>Guidelines for the Declaration of Collecting Societies</w:t>
            </w:r>
            <w:r w:rsidRPr="00692C1F">
              <w:t xml:space="preserve"> (2001) are designed to be read concurrently with the Copyright Act and Copyright Regulations. They provide additional guidance around areas in the legislation such as membership rights, accounting periods and revenue collection and distribution.</w:t>
            </w:r>
          </w:p>
        </w:tc>
      </w:tr>
      <w:tr w:rsidR="007864CC" w14:paraId="40E75D29" w14:textId="77777777" w:rsidTr="007864CC">
        <w:trPr>
          <w:cantSplit/>
        </w:trPr>
        <w:tc>
          <w:tcPr>
            <w:tcW w:w="2552" w:type="dxa"/>
            <w:tcBorders>
              <w:top w:val="single" w:sz="4" w:space="0" w:color="auto"/>
              <w:left w:val="nil"/>
              <w:bottom w:val="single" w:sz="4" w:space="0" w:color="auto"/>
              <w:right w:val="nil"/>
            </w:tcBorders>
          </w:tcPr>
          <w:p w14:paraId="2B89E3F8" w14:textId="6CCF03EF" w:rsidR="007864CC" w:rsidRDefault="007864CC" w:rsidP="007864CC">
            <w:pPr>
              <w:pStyle w:val="Tablerowtext"/>
            </w:pPr>
            <w:r>
              <w:t>ACCC and competition law</w:t>
            </w:r>
          </w:p>
        </w:tc>
        <w:tc>
          <w:tcPr>
            <w:tcW w:w="6674" w:type="dxa"/>
            <w:tcBorders>
              <w:top w:val="single" w:sz="4" w:space="0" w:color="auto"/>
              <w:left w:val="nil"/>
              <w:bottom w:val="single" w:sz="4" w:space="0" w:color="auto"/>
              <w:right w:val="nil"/>
            </w:tcBorders>
          </w:tcPr>
          <w:p w14:paraId="5CD6E6FA" w14:textId="77777777" w:rsidR="007864CC" w:rsidRPr="00075ADD" w:rsidRDefault="007864CC" w:rsidP="007864CC">
            <w:pPr>
              <w:pStyle w:val="Tablerowtext"/>
            </w:pPr>
            <w:r w:rsidRPr="00075ADD">
              <w:t>The Copyright Act provides that the Copyright Tribunal must, if requested by a party, have regard to any relevant guidelines made by the ACCC, and may make the ACCC a party to tribunal proceedings. In November 2006, the ACCC released draft guidelines to provide general information to users of copyright material to help negotiate licensing arrangements with copyright collecting societies. The ACCC has not released any final guidelines.</w:t>
            </w:r>
          </w:p>
          <w:p w14:paraId="3B67E81A" w14:textId="77777777" w:rsidR="007864CC" w:rsidRPr="00075ADD" w:rsidRDefault="007864CC" w:rsidP="007864CC">
            <w:pPr>
              <w:pStyle w:val="Tablerowtext"/>
            </w:pPr>
            <w:r w:rsidRPr="00075ADD">
              <w:t xml:space="preserve">While copyright collecting societies, like other businesses, are generally subject to Part IV of the </w:t>
            </w:r>
            <w:r w:rsidRPr="00075ADD">
              <w:rPr>
                <w:i/>
              </w:rPr>
              <w:t>Competition and Consumer Act 2010</w:t>
            </w:r>
            <w:r w:rsidRPr="00075ADD">
              <w:t xml:space="preserve"> which prohibits a range of anti-competitive conduct</w:t>
            </w:r>
            <w:r w:rsidRPr="00075ADD" w:rsidDel="00E923BC">
              <w:t>,</w:t>
            </w:r>
            <w:r w:rsidRPr="00075ADD">
              <w:t xml:space="preserve"> section 51(3) of that Act exempts licensing or assignment of intellectual property from certain competition provisions. This is of relevance to collecting societies who administer collective copyright licences.</w:t>
            </w:r>
            <w:r w:rsidRPr="00075ADD">
              <w:rPr>
                <w:rStyle w:val="EndnoteReference"/>
              </w:rPr>
              <w:endnoteReference w:id="157"/>
            </w:r>
          </w:p>
          <w:p w14:paraId="63FB75E9" w14:textId="1C3FFAC6" w:rsidR="007864CC" w:rsidRDefault="007864CC" w:rsidP="007864CC">
            <w:pPr>
              <w:pStyle w:val="Tablerowtext"/>
            </w:pPr>
            <w:r w:rsidRPr="00075ADD">
              <w:t>The ACCC may (on an application by a collecting society) grant a collecting society an authorisation to enable it to engage in conduct which is at risk of breaching Part IV of the Competition and Consumer Act</w:t>
            </w:r>
            <w:r w:rsidRPr="00075ADD">
              <w:rPr>
                <w:rStyle w:val="EndnoteReference"/>
              </w:rPr>
              <w:endnoteReference w:id="158"/>
            </w:r>
            <w:r w:rsidRPr="00075ADD" w:rsidDel="00C12425">
              <w:t xml:space="preserve"> </w:t>
            </w:r>
            <w:r w:rsidRPr="00075ADD">
              <w:t xml:space="preserve">where such conduct is likely to confer public benefits that outweigh public detriment </w:t>
            </w:r>
            <w:r w:rsidRPr="00075ADD">
              <w:rPr>
                <w:rStyle w:val="EndnoteReference"/>
              </w:rPr>
              <w:endnoteReference w:id="159"/>
            </w:r>
            <w:r w:rsidRPr="00075ADD">
              <w:t>.</w:t>
            </w:r>
            <w:r w:rsidRPr="00075ADD" w:rsidDel="00C12425">
              <w:t xml:space="preserve"> </w:t>
            </w:r>
            <w:r w:rsidRPr="00075ADD">
              <w:t>Decisions by the ACCC to grant or dismiss an application for authorisation can be reviewed by the Australian Competition Tribunal.</w:t>
            </w:r>
          </w:p>
        </w:tc>
      </w:tr>
      <w:tr w:rsidR="007864CC" w14:paraId="70617718" w14:textId="77777777" w:rsidTr="007864CC">
        <w:trPr>
          <w:cantSplit/>
        </w:trPr>
        <w:tc>
          <w:tcPr>
            <w:tcW w:w="2552" w:type="dxa"/>
            <w:tcBorders>
              <w:top w:val="single" w:sz="4" w:space="0" w:color="auto"/>
              <w:left w:val="nil"/>
              <w:bottom w:val="single" w:sz="4" w:space="0" w:color="auto"/>
              <w:right w:val="nil"/>
            </w:tcBorders>
          </w:tcPr>
          <w:p w14:paraId="06EDCEDB" w14:textId="063C21AD" w:rsidR="007864CC" w:rsidRDefault="007864CC" w:rsidP="007864CC">
            <w:pPr>
              <w:pStyle w:val="Tablerowtext"/>
            </w:pPr>
            <w:r>
              <w:t>Corporations Act and Regulations</w:t>
            </w:r>
          </w:p>
        </w:tc>
        <w:tc>
          <w:tcPr>
            <w:tcW w:w="6674" w:type="dxa"/>
            <w:tcBorders>
              <w:top w:val="single" w:sz="4" w:space="0" w:color="auto"/>
              <w:left w:val="nil"/>
              <w:bottom w:val="single" w:sz="4" w:space="0" w:color="auto"/>
              <w:right w:val="nil"/>
            </w:tcBorders>
          </w:tcPr>
          <w:p w14:paraId="6C255CAE" w14:textId="4BE4AA36" w:rsidR="007864CC" w:rsidRPr="00F510F4" w:rsidRDefault="007864CC" w:rsidP="007864CC">
            <w:pPr>
              <w:pStyle w:val="Tablerowtext"/>
            </w:pPr>
            <w:r w:rsidRPr="00075ADD">
              <w:t xml:space="preserve">The </w:t>
            </w:r>
            <w:r w:rsidRPr="00075ADD">
              <w:rPr>
                <w:i/>
              </w:rPr>
              <w:t>Corporations Act 200</w:t>
            </w:r>
            <w:r w:rsidRPr="00075ADD" w:rsidDel="00A84153">
              <w:rPr>
                <w:i/>
              </w:rPr>
              <w:t>1</w:t>
            </w:r>
            <w:r w:rsidRPr="00075ADD">
              <w:t xml:space="preserve"> and the </w:t>
            </w:r>
            <w:r w:rsidRPr="00075ADD">
              <w:rPr>
                <w:i/>
              </w:rPr>
              <w:t>Corporations Regulations 2001</w:t>
            </w:r>
            <w:r w:rsidRPr="00075ADD">
              <w:t xml:space="preserve"> set out the laws </w:t>
            </w:r>
            <w:r w:rsidRPr="00075ADD" w:rsidDel="00E923BC">
              <w:t xml:space="preserve">for </w:t>
            </w:r>
            <w:r w:rsidRPr="00075ADD">
              <w:t>the establishment and operation of a range of business entities including not-for-profit organisations such as copyright collecting societies. These laws stipulate the collecting societies’ obligations as companies limited by guarantee, including governance arrangements, directors’ duties, record keeping, financial reporting and auditing.</w:t>
            </w:r>
          </w:p>
        </w:tc>
      </w:tr>
      <w:tr w:rsidR="007864CC" w14:paraId="41E9A209" w14:textId="77777777" w:rsidTr="007864CC">
        <w:trPr>
          <w:cantSplit/>
        </w:trPr>
        <w:tc>
          <w:tcPr>
            <w:tcW w:w="2552" w:type="dxa"/>
            <w:tcBorders>
              <w:top w:val="single" w:sz="4" w:space="0" w:color="auto"/>
              <w:left w:val="nil"/>
              <w:bottom w:val="single" w:sz="4" w:space="0" w:color="auto"/>
              <w:right w:val="nil"/>
            </w:tcBorders>
          </w:tcPr>
          <w:p w14:paraId="6622C588" w14:textId="1E62B495" w:rsidR="007864CC" w:rsidRDefault="007864CC" w:rsidP="007864CC">
            <w:pPr>
              <w:pStyle w:val="Tablerowtext"/>
            </w:pPr>
            <w:r>
              <w:t>International obligations</w:t>
            </w:r>
          </w:p>
        </w:tc>
        <w:tc>
          <w:tcPr>
            <w:tcW w:w="6674" w:type="dxa"/>
            <w:tcBorders>
              <w:top w:val="single" w:sz="4" w:space="0" w:color="auto"/>
              <w:left w:val="nil"/>
              <w:bottom w:val="single" w:sz="4" w:space="0" w:color="auto"/>
              <w:right w:val="nil"/>
            </w:tcBorders>
          </w:tcPr>
          <w:p w14:paraId="4BB67F3C" w14:textId="77777777" w:rsidR="007864CC" w:rsidRPr="00075ADD" w:rsidRDefault="007864CC" w:rsidP="007864CC">
            <w:pPr>
              <w:pStyle w:val="Tablerowtext"/>
            </w:pPr>
            <w:r w:rsidRPr="00075ADD">
              <w:t xml:space="preserve">Australia is a party to a number of international copyright treaties and free trade agreements under which Australia has obligations with respect to copyright and which potentially impact on the operations of Australian copyright collecting societies. This includes, in particular, the </w:t>
            </w:r>
            <w:r w:rsidRPr="00075ADD">
              <w:rPr>
                <w:i/>
              </w:rPr>
              <w:t>Berne Convention for the Protection of Literary and Artistic Works 1886</w:t>
            </w:r>
            <w:r w:rsidRPr="00075ADD">
              <w:t xml:space="preserve"> and the </w:t>
            </w:r>
            <w:r w:rsidRPr="00075ADD">
              <w:rPr>
                <w:i/>
              </w:rPr>
              <w:t>Agreement on Trade-Related Aspects of Intellectual Property Rights 1994</w:t>
            </w:r>
            <w:r w:rsidRPr="00075ADD">
              <w:t>. These multi-lateral treaties define minimum periods and levels of protection for copyright in member States, and provide for copyright enforcement and limitations and exceptions to copyright in certain circumstances.</w:t>
            </w:r>
          </w:p>
          <w:p w14:paraId="5F00EF4F" w14:textId="333C0919" w:rsidR="007864CC" w:rsidRPr="00F510F4" w:rsidRDefault="007864CC" w:rsidP="007864CC">
            <w:pPr>
              <w:pStyle w:val="Tablerowtext"/>
            </w:pPr>
            <w:r w:rsidRPr="00075ADD">
              <w:t>Collecting societies may also have obligations under reciprocal agreements with overseas copyright management organisations in relation to the collection and/or distribution of royalties.</w:t>
            </w:r>
          </w:p>
        </w:tc>
      </w:tr>
      <w:tr w:rsidR="007864CC" w14:paraId="2F921FD3" w14:textId="77777777" w:rsidTr="007864CC">
        <w:trPr>
          <w:cantSplit/>
        </w:trPr>
        <w:tc>
          <w:tcPr>
            <w:tcW w:w="2552" w:type="dxa"/>
            <w:tcBorders>
              <w:top w:val="single" w:sz="4" w:space="0" w:color="auto"/>
              <w:left w:val="nil"/>
              <w:bottom w:val="single" w:sz="4" w:space="0" w:color="auto"/>
              <w:right w:val="nil"/>
            </w:tcBorders>
          </w:tcPr>
          <w:p w14:paraId="3AFA022B" w14:textId="2135D7EE" w:rsidR="007864CC" w:rsidRDefault="007864CC" w:rsidP="007864CC">
            <w:pPr>
              <w:pStyle w:val="Tablerowtext"/>
            </w:pPr>
            <w:r>
              <w:t>Resale Royalty Rights for Visual Artists Act, and Determination</w:t>
            </w:r>
          </w:p>
        </w:tc>
        <w:tc>
          <w:tcPr>
            <w:tcW w:w="6674" w:type="dxa"/>
            <w:tcBorders>
              <w:top w:val="single" w:sz="4" w:space="0" w:color="auto"/>
              <w:left w:val="nil"/>
              <w:bottom w:val="single" w:sz="4" w:space="0" w:color="auto"/>
              <w:right w:val="nil"/>
            </w:tcBorders>
          </w:tcPr>
          <w:p w14:paraId="29A982C1" w14:textId="77777777" w:rsidR="007864CC" w:rsidRPr="00075ADD" w:rsidRDefault="007864CC" w:rsidP="007864CC">
            <w:pPr>
              <w:pStyle w:val="Tablerowtext"/>
            </w:pPr>
            <w:r w:rsidRPr="00075ADD">
              <w:t xml:space="preserve">The </w:t>
            </w:r>
            <w:r w:rsidRPr="00075ADD">
              <w:rPr>
                <w:i/>
              </w:rPr>
              <w:t>Resale Royalty Rights for Visual Artists Act 2009</w:t>
            </w:r>
            <w:r w:rsidRPr="00075ADD">
              <w:t xml:space="preserve"> provides for the appointment of Copyright Agency as the collecting society responsible for collecting resale royalty on visual artworks and distributing it to artists.</w:t>
            </w:r>
          </w:p>
          <w:p w14:paraId="24320FBA" w14:textId="6709EFEA" w:rsidR="007864CC" w:rsidRPr="00F510F4" w:rsidRDefault="007864CC" w:rsidP="007864CC">
            <w:pPr>
              <w:pStyle w:val="Tablerowtext"/>
            </w:pPr>
            <w:r w:rsidRPr="00075ADD">
              <w:t>This Act and the Determination made under s. 35(4)(d) of the Act</w:t>
            </w:r>
            <w:r w:rsidRPr="00075ADD">
              <w:rPr>
                <w:rStyle w:val="EndnoteReference"/>
              </w:rPr>
              <w:endnoteReference w:id="160"/>
            </w:r>
            <w:r w:rsidRPr="00075ADD">
              <w:t xml:space="preserve"> contain provisions in relation to the collecting society’s establishment, membership rights and reporting requirements as well as the collecting society’s obligations relating to publishing information about commercial resales of artwork on its website, and royalty collection and distribution.</w:t>
            </w:r>
            <w:r w:rsidRPr="00075ADD">
              <w:rPr>
                <w:rStyle w:val="EndnoteReference"/>
              </w:rPr>
              <w:endnoteReference w:id="161"/>
            </w:r>
            <w:r w:rsidRPr="00075ADD">
              <w:t xml:space="preserve"> The Act and Determination also set out what is required in the society’s rules including, in particular, provisions about the collection and distribution of resale royalty amounts, the holding on trust of amounts due to non-members or right holders not yet identified or located, access to records of the society by holders of resale royalty rights and their agents, and a member complaints procedure.</w:t>
            </w:r>
          </w:p>
        </w:tc>
      </w:tr>
      <w:tr w:rsidR="007864CC" w14:paraId="53307F96" w14:textId="77777777" w:rsidTr="007864CC">
        <w:trPr>
          <w:cantSplit/>
        </w:trPr>
        <w:tc>
          <w:tcPr>
            <w:tcW w:w="2552" w:type="dxa"/>
            <w:tcBorders>
              <w:top w:val="single" w:sz="4" w:space="0" w:color="auto"/>
              <w:left w:val="nil"/>
              <w:bottom w:val="single" w:sz="4" w:space="0" w:color="auto"/>
              <w:right w:val="nil"/>
            </w:tcBorders>
          </w:tcPr>
          <w:p w14:paraId="13DB9F8C" w14:textId="4DA6CFFA" w:rsidR="007864CC" w:rsidRDefault="007864CC" w:rsidP="007864CC">
            <w:pPr>
              <w:pStyle w:val="Tablerowtext"/>
            </w:pPr>
            <w:r>
              <w:t>Federal Court/Federal Circuit Court/State or Territory Supreme Court</w:t>
            </w:r>
          </w:p>
        </w:tc>
        <w:tc>
          <w:tcPr>
            <w:tcW w:w="6674" w:type="dxa"/>
            <w:tcBorders>
              <w:top w:val="single" w:sz="4" w:space="0" w:color="auto"/>
              <w:left w:val="nil"/>
              <w:bottom w:val="single" w:sz="4" w:space="0" w:color="auto"/>
              <w:right w:val="nil"/>
            </w:tcBorders>
          </w:tcPr>
          <w:p w14:paraId="6B8472AE" w14:textId="13857EF1" w:rsidR="007864CC" w:rsidRPr="00F510F4" w:rsidRDefault="007864CC" w:rsidP="007864CC">
            <w:pPr>
              <w:pStyle w:val="Tablerowtext"/>
            </w:pPr>
            <w:r w:rsidRPr="00075ADD">
              <w:t xml:space="preserve">The Federal Court of Australia and Supreme Courts of the States and Territories generally share jurisdiction to hear and determine civil and criminal copyright matters under the Copyright Act. The Federal Circuit Court also has jurisdiction to hear and determined certain civil copyright matters. All appeals in these cases, including appeals from the Supreme Courts, are to a full Federal Court. </w:t>
            </w:r>
          </w:p>
        </w:tc>
      </w:tr>
      <w:tr w:rsidR="007864CC" w14:paraId="0E1D948E" w14:textId="77777777" w:rsidTr="007864CC">
        <w:trPr>
          <w:cantSplit/>
        </w:trPr>
        <w:tc>
          <w:tcPr>
            <w:tcW w:w="2552" w:type="dxa"/>
            <w:tcBorders>
              <w:top w:val="single" w:sz="4" w:space="0" w:color="auto"/>
              <w:left w:val="nil"/>
              <w:bottom w:val="single" w:sz="4" w:space="0" w:color="auto"/>
              <w:right w:val="nil"/>
            </w:tcBorders>
          </w:tcPr>
          <w:p w14:paraId="069B796F" w14:textId="0363A438" w:rsidR="007864CC" w:rsidRDefault="007864CC" w:rsidP="007864CC">
            <w:pPr>
              <w:pStyle w:val="Tablerowtext"/>
            </w:pPr>
            <w:r>
              <w:t>Copyright Tribunal of Australia</w:t>
            </w:r>
          </w:p>
        </w:tc>
        <w:tc>
          <w:tcPr>
            <w:tcW w:w="6674" w:type="dxa"/>
            <w:tcBorders>
              <w:top w:val="single" w:sz="4" w:space="0" w:color="auto"/>
              <w:left w:val="nil"/>
              <w:bottom w:val="single" w:sz="4" w:space="0" w:color="auto"/>
              <w:right w:val="nil"/>
            </w:tcBorders>
          </w:tcPr>
          <w:p w14:paraId="209FA275" w14:textId="77777777" w:rsidR="007864CC" w:rsidRPr="00075ADD" w:rsidRDefault="007864CC" w:rsidP="007864CC">
            <w:pPr>
              <w:pStyle w:val="Tablerowtext"/>
            </w:pPr>
            <w:r w:rsidRPr="00075ADD">
              <w:t>The Copyright Tribunal, established under the Copyright Act, has jurisdiction to hear disputes with respect to both statutory and voluntary copyright licences. The Tribunal primarily hears disputes between copyright collecting societies and their licensees over copyright licence fees (equitable remuneration or royalty payable).</w:t>
            </w:r>
          </w:p>
          <w:p w14:paraId="158E45EF" w14:textId="27281921" w:rsidR="007864CC" w:rsidRPr="00F510F4" w:rsidRDefault="007864CC" w:rsidP="007864CC">
            <w:pPr>
              <w:pStyle w:val="Tablerowtext"/>
            </w:pPr>
            <w:r w:rsidRPr="00075ADD">
              <w:t>The Tribunal also has jurisdiction to hear applications seeking the declaration, or revocation of declaration, of collection societies, determine questions relating to a declared collecting society’s rules, and other matters arising under the statutory licence schemes and review a declared collecting society’s distribution arrangements.</w:t>
            </w:r>
          </w:p>
        </w:tc>
      </w:tr>
      <w:tr w:rsidR="007864CC" w14:paraId="6DA98734" w14:textId="77777777" w:rsidTr="007864CC">
        <w:trPr>
          <w:cantSplit/>
        </w:trPr>
        <w:tc>
          <w:tcPr>
            <w:tcW w:w="2552" w:type="dxa"/>
            <w:tcBorders>
              <w:top w:val="single" w:sz="4" w:space="0" w:color="auto"/>
              <w:left w:val="nil"/>
              <w:bottom w:val="single" w:sz="12" w:space="0" w:color="auto"/>
              <w:right w:val="nil"/>
            </w:tcBorders>
          </w:tcPr>
          <w:p w14:paraId="2C3D6440" w14:textId="5B61AEBA" w:rsidR="007864CC" w:rsidRDefault="007864CC" w:rsidP="007864CC">
            <w:pPr>
              <w:pStyle w:val="Tabletext"/>
            </w:pPr>
            <w:r>
              <w:t>Other legislation, e.g. Privacy Act</w:t>
            </w:r>
          </w:p>
        </w:tc>
        <w:tc>
          <w:tcPr>
            <w:tcW w:w="6674" w:type="dxa"/>
            <w:tcBorders>
              <w:top w:val="single" w:sz="4" w:space="0" w:color="auto"/>
              <w:left w:val="nil"/>
              <w:bottom w:val="single" w:sz="12" w:space="0" w:color="auto"/>
              <w:right w:val="nil"/>
            </w:tcBorders>
          </w:tcPr>
          <w:p w14:paraId="0CEDD72A" w14:textId="77777777" w:rsidR="007864CC" w:rsidRPr="00075ADD" w:rsidRDefault="007864CC" w:rsidP="007864CC">
            <w:pPr>
              <w:pStyle w:val="Tablerowtext"/>
            </w:pPr>
            <w:r w:rsidRPr="00075ADD">
              <w:t xml:space="preserve">The </w:t>
            </w:r>
            <w:r w:rsidRPr="00075ADD">
              <w:rPr>
                <w:i/>
              </w:rPr>
              <w:t>Privacy Act 1988</w:t>
            </w:r>
            <w:r w:rsidRPr="00075ADD">
              <w:t xml:space="preserve"> regulates the way individuals’ personal information is handled by Australian Government agencies and certain business entities. All businesses and not-for-profit organisations with an annual turnover more than $3 million have responsibilities under the Privacy Act, subject to some exceptions.</w:t>
            </w:r>
          </w:p>
          <w:p w14:paraId="1B642D38" w14:textId="77777777" w:rsidR="007864CC" w:rsidRPr="00075ADD" w:rsidRDefault="007864CC" w:rsidP="007864CC">
            <w:pPr>
              <w:pStyle w:val="Tablerowtext"/>
            </w:pPr>
            <w:r w:rsidRPr="00075ADD">
              <w:t>Collecting societies are usually also subject to general consumer laws. This includes, for example, the protections under the Australian Consumer Law relating to misleading or deceptive conduct, unconscionable conduct and unfair contract terms.</w:t>
            </w:r>
            <w:r w:rsidRPr="00075ADD">
              <w:rPr>
                <w:rStyle w:val="EndnoteReference"/>
              </w:rPr>
              <w:endnoteReference w:id="162"/>
            </w:r>
          </w:p>
          <w:p w14:paraId="4A3BA804" w14:textId="6D277157" w:rsidR="007864CC" w:rsidRPr="00F510F4" w:rsidRDefault="007864CC" w:rsidP="00075ADD">
            <w:pPr>
              <w:pStyle w:val="Tabletext"/>
              <w:rPr>
                <w:szCs w:val="22"/>
              </w:rPr>
            </w:pPr>
            <w:r w:rsidRPr="00075ADD">
              <w:rPr>
                <w:szCs w:val="22"/>
              </w:rPr>
              <w:t xml:space="preserve">There may be other legislation that regulates the activities of certain Australian collecting societies, for example under Australia’s media or broadcasting laws.  </w:t>
            </w:r>
          </w:p>
        </w:tc>
      </w:tr>
    </w:tbl>
    <w:p w14:paraId="3169635C" w14:textId="77777777" w:rsidR="007864CC" w:rsidRDefault="007864CC" w:rsidP="007864CC">
      <w:pPr>
        <w:rPr>
          <w:lang w:eastAsia="en-US" w:bidi="ar-SA"/>
        </w:rPr>
      </w:pPr>
    </w:p>
    <w:p w14:paraId="599974BC" w14:textId="77777777" w:rsidR="007E7021" w:rsidRPr="006538C4" w:rsidRDefault="007E7021" w:rsidP="007E7021">
      <w:pPr>
        <w:pStyle w:val="Heading2"/>
        <w:pageBreakBefore/>
      </w:pPr>
      <w:bookmarkStart w:id="320" w:name="_Toc499823249"/>
      <w:bookmarkStart w:id="321" w:name="_Toc501010988"/>
      <w:bookmarkStart w:id="322" w:name="_Toc504393031"/>
      <w:bookmarkStart w:id="323" w:name="_Toc506373287"/>
      <w:r w:rsidRPr="006538C4">
        <w:t xml:space="preserve">Appendix </w:t>
      </w:r>
      <w:r>
        <w:t>D: Alternative dispute resolution facilities offered by the collecting societies bound by the Code</w:t>
      </w:r>
      <w:bookmarkEnd w:id="320"/>
      <w:bookmarkEnd w:id="321"/>
      <w:bookmarkEnd w:id="322"/>
      <w:bookmarkEnd w:id="323"/>
    </w:p>
    <w:p w14:paraId="6F203A3E" w14:textId="77777777" w:rsidR="007E7021" w:rsidRPr="00E034CD" w:rsidRDefault="007E7021" w:rsidP="007E7021">
      <w:pPr>
        <w:pStyle w:val="Heading3"/>
      </w:pPr>
      <w:bookmarkStart w:id="324" w:name="_Toc504393032"/>
      <w:bookmarkStart w:id="325" w:name="_Toc506373288"/>
      <w:r w:rsidRPr="00E034CD">
        <w:t>APRA AMCOS</w:t>
      </w:r>
      <w:bookmarkEnd w:id="324"/>
      <w:bookmarkEnd w:id="325"/>
    </w:p>
    <w:p w14:paraId="42675695" w14:textId="77777777" w:rsidR="007E7021" w:rsidRDefault="007E7021" w:rsidP="007E7021">
      <w:pPr>
        <w:keepNext/>
        <w:shd w:val="clear" w:color="auto" w:fill="FFFFFF" w:themeFill="background1"/>
        <w:spacing w:after="120"/>
      </w:pPr>
      <w:r w:rsidRPr="00315D81">
        <w:t>Under the terms of its authorisation from the ACCC, APRA</w:t>
      </w:r>
      <w:r>
        <w:t xml:space="preserve"> AMCOS</w:t>
      </w:r>
      <w:r w:rsidRPr="00315D81">
        <w:t xml:space="preserve"> was required to update its ADR facility to a scheme managed by an independent ADR facilitator</w:t>
      </w:r>
      <w:r>
        <w:t xml:space="preserve"> and </w:t>
      </w:r>
      <w:r w:rsidRPr="00315D81">
        <w:t>submit to the ACCC an annual report detailing the disputes that have been notified to APRA</w:t>
      </w:r>
      <w:r>
        <w:t xml:space="preserve"> AMCOS</w:t>
      </w:r>
      <w:r w:rsidRPr="00315D81">
        <w:t xml:space="preserve"> under its ADR processes</w:t>
      </w:r>
      <w:r>
        <w:t>.</w:t>
      </w:r>
      <w:r w:rsidRPr="00E13EB5">
        <w:rPr>
          <w:vertAlign w:val="superscript"/>
        </w:rPr>
        <w:endnoteReference w:id="163"/>
      </w:r>
      <w:r>
        <w:t xml:space="preserve"> The facility covers </w:t>
      </w:r>
      <w:r w:rsidRPr="00315D81">
        <w:t>disputes between APRA</w:t>
      </w:r>
      <w:r>
        <w:t xml:space="preserve"> AMCOS</w:t>
      </w:r>
      <w:r w:rsidRPr="00315D81">
        <w:t xml:space="preserve"> and a licensee or potential licensee, or a member or potential member of APRA</w:t>
      </w:r>
      <w:r>
        <w:t xml:space="preserve"> AMCOS</w:t>
      </w:r>
      <w:r w:rsidRPr="00315D81">
        <w:t>, including complaints made to APRA</w:t>
      </w:r>
      <w:r>
        <w:t xml:space="preserve"> AMCOS</w:t>
      </w:r>
      <w:r w:rsidRPr="00315D81">
        <w:t xml:space="preserve"> by or on behalf of a member or licensee.</w:t>
      </w:r>
      <w:r w:rsidRPr="00E93954">
        <w:rPr>
          <w:vertAlign w:val="superscript"/>
        </w:rPr>
        <w:t xml:space="preserve"> </w:t>
      </w:r>
      <w:r w:rsidRPr="00E93954">
        <w:rPr>
          <w:vertAlign w:val="superscript"/>
        </w:rPr>
        <w:endnoteReference w:id="164"/>
      </w:r>
      <w:bookmarkStart w:id="326" w:name="_GoBack"/>
      <w:bookmarkEnd w:id="326"/>
    </w:p>
    <w:p w14:paraId="117167ED" w14:textId="77777777" w:rsidR="007E7021" w:rsidRPr="00315D81" w:rsidRDefault="007E7021" w:rsidP="007E7021">
      <w:pPr>
        <w:keepNext/>
        <w:shd w:val="clear" w:color="auto" w:fill="FFFFFF" w:themeFill="background1"/>
        <w:spacing w:after="120"/>
      </w:pPr>
      <w:r w:rsidRPr="00315D81">
        <w:t>APRA</w:t>
      </w:r>
      <w:r w:rsidRPr="001A1079">
        <w:t xml:space="preserve"> </w:t>
      </w:r>
      <w:r>
        <w:t>AMCOS</w:t>
      </w:r>
      <w:r w:rsidRPr="00315D81">
        <w:t xml:space="preserve"> launched its ADR facility, ‘Resolution Pathways’ on 31 March 2015</w:t>
      </w:r>
      <w:r>
        <w:t>.</w:t>
      </w:r>
      <w:r w:rsidRPr="00DF11C5">
        <w:rPr>
          <w:vertAlign w:val="superscript"/>
        </w:rPr>
        <w:endnoteReference w:id="165"/>
      </w:r>
      <w:r w:rsidRPr="00315D81">
        <w:t xml:space="preserve"> APRA</w:t>
      </w:r>
      <w:r>
        <w:t xml:space="preserve"> </w:t>
      </w:r>
      <w:r w:rsidRPr="00315D81">
        <w:t>AMCOS’s external solicitors ‘have standing instructions to make the existence of the facility known to parties before commencing legal proceedings or negotiations’.</w:t>
      </w:r>
      <w:r w:rsidRPr="00DF11C5">
        <w:rPr>
          <w:vertAlign w:val="superscript"/>
        </w:rPr>
        <w:endnoteReference w:id="166"/>
      </w:r>
      <w:r w:rsidRPr="00E93954">
        <w:rPr>
          <w:vertAlign w:val="superscript"/>
        </w:rPr>
        <w:t xml:space="preserve"> </w:t>
      </w:r>
      <w:r w:rsidRPr="00315D81">
        <w:t>The facility is provided at low cost to applicants, with fees and costs not payable for most disputes worth less than $10,000. The fees and costs can also be waived or reduced by the facilitator, mediator or expert, or with the agreement of APRA</w:t>
      </w:r>
      <w:r>
        <w:t xml:space="preserve"> </w:t>
      </w:r>
      <w:r w:rsidRPr="00315D81">
        <w:t xml:space="preserve">AMCOS. </w:t>
      </w:r>
      <w:r w:rsidRPr="00DF11C5">
        <w:rPr>
          <w:vertAlign w:val="superscript"/>
        </w:rPr>
        <w:endnoteReference w:id="167"/>
      </w:r>
    </w:p>
    <w:p w14:paraId="46ACA1C0" w14:textId="77777777" w:rsidR="007E7021" w:rsidRPr="00315D81" w:rsidRDefault="007E7021" w:rsidP="007E7021">
      <w:pPr>
        <w:keepNext/>
        <w:shd w:val="clear" w:color="auto" w:fill="FFFFFF" w:themeFill="background1"/>
        <w:spacing w:after="120"/>
      </w:pPr>
      <w:r w:rsidRPr="00315D81">
        <w:t xml:space="preserve">The Resolution Pathways facility has been well received by members and licensees, and in 2016 it was awarded ADR Corporate Team of the Year by the Australian Dispute Centre. </w:t>
      </w:r>
      <w:r w:rsidRPr="00DF11C5">
        <w:rPr>
          <w:vertAlign w:val="superscript"/>
        </w:rPr>
        <w:endnoteReference w:id="168"/>
      </w:r>
    </w:p>
    <w:p w14:paraId="67C6147F" w14:textId="77777777" w:rsidR="007E7021" w:rsidRPr="00E034CD" w:rsidRDefault="007E7021" w:rsidP="007E7021">
      <w:pPr>
        <w:pStyle w:val="Heading3"/>
      </w:pPr>
      <w:bookmarkStart w:id="327" w:name="_Toc504393033"/>
      <w:bookmarkStart w:id="328" w:name="_Toc506373289"/>
      <w:r>
        <w:t xml:space="preserve">Copyright Agency </w:t>
      </w:r>
      <w:r w:rsidRPr="00E034CD">
        <w:t>and Viscopy</w:t>
      </w:r>
      <w:bookmarkEnd w:id="327"/>
      <w:bookmarkEnd w:id="328"/>
    </w:p>
    <w:p w14:paraId="350D2C7F" w14:textId="77777777" w:rsidR="007E7021" w:rsidRPr="00315D81" w:rsidRDefault="007E7021" w:rsidP="007E7021">
      <w:pPr>
        <w:keepNext/>
        <w:shd w:val="clear" w:color="auto" w:fill="FFFFFF" w:themeFill="background1"/>
        <w:spacing w:after="120"/>
      </w:pPr>
      <w:r>
        <w:t>Copyright Agency’</w:t>
      </w:r>
      <w:r w:rsidRPr="00315D81">
        <w:t xml:space="preserve">s dispute resolution procedure is open to all members and licensees and is publicised on </w:t>
      </w:r>
      <w:r>
        <w:t>its</w:t>
      </w:r>
      <w:r w:rsidRPr="00315D81">
        <w:t xml:space="preserve"> website.</w:t>
      </w:r>
      <w:r w:rsidRPr="00DF11C5">
        <w:rPr>
          <w:vertAlign w:val="superscript"/>
        </w:rPr>
        <w:endnoteReference w:id="169"/>
      </w:r>
      <w:r w:rsidRPr="00315D81">
        <w:t xml:space="preserve"> The process is voluntary and can only occur when </w:t>
      </w:r>
      <w:r w:rsidRPr="00E93954">
        <w:t>both</w:t>
      </w:r>
      <w:r w:rsidRPr="00315D81">
        <w:t xml:space="preserve"> </w:t>
      </w:r>
      <w:r>
        <w:t>Copyright Agency</w:t>
      </w:r>
      <w:r w:rsidRPr="00315D81">
        <w:t xml:space="preserve"> and the relevant member or licensee agrees to have the dispute r</w:t>
      </w:r>
      <w:r>
        <w:t>esolved through this procedure.</w:t>
      </w:r>
    </w:p>
    <w:p w14:paraId="5570CE3D" w14:textId="77777777" w:rsidR="007E7021" w:rsidRDefault="007E7021" w:rsidP="007E7021">
      <w:pPr>
        <w:keepNext/>
        <w:shd w:val="clear" w:color="auto" w:fill="FFFFFF" w:themeFill="background1"/>
        <w:spacing w:after="120"/>
      </w:pPr>
      <w:r w:rsidRPr="00315D81">
        <w:t>A dispute resolution decision will be ‘from an independent expert, chosen between both parties’ who is ‘knowledgeable in copyright issues’.</w:t>
      </w:r>
      <w:r w:rsidRPr="00DF11C5">
        <w:rPr>
          <w:vertAlign w:val="superscript"/>
        </w:rPr>
        <w:endnoteReference w:id="170"/>
      </w:r>
      <w:r>
        <w:t xml:space="preserve"> Copyright Agency</w:t>
      </w:r>
      <w:r w:rsidRPr="00315D81">
        <w:t xml:space="preserve"> states that ‘if you don’t agree with the outcome, you have 28 working days to file fresh proceedings in an appropriate court or tribunal’, and if the member or licensee in dispute does not do so, then ‘the determination of the expert is binding on both parties’.</w:t>
      </w:r>
      <w:r w:rsidRPr="00DF11C5">
        <w:rPr>
          <w:vertAlign w:val="superscript"/>
        </w:rPr>
        <w:endnoteReference w:id="171"/>
      </w:r>
      <w:r w:rsidRPr="00315D81">
        <w:t xml:space="preserve"> Costs of the dispute are shared between the parties to the dispute.</w:t>
      </w:r>
    </w:p>
    <w:p w14:paraId="63A4ECA6" w14:textId="44DE0451" w:rsidR="007E7021" w:rsidRPr="00315D81" w:rsidRDefault="007E7021" w:rsidP="007E7021">
      <w:pPr>
        <w:keepNext/>
        <w:shd w:val="clear" w:color="auto" w:fill="FFFFFF" w:themeFill="background1"/>
        <w:spacing w:after="120"/>
      </w:pPr>
      <w:r>
        <w:t>Copyright Agency has submitted that its disputes with licensees ‘are resolved by commercial negotiation’ and that ‘in rare cases they are resolved by the Copyright Tribunal. These have been disputes involving millions of dollars in licence fees. The Tribunal is empowered to order mediation.’</w:t>
      </w:r>
      <w:r w:rsidRPr="004747C3">
        <w:rPr>
          <w:vertAlign w:val="superscript"/>
        </w:rPr>
        <w:endnoteReference w:id="172"/>
      </w:r>
    </w:p>
    <w:p w14:paraId="49178B20" w14:textId="77777777" w:rsidR="007E7021" w:rsidRPr="00E034CD" w:rsidRDefault="007E7021" w:rsidP="007E7021">
      <w:pPr>
        <w:pStyle w:val="Heading3"/>
      </w:pPr>
      <w:bookmarkStart w:id="329" w:name="_Toc504393034"/>
      <w:bookmarkStart w:id="330" w:name="_Toc506373290"/>
      <w:r w:rsidRPr="00E034CD">
        <w:t>Screenrights</w:t>
      </w:r>
      <w:bookmarkEnd w:id="329"/>
      <w:bookmarkEnd w:id="330"/>
    </w:p>
    <w:p w14:paraId="274116E7" w14:textId="77777777" w:rsidR="007E7021" w:rsidRPr="00315D81" w:rsidRDefault="007E7021" w:rsidP="007E7021">
      <w:pPr>
        <w:keepNext/>
        <w:shd w:val="clear" w:color="auto" w:fill="FFFFFF" w:themeFill="background1"/>
        <w:spacing w:after="120"/>
      </w:pPr>
      <w:r w:rsidRPr="00315D81">
        <w:t xml:space="preserve">The majority of </w:t>
      </w:r>
      <w:r>
        <w:t xml:space="preserve">Screenrights’ </w:t>
      </w:r>
      <w:r w:rsidRPr="00315D81">
        <w:t>dispute resolution processes are directed to resolving ‘competing claims’</w:t>
      </w:r>
      <w:r>
        <w:t>—</w:t>
      </w:r>
      <w:r w:rsidRPr="00315D81">
        <w:t>a situation where Screenrights receives more than one registration for a title from different members asserting a claim for the same royalty</w:t>
      </w:r>
      <w:r>
        <w:rPr>
          <w:rStyle w:val="EndnoteReference"/>
        </w:rPr>
        <w:endnoteReference w:id="173"/>
      </w:r>
      <w:r w:rsidRPr="00315D81">
        <w:t>. Screenrights</w:t>
      </w:r>
      <w:r>
        <w:t>’</w:t>
      </w:r>
      <w:r w:rsidRPr="00315D81">
        <w:t xml:space="preserve"> Express Resolution Process</w:t>
      </w:r>
      <w:r>
        <w:rPr>
          <w:rStyle w:val="EndnoteReference"/>
        </w:rPr>
        <w:endnoteReference w:id="174"/>
      </w:r>
      <w:r w:rsidRPr="00315D81">
        <w:t xml:space="preserve"> operates alongside its existing ADR procedure for competing claims between Screenrights members</w:t>
      </w:r>
      <w:r>
        <w:t>, and uses a series of presumptions</w:t>
      </w:r>
      <w:r w:rsidRPr="00315D81">
        <w:t xml:space="preserve"> to determine the relevant rightsholder.</w:t>
      </w:r>
      <w:r>
        <w:rPr>
          <w:rStyle w:val="EndnoteReference"/>
        </w:rPr>
        <w:endnoteReference w:id="175"/>
      </w:r>
    </w:p>
    <w:p w14:paraId="07187250" w14:textId="77777777" w:rsidR="007E7021" w:rsidRDefault="007E7021" w:rsidP="007E7021">
      <w:pPr>
        <w:keepNext/>
        <w:shd w:val="clear" w:color="auto" w:fill="FFFFFF" w:themeFill="background1"/>
        <w:spacing w:after="120"/>
      </w:pPr>
      <w:r>
        <w:t xml:space="preserve">Screenrights’ </w:t>
      </w:r>
      <w:r w:rsidRPr="00315D81">
        <w:t>ADR procedure</w:t>
      </w:r>
      <w:r>
        <w:t xml:space="preserve"> </w:t>
      </w:r>
      <w:r w:rsidRPr="007E54DC">
        <w:rPr>
          <w:vertAlign w:val="superscript"/>
        </w:rPr>
        <w:endnoteReference w:id="176"/>
      </w:r>
      <w:r w:rsidRPr="00315D81">
        <w:t xml:space="preserve"> for disputes </w:t>
      </w:r>
      <w:r>
        <w:t>with</w:t>
      </w:r>
      <w:r w:rsidRPr="00315D81">
        <w:t xml:space="preserve"> members provides </w:t>
      </w:r>
      <w:r>
        <w:t>e</w:t>
      </w:r>
      <w:r w:rsidRPr="00315D81">
        <w:t xml:space="preserve">xpert </w:t>
      </w:r>
      <w:r>
        <w:t>a</w:t>
      </w:r>
      <w:r w:rsidRPr="00315D81">
        <w:t>djudication at the agreement of both parties to the dispute, with Screenrights advising that ‘at law certain disputes cannot be dealt with by means of Expert Adjudication’ but ‘may be resolved by an application to the appropriate Court’.</w:t>
      </w:r>
      <w:r w:rsidRPr="007E54DC">
        <w:rPr>
          <w:vertAlign w:val="superscript"/>
        </w:rPr>
        <w:endnoteReference w:id="177"/>
      </w:r>
      <w:r w:rsidRPr="00E93954">
        <w:rPr>
          <w:vertAlign w:val="superscript"/>
        </w:rPr>
        <w:t xml:space="preserve"> </w:t>
      </w:r>
      <w:r w:rsidRPr="00315D81">
        <w:t>Screenrights has appointed an independent organisation to select an Expert Adjudicator</w:t>
      </w:r>
      <w:r>
        <w:t xml:space="preserve"> (</w:t>
      </w:r>
      <w:r w:rsidRPr="00315D81">
        <w:t>the cost borne by Screenrights</w:t>
      </w:r>
      <w:r>
        <w:t xml:space="preserve">) who </w:t>
      </w:r>
      <w:r w:rsidRPr="00315D81">
        <w:t xml:space="preserve">will usually make a decision based on written material submitted by the parties, and their decision will be binding </w:t>
      </w:r>
      <w:r>
        <w:t>on Screenrights and the member.</w:t>
      </w:r>
      <w:r w:rsidRPr="007E54DC">
        <w:rPr>
          <w:vertAlign w:val="superscript"/>
        </w:rPr>
        <w:endnoteReference w:id="178"/>
      </w:r>
    </w:p>
    <w:p w14:paraId="4FE62B19" w14:textId="77777777" w:rsidR="007E7021" w:rsidRDefault="007E7021" w:rsidP="007E7021">
      <w:pPr>
        <w:keepNext/>
        <w:shd w:val="clear" w:color="auto" w:fill="FFFFFF" w:themeFill="background1"/>
        <w:spacing w:after="120"/>
      </w:pPr>
      <w:r>
        <w:t>Their</w:t>
      </w:r>
      <w:r w:rsidRPr="00315D81">
        <w:t xml:space="preserve"> ADR procedure for disputes </w:t>
      </w:r>
      <w:r>
        <w:t>with</w:t>
      </w:r>
      <w:r w:rsidRPr="00315D81">
        <w:t xml:space="preserve"> licensees</w:t>
      </w:r>
      <w:r>
        <w:t xml:space="preserve"> </w:t>
      </w:r>
      <w:r w:rsidRPr="007E54DC">
        <w:rPr>
          <w:vertAlign w:val="superscript"/>
        </w:rPr>
        <w:endnoteReference w:id="179"/>
      </w:r>
      <w:r w:rsidRPr="00E93954">
        <w:rPr>
          <w:vertAlign w:val="superscript"/>
        </w:rPr>
        <w:t xml:space="preserve"> </w:t>
      </w:r>
      <w:r w:rsidRPr="00315D81">
        <w:t>is only available to Screenrights licensees, not prospective licensees and ‘disputes in relation to or in connection with any negotiations between Screenrights and a prospective licensee are strictly excluded from these mediation procedures’.</w:t>
      </w:r>
      <w:r w:rsidRPr="007E54DC">
        <w:rPr>
          <w:vertAlign w:val="superscript"/>
        </w:rPr>
        <w:endnoteReference w:id="180"/>
      </w:r>
      <w:r w:rsidRPr="00315D81">
        <w:t xml:space="preserve"> In addition, ‘mediation is not available to resolve disputes on any matters of the quantum of equitable remuneration payable by a licensee’, with Screenrights recognising ‘the right of licensees to apply to the Copyright Tribunal for the resolution of disputes that involve rates of remuneration, and also in respect of the sampling systems used to monitor copying by licensees’</w:t>
      </w:r>
      <w:r w:rsidRPr="00AD35F7">
        <w:t>.</w:t>
      </w:r>
      <w:r w:rsidRPr="007E54DC">
        <w:rPr>
          <w:vertAlign w:val="superscript"/>
        </w:rPr>
        <w:endnoteReference w:id="181"/>
      </w:r>
      <w:r w:rsidRPr="00E93954">
        <w:rPr>
          <w:vertAlign w:val="superscript"/>
        </w:rPr>
        <w:t xml:space="preserve"> </w:t>
      </w:r>
      <w:r>
        <w:t xml:space="preserve"> </w:t>
      </w:r>
      <w:r w:rsidRPr="00315D81">
        <w:t>Instead, Screenrights suggests that this mediation procedure may be used ‘where there is a dispute over the terms of an existing license agreement; for example with regard to the manner in which licences are invoiced, or the provisions in respect of enrolment details to be provided by licensees’</w:t>
      </w:r>
      <w:r>
        <w:rPr>
          <w:rStyle w:val="EndnoteReference"/>
        </w:rPr>
        <w:endnoteReference w:id="182"/>
      </w:r>
      <w:r w:rsidRPr="00315D81">
        <w:t>.</w:t>
      </w:r>
    </w:p>
    <w:p w14:paraId="4C103539" w14:textId="77777777" w:rsidR="007E7021" w:rsidRPr="00E034CD" w:rsidRDefault="007E7021" w:rsidP="007E7021">
      <w:pPr>
        <w:pStyle w:val="Heading3"/>
      </w:pPr>
      <w:bookmarkStart w:id="331" w:name="_Toc504393035"/>
      <w:bookmarkStart w:id="332" w:name="_Toc506373291"/>
      <w:r w:rsidRPr="00E034CD">
        <w:t>PPCA</w:t>
      </w:r>
      <w:bookmarkEnd w:id="331"/>
      <w:bookmarkEnd w:id="332"/>
    </w:p>
    <w:p w14:paraId="24D6AF10" w14:textId="77777777" w:rsidR="007E7021" w:rsidRDefault="007E7021" w:rsidP="007E7021">
      <w:pPr>
        <w:keepNext/>
        <w:shd w:val="clear" w:color="auto" w:fill="FFFFFF" w:themeFill="background1"/>
        <w:spacing w:after="120"/>
        <w:rPr>
          <w:vertAlign w:val="superscript"/>
        </w:rPr>
      </w:pPr>
      <w:r w:rsidRPr="00315D81">
        <w:t>PPCA’s dispute resolution processes are able to be accessed by a ‘copyright owner, artist, licensee or potential licensee’. PPCA recognises that court or tribunal proceedings ‘can be very expensive and time consuming for all parties involved’ so they offer ‘a range of independent, low-cost and efficient dispute resolution processes’.</w:t>
      </w:r>
      <w:r w:rsidRPr="007E54DC">
        <w:rPr>
          <w:vertAlign w:val="superscript"/>
        </w:rPr>
        <w:endnoteReference w:id="183"/>
      </w:r>
    </w:p>
    <w:p w14:paraId="5B06CD1B" w14:textId="77777777" w:rsidR="007E7021" w:rsidRPr="00315D81" w:rsidRDefault="007E7021" w:rsidP="007E7021">
      <w:pPr>
        <w:keepNext/>
        <w:shd w:val="clear" w:color="auto" w:fill="FFFFFF" w:themeFill="background1"/>
        <w:spacing w:after="120"/>
      </w:pPr>
      <w:r w:rsidRPr="00315D81">
        <w:t>Mediation and conciliation options are provided by PPCA with the assistance of an independent facilitator and administered by the Australian Disputes Centre. Neutral evaluation</w:t>
      </w:r>
      <w:r>
        <w:t xml:space="preserve"> is also offered where</w:t>
      </w:r>
      <w:r w:rsidRPr="00315D81">
        <w:t xml:space="preserve"> both parties pres</w:t>
      </w:r>
      <w:r>
        <w:t>ent information to an evaluator</w:t>
      </w:r>
      <w:r w:rsidRPr="00315D81">
        <w:t xml:space="preserve"> who gives their views on the relative strengths and weaknesses of each party’s submissions, and ‘may also offer an opinion as to how the dispute would be resolved if brought before a court or the Copyright Tribunal’. Whilst the findings of the neutral evaluator are not binding on either party, PPCA advises ‘they will obviously inform any further discussion or negotiations we may have in relation to this dispute’.</w:t>
      </w:r>
      <w:r w:rsidRPr="007E54DC">
        <w:rPr>
          <w:vertAlign w:val="superscript"/>
        </w:rPr>
        <w:endnoteReference w:id="184"/>
      </w:r>
    </w:p>
    <w:p w14:paraId="2EF76BE9" w14:textId="77777777" w:rsidR="007E7021" w:rsidRDefault="007E7021" w:rsidP="007E7021">
      <w:pPr>
        <w:keepNext/>
        <w:shd w:val="clear" w:color="auto" w:fill="FFFFFF" w:themeFill="background1"/>
        <w:spacing w:after="120"/>
        <w:rPr>
          <w:vertAlign w:val="superscript"/>
        </w:rPr>
      </w:pPr>
      <w:r w:rsidRPr="00315D81">
        <w:t>PPCA advises that it does not impose costs on parties accessing its ADR facilities, and will not seek to recover any of its own costs in participating in an ADR process. However, PPCA requires disputants to cover half of all third party costs incurred, including all costs related to accessing an independent facilitator or neutral evaluator.</w:t>
      </w:r>
      <w:r w:rsidRPr="007E54DC">
        <w:rPr>
          <w:vertAlign w:val="superscript"/>
        </w:rPr>
        <w:endnoteReference w:id="185"/>
      </w:r>
    </w:p>
    <w:p w14:paraId="64F3A115" w14:textId="77777777" w:rsidR="007E7021" w:rsidRPr="00E034CD" w:rsidRDefault="007E7021" w:rsidP="007E7021">
      <w:pPr>
        <w:pStyle w:val="Heading3"/>
      </w:pPr>
      <w:bookmarkStart w:id="333" w:name="_Toc504393036"/>
      <w:bookmarkStart w:id="334" w:name="_Toc506373292"/>
      <w:r w:rsidRPr="00E034CD">
        <w:t>AWGACS</w:t>
      </w:r>
      <w:bookmarkEnd w:id="333"/>
      <w:bookmarkEnd w:id="334"/>
    </w:p>
    <w:p w14:paraId="7177A1DB" w14:textId="77777777" w:rsidR="007E7021" w:rsidRDefault="007E7021" w:rsidP="007E7021">
      <w:pPr>
        <w:keepNext/>
        <w:shd w:val="clear" w:color="auto" w:fill="FFFFFF" w:themeFill="background1"/>
        <w:spacing w:after="120"/>
      </w:pPr>
      <w:r>
        <w:t>AWGACS’</w:t>
      </w:r>
      <w:r w:rsidRPr="00315D81">
        <w:t xml:space="preserve"> ADR facility is provided in the form of an Expert Determination Process. Access to the Expert Determination process is subject to agreement from AWGACS</w:t>
      </w:r>
      <w:r>
        <w:t>,</w:t>
      </w:r>
      <w:r>
        <w:rPr>
          <w:rStyle w:val="EndnoteReference"/>
        </w:rPr>
        <w:endnoteReference w:id="186"/>
      </w:r>
      <w:r>
        <w:t xml:space="preserve"> and </w:t>
      </w:r>
      <w:r w:rsidRPr="00315D81">
        <w:t>occurs via a decision from an agreed independent expert.</w:t>
      </w:r>
    </w:p>
    <w:p w14:paraId="158938BC" w14:textId="77777777" w:rsidR="007E7021" w:rsidRDefault="007E7021" w:rsidP="007E7021">
      <w:pPr>
        <w:keepNext/>
        <w:shd w:val="clear" w:color="auto" w:fill="FFFFFF" w:themeFill="background1"/>
        <w:spacing w:after="120"/>
      </w:pPr>
      <w:r w:rsidRPr="00315D81">
        <w:t xml:space="preserve">Each party to the dispute provides written submissions and evidence to the other, </w:t>
      </w:r>
      <w:r>
        <w:t>and</w:t>
      </w:r>
      <w:r w:rsidRPr="00315D81">
        <w:t xml:space="preserve"> then to the independent expert, who subsequently holds a hearing during which each party may present their case. The independent expert is required to make a determination within 28 days of the hearing and communicate the decision in writing to the parties.</w:t>
      </w:r>
    </w:p>
    <w:p w14:paraId="4C52469C" w14:textId="77777777" w:rsidR="007E7021" w:rsidRDefault="007E7021" w:rsidP="007E7021">
      <w:pPr>
        <w:keepNext/>
        <w:shd w:val="clear" w:color="auto" w:fill="FFFFFF" w:themeFill="background1"/>
        <w:spacing w:after="120"/>
      </w:pPr>
      <w:r w:rsidRPr="00315D81">
        <w:t>If either AWGACS or the complainant is unhappy with the decision of the independent expert, they have 28 working days to file proceedings in an appropriate court or tribunal; if such filing does not occur then the decision of the independent expert is binding on the parties.</w:t>
      </w:r>
      <w:r w:rsidRPr="007E54DC">
        <w:rPr>
          <w:vertAlign w:val="superscript"/>
        </w:rPr>
        <w:endnoteReference w:id="187"/>
      </w:r>
      <w:r w:rsidRPr="00E93954">
        <w:rPr>
          <w:vertAlign w:val="superscript"/>
        </w:rPr>
        <w:t xml:space="preserve"> </w:t>
      </w:r>
      <w:r w:rsidRPr="00315D81">
        <w:t>Each party shares the cost of the independent expert, and must meet its own costs of the expert determination process.</w:t>
      </w:r>
    </w:p>
    <w:p w14:paraId="0B6B9F00" w14:textId="77777777" w:rsidR="007E7021" w:rsidRPr="00692C1F" w:rsidRDefault="007E7021" w:rsidP="007E7021">
      <w:pPr>
        <w:rPr>
          <w:lang w:eastAsia="en-US"/>
        </w:rPr>
      </w:pPr>
    </w:p>
    <w:p w14:paraId="3ABF6BB0" w14:textId="77777777" w:rsidR="007E7021" w:rsidRDefault="007E7021" w:rsidP="007E7021">
      <w:pPr>
        <w:pStyle w:val="Heading2"/>
        <w:pageBreakBefore/>
      </w:pPr>
      <w:bookmarkStart w:id="335" w:name="_Toc499558608"/>
      <w:bookmarkStart w:id="336" w:name="_Toc499823250"/>
      <w:bookmarkStart w:id="337" w:name="_Toc501010989"/>
      <w:bookmarkStart w:id="338" w:name="_Toc504393037"/>
      <w:bookmarkStart w:id="339" w:name="_Toc506373293"/>
      <w:r w:rsidRPr="006538C4">
        <w:t>Appendix</w:t>
      </w:r>
      <w:r>
        <w:t xml:space="preserve"> E: Collective management organisations—analysis of international approaches</w:t>
      </w:r>
      <w:bookmarkStart w:id="340" w:name="_Toc497741770"/>
      <w:bookmarkStart w:id="341" w:name="_Toc497749272"/>
      <w:bookmarkStart w:id="342" w:name="_Toc497750857"/>
      <w:bookmarkStart w:id="343" w:name="_Toc497755214"/>
      <w:bookmarkStart w:id="344" w:name="_Toc498524213"/>
      <w:bookmarkStart w:id="345" w:name="_Toc498613736"/>
      <w:bookmarkStart w:id="346" w:name="_Toc498682600"/>
      <w:bookmarkStart w:id="347" w:name="_Toc498685052"/>
      <w:bookmarkStart w:id="348" w:name="_Toc498691914"/>
      <w:bookmarkStart w:id="349" w:name="_Toc498695651"/>
      <w:bookmarkStart w:id="350" w:name="_Toc499302329"/>
      <w:bookmarkStart w:id="351" w:name="_Toc499303698"/>
      <w:bookmarkEnd w:id="315"/>
      <w:bookmarkEnd w:id="316"/>
      <w:bookmarkEnd w:id="317"/>
      <w:bookmarkEnd w:id="335"/>
      <w:bookmarkEnd w:id="336"/>
      <w:bookmarkEnd w:id="337"/>
      <w:bookmarkEnd w:id="338"/>
      <w:bookmarkEnd w:id="339"/>
    </w:p>
    <w:p w14:paraId="5C930A9D" w14:textId="3AC4B3E5" w:rsidR="007E7021" w:rsidRDefault="007E7021" w:rsidP="007E7021">
      <w:pPr>
        <w:keepNext/>
        <w:shd w:val="clear" w:color="auto" w:fill="FFFFFF" w:themeFill="background1"/>
        <w:spacing w:after="120"/>
      </w:pPr>
      <w:r>
        <w:t>Australia’s collective copyright management system differs from other international jurisdictions and it can therefore be challenging to compare Australia’s governance framework with that of international jurisdictions. Despite this, international approaches can still provide insights on areas where Australia’s governance framework can be strengthened. Specific mention of some of these areas are mentioned throughout this report. An overview o</w:t>
      </w:r>
      <w:r w:rsidR="005456E0">
        <w:t>f</w:t>
      </w:r>
      <w:r>
        <w:t xml:space="preserve"> how Australia’s governance framework compares to international approaches is detailed below.</w:t>
      </w:r>
    </w:p>
    <w:p w14:paraId="100B1469" w14:textId="77777777" w:rsidR="007E7021" w:rsidRPr="00AB0B05" w:rsidRDefault="007E7021" w:rsidP="007E7021">
      <w:pPr>
        <w:pStyle w:val="Heading3"/>
      </w:pPr>
      <w:bookmarkStart w:id="352" w:name="_Toc504393038"/>
      <w:bookmarkStart w:id="353" w:name="_Toc506373294"/>
      <w:r w:rsidRPr="00AB0B05">
        <w:t>Background</w:t>
      </w:r>
      <w:r>
        <w:t xml:space="preserve"> on international approaches</w:t>
      </w:r>
      <w:bookmarkEnd w:id="352"/>
      <w:bookmarkEnd w:id="353"/>
    </w:p>
    <w:p w14:paraId="141ABECA" w14:textId="18A585F4" w:rsidR="007E7021" w:rsidRDefault="007E7021" w:rsidP="007E7021">
      <w:r w:rsidRPr="009E3249">
        <w:t xml:space="preserve">The PC considered that the European Union (EU) regulatory framework for </w:t>
      </w:r>
      <w:r>
        <w:t>collective management organizations (CMOs) (EU Directive</w:t>
      </w:r>
      <w:r>
        <w:rPr>
          <w:rStyle w:val="EndnoteReference"/>
        </w:rPr>
        <w:endnoteReference w:id="188"/>
      </w:r>
      <w:r>
        <w:t>)</w:t>
      </w:r>
      <w:r w:rsidRPr="009E3249">
        <w:t xml:space="preserve">, which is mandatory and contains detailed and prescriptive </w:t>
      </w:r>
      <w:r>
        <w:t xml:space="preserve">annual reporting </w:t>
      </w:r>
      <w:r w:rsidRPr="009E3249">
        <w:t>requirements, provides a benchmark for how governance and transparency requirements could potentially be strengthened in Australia.</w:t>
      </w:r>
      <w:r w:rsidRPr="009E3249">
        <w:rPr>
          <w:rStyle w:val="EndnoteReference"/>
        </w:rPr>
        <w:endnoteReference w:id="189"/>
      </w:r>
      <w:r>
        <w:t xml:space="preserve"> Another useful international source to </w:t>
      </w:r>
      <w:r w:rsidR="003B4884">
        <w:t>refer to</w:t>
      </w:r>
      <w:r>
        <w:t xml:space="preserve"> is the </w:t>
      </w:r>
      <w:r w:rsidRPr="00154030">
        <w:rPr>
          <w:i/>
        </w:rPr>
        <w:t>TAG Compendium of Good Practices Concerning the Collective Management of Copyright and Related Rights</w:t>
      </w:r>
      <w:r>
        <w:t xml:space="preserve"> (TAG Compendium) developed under the WIPO-initiated TAG of Excellence project.</w:t>
      </w:r>
      <w:r>
        <w:rPr>
          <w:rStyle w:val="EndnoteReference"/>
        </w:rPr>
        <w:endnoteReference w:id="190"/>
      </w:r>
      <w:r w:rsidR="00075ADD">
        <w:t xml:space="preserve"> </w:t>
      </w:r>
      <w:r w:rsidR="005456E0">
        <w:t>While</w:t>
      </w:r>
      <w:r w:rsidR="00075ADD">
        <w:t xml:space="preserve"> WIPO announced </w:t>
      </w:r>
      <w:r w:rsidR="005456E0">
        <w:t xml:space="preserve">in December 2017 </w:t>
      </w:r>
      <w:r w:rsidR="00075ADD">
        <w:t>that th</w:t>
      </w:r>
      <w:r w:rsidR="003B4884">
        <w:t>is</w:t>
      </w:r>
      <w:r w:rsidR="00075ADD">
        <w:t xml:space="preserve"> </w:t>
      </w:r>
      <w:r w:rsidR="00FF1A28">
        <w:t>p</w:t>
      </w:r>
      <w:r w:rsidR="00075ADD">
        <w:t>roject would be discontinued in its current form,</w:t>
      </w:r>
      <w:r w:rsidR="00075ADD">
        <w:rPr>
          <w:rStyle w:val="EndnoteReference"/>
        </w:rPr>
        <w:endnoteReference w:id="191"/>
      </w:r>
      <w:r w:rsidR="003B4884">
        <w:t xml:space="preserve"> a ‘Good Practice Toolkit’ for CMOs is currently being developed which similarly aims at supporting improved performance and governance of CMOs around the world, and the TAG Compendium provides guidance to consider in the interim. </w:t>
      </w:r>
      <w:r w:rsidR="00075ADD">
        <w:t xml:space="preserve"> </w:t>
      </w:r>
    </w:p>
    <w:p w14:paraId="2274B476" w14:textId="5FBAFA29" w:rsidR="00075ADD" w:rsidRDefault="007E7021" w:rsidP="007E7021">
      <w:r>
        <w:t xml:space="preserve">While the provisions set out in the EU Directive and the TAG Compendium are more extensive than those in the Australian Code, many of the provisions in the EU Directive and TAG Compendium, whilst not covered by the Code, are found in these other instruments. </w:t>
      </w:r>
      <w:r w:rsidRPr="006725B8">
        <w:t xml:space="preserve">Notwithstanding, there remain </w:t>
      </w:r>
      <w:r>
        <w:t>key</w:t>
      </w:r>
      <w:r w:rsidRPr="006725B8">
        <w:t xml:space="preserve"> differences in the way certain areas of CMO activity are addressed in </w:t>
      </w:r>
      <w:r>
        <w:t>the</w:t>
      </w:r>
      <w:r w:rsidRPr="006725B8">
        <w:t xml:space="preserve"> international </w:t>
      </w:r>
      <w:r>
        <w:t>instruments compared to the Australian instruments</w:t>
      </w:r>
      <w:r w:rsidRPr="006725B8">
        <w:t xml:space="preserve"> (</w:t>
      </w:r>
      <w:r w:rsidRPr="006725B8">
        <w:rPr>
          <w:b/>
        </w:rPr>
        <w:t xml:space="preserve">Table </w:t>
      </w:r>
      <w:r>
        <w:rPr>
          <w:b/>
        </w:rPr>
        <w:t>E1</w:t>
      </w:r>
      <w:r w:rsidRPr="006725B8">
        <w:t>).</w:t>
      </w:r>
    </w:p>
    <w:p w14:paraId="2304996D" w14:textId="77777777" w:rsidR="007E7021" w:rsidRDefault="007E7021" w:rsidP="007E7021">
      <w:r>
        <w:t>The EU Directive and TAG Compendium are predominantly rightsholder-focused and deal in detail with things such as membership and member participation, internal governance, the collection, management and distribution of rights revenue, and transparency and reporting to members. The EU Directive also requires that a CMO publish an annual transparency report including comprehensive financial information and a special report on the use of amounts deducted for the purposes of social, cultural and educational services.</w:t>
      </w:r>
      <w:r>
        <w:rPr>
          <w:rStyle w:val="EndnoteReference"/>
        </w:rPr>
        <w:endnoteReference w:id="192"/>
      </w:r>
      <w:r>
        <w:t xml:space="preserve"> Unlike the Australian Code, t</w:t>
      </w:r>
      <w:r w:rsidRPr="00007413">
        <w:t xml:space="preserve">he EU Directive </w:t>
      </w:r>
      <w:r>
        <w:t>contemplates</w:t>
      </w:r>
      <w:r w:rsidRPr="00007413">
        <w:t xml:space="preserve"> different dispute resolution mechanisms for rightsholders </w:t>
      </w:r>
      <w:r>
        <w:t>to those for</w:t>
      </w:r>
      <w:r w:rsidRPr="00007413">
        <w:t xml:space="preserve"> users. </w:t>
      </w:r>
      <w:r>
        <w:t>Finally, the EU Directive requires member states to nominate a national competent authority to monitor compliance by CMOs with their relevant national law that can impose sanctions or take other appropriate measures for non-compliance.</w:t>
      </w:r>
      <w:r>
        <w:rPr>
          <w:rStyle w:val="EndnoteReference"/>
        </w:rPr>
        <w:endnoteReference w:id="193"/>
      </w:r>
    </w:p>
    <w:p w14:paraId="027EA3EC" w14:textId="77777777" w:rsidR="007E7021" w:rsidRDefault="007E7021" w:rsidP="007E7021">
      <w:r>
        <w:t>Beyond the EU framework, there are other international models with varying degrees of government oversight. In some countries, for example Singapore and New Zealand, CMOs are not specifically regulated by the government although in both Singapore</w:t>
      </w:r>
      <w:r>
        <w:rPr>
          <w:rStyle w:val="EndnoteReference"/>
        </w:rPr>
        <w:endnoteReference w:id="194"/>
      </w:r>
      <w:r>
        <w:t xml:space="preserve"> and New Zealand</w:t>
      </w:r>
      <w:r>
        <w:rPr>
          <w:rStyle w:val="EndnoteReference"/>
        </w:rPr>
        <w:endnoteReference w:id="195"/>
      </w:r>
      <w:r>
        <w:t xml:space="preserve"> Copyright Tribunals have been established for resolving disputes between CMOs and users of copyright materials. Notably, both Singapore and New Zealand are currently conducting major reviews of their copyright regimes, including their copyright collective rights management systems.</w:t>
      </w:r>
      <w:r>
        <w:rPr>
          <w:rStyle w:val="EndnoteReference"/>
        </w:rPr>
        <w:endnoteReference w:id="196"/>
      </w:r>
      <w:r>
        <w:t xml:space="preserve"> In other jurisdictions, including Canada, the United States and South Korea, the terms and conditions on which CMOs may license uses of certain copyright materials must be set or approved by government authorities. In addition, the Nordic countries and United Kingdom have ‘extended collective licensing’ statutory regimes which allow authorised CMOs to license materials within a specific field of use on a mass scale enabling the clearance of rights for multiple copyright materials quickly and efficiently.</w:t>
      </w:r>
    </w:p>
    <w:p w14:paraId="4F63467C" w14:textId="77777777" w:rsidR="007E7021" w:rsidRDefault="007E7021" w:rsidP="007E7021">
      <w:pPr>
        <w:pStyle w:val="Tablefigureheading"/>
      </w:pPr>
      <w:bookmarkStart w:id="354" w:name="_Toc499823251"/>
      <w:bookmarkStart w:id="355" w:name="_Toc501010990"/>
      <w:bookmarkStart w:id="356" w:name="_Toc506371898"/>
      <w:r>
        <w:t xml:space="preserve">Table E1.  </w:t>
      </w:r>
      <w:r w:rsidRPr="00682642">
        <w:t>EU Directive and TAG Compendium</w:t>
      </w:r>
      <w:r>
        <w:t>—</w:t>
      </w:r>
      <w:r w:rsidRPr="00682642">
        <w:t>Comparison with Australian Code of Conduct and other governance instruments</w:t>
      </w:r>
      <w:bookmarkEnd w:id="340"/>
      <w:bookmarkEnd w:id="341"/>
      <w:bookmarkEnd w:id="342"/>
      <w:bookmarkEnd w:id="343"/>
      <w:bookmarkEnd w:id="344"/>
      <w:bookmarkEnd w:id="345"/>
      <w:bookmarkEnd w:id="346"/>
      <w:bookmarkEnd w:id="347"/>
      <w:bookmarkEnd w:id="348"/>
      <w:bookmarkEnd w:id="349"/>
      <w:bookmarkEnd w:id="350"/>
      <w:bookmarkEnd w:id="351"/>
      <w:bookmarkEnd w:id="354"/>
      <w:bookmarkEnd w:id="355"/>
      <w:bookmarkEnd w:id="356"/>
    </w:p>
    <w:tbl>
      <w:tblPr>
        <w:tblStyle w:val="TableGrid"/>
        <w:tblW w:w="9635" w:type="dxa"/>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Description w:val="Table E1. EU Directive and TAG Compendium - comparison with Australian Code of Conduct and other governance instruments.&#10;&#10;This table indicates the issues and elements of collecting societies' operations that are covered by the Code of Conduct for Copyright Collecting Societies in comparison to what is covered by equivalent instruments in interanational jurisdictions."/>
      </w:tblPr>
      <w:tblGrid>
        <w:gridCol w:w="5387"/>
        <w:gridCol w:w="1295"/>
        <w:gridCol w:w="1417"/>
        <w:gridCol w:w="1536"/>
      </w:tblGrid>
      <w:tr w:rsidR="00897FD5" w14:paraId="6725C59A" w14:textId="77777777" w:rsidTr="00897FD5">
        <w:trPr>
          <w:cantSplit/>
          <w:tblHeader/>
        </w:trPr>
        <w:tc>
          <w:tcPr>
            <w:tcW w:w="5387" w:type="dxa"/>
            <w:tcBorders>
              <w:top w:val="nil"/>
              <w:left w:val="nil"/>
              <w:bottom w:val="thickThinLargeGap" w:sz="24" w:space="0" w:color="auto"/>
              <w:right w:val="nil"/>
            </w:tcBorders>
            <w:shd w:val="clear" w:color="auto" w:fill="113651"/>
          </w:tcPr>
          <w:p w14:paraId="2E8A97D3" w14:textId="77777777" w:rsidR="00897FD5" w:rsidRPr="00897FD5" w:rsidRDefault="00897FD5" w:rsidP="00897FD5">
            <w:pPr>
              <w:pStyle w:val="Tableheading"/>
            </w:pPr>
            <w:r w:rsidRPr="00897FD5">
              <w:t>EU Directive/TAG Compendium</w:t>
            </w:r>
          </w:p>
          <w:p w14:paraId="308339E2" w14:textId="15EF336D" w:rsidR="00897FD5" w:rsidRDefault="00897FD5" w:rsidP="00897FD5">
            <w:pPr>
              <w:pStyle w:val="Tableheading"/>
            </w:pPr>
            <w:r w:rsidRPr="00897FD5">
              <w:t>(Key measures)</w:t>
            </w:r>
          </w:p>
        </w:tc>
        <w:tc>
          <w:tcPr>
            <w:tcW w:w="1295" w:type="dxa"/>
            <w:tcBorders>
              <w:top w:val="nil"/>
              <w:left w:val="nil"/>
              <w:bottom w:val="thickThinLargeGap" w:sz="24" w:space="0" w:color="auto"/>
              <w:right w:val="nil"/>
            </w:tcBorders>
            <w:shd w:val="clear" w:color="auto" w:fill="113651"/>
          </w:tcPr>
          <w:p w14:paraId="6204C7E5" w14:textId="149491CD" w:rsidR="00897FD5" w:rsidRDefault="00897FD5" w:rsidP="00897FD5">
            <w:pPr>
              <w:pStyle w:val="Tableheading"/>
              <w:jc w:val="center"/>
            </w:pPr>
            <w:r w:rsidRPr="00897FD5">
              <w:t>Australian Code</w:t>
            </w:r>
          </w:p>
        </w:tc>
        <w:tc>
          <w:tcPr>
            <w:tcW w:w="1417" w:type="dxa"/>
            <w:tcBorders>
              <w:top w:val="nil"/>
              <w:left w:val="nil"/>
              <w:bottom w:val="thickThinLargeGap" w:sz="24" w:space="0" w:color="auto"/>
              <w:right w:val="nil"/>
            </w:tcBorders>
            <w:shd w:val="clear" w:color="auto" w:fill="113651"/>
          </w:tcPr>
          <w:p w14:paraId="22AA179A" w14:textId="77777777" w:rsidR="00897FD5" w:rsidRPr="00897FD5" w:rsidRDefault="00897FD5" w:rsidP="00897FD5">
            <w:pPr>
              <w:pStyle w:val="Tableheading"/>
              <w:jc w:val="center"/>
            </w:pPr>
            <w:r w:rsidRPr="00897FD5">
              <w:t>Constitution</w:t>
            </w:r>
          </w:p>
          <w:p w14:paraId="1DC1593C" w14:textId="72583646" w:rsidR="00897FD5" w:rsidRDefault="00897FD5" w:rsidP="00897FD5">
            <w:pPr>
              <w:pStyle w:val="Tableheading"/>
              <w:jc w:val="center"/>
            </w:pPr>
            <w:r w:rsidRPr="00897FD5">
              <w:t>(declared/</w:t>
            </w:r>
            <w:r w:rsidRPr="00897FD5">
              <w:br/>
              <w:t>voluntary)*</w:t>
            </w:r>
          </w:p>
        </w:tc>
        <w:tc>
          <w:tcPr>
            <w:tcW w:w="1536" w:type="dxa"/>
            <w:tcBorders>
              <w:top w:val="nil"/>
              <w:left w:val="nil"/>
              <w:bottom w:val="thickThinLargeGap" w:sz="24" w:space="0" w:color="auto"/>
              <w:right w:val="nil"/>
            </w:tcBorders>
            <w:shd w:val="clear" w:color="auto" w:fill="113651"/>
          </w:tcPr>
          <w:p w14:paraId="35505DA8" w14:textId="3D2718A3" w:rsidR="00897FD5" w:rsidRDefault="00897FD5" w:rsidP="00897FD5">
            <w:pPr>
              <w:pStyle w:val="Tableheading"/>
              <w:jc w:val="center"/>
            </w:pPr>
            <w:r w:rsidRPr="00897FD5">
              <w:t>Copyright legislation (declared)**</w:t>
            </w:r>
          </w:p>
        </w:tc>
      </w:tr>
      <w:tr w:rsidR="00897FD5" w:rsidRPr="00897FD5" w14:paraId="6946972D" w14:textId="77777777" w:rsidTr="00897FD5">
        <w:trPr>
          <w:cantSplit/>
        </w:trPr>
        <w:tc>
          <w:tcPr>
            <w:tcW w:w="5387" w:type="dxa"/>
            <w:tcBorders>
              <w:top w:val="thickThinLargeGap" w:sz="24" w:space="0" w:color="auto"/>
              <w:left w:val="nil"/>
              <w:bottom w:val="single" w:sz="4" w:space="0" w:color="auto"/>
              <w:right w:val="nil"/>
            </w:tcBorders>
          </w:tcPr>
          <w:p w14:paraId="06483421" w14:textId="77777777" w:rsidR="00897FD5" w:rsidRPr="00B5016C" w:rsidRDefault="00897FD5" w:rsidP="00897FD5">
            <w:pPr>
              <w:pStyle w:val="Tabletext"/>
              <w:rPr>
                <w:b/>
                <w:sz w:val="20"/>
              </w:rPr>
            </w:pPr>
            <w:r w:rsidRPr="00B5016C">
              <w:rPr>
                <w:b/>
                <w:sz w:val="20"/>
              </w:rPr>
              <w:t>Membership terms (acquisition of rights)</w:t>
            </w:r>
          </w:p>
          <w:p w14:paraId="1B048233" w14:textId="77777777" w:rsidR="00897FD5" w:rsidRPr="00897FD5" w:rsidRDefault="00897FD5" w:rsidP="00897FD5">
            <w:pPr>
              <w:pStyle w:val="Bullet-tables"/>
              <w:rPr>
                <w:sz w:val="20"/>
                <w:szCs w:val="20"/>
              </w:rPr>
            </w:pPr>
            <w:r w:rsidRPr="00897FD5">
              <w:rPr>
                <w:sz w:val="20"/>
                <w:szCs w:val="20"/>
              </w:rPr>
              <w:t>Membership open to all relevant rightsholders</w:t>
            </w:r>
          </w:p>
          <w:p w14:paraId="17039873" w14:textId="77777777" w:rsidR="00897FD5" w:rsidRPr="00897FD5" w:rsidRDefault="00897FD5" w:rsidP="00897FD5">
            <w:pPr>
              <w:pStyle w:val="Bullet-tables"/>
              <w:rPr>
                <w:sz w:val="20"/>
                <w:szCs w:val="20"/>
              </w:rPr>
            </w:pPr>
            <w:r w:rsidRPr="00897FD5">
              <w:rPr>
                <w:sz w:val="20"/>
                <w:szCs w:val="20"/>
              </w:rPr>
              <w:t>Potential members informed of rights and obligations</w:t>
            </w:r>
          </w:p>
          <w:p w14:paraId="7FFC36E9" w14:textId="77777777" w:rsidR="00897FD5" w:rsidRPr="00897FD5" w:rsidRDefault="00897FD5" w:rsidP="00897FD5">
            <w:pPr>
              <w:pStyle w:val="Bullet-tables"/>
              <w:rPr>
                <w:sz w:val="20"/>
                <w:szCs w:val="20"/>
              </w:rPr>
            </w:pPr>
            <w:r w:rsidRPr="00897FD5">
              <w:rPr>
                <w:sz w:val="20"/>
                <w:szCs w:val="20"/>
              </w:rPr>
              <w:t>Collateral conditions only if objectively justified</w:t>
            </w:r>
          </w:p>
          <w:p w14:paraId="09D37F42" w14:textId="77777777" w:rsidR="00897FD5" w:rsidRPr="00897FD5" w:rsidRDefault="00897FD5" w:rsidP="00897FD5">
            <w:pPr>
              <w:pStyle w:val="Bullet-tables"/>
              <w:rPr>
                <w:sz w:val="20"/>
                <w:szCs w:val="20"/>
              </w:rPr>
            </w:pPr>
            <w:r w:rsidRPr="00897FD5">
              <w:rPr>
                <w:sz w:val="20"/>
                <w:szCs w:val="20"/>
              </w:rPr>
              <w:t>Termination or withdrawal of rights on notice</w:t>
            </w:r>
          </w:p>
          <w:p w14:paraId="2F1AA167" w14:textId="11C5CF23" w:rsidR="00897FD5" w:rsidRPr="00897FD5" w:rsidRDefault="00897FD5" w:rsidP="00897FD5">
            <w:pPr>
              <w:pStyle w:val="Bullet-tables"/>
              <w:rPr>
                <w:sz w:val="20"/>
                <w:szCs w:val="20"/>
              </w:rPr>
            </w:pPr>
            <w:r w:rsidRPr="00897FD5">
              <w:rPr>
                <w:sz w:val="20"/>
                <w:szCs w:val="20"/>
              </w:rPr>
              <w:t>Entitlement to share of revenue post termination</w:t>
            </w:r>
          </w:p>
        </w:tc>
        <w:tc>
          <w:tcPr>
            <w:tcW w:w="1295" w:type="dxa"/>
            <w:tcBorders>
              <w:top w:val="thickThinLargeGap" w:sz="24" w:space="0" w:color="auto"/>
              <w:left w:val="nil"/>
              <w:bottom w:val="single" w:sz="4" w:space="0" w:color="auto"/>
              <w:right w:val="nil"/>
            </w:tcBorders>
          </w:tcPr>
          <w:p w14:paraId="6CA8221E" w14:textId="77777777" w:rsidR="00897FD5" w:rsidRPr="00897FD5" w:rsidRDefault="00897FD5" w:rsidP="00897FD5">
            <w:pPr>
              <w:pStyle w:val="Tabletext"/>
              <w:jc w:val="center"/>
              <w:rPr>
                <w:szCs w:val="22"/>
              </w:rPr>
            </w:pPr>
          </w:p>
          <w:p w14:paraId="0931BFC7" w14:textId="77777777" w:rsidR="00897FD5" w:rsidRPr="00897FD5" w:rsidRDefault="00897FD5" w:rsidP="00897FD5">
            <w:pPr>
              <w:pStyle w:val="Tabletext"/>
              <w:jc w:val="center"/>
              <w:rPr>
                <w:szCs w:val="22"/>
              </w:rPr>
            </w:pPr>
            <w:r w:rsidRPr="00897FD5">
              <w:rPr>
                <w:szCs w:val="22"/>
              </w:rPr>
              <w:t>√</w:t>
            </w:r>
          </w:p>
          <w:p w14:paraId="5496F7E7" w14:textId="77777777" w:rsidR="00897FD5" w:rsidRPr="00897FD5" w:rsidRDefault="00897FD5" w:rsidP="00897FD5">
            <w:pPr>
              <w:pStyle w:val="Tabletext"/>
              <w:jc w:val="center"/>
              <w:rPr>
                <w:szCs w:val="22"/>
              </w:rPr>
            </w:pPr>
            <w:r w:rsidRPr="00897FD5">
              <w:rPr>
                <w:szCs w:val="22"/>
              </w:rPr>
              <w:t>√ (part)</w:t>
            </w:r>
          </w:p>
          <w:p w14:paraId="3EB1451D" w14:textId="77777777" w:rsidR="00897FD5" w:rsidRPr="00897FD5" w:rsidRDefault="00897FD5" w:rsidP="00897FD5">
            <w:pPr>
              <w:pStyle w:val="Tabletext"/>
              <w:jc w:val="center"/>
              <w:rPr>
                <w:szCs w:val="22"/>
              </w:rPr>
            </w:pPr>
            <w:r w:rsidRPr="00897FD5">
              <w:rPr>
                <w:szCs w:val="22"/>
              </w:rPr>
              <w:t>-</w:t>
            </w:r>
          </w:p>
          <w:p w14:paraId="31B54E77" w14:textId="77777777" w:rsidR="00897FD5" w:rsidRPr="00897FD5" w:rsidRDefault="00897FD5" w:rsidP="00897FD5">
            <w:pPr>
              <w:pStyle w:val="Tabletext"/>
              <w:jc w:val="center"/>
              <w:rPr>
                <w:szCs w:val="22"/>
              </w:rPr>
            </w:pPr>
            <w:r w:rsidRPr="00897FD5">
              <w:rPr>
                <w:szCs w:val="22"/>
              </w:rPr>
              <w:t>-</w:t>
            </w:r>
          </w:p>
          <w:p w14:paraId="725D55A5" w14:textId="138FF869" w:rsidR="00897FD5" w:rsidRPr="00897FD5" w:rsidRDefault="00897FD5" w:rsidP="00897FD5">
            <w:pPr>
              <w:pStyle w:val="Tabletext"/>
              <w:jc w:val="center"/>
              <w:rPr>
                <w:szCs w:val="22"/>
              </w:rPr>
            </w:pPr>
            <w:r w:rsidRPr="00897FD5">
              <w:rPr>
                <w:szCs w:val="22"/>
              </w:rPr>
              <w:t>-</w:t>
            </w:r>
          </w:p>
        </w:tc>
        <w:tc>
          <w:tcPr>
            <w:tcW w:w="1417" w:type="dxa"/>
            <w:tcBorders>
              <w:top w:val="thickThinLargeGap" w:sz="24" w:space="0" w:color="auto"/>
              <w:left w:val="nil"/>
              <w:bottom w:val="single" w:sz="4" w:space="0" w:color="auto"/>
              <w:right w:val="nil"/>
            </w:tcBorders>
          </w:tcPr>
          <w:p w14:paraId="15398B12" w14:textId="77777777" w:rsidR="00897FD5" w:rsidRPr="00897FD5" w:rsidRDefault="00897FD5" w:rsidP="00897FD5">
            <w:pPr>
              <w:pStyle w:val="Tabletext"/>
              <w:jc w:val="center"/>
              <w:rPr>
                <w:szCs w:val="22"/>
              </w:rPr>
            </w:pPr>
          </w:p>
          <w:p w14:paraId="5B98EA7C" w14:textId="77777777" w:rsidR="00897FD5" w:rsidRPr="00897FD5" w:rsidRDefault="00897FD5" w:rsidP="00897FD5">
            <w:pPr>
              <w:pStyle w:val="Tabletext"/>
              <w:jc w:val="center"/>
              <w:rPr>
                <w:szCs w:val="22"/>
              </w:rPr>
            </w:pPr>
            <w:r w:rsidRPr="00897FD5">
              <w:rPr>
                <w:szCs w:val="22"/>
              </w:rPr>
              <w:t>√ (declared)</w:t>
            </w:r>
          </w:p>
          <w:p w14:paraId="146872B0" w14:textId="77777777" w:rsidR="00897FD5" w:rsidRPr="00897FD5" w:rsidRDefault="00897FD5" w:rsidP="00897FD5">
            <w:pPr>
              <w:pStyle w:val="Tabletext"/>
              <w:jc w:val="center"/>
              <w:rPr>
                <w:szCs w:val="22"/>
              </w:rPr>
            </w:pPr>
            <w:r w:rsidRPr="00897FD5">
              <w:rPr>
                <w:szCs w:val="22"/>
              </w:rPr>
              <w:t>-</w:t>
            </w:r>
          </w:p>
          <w:p w14:paraId="06048309" w14:textId="77777777" w:rsidR="00897FD5" w:rsidRPr="00897FD5" w:rsidRDefault="00897FD5" w:rsidP="00897FD5">
            <w:pPr>
              <w:pStyle w:val="Tabletext"/>
              <w:jc w:val="center"/>
              <w:rPr>
                <w:szCs w:val="22"/>
              </w:rPr>
            </w:pPr>
            <w:r w:rsidRPr="00897FD5">
              <w:rPr>
                <w:szCs w:val="22"/>
              </w:rPr>
              <w:t>√ (declared)</w:t>
            </w:r>
          </w:p>
          <w:p w14:paraId="7623B37A" w14:textId="77777777" w:rsidR="00897FD5" w:rsidRPr="00897FD5" w:rsidRDefault="00897FD5" w:rsidP="00897FD5">
            <w:pPr>
              <w:pStyle w:val="Tabletext"/>
              <w:jc w:val="center"/>
              <w:rPr>
                <w:szCs w:val="22"/>
              </w:rPr>
            </w:pPr>
            <w:r w:rsidRPr="00897FD5">
              <w:rPr>
                <w:szCs w:val="22"/>
              </w:rPr>
              <w:t>√</w:t>
            </w:r>
          </w:p>
          <w:p w14:paraId="2C246437" w14:textId="52A94CE6" w:rsidR="00897FD5" w:rsidRPr="00897FD5" w:rsidRDefault="00897FD5" w:rsidP="00897FD5">
            <w:pPr>
              <w:pStyle w:val="Tabletext"/>
              <w:jc w:val="center"/>
              <w:rPr>
                <w:szCs w:val="22"/>
              </w:rPr>
            </w:pPr>
            <w:r w:rsidRPr="00897FD5">
              <w:rPr>
                <w:szCs w:val="22"/>
              </w:rPr>
              <w:t>√ (declared)</w:t>
            </w:r>
          </w:p>
        </w:tc>
        <w:tc>
          <w:tcPr>
            <w:tcW w:w="1536" w:type="dxa"/>
            <w:tcBorders>
              <w:top w:val="thickThinLargeGap" w:sz="24" w:space="0" w:color="auto"/>
              <w:left w:val="nil"/>
              <w:bottom w:val="single" w:sz="4" w:space="0" w:color="auto"/>
              <w:right w:val="nil"/>
            </w:tcBorders>
          </w:tcPr>
          <w:p w14:paraId="43F7FDE1" w14:textId="77777777" w:rsidR="00897FD5" w:rsidRPr="00897FD5" w:rsidRDefault="00897FD5" w:rsidP="00897FD5">
            <w:pPr>
              <w:pStyle w:val="Tabletext"/>
              <w:jc w:val="center"/>
              <w:rPr>
                <w:szCs w:val="22"/>
              </w:rPr>
            </w:pPr>
          </w:p>
          <w:p w14:paraId="1BD370EA" w14:textId="77777777" w:rsidR="00897FD5" w:rsidRPr="00897FD5" w:rsidRDefault="00897FD5" w:rsidP="00897FD5">
            <w:pPr>
              <w:pStyle w:val="Tabletext"/>
              <w:jc w:val="center"/>
              <w:rPr>
                <w:szCs w:val="22"/>
              </w:rPr>
            </w:pPr>
            <w:r w:rsidRPr="00897FD5">
              <w:rPr>
                <w:szCs w:val="22"/>
              </w:rPr>
              <w:t>√</w:t>
            </w:r>
          </w:p>
          <w:p w14:paraId="199F8220" w14:textId="77777777" w:rsidR="00897FD5" w:rsidRPr="00897FD5" w:rsidRDefault="00897FD5" w:rsidP="00897FD5">
            <w:pPr>
              <w:pStyle w:val="Tabletext"/>
              <w:jc w:val="center"/>
              <w:rPr>
                <w:szCs w:val="22"/>
              </w:rPr>
            </w:pPr>
            <w:r w:rsidRPr="00897FD5">
              <w:rPr>
                <w:szCs w:val="22"/>
              </w:rPr>
              <w:t>-</w:t>
            </w:r>
          </w:p>
          <w:p w14:paraId="174FB32F" w14:textId="77777777" w:rsidR="00897FD5" w:rsidRPr="00897FD5" w:rsidRDefault="00897FD5" w:rsidP="00897FD5">
            <w:pPr>
              <w:pStyle w:val="Tabletext"/>
              <w:jc w:val="center"/>
              <w:rPr>
                <w:szCs w:val="22"/>
              </w:rPr>
            </w:pPr>
            <w:r w:rsidRPr="00897FD5">
              <w:rPr>
                <w:szCs w:val="22"/>
              </w:rPr>
              <w:t>√</w:t>
            </w:r>
          </w:p>
          <w:p w14:paraId="6799D655" w14:textId="77777777" w:rsidR="00897FD5" w:rsidRPr="00897FD5" w:rsidRDefault="00897FD5" w:rsidP="00897FD5">
            <w:pPr>
              <w:pStyle w:val="Tabletext"/>
              <w:jc w:val="center"/>
              <w:rPr>
                <w:szCs w:val="22"/>
              </w:rPr>
            </w:pPr>
            <w:r w:rsidRPr="00897FD5">
              <w:rPr>
                <w:szCs w:val="22"/>
              </w:rPr>
              <w:t>-</w:t>
            </w:r>
          </w:p>
          <w:p w14:paraId="2BAEBAF2" w14:textId="13C066EE" w:rsidR="00897FD5" w:rsidRPr="00897FD5" w:rsidRDefault="00897FD5" w:rsidP="00897FD5">
            <w:pPr>
              <w:pStyle w:val="Tabletext"/>
              <w:jc w:val="center"/>
              <w:rPr>
                <w:szCs w:val="22"/>
              </w:rPr>
            </w:pPr>
            <w:r w:rsidRPr="00897FD5">
              <w:rPr>
                <w:szCs w:val="22"/>
              </w:rPr>
              <w:t>-</w:t>
            </w:r>
          </w:p>
        </w:tc>
      </w:tr>
      <w:tr w:rsidR="00897FD5" w:rsidRPr="00897FD5" w14:paraId="4C29AFDD" w14:textId="77777777" w:rsidTr="00897FD5">
        <w:trPr>
          <w:cantSplit/>
        </w:trPr>
        <w:tc>
          <w:tcPr>
            <w:tcW w:w="5387" w:type="dxa"/>
            <w:tcBorders>
              <w:top w:val="single" w:sz="4" w:space="0" w:color="auto"/>
              <w:left w:val="nil"/>
              <w:bottom w:val="single" w:sz="4" w:space="0" w:color="auto"/>
              <w:right w:val="nil"/>
            </w:tcBorders>
          </w:tcPr>
          <w:p w14:paraId="57396917" w14:textId="77777777" w:rsidR="00897FD5" w:rsidRPr="00B5016C" w:rsidRDefault="00897FD5" w:rsidP="00897FD5">
            <w:pPr>
              <w:pStyle w:val="Tabletext"/>
              <w:rPr>
                <w:b/>
                <w:sz w:val="20"/>
              </w:rPr>
            </w:pPr>
            <w:r w:rsidRPr="00B5016C">
              <w:rPr>
                <w:b/>
                <w:sz w:val="20"/>
              </w:rPr>
              <w:t>Membership participation</w:t>
            </w:r>
          </w:p>
          <w:p w14:paraId="50816CC6" w14:textId="77777777" w:rsidR="00897FD5" w:rsidRPr="00897FD5" w:rsidRDefault="00897FD5" w:rsidP="00897FD5">
            <w:pPr>
              <w:pStyle w:val="Bullet-tables"/>
              <w:rPr>
                <w:sz w:val="20"/>
                <w:szCs w:val="20"/>
              </w:rPr>
            </w:pPr>
            <w:r w:rsidRPr="00897FD5">
              <w:rPr>
                <w:sz w:val="20"/>
                <w:szCs w:val="20"/>
              </w:rPr>
              <w:t>All members can vote at general meeting</w:t>
            </w:r>
          </w:p>
          <w:p w14:paraId="1036C478" w14:textId="77777777" w:rsidR="00897FD5" w:rsidRPr="00897FD5" w:rsidRDefault="00897FD5" w:rsidP="00897FD5">
            <w:pPr>
              <w:pStyle w:val="Bullet-tables"/>
              <w:rPr>
                <w:sz w:val="20"/>
                <w:szCs w:val="20"/>
              </w:rPr>
            </w:pPr>
            <w:r w:rsidRPr="00897FD5">
              <w:rPr>
                <w:sz w:val="20"/>
                <w:szCs w:val="20"/>
              </w:rPr>
              <w:t>General meeting/board to approve distribution, deductions, use of non-distributable monies policies</w:t>
            </w:r>
          </w:p>
          <w:p w14:paraId="201BEF96" w14:textId="77777777" w:rsidR="00897FD5" w:rsidRPr="00897FD5" w:rsidRDefault="00897FD5" w:rsidP="00897FD5">
            <w:pPr>
              <w:pStyle w:val="Bullet-tables"/>
              <w:rPr>
                <w:sz w:val="20"/>
                <w:szCs w:val="20"/>
              </w:rPr>
            </w:pPr>
            <w:r w:rsidRPr="00897FD5">
              <w:rPr>
                <w:sz w:val="20"/>
                <w:szCs w:val="20"/>
              </w:rPr>
              <w:t>Member representation on board fair and balanced</w:t>
            </w:r>
          </w:p>
          <w:p w14:paraId="54227B34" w14:textId="6AC3059C" w:rsidR="00897FD5" w:rsidRPr="00897FD5" w:rsidRDefault="00897FD5" w:rsidP="00897FD5">
            <w:pPr>
              <w:pStyle w:val="Bullet-tables"/>
              <w:rPr>
                <w:sz w:val="20"/>
                <w:szCs w:val="20"/>
              </w:rPr>
            </w:pPr>
            <w:r w:rsidRPr="00897FD5">
              <w:rPr>
                <w:sz w:val="20"/>
                <w:szCs w:val="20"/>
              </w:rPr>
              <w:t>Procedures to deal with conflict of interest</w:t>
            </w:r>
          </w:p>
        </w:tc>
        <w:tc>
          <w:tcPr>
            <w:tcW w:w="1295" w:type="dxa"/>
            <w:tcBorders>
              <w:top w:val="single" w:sz="4" w:space="0" w:color="auto"/>
              <w:left w:val="nil"/>
              <w:bottom w:val="single" w:sz="4" w:space="0" w:color="auto"/>
              <w:right w:val="nil"/>
            </w:tcBorders>
          </w:tcPr>
          <w:p w14:paraId="56BB33BF" w14:textId="77777777" w:rsidR="00897FD5" w:rsidRPr="00897FD5" w:rsidRDefault="00897FD5" w:rsidP="00897FD5">
            <w:pPr>
              <w:pStyle w:val="Tabletext"/>
              <w:jc w:val="center"/>
              <w:rPr>
                <w:szCs w:val="22"/>
              </w:rPr>
            </w:pPr>
          </w:p>
          <w:p w14:paraId="66BD0CD0" w14:textId="77777777" w:rsidR="00897FD5" w:rsidRPr="00897FD5" w:rsidRDefault="00897FD5" w:rsidP="00897FD5">
            <w:pPr>
              <w:pStyle w:val="Tabletext"/>
              <w:jc w:val="center"/>
              <w:rPr>
                <w:szCs w:val="22"/>
              </w:rPr>
            </w:pPr>
            <w:r w:rsidRPr="00897FD5">
              <w:rPr>
                <w:szCs w:val="22"/>
              </w:rPr>
              <w:t>-</w:t>
            </w:r>
          </w:p>
          <w:p w14:paraId="7DA16D03" w14:textId="77777777" w:rsidR="00897FD5" w:rsidRPr="00897FD5" w:rsidRDefault="00897FD5" w:rsidP="00897FD5">
            <w:pPr>
              <w:pStyle w:val="Tabletext"/>
              <w:jc w:val="center"/>
              <w:rPr>
                <w:szCs w:val="22"/>
              </w:rPr>
            </w:pPr>
            <w:r w:rsidRPr="00897FD5">
              <w:rPr>
                <w:szCs w:val="22"/>
              </w:rPr>
              <w:t>-</w:t>
            </w:r>
          </w:p>
          <w:p w14:paraId="34E00A0C" w14:textId="77777777" w:rsidR="00897FD5" w:rsidRPr="00897FD5" w:rsidRDefault="00897FD5" w:rsidP="00897FD5">
            <w:pPr>
              <w:pStyle w:val="Tabletext"/>
              <w:jc w:val="center"/>
              <w:rPr>
                <w:szCs w:val="22"/>
              </w:rPr>
            </w:pPr>
          </w:p>
          <w:p w14:paraId="11EE2EE0" w14:textId="77777777" w:rsidR="00897FD5" w:rsidRPr="00897FD5" w:rsidRDefault="00897FD5" w:rsidP="00897FD5">
            <w:pPr>
              <w:pStyle w:val="Tabletext"/>
              <w:jc w:val="center"/>
              <w:rPr>
                <w:szCs w:val="22"/>
              </w:rPr>
            </w:pPr>
            <w:r w:rsidRPr="00897FD5">
              <w:rPr>
                <w:szCs w:val="22"/>
              </w:rPr>
              <w:t>-</w:t>
            </w:r>
          </w:p>
          <w:p w14:paraId="2B1BDDDA" w14:textId="798909E8" w:rsidR="00897FD5" w:rsidRPr="00897FD5" w:rsidRDefault="00897FD5" w:rsidP="00897FD5">
            <w:pPr>
              <w:pStyle w:val="Tabletext"/>
              <w:jc w:val="center"/>
              <w:rPr>
                <w:szCs w:val="22"/>
              </w:rPr>
            </w:pPr>
            <w:r w:rsidRPr="00897FD5">
              <w:rPr>
                <w:szCs w:val="22"/>
              </w:rPr>
              <w:t>-</w:t>
            </w:r>
          </w:p>
        </w:tc>
        <w:tc>
          <w:tcPr>
            <w:tcW w:w="1417" w:type="dxa"/>
            <w:tcBorders>
              <w:top w:val="single" w:sz="4" w:space="0" w:color="auto"/>
              <w:left w:val="nil"/>
              <w:bottom w:val="single" w:sz="4" w:space="0" w:color="auto"/>
              <w:right w:val="nil"/>
            </w:tcBorders>
          </w:tcPr>
          <w:p w14:paraId="194E14E0" w14:textId="77777777" w:rsidR="00897FD5" w:rsidRPr="00897FD5" w:rsidRDefault="00897FD5" w:rsidP="00897FD5">
            <w:pPr>
              <w:pStyle w:val="Tabletext"/>
              <w:jc w:val="center"/>
              <w:rPr>
                <w:szCs w:val="22"/>
              </w:rPr>
            </w:pPr>
          </w:p>
          <w:p w14:paraId="63839822" w14:textId="77777777" w:rsidR="00897FD5" w:rsidRPr="00897FD5" w:rsidRDefault="00897FD5" w:rsidP="00897FD5">
            <w:pPr>
              <w:pStyle w:val="Tabletext"/>
              <w:jc w:val="center"/>
              <w:rPr>
                <w:szCs w:val="22"/>
              </w:rPr>
            </w:pPr>
            <w:r w:rsidRPr="00897FD5">
              <w:rPr>
                <w:szCs w:val="22"/>
              </w:rPr>
              <w:t>√ (declared)</w:t>
            </w:r>
          </w:p>
          <w:p w14:paraId="4A704A7C" w14:textId="77777777" w:rsidR="00897FD5" w:rsidRPr="00897FD5" w:rsidRDefault="00897FD5" w:rsidP="00897FD5">
            <w:pPr>
              <w:pStyle w:val="Tabletext"/>
              <w:jc w:val="center"/>
              <w:rPr>
                <w:szCs w:val="22"/>
              </w:rPr>
            </w:pPr>
          </w:p>
          <w:p w14:paraId="50E653BC" w14:textId="77777777" w:rsidR="00897FD5" w:rsidRPr="00897FD5" w:rsidRDefault="00897FD5" w:rsidP="00897FD5">
            <w:pPr>
              <w:pStyle w:val="Tabletext"/>
              <w:jc w:val="center"/>
              <w:rPr>
                <w:szCs w:val="22"/>
              </w:rPr>
            </w:pPr>
            <w:r w:rsidRPr="00897FD5">
              <w:rPr>
                <w:szCs w:val="22"/>
              </w:rPr>
              <w:t>√</w:t>
            </w:r>
          </w:p>
          <w:p w14:paraId="2F272139" w14:textId="77777777" w:rsidR="00897FD5" w:rsidRPr="00897FD5" w:rsidRDefault="00897FD5" w:rsidP="00897FD5">
            <w:pPr>
              <w:pStyle w:val="Tabletext"/>
              <w:jc w:val="center"/>
              <w:rPr>
                <w:szCs w:val="22"/>
              </w:rPr>
            </w:pPr>
            <w:r w:rsidRPr="00897FD5">
              <w:rPr>
                <w:szCs w:val="22"/>
              </w:rPr>
              <w:t>√</w:t>
            </w:r>
          </w:p>
          <w:p w14:paraId="350DCFD1" w14:textId="0B325DF4" w:rsidR="00897FD5" w:rsidRPr="00897FD5" w:rsidRDefault="00897FD5" w:rsidP="00897FD5">
            <w:pPr>
              <w:pStyle w:val="Tabletext"/>
              <w:jc w:val="center"/>
              <w:rPr>
                <w:szCs w:val="22"/>
              </w:rPr>
            </w:pPr>
            <w:r w:rsidRPr="00897FD5">
              <w:rPr>
                <w:szCs w:val="22"/>
              </w:rPr>
              <w:t>√</w:t>
            </w:r>
          </w:p>
        </w:tc>
        <w:tc>
          <w:tcPr>
            <w:tcW w:w="1536" w:type="dxa"/>
            <w:tcBorders>
              <w:top w:val="single" w:sz="4" w:space="0" w:color="auto"/>
              <w:left w:val="nil"/>
              <w:bottom w:val="single" w:sz="4" w:space="0" w:color="auto"/>
              <w:right w:val="nil"/>
            </w:tcBorders>
          </w:tcPr>
          <w:p w14:paraId="264B0FBE" w14:textId="77777777" w:rsidR="00897FD5" w:rsidRPr="00897FD5" w:rsidRDefault="00897FD5" w:rsidP="00897FD5">
            <w:pPr>
              <w:pStyle w:val="Tabletext"/>
              <w:jc w:val="center"/>
              <w:rPr>
                <w:szCs w:val="22"/>
              </w:rPr>
            </w:pPr>
          </w:p>
          <w:p w14:paraId="28A7A50C" w14:textId="77777777" w:rsidR="00897FD5" w:rsidRPr="00897FD5" w:rsidRDefault="00897FD5" w:rsidP="00897FD5">
            <w:pPr>
              <w:pStyle w:val="Tabletext"/>
              <w:jc w:val="center"/>
              <w:rPr>
                <w:szCs w:val="22"/>
              </w:rPr>
            </w:pPr>
            <w:r w:rsidRPr="00897FD5">
              <w:rPr>
                <w:szCs w:val="22"/>
              </w:rPr>
              <w:t>-</w:t>
            </w:r>
          </w:p>
          <w:p w14:paraId="4273799A" w14:textId="77777777" w:rsidR="00897FD5" w:rsidRPr="00897FD5" w:rsidRDefault="00897FD5" w:rsidP="00897FD5">
            <w:pPr>
              <w:pStyle w:val="Tabletext"/>
              <w:jc w:val="center"/>
              <w:rPr>
                <w:szCs w:val="22"/>
              </w:rPr>
            </w:pPr>
            <w:r w:rsidRPr="00897FD5">
              <w:rPr>
                <w:szCs w:val="22"/>
              </w:rPr>
              <w:t>-</w:t>
            </w:r>
          </w:p>
          <w:p w14:paraId="630CE448" w14:textId="77777777" w:rsidR="00897FD5" w:rsidRPr="00897FD5" w:rsidRDefault="00897FD5" w:rsidP="00897FD5">
            <w:pPr>
              <w:pStyle w:val="Tabletext"/>
              <w:jc w:val="center"/>
              <w:rPr>
                <w:szCs w:val="22"/>
              </w:rPr>
            </w:pPr>
          </w:p>
          <w:p w14:paraId="009E881C" w14:textId="77777777" w:rsidR="00897FD5" w:rsidRPr="00897FD5" w:rsidRDefault="00897FD5" w:rsidP="00897FD5">
            <w:pPr>
              <w:pStyle w:val="Tabletext"/>
              <w:jc w:val="center"/>
              <w:rPr>
                <w:szCs w:val="22"/>
              </w:rPr>
            </w:pPr>
            <w:r w:rsidRPr="00897FD5">
              <w:rPr>
                <w:szCs w:val="22"/>
              </w:rPr>
              <w:t>-</w:t>
            </w:r>
          </w:p>
          <w:p w14:paraId="49DD5C45" w14:textId="5CD84781" w:rsidR="00897FD5" w:rsidRPr="00897FD5" w:rsidRDefault="00897FD5" w:rsidP="00897FD5">
            <w:pPr>
              <w:pStyle w:val="Tabletext"/>
              <w:jc w:val="center"/>
              <w:rPr>
                <w:szCs w:val="22"/>
              </w:rPr>
            </w:pPr>
            <w:r w:rsidRPr="00897FD5">
              <w:rPr>
                <w:szCs w:val="22"/>
              </w:rPr>
              <w:t>√</w:t>
            </w:r>
          </w:p>
        </w:tc>
      </w:tr>
      <w:tr w:rsidR="00897FD5" w:rsidRPr="00897FD5" w14:paraId="4B35CF95" w14:textId="77777777" w:rsidTr="00897FD5">
        <w:trPr>
          <w:cantSplit/>
        </w:trPr>
        <w:tc>
          <w:tcPr>
            <w:tcW w:w="5387" w:type="dxa"/>
            <w:tcBorders>
              <w:top w:val="single" w:sz="4" w:space="0" w:color="auto"/>
              <w:left w:val="nil"/>
              <w:bottom w:val="single" w:sz="4" w:space="0" w:color="auto"/>
              <w:right w:val="nil"/>
            </w:tcBorders>
          </w:tcPr>
          <w:p w14:paraId="703BF594" w14:textId="77777777" w:rsidR="00897FD5" w:rsidRPr="00B5016C" w:rsidRDefault="00897FD5" w:rsidP="00897FD5">
            <w:pPr>
              <w:pStyle w:val="Tabletext"/>
              <w:rPr>
                <w:b/>
                <w:sz w:val="20"/>
              </w:rPr>
            </w:pPr>
            <w:r w:rsidRPr="00B5016C">
              <w:rPr>
                <w:b/>
                <w:sz w:val="20"/>
              </w:rPr>
              <w:t>Management of rights revenue</w:t>
            </w:r>
          </w:p>
          <w:p w14:paraId="474932A4" w14:textId="77777777" w:rsidR="00897FD5" w:rsidRPr="00897FD5" w:rsidRDefault="00897FD5" w:rsidP="00897FD5">
            <w:pPr>
              <w:pStyle w:val="Bullet-tables"/>
              <w:rPr>
                <w:sz w:val="20"/>
                <w:szCs w:val="20"/>
              </w:rPr>
            </w:pPr>
            <w:r w:rsidRPr="00897FD5">
              <w:rPr>
                <w:sz w:val="20"/>
                <w:szCs w:val="20"/>
              </w:rPr>
              <w:t>Separate accounts for rights revenue</w:t>
            </w:r>
          </w:p>
          <w:p w14:paraId="5E288B6D" w14:textId="77777777" w:rsidR="00897FD5" w:rsidRPr="00897FD5" w:rsidRDefault="00897FD5" w:rsidP="00897FD5">
            <w:pPr>
              <w:pStyle w:val="Bullet-tables"/>
              <w:rPr>
                <w:sz w:val="20"/>
                <w:szCs w:val="20"/>
              </w:rPr>
            </w:pPr>
            <w:r w:rsidRPr="00897FD5">
              <w:rPr>
                <w:sz w:val="20"/>
                <w:szCs w:val="20"/>
              </w:rPr>
              <w:t xml:space="preserve">Deductions to be reasonable, </w:t>
            </w:r>
            <w:r w:rsidRPr="00897FD5">
              <w:rPr>
                <w:i/>
                <w:sz w:val="20"/>
                <w:szCs w:val="20"/>
              </w:rPr>
              <w:t>specifically</w:t>
            </w:r>
            <w:r w:rsidRPr="00897FD5">
              <w:rPr>
                <w:sz w:val="20"/>
                <w:szCs w:val="20"/>
              </w:rPr>
              <w:t xml:space="preserve"> authorised</w:t>
            </w:r>
          </w:p>
          <w:p w14:paraId="5479CA3C" w14:textId="77777777" w:rsidR="00897FD5" w:rsidRPr="00897FD5" w:rsidRDefault="00897FD5" w:rsidP="00897FD5">
            <w:pPr>
              <w:pStyle w:val="Bullet-tables"/>
              <w:rPr>
                <w:sz w:val="20"/>
                <w:szCs w:val="20"/>
              </w:rPr>
            </w:pPr>
            <w:r w:rsidRPr="00897FD5">
              <w:rPr>
                <w:sz w:val="20"/>
                <w:szCs w:val="20"/>
              </w:rPr>
              <w:t>CMO to maintain a distribution policy</w:t>
            </w:r>
          </w:p>
          <w:p w14:paraId="5F504061" w14:textId="77777777" w:rsidR="00897FD5" w:rsidRPr="00897FD5" w:rsidRDefault="00897FD5" w:rsidP="00897FD5">
            <w:pPr>
              <w:pStyle w:val="Bullet-tables"/>
              <w:rPr>
                <w:sz w:val="20"/>
                <w:szCs w:val="20"/>
              </w:rPr>
            </w:pPr>
            <w:r w:rsidRPr="00897FD5">
              <w:rPr>
                <w:sz w:val="20"/>
                <w:szCs w:val="20"/>
              </w:rPr>
              <w:t>Regular, diligent and accurate distribution</w:t>
            </w:r>
          </w:p>
          <w:p w14:paraId="24C2A840" w14:textId="77777777" w:rsidR="00897FD5" w:rsidRPr="00897FD5" w:rsidRDefault="00897FD5" w:rsidP="00897FD5">
            <w:pPr>
              <w:pStyle w:val="Bullet-tables"/>
              <w:rPr>
                <w:sz w:val="20"/>
                <w:szCs w:val="20"/>
              </w:rPr>
            </w:pPr>
            <w:r w:rsidRPr="00897FD5">
              <w:rPr>
                <w:sz w:val="20"/>
                <w:szCs w:val="20"/>
              </w:rPr>
              <w:t>Amounts not distributed held in separate account</w:t>
            </w:r>
          </w:p>
          <w:p w14:paraId="5ABD5F03" w14:textId="77777777" w:rsidR="00897FD5" w:rsidRPr="00897FD5" w:rsidRDefault="00897FD5" w:rsidP="00897FD5">
            <w:pPr>
              <w:pStyle w:val="Bullet-tables"/>
              <w:rPr>
                <w:sz w:val="20"/>
                <w:szCs w:val="20"/>
              </w:rPr>
            </w:pPr>
            <w:r w:rsidRPr="00897FD5">
              <w:rPr>
                <w:sz w:val="20"/>
                <w:szCs w:val="20"/>
              </w:rPr>
              <w:t>Reasonable steps to identify, locate rightsholders</w:t>
            </w:r>
          </w:p>
          <w:p w14:paraId="2DF2E609" w14:textId="77777777" w:rsidR="00897FD5" w:rsidRPr="00897FD5" w:rsidRDefault="00897FD5" w:rsidP="00897FD5">
            <w:pPr>
              <w:pStyle w:val="Bullet-tables"/>
              <w:rPr>
                <w:sz w:val="20"/>
                <w:szCs w:val="20"/>
              </w:rPr>
            </w:pPr>
            <w:r w:rsidRPr="00897FD5">
              <w:rPr>
                <w:sz w:val="20"/>
                <w:szCs w:val="20"/>
              </w:rPr>
              <w:t>After three years, amounts deemed non-distributable</w:t>
            </w:r>
          </w:p>
          <w:p w14:paraId="764C813B" w14:textId="5A6FA8FB" w:rsidR="00897FD5" w:rsidRPr="00897FD5" w:rsidRDefault="00897FD5" w:rsidP="00897FD5">
            <w:pPr>
              <w:pStyle w:val="Bullet-tables"/>
              <w:rPr>
                <w:sz w:val="20"/>
                <w:szCs w:val="20"/>
              </w:rPr>
            </w:pPr>
            <w:r w:rsidRPr="00897FD5">
              <w:rPr>
                <w:sz w:val="20"/>
                <w:szCs w:val="20"/>
              </w:rPr>
              <w:t>General meeting to decide on use of left over funds</w:t>
            </w:r>
          </w:p>
        </w:tc>
        <w:tc>
          <w:tcPr>
            <w:tcW w:w="1295" w:type="dxa"/>
            <w:tcBorders>
              <w:top w:val="single" w:sz="4" w:space="0" w:color="auto"/>
              <w:left w:val="nil"/>
              <w:bottom w:val="single" w:sz="4" w:space="0" w:color="auto"/>
              <w:right w:val="nil"/>
            </w:tcBorders>
          </w:tcPr>
          <w:p w14:paraId="08B28A7E" w14:textId="77777777" w:rsidR="00897FD5" w:rsidRPr="00897FD5" w:rsidRDefault="00897FD5" w:rsidP="00897FD5">
            <w:pPr>
              <w:pStyle w:val="Tabletext"/>
              <w:jc w:val="center"/>
              <w:rPr>
                <w:szCs w:val="22"/>
              </w:rPr>
            </w:pPr>
          </w:p>
          <w:p w14:paraId="4477A711" w14:textId="77777777" w:rsidR="00897FD5" w:rsidRPr="00897FD5" w:rsidRDefault="00897FD5" w:rsidP="00897FD5">
            <w:pPr>
              <w:pStyle w:val="Tabletext"/>
              <w:jc w:val="center"/>
              <w:rPr>
                <w:szCs w:val="22"/>
              </w:rPr>
            </w:pPr>
            <w:r w:rsidRPr="00897FD5">
              <w:rPr>
                <w:szCs w:val="22"/>
              </w:rPr>
              <w:t>-</w:t>
            </w:r>
          </w:p>
          <w:p w14:paraId="3D50FFDB" w14:textId="77777777" w:rsidR="00897FD5" w:rsidRPr="00897FD5" w:rsidRDefault="00897FD5" w:rsidP="00897FD5">
            <w:pPr>
              <w:pStyle w:val="Tabletext"/>
              <w:jc w:val="center"/>
              <w:rPr>
                <w:szCs w:val="22"/>
              </w:rPr>
            </w:pPr>
            <w:r w:rsidRPr="00897FD5">
              <w:rPr>
                <w:szCs w:val="22"/>
              </w:rPr>
              <w:t>√ (part)</w:t>
            </w:r>
          </w:p>
          <w:p w14:paraId="677455BD" w14:textId="77777777" w:rsidR="00897FD5" w:rsidRPr="00897FD5" w:rsidRDefault="00897FD5" w:rsidP="00897FD5">
            <w:pPr>
              <w:pStyle w:val="Tabletext"/>
              <w:jc w:val="center"/>
              <w:rPr>
                <w:szCs w:val="22"/>
              </w:rPr>
            </w:pPr>
            <w:r w:rsidRPr="00897FD5">
              <w:rPr>
                <w:szCs w:val="22"/>
              </w:rPr>
              <w:t>√</w:t>
            </w:r>
          </w:p>
          <w:p w14:paraId="750A240D" w14:textId="77777777" w:rsidR="00897FD5" w:rsidRPr="00897FD5" w:rsidRDefault="00897FD5" w:rsidP="00897FD5">
            <w:pPr>
              <w:pStyle w:val="Tabletext"/>
              <w:jc w:val="center"/>
              <w:rPr>
                <w:szCs w:val="22"/>
              </w:rPr>
            </w:pPr>
            <w:r w:rsidRPr="00897FD5">
              <w:rPr>
                <w:szCs w:val="22"/>
              </w:rPr>
              <w:t>-</w:t>
            </w:r>
          </w:p>
          <w:p w14:paraId="2115F23F" w14:textId="77777777" w:rsidR="00897FD5" w:rsidRPr="00897FD5" w:rsidRDefault="00897FD5" w:rsidP="00897FD5">
            <w:pPr>
              <w:pStyle w:val="Tabletext"/>
              <w:jc w:val="center"/>
              <w:rPr>
                <w:szCs w:val="22"/>
              </w:rPr>
            </w:pPr>
            <w:r w:rsidRPr="00897FD5">
              <w:rPr>
                <w:szCs w:val="22"/>
              </w:rPr>
              <w:t>-</w:t>
            </w:r>
          </w:p>
          <w:p w14:paraId="61FB2789" w14:textId="77777777" w:rsidR="00897FD5" w:rsidRPr="00897FD5" w:rsidRDefault="00897FD5" w:rsidP="00897FD5">
            <w:pPr>
              <w:pStyle w:val="Tabletext"/>
              <w:jc w:val="center"/>
              <w:rPr>
                <w:szCs w:val="22"/>
              </w:rPr>
            </w:pPr>
            <w:r w:rsidRPr="00897FD5">
              <w:rPr>
                <w:szCs w:val="22"/>
              </w:rPr>
              <w:t>-</w:t>
            </w:r>
          </w:p>
          <w:p w14:paraId="7B28AC00" w14:textId="77777777" w:rsidR="00897FD5" w:rsidRPr="00897FD5" w:rsidRDefault="00897FD5" w:rsidP="00897FD5">
            <w:pPr>
              <w:pStyle w:val="Tabletext"/>
              <w:jc w:val="center"/>
              <w:rPr>
                <w:szCs w:val="22"/>
              </w:rPr>
            </w:pPr>
            <w:r w:rsidRPr="00897FD5">
              <w:rPr>
                <w:szCs w:val="22"/>
              </w:rPr>
              <w:t>-</w:t>
            </w:r>
          </w:p>
          <w:p w14:paraId="07095E5C" w14:textId="625B7828" w:rsidR="00897FD5" w:rsidRPr="00897FD5" w:rsidRDefault="00897FD5" w:rsidP="00897FD5">
            <w:pPr>
              <w:pStyle w:val="Tabletext"/>
              <w:jc w:val="center"/>
              <w:rPr>
                <w:szCs w:val="22"/>
              </w:rPr>
            </w:pPr>
            <w:r w:rsidRPr="00897FD5">
              <w:rPr>
                <w:szCs w:val="22"/>
              </w:rPr>
              <w:t>-</w:t>
            </w:r>
          </w:p>
        </w:tc>
        <w:tc>
          <w:tcPr>
            <w:tcW w:w="1417" w:type="dxa"/>
            <w:tcBorders>
              <w:top w:val="single" w:sz="4" w:space="0" w:color="auto"/>
              <w:left w:val="nil"/>
              <w:bottom w:val="single" w:sz="4" w:space="0" w:color="auto"/>
              <w:right w:val="nil"/>
            </w:tcBorders>
          </w:tcPr>
          <w:p w14:paraId="6A1D6F9E" w14:textId="77777777" w:rsidR="00897FD5" w:rsidRPr="00897FD5" w:rsidRDefault="00897FD5" w:rsidP="00897FD5">
            <w:pPr>
              <w:pStyle w:val="Tabletext"/>
              <w:jc w:val="center"/>
              <w:rPr>
                <w:szCs w:val="22"/>
              </w:rPr>
            </w:pPr>
          </w:p>
          <w:p w14:paraId="064FFF7B" w14:textId="77777777" w:rsidR="00897FD5" w:rsidRPr="00897FD5" w:rsidRDefault="00897FD5" w:rsidP="00897FD5">
            <w:pPr>
              <w:pStyle w:val="Tabletext"/>
              <w:jc w:val="center"/>
              <w:rPr>
                <w:szCs w:val="22"/>
              </w:rPr>
            </w:pPr>
            <w:r w:rsidRPr="00897FD5">
              <w:rPr>
                <w:szCs w:val="22"/>
              </w:rPr>
              <w:t>√ (declared)</w:t>
            </w:r>
          </w:p>
          <w:p w14:paraId="4608C78F" w14:textId="77777777" w:rsidR="00897FD5" w:rsidRPr="00897FD5" w:rsidRDefault="00897FD5" w:rsidP="00897FD5">
            <w:pPr>
              <w:pStyle w:val="Tabletext"/>
              <w:jc w:val="center"/>
              <w:rPr>
                <w:szCs w:val="22"/>
              </w:rPr>
            </w:pPr>
            <w:r w:rsidRPr="00897FD5">
              <w:rPr>
                <w:szCs w:val="22"/>
              </w:rPr>
              <w:t>X</w:t>
            </w:r>
          </w:p>
          <w:p w14:paraId="59DC836D" w14:textId="77777777" w:rsidR="00897FD5" w:rsidRPr="00897FD5" w:rsidRDefault="00897FD5" w:rsidP="00897FD5">
            <w:pPr>
              <w:pStyle w:val="Tabletext"/>
              <w:jc w:val="center"/>
              <w:rPr>
                <w:szCs w:val="22"/>
              </w:rPr>
            </w:pPr>
            <w:r w:rsidRPr="00897FD5">
              <w:rPr>
                <w:szCs w:val="22"/>
              </w:rPr>
              <w:t>√</w:t>
            </w:r>
          </w:p>
          <w:p w14:paraId="7BAADB90" w14:textId="77777777" w:rsidR="00897FD5" w:rsidRPr="00897FD5" w:rsidRDefault="00897FD5" w:rsidP="00897FD5">
            <w:pPr>
              <w:pStyle w:val="Tabletext"/>
              <w:jc w:val="center"/>
              <w:rPr>
                <w:szCs w:val="22"/>
              </w:rPr>
            </w:pPr>
            <w:r w:rsidRPr="00897FD5">
              <w:rPr>
                <w:szCs w:val="22"/>
              </w:rPr>
              <w:t>√</w:t>
            </w:r>
          </w:p>
          <w:p w14:paraId="64B623E3" w14:textId="77777777" w:rsidR="00897FD5" w:rsidRPr="00897FD5" w:rsidRDefault="00897FD5" w:rsidP="00897FD5">
            <w:pPr>
              <w:pStyle w:val="Tabletext"/>
              <w:jc w:val="center"/>
              <w:rPr>
                <w:szCs w:val="22"/>
              </w:rPr>
            </w:pPr>
            <w:r w:rsidRPr="00897FD5">
              <w:rPr>
                <w:szCs w:val="22"/>
              </w:rPr>
              <w:t>√</w:t>
            </w:r>
          </w:p>
          <w:p w14:paraId="3A8BAFFB" w14:textId="77777777" w:rsidR="00897FD5" w:rsidRPr="00897FD5" w:rsidRDefault="00897FD5" w:rsidP="00897FD5">
            <w:pPr>
              <w:pStyle w:val="Tabletext"/>
              <w:jc w:val="center"/>
              <w:rPr>
                <w:szCs w:val="22"/>
              </w:rPr>
            </w:pPr>
            <w:r w:rsidRPr="00897FD5">
              <w:rPr>
                <w:szCs w:val="22"/>
              </w:rPr>
              <w:t>√ (part)</w:t>
            </w:r>
          </w:p>
          <w:p w14:paraId="1BEAF4F8" w14:textId="77777777" w:rsidR="00897FD5" w:rsidRPr="00897FD5" w:rsidRDefault="00897FD5" w:rsidP="00897FD5">
            <w:pPr>
              <w:pStyle w:val="Tabletext"/>
              <w:jc w:val="center"/>
              <w:rPr>
                <w:szCs w:val="22"/>
              </w:rPr>
            </w:pPr>
            <w:r w:rsidRPr="00897FD5">
              <w:rPr>
                <w:szCs w:val="22"/>
              </w:rPr>
              <w:t>√ (part)</w:t>
            </w:r>
          </w:p>
          <w:p w14:paraId="516DCBF4" w14:textId="1FC49E32" w:rsidR="00897FD5" w:rsidRPr="00897FD5" w:rsidRDefault="00897FD5" w:rsidP="00897FD5">
            <w:pPr>
              <w:pStyle w:val="Tabletext"/>
              <w:jc w:val="center"/>
              <w:rPr>
                <w:szCs w:val="22"/>
              </w:rPr>
            </w:pPr>
            <w:r w:rsidRPr="00897FD5">
              <w:rPr>
                <w:szCs w:val="22"/>
              </w:rPr>
              <w:t>X</w:t>
            </w:r>
          </w:p>
        </w:tc>
        <w:tc>
          <w:tcPr>
            <w:tcW w:w="1536" w:type="dxa"/>
            <w:tcBorders>
              <w:top w:val="single" w:sz="4" w:space="0" w:color="auto"/>
              <w:left w:val="nil"/>
              <w:bottom w:val="single" w:sz="4" w:space="0" w:color="auto"/>
              <w:right w:val="nil"/>
            </w:tcBorders>
          </w:tcPr>
          <w:p w14:paraId="54F59E4F" w14:textId="77777777" w:rsidR="00897FD5" w:rsidRPr="00897FD5" w:rsidRDefault="00897FD5" w:rsidP="00897FD5">
            <w:pPr>
              <w:pStyle w:val="Tabletext"/>
              <w:jc w:val="center"/>
              <w:rPr>
                <w:szCs w:val="22"/>
              </w:rPr>
            </w:pPr>
          </w:p>
          <w:p w14:paraId="6DC714BD" w14:textId="77777777" w:rsidR="00897FD5" w:rsidRPr="00897FD5" w:rsidRDefault="00897FD5" w:rsidP="00897FD5">
            <w:pPr>
              <w:pStyle w:val="Tabletext"/>
              <w:jc w:val="center"/>
              <w:rPr>
                <w:szCs w:val="22"/>
              </w:rPr>
            </w:pPr>
            <w:r w:rsidRPr="00897FD5">
              <w:rPr>
                <w:szCs w:val="22"/>
              </w:rPr>
              <w:t>-</w:t>
            </w:r>
          </w:p>
          <w:p w14:paraId="097380EA" w14:textId="77777777" w:rsidR="00897FD5" w:rsidRPr="00897FD5" w:rsidRDefault="00897FD5" w:rsidP="00897FD5">
            <w:pPr>
              <w:pStyle w:val="Tabletext"/>
              <w:jc w:val="center"/>
              <w:rPr>
                <w:szCs w:val="22"/>
              </w:rPr>
            </w:pPr>
            <w:r w:rsidRPr="00897FD5">
              <w:rPr>
                <w:szCs w:val="22"/>
              </w:rPr>
              <w:t>√</w:t>
            </w:r>
          </w:p>
          <w:p w14:paraId="2F253400" w14:textId="77777777" w:rsidR="00897FD5" w:rsidRPr="00897FD5" w:rsidRDefault="00897FD5" w:rsidP="00897FD5">
            <w:pPr>
              <w:pStyle w:val="Tabletext"/>
              <w:jc w:val="center"/>
              <w:rPr>
                <w:szCs w:val="22"/>
              </w:rPr>
            </w:pPr>
            <w:r w:rsidRPr="00897FD5">
              <w:rPr>
                <w:szCs w:val="22"/>
              </w:rPr>
              <w:t>√</w:t>
            </w:r>
          </w:p>
          <w:p w14:paraId="4148B72C" w14:textId="77777777" w:rsidR="00897FD5" w:rsidRPr="00897FD5" w:rsidRDefault="00897FD5" w:rsidP="00897FD5">
            <w:pPr>
              <w:pStyle w:val="Tabletext"/>
              <w:jc w:val="center"/>
              <w:rPr>
                <w:szCs w:val="22"/>
              </w:rPr>
            </w:pPr>
            <w:r w:rsidRPr="00897FD5">
              <w:rPr>
                <w:szCs w:val="22"/>
              </w:rPr>
              <w:t>√</w:t>
            </w:r>
          </w:p>
          <w:p w14:paraId="1DA7DE4A" w14:textId="77777777" w:rsidR="00897FD5" w:rsidRPr="00897FD5" w:rsidRDefault="00897FD5" w:rsidP="00897FD5">
            <w:pPr>
              <w:pStyle w:val="Tabletext"/>
              <w:jc w:val="center"/>
              <w:rPr>
                <w:szCs w:val="22"/>
              </w:rPr>
            </w:pPr>
            <w:r w:rsidRPr="00897FD5">
              <w:rPr>
                <w:szCs w:val="22"/>
              </w:rPr>
              <w:t>√</w:t>
            </w:r>
          </w:p>
          <w:p w14:paraId="4C07856A" w14:textId="77777777" w:rsidR="00897FD5" w:rsidRPr="00897FD5" w:rsidRDefault="00897FD5" w:rsidP="00897FD5">
            <w:pPr>
              <w:pStyle w:val="Tabletext"/>
              <w:jc w:val="center"/>
              <w:rPr>
                <w:szCs w:val="22"/>
              </w:rPr>
            </w:pPr>
            <w:r w:rsidRPr="00897FD5">
              <w:rPr>
                <w:szCs w:val="22"/>
              </w:rPr>
              <w:t>-</w:t>
            </w:r>
          </w:p>
          <w:p w14:paraId="579606C1" w14:textId="77777777" w:rsidR="00897FD5" w:rsidRPr="00897FD5" w:rsidRDefault="00897FD5" w:rsidP="00897FD5">
            <w:pPr>
              <w:pStyle w:val="Tabletext"/>
              <w:jc w:val="center"/>
              <w:rPr>
                <w:szCs w:val="22"/>
              </w:rPr>
            </w:pPr>
            <w:r w:rsidRPr="00897FD5">
              <w:rPr>
                <w:szCs w:val="22"/>
              </w:rPr>
              <w:t>-</w:t>
            </w:r>
          </w:p>
          <w:p w14:paraId="7006AD5E" w14:textId="318DEC63" w:rsidR="00897FD5" w:rsidRPr="00897FD5" w:rsidRDefault="00897FD5" w:rsidP="00897FD5">
            <w:pPr>
              <w:pStyle w:val="Tabletext"/>
              <w:jc w:val="center"/>
              <w:rPr>
                <w:szCs w:val="22"/>
              </w:rPr>
            </w:pPr>
            <w:r w:rsidRPr="00897FD5">
              <w:rPr>
                <w:szCs w:val="22"/>
              </w:rPr>
              <w:t>-</w:t>
            </w:r>
          </w:p>
        </w:tc>
      </w:tr>
      <w:tr w:rsidR="00897FD5" w:rsidRPr="00897FD5" w14:paraId="6848CC46" w14:textId="77777777" w:rsidTr="00897FD5">
        <w:trPr>
          <w:cantSplit/>
        </w:trPr>
        <w:tc>
          <w:tcPr>
            <w:tcW w:w="5387" w:type="dxa"/>
            <w:tcBorders>
              <w:top w:val="single" w:sz="4" w:space="0" w:color="auto"/>
              <w:left w:val="nil"/>
              <w:bottom w:val="single" w:sz="4" w:space="0" w:color="auto"/>
              <w:right w:val="nil"/>
            </w:tcBorders>
          </w:tcPr>
          <w:p w14:paraId="2CB25660" w14:textId="77777777" w:rsidR="00897FD5" w:rsidRPr="00B5016C" w:rsidRDefault="00897FD5" w:rsidP="00897FD5">
            <w:pPr>
              <w:pStyle w:val="Tabletext"/>
              <w:rPr>
                <w:b/>
                <w:sz w:val="20"/>
              </w:rPr>
            </w:pPr>
            <w:r w:rsidRPr="00B5016C">
              <w:rPr>
                <w:b/>
                <w:sz w:val="20"/>
              </w:rPr>
              <w:t>Setting of licence fees</w:t>
            </w:r>
          </w:p>
          <w:p w14:paraId="50A8747F" w14:textId="77777777" w:rsidR="00897FD5" w:rsidRPr="00897FD5" w:rsidRDefault="00897FD5" w:rsidP="00897FD5">
            <w:pPr>
              <w:pStyle w:val="Bullet-tables"/>
              <w:rPr>
                <w:sz w:val="20"/>
                <w:szCs w:val="20"/>
              </w:rPr>
            </w:pPr>
            <w:r w:rsidRPr="00897FD5">
              <w:rPr>
                <w:sz w:val="20"/>
                <w:szCs w:val="20"/>
              </w:rPr>
              <w:t>Negotiations to be conducted in good faith</w:t>
            </w:r>
          </w:p>
          <w:p w14:paraId="6989FAE2" w14:textId="77777777" w:rsidR="00897FD5" w:rsidRPr="00897FD5" w:rsidRDefault="00897FD5" w:rsidP="00897FD5">
            <w:pPr>
              <w:pStyle w:val="Bullet-tables"/>
              <w:rPr>
                <w:sz w:val="20"/>
                <w:szCs w:val="20"/>
              </w:rPr>
            </w:pPr>
            <w:r w:rsidRPr="00897FD5">
              <w:rPr>
                <w:sz w:val="20"/>
                <w:szCs w:val="20"/>
              </w:rPr>
              <w:t>User to be informed of licences and licensing schemes</w:t>
            </w:r>
          </w:p>
          <w:p w14:paraId="6D6AACA1" w14:textId="77777777" w:rsidR="00897FD5" w:rsidRPr="00897FD5" w:rsidRDefault="00897FD5" w:rsidP="00897FD5">
            <w:pPr>
              <w:pStyle w:val="Bullet-tables"/>
              <w:rPr>
                <w:sz w:val="20"/>
                <w:szCs w:val="20"/>
              </w:rPr>
            </w:pPr>
            <w:r w:rsidRPr="00897FD5">
              <w:rPr>
                <w:sz w:val="20"/>
                <w:szCs w:val="20"/>
              </w:rPr>
              <w:t>Licensing criteria objective, non-discriminatory</w:t>
            </w:r>
          </w:p>
          <w:p w14:paraId="306D9859" w14:textId="77777777" w:rsidR="00897FD5" w:rsidRPr="00897FD5" w:rsidRDefault="00897FD5" w:rsidP="00897FD5">
            <w:pPr>
              <w:pStyle w:val="Bullet-tables"/>
              <w:rPr>
                <w:sz w:val="20"/>
                <w:szCs w:val="20"/>
              </w:rPr>
            </w:pPr>
            <w:r w:rsidRPr="00897FD5">
              <w:rPr>
                <w:sz w:val="20"/>
                <w:szCs w:val="20"/>
              </w:rPr>
              <w:t>Tariffs fair and reasonable</w:t>
            </w:r>
          </w:p>
          <w:p w14:paraId="6A695846" w14:textId="777A4B8C" w:rsidR="00897FD5" w:rsidRPr="00897FD5" w:rsidRDefault="00897FD5" w:rsidP="00897FD5">
            <w:pPr>
              <w:pStyle w:val="Bullet-tables"/>
              <w:rPr>
                <w:sz w:val="20"/>
                <w:szCs w:val="20"/>
              </w:rPr>
            </w:pPr>
            <w:r w:rsidRPr="00897FD5">
              <w:rPr>
                <w:sz w:val="20"/>
                <w:szCs w:val="20"/>
              </w:rPr>
              <w:t>CMO to consult in good faith with industry association</w:t>
            </w:r>
          </w:p>
        </w:tc>
        <w:tc>
          <w:tcPr>
            <w:tcW w:w="1295" w:type="dxa"/>
            <w:tcBorders>
              <w:top w:val="single" w:sz="4" w:space="0" w:color="auto"/>
              <w:left w:val="nil"/>
              <w:bottom w:val="single" w:sz="4" w:space="0" w:color="auto"/>
              <w:right w:val="nil"/>
            </w:tcBorders>
          </w:tcPr>
          <w:p w14:paraId="29B1230F" w14:textId="77777777" w:rsidR="00897FD5" w:rsidRPr="00897FD5" w:rsidRDefault="00897FD5" w:rsidP="00897FD5">
            <w:pPr>
              <w:pStyle w:val="Tabletext"/>
              <w:jc w:val="center"/>
              <w:rPr>
                <w:szCs w:val="22"/>
              </w:rPr>
            </w:pPr>
          </w:p>
          <w:p w14:paraId="0B9AD131" w14:textId="77777777" w:rsidR="00897FD5" w:rsidRPr="00897FD5" w:rsidRDefault="00897FD5" w:rsidP="00897FD5">
            <w:pPr>
              <w:pStyle w:val="Tabletext"/>
              <w:jc w:val="center"/>
              <w:rPr>
                <w:szCs w:val="22"/>
              </w:rPr>
            </w:pPr>
            <w:r w:rsidRPr="00897FD5">
              <w:rPr>
                <w:szCs w:val="22"/>
              </w:rPr>
              <w:t>-</w:t>
            </w:r>
          </w:p>
          <w:p w14:paraId="4D57F701" w14:textId="77777777" w:rsidR="00897FD5" w:rsidRPr="00897FD5" w:rsidRDefault="00897FD5" w:rsidP="00897FD5">
            <w:pPr>
              <w:pStyle w:val="Tabletext"/>
              <w:jc w:val="center"/>
              <w:rPr>
                <w:szCs w:val="22"/>
              </w:rPr>
            </w:pPr>
            <w:r w:rsidRPr="00897FD5">
              <w:rPr>
                <w:szCs w:val="22"/>
              </w:rPr>
              <w:t>√ (part)</w:t>
            </w:r>
          </w:p>
          <w:p w14:paraId="42ABAFAA" w14:textId="77777777" w:rsidR="00897FD5" w:rsidRPr="00897FD5" w:rsidRDefault="00897FD5" w:rsidP="00897FD5">
            <w:pPr>
              <w:pStyle w:val="Tabletext"/>
              <w:jc w:val="center"/>
              <w:rPr>
                <w:szCs w:val="22"/>
              </w:rPr>
            </w:pPr>
            <w:r w:rsidRPr="00897FD5">
              <w:rPr>
                <w:szCs w:val="22"/>
              </w:rPr>
              <w:t>√</w:t>
            </w:r>
          </w:p>
          <w:p w14:paraId="4F7EDF7A" w14:textId="77777777" w:rsidR="00897FD5" w:rsidRPr="00897FD5" w:rsidRDefault="00897FD5" w:rsidP="00897FD5">
            <w:pPr>
              <w:pStyle w:val="Tabletext"/>
              <w:jc w:val="center"/>
              <w:rPr>
                <w:szCs w:val="22"/>
              </w:rPr>
            </w:pPr>
            <w:r w:rsidRPr="00897FD5">
              <w:rPr>
                <w:szCs w:val="22"/>
              </w:rPr>
              <w:t>X</w:t>
            </w:r>
          </w:p>
          <w:p w14:paraId="72FD39FC" w14:textId="5150398A" w:rsidR="00897FD5" w:rsidRPr="00897FD5" w:rsidRDefault="00897FD5" w:rsidP="00897FD5">
            <w:pPr>
              <w:pStyle w:val="Tabletext"/>
              <w:jc w:val="center"/>
              <w:rPr>
                <w:szCs w:val="22"/>
              </w:rPr>
            </w:pPr>
            <w:r w:rsidRPr="00897FD5">
              <w:rPr>
                <w:szCs w:val="22"/>
              </w:rPr>
              <w:t>√</w:t>
            </w:r>
          </w:p>
        </w:tc>
        <w:tc>
          <w:tcPr>
            <w:tcW w:w="1417" w:type="dxa"/>
            <w:tcBorders>
              <w:top w:val="single" w:sz="4" w:space="0" w:color="auto"/>
              <w:left w:val="nil"/>
              <w:bottom w:val="single" w:sz="4" w:space="0" w:color="auto"/>
              <w:right w:val="nil"/>
            </w:tcBorders>
          </w:tcPr>
          <w:p w14:paraId="0DBC4465" w14:textId="77777777" w:rsidR="00897FD5" w:rsidRPr="00897FD5" w:rsidRDefault="00897FD5" w:rsidP="00897FD5">
            <w:pPr>
              <w:pStyle w:val="Tabletext"/>
              <w:jc w:val="center"/>
              <w:rPr>
                <w:szCs w:val="22"/>
              </w:rPr>
            </w:pPr>
          </w:p>
          <w:p w14:paraId="0A988154" w14:textId="77777777" w:rsidR="00897FD5" w:rsidRPr="00897FD5" w:rsidRDefault="00897FD5" w:rsidP="00897FD5">
            <w:pPr>
              <w:pStyle w:val="Tabletext"/>
              <w:jc w:val="center"/>
              <w:rPr>
                <w:szCs w:val="22"/>
              </w:rPr>
            </w:pPr>
            <w:r w:rsidRPr="00897FD5">
              <w:rPr>
                <w:szCs w:val="22"/>
              </w:rPr>
              <w:t>-</w:t>
            </w:r>
          </w:p>
          <w:p w14:paraId="17A6348E" w14:textId="77777777" w:rsidR="00897FD5" w:rsidRPr="00897FD5" w:rsidRDefault="00897FD5" w:rsidP="00897FD5">
            <w:pPr>
              <w:pStyle w:val="Tabletext"/>
              <w:jc w:val="center"/>
              <w:rPr>
                <w:szCs w:val="22"/>
              </w:rPr>
            </w:pPr>
            <w:r w:rsidRPr="00897FD5">
              <w:rPr>
                <w:szCs w:val="22"/>
              </w:rPr>
              <w:t>-</w:t>
            </w:r>
          </w:p>
          <w:p w14:paraId="5E3AF889" w14:textId="77777777" w:rsidR="00897FD5" w:rsidRPr="00897FD5" w:rsidRDefault="00897FD5" w:rsidP="00897FD5">
            <w:pPr>
              <w:pStyle w:val="Tabletext"/>
              <w:jc w:val="center"/>
              <w:rPr>
                <w:szCs w:val="22"/>
              </w:rPr>
            </w:pPr>
            <w:r w:rsidRPr="00897FD5">
              <w:rPr>
                <w:szCs w:val="22"/>
              </w:rPr>
              <w:t>-</w:t>
            </w:r>
          </w:p>
          <w:p w14:paraId="175D8E84" w14:textId="77777777" w:rsidR="00897FD5" w:rsidRPr="00897FD5" w:rsidRDefault="00897FD5" w:rsidP="00897FD5">
            <w:pPr>
              <w:pStyle w:val="Tabletext"/>
              <w:jc w:val="center"/>
              <w:rPr>
                <w:szCs w:val="22"/>
              </w:rPr>
            </w:pPr>
            <w:r w:rsidRPr="00897FD5">
              <w:rPr>
                <w:szCs w:val="22"/>
              </w:rPr>
              <w:t>-</w:t>
            </w:r>
          </w:p>
          <w:p w14:paraId="47C2043F" w14:textId="7B312342" w:rsidR="00897FD5" w:rsidRPr="00897FD5" w:rsidRDefault="00897FD5" w:rsidP="00897FD5">
            <w:pPr>
              <w:pStyle w:val="Tabletext"/>
              <w:jc w:val="center"/>
              <w:rPr>
                <w:szCs w:val="22"/>
              </w:rPr>
            </w:pPr>
            <w:r w:rsidRPr="00897FD5">
              <w:rPr>
                <w:szCs w:val="22"/>
              </w:rPr>
              <w:t>-</w:t>
            </w:r>
          </w:p>
        </w:tc>
        <w:tc>
          <w:tcPr>
            <w:tcW w:w="1536" w:type="dxa"/>
            <w:tcBorders>
              <w:top w:val="single" w:sz="4" w:space="0" w:color="auto"/>
              <w:left w:val="nil"/>
              <w:bottom w:val="single" w:sz="4" w:space="0" w:color="auto"/>
              <w:right w:val="nil"/>
            </w:tcBorders>
          </w:tcPr>
          <w:p w14:paraId="27229BDB" w14:textId="77777777" w:rsidR="00897FD5" w:rsidRPr="00897FD5" w:rsidRDefault="00897FD5" w:rsidP="00897FD5">
            <w:pPr>
              <w:pStyle w:val="Tabletext"/>
              <w:jc w:val="center"/>
              <w:rPr>
                <w:szCs w:val="22"/>
              </w:rPr>
            </w:pPr>
          </w:p>
          <w:p w14:paraId="75C1E437" w14:textId="77777777" w:rsidR="00897FD5" w:rsidRPr="00897FD5" w:rsidRDefault="00897FD5" w:rsidP="00897FD5">
            <w:pPr>
              <w:pStyle w:val="Tabletext"/>
              <w:jc w:val="center"/>
              <w:rPr>
                <w:szCs w:val="22"/>
              </w:rPr>
            </w:pPr>
            <w:r w:rsidRPr="00897FD5">
              <w:rPr>
                <w:szCs w:val="22"/>
              </w:rPr>
              <w:t>-</w:t>
            </w:r>
          </w:p>
          <w:p w14:paraId="2A5D1302" w14:textId="77777777" w:rsidR="00897FD5" w:rsidRPr="00897FD5" w:rsidRDefault="00897FD5" w:rsidP="00897FD5">
            <w:pPr>
              <w:pStyle w:val="Tabletext"/>
              <w:jc w:val="center"/>
              <w:rPr>
                <w:szCs w:val="22"/>
              </w:rPr>
            </w:pPr>
            <w:r w:rsidRPr="00897FD5">
              <w:rPr>
                <w:szCs w:val="22"/>
              </w:rPr>
              <w:t>-</w:t>
            </w:r>
          </w:p>
          <w:p w14:paraId="4FAF0579" w14:textId="77777777" w:rsidR="00897FD5" w:rsidRPr="00897FD5" w:rsidRDefault="00897FD5" w:rsidP="00897FD5">
            <w:pPr>
              <w:pStyle w:val="Tabletext"/>
              <w:jc w:val="center"/>
              <w:rPr>
                <w:szCs w:val="22"/>
              </w:rPr>
            </w:pPr>
            <w:r w:rsidRPr="00897FD5">
              <w:rPr>
                <w:szCs w:val="22"/>
              </w:rPr>
              <w:t>-</w:t>
            </w:r>
          </w:p>
          <w:p w14:paraId="0871D352" w14:textId="77777777" w:rsidR="00897FD5" w:rsidRPr="00897FD5" w:rsidRDefault="00897FD5" w:rsidP="00897FD5">
            <w:pPr>
              <w:pStyle w:val="Tabletext"/>
              <w:jc w:val="center"/>
              <w:rPr>
                <w:szCs w:val="22"/>
              </w:rPr>
            </w:pPr>
            <w:r w:rsidRPr="00897FD5">
              <w:rPr>
                <w:szCs w:val="22"/>
              </w:rPr>
              <w:t>-</w:t>
            </w:r>
          </w:p>
          <w:p w14:paraId="666C6AC4" w14:textId="11C49488" w:rsidR="00897FD5" w:rsidRPr="00897FD5" w:rsidRDefault="00897FD5" w:rsidP="00897FD5">
            <w:pPr>
              <w:pStyle w:val="Tabletext"/>
              <w:jc w:val="center"/>
              <w:rPr>
                <w:szCs w:val="22"/>
              </w:rPr>
            </w:pPr>
            <w:r w:rsidRPr="00897FD5">
              <w:rPr>
                <w:szCs w:val="22"/>
              </w:rPr>
              <w:t>-</w:t>
            </w:r>
          </w:p>
        </w:tc>
      </w:tr>
      <w:tr w:rsidR="00897FD5" w:rsidRPr="00897FD5" w14:paraId="565A8973" w14:textId="77777777" w:rsidTr="00897FD5">
        <w:trPr>
          <w:cantSplit/>
        </w:trPr>
        <w:tc>
          <w:tcPr>
            <w:tcW w:w="5387" w:type="dxa"/>
            <w:tcBorders>
              <w:top w:val="single" w:sz="4" w:space="0" w:color="auto"/>
              <w:left w:val="nil"/>
              <w:bottom w:val="single" w:sz="4" w:space="0" w:color="auto"/>
              <w:right w:val="nil"/>
            </w:tcBorders>
          </w:tcPr>
          <w:p w14:paraId="3D82F189" w14:textId="77777777" w:rsidR="00897FD5" w:rsidRPr="00B5016C" w:rsidRDefault="00897FD5" w:rsidP="00897FD5">
            <w:pPr>
              <w:pStyle w:val="Tabletext"/>
              <w:rPr>
                <w:b/>
                <w:sz w:val="20"/>
              </w:rPr>
            </w:pPr>
            <w:r w:rsidRPr="00B5016C">
              <w:rPr>
                <w:b/>
                <w:sz w:val="20"/>
              </w:rPr>
              <w:t>Access to information</w:t>
            </w:r>
          </w:p>
          <w:p w14:paraId="6378DD39" w14:textId="77777777" w:rsidR="00897FD5" w:rsidRPr="00897FD5" w:rsidRDefault="00897FD5" w:rsidP="00897FD5">
            <w:pPr>
              <w:pStyle w:val="Bullet-tables"/>
              <w:rPr>
                <w:sz w:val="20"/>
                <w:szCs w:val="20"/>
              </w:rPr>
            </w:pPr>
            <w:r w:rsidRPr="00897FD5">
              <w:rPr>
                <w:sz w:val="20"/>
                <w:szCs w:val="20"/>
              </w:rPr>
              <w:t>Members/rightsholders: payment entitlements</w:t>
            </w:r>
          </w:p>
          <w:p w14:paraId="2ECBC659" w14:textId="77777777" w:rsidR="00897FD5" w:rsidRPr="00897FD5" w:rsidRDefault="00897FD5" w:rsidP="00897FD5">
            <w:pPr>
              <w:pStyle w:val="Bullet-tables"/>
              <w:rPr>
                <w:sz w:val="20"/>
                <w:szCs w:val="20"/>
              </w:rPr>
            </w:pPr>
            <w:r w:rsidRPr="00897FD5">
              <w:rPr>
                <w:sz w:val="20"/>
                <w:szCs w:val="20"/>
              </w:rPr>
              <w:t>Members/rightsholders: annual report</w:t>
            </w:r>
          </w:p>
          <w:p w14:paraId="5A851AB9" w14:textId="77777777" w:rsidR="00897FD5" w:rsidRPr="00897FD5" w:rsidRDefault="00897FD5" w:rsidP="00897FD5">
            <w:pPr>
              <w:pStyle w:val="Bullet-tables"/>
              <w:rPr>
                <w:sz w:val="20"/>
                <w:szCs w:val="20"/>
              </w:rPr>
            </w:pPr>
            <w:r w:rsidRPr="00897FD5">
              <w:rPr>
                <w:sz w:val="20"/>
                <w:szCs w:val="20"/>
              </w:rPr>
              <w:t>Users: information about licence terms and policies</w:t>
            </w:r>
          </w:p>
          <w:p w14:paraId="3F5F159B" w14:textId="2DD3BB63" w:rsidR="00897FD5" w:rsidRPr="00897FD5" w:rsidRDefault="00897FD5" w:rsidP="00897FD5">
            <w:pPr>
              <w:pStyle w:val="Bullet-tables"/>
              <w:rPr>
                <w:sz w:val="20"/>
                <w:szCs w:val="20"/>
              </w:rPr>
            </w:pPr>
            <w:r w:rsidRPr="00897FD5">
              <w:rPr>
                <w:sz w:val="20"/>
                <w:szCs w:val="20"/>
              </w:rPr>
              <w:t>Public: CMO governance, operations, policies</w:t>
            </w:r>
            <w:r w:rsidR="008219CD">
              <w:rPr>
                <w:sz w:val="20"/>
                <w:szCs w:val="20"/>
              </w:rPr>
              <w:t>,</w:t>
            </w:r>
            <w:r w:rsidRPr="00897FD5">
              <w:rPr>
                <w:sz w:val="20"/>
                <w:szCs w:val="20"/>
              </w:rPr>
              <w:t xml:space="preserve"> </w:t>
            </w:r>
            <w:r w:rsidR="008219CD" w:rsidRPr="00897FD5">
              <w:rPr>
                <w:sz w:val="20"/>
                <w:szCs w:val="20"/>
              </w:rPr>
              <w:t>etc.</w:t>
            </w:r>
          </w:p>
          <w:p w14:paraId="4BD188EC" w14:textId="3DCCB273" w:rsidR="00897FD5" w:rsidRPr="00897FD5" w:rsidRDefault="00897FD5" w:rsidP="00897FD5">
            <w:pPr>
              <w:pStyle w:val="Bullet-tables"/>
              <w:rPr>
                <w:sz w:val="20"/>
                <w:szCs w:val="20"/>
              </w:rPr>
            </w:pPr>
            <w:r w:rsidRPr="00897FD5">
              <w:rPr>
                <w:sz w:val="20"/>
                <w:szCs w:val="20"/>
              </w:rPr>
              <w:t>Public: transparency report (financial breakdown)</w:t>
            </w:r>
          </w:p>
        </w:tc>
        <w:tc>
          <w:tcPr>
            <w:tcW w:w="1295" w:type="dxa"/>
            <w:tcBorders>
              <w:top w:val="single" w:sz="4" w:space="0" w:color="auto"/>
              <w:left w:val="nil"/>
              <w:bottom w:val="single" w:sz="4" w:space="0" w:color="auto"/>
              <w:right w:val="nil"/>
            </w:tcBorders>
          </w:tcPr>
          <w:p w14:paraId="70E6C921" w14:textId="77777777" w:rsidR="00897FD5" w:rsidRPr="00897FD5" w:rsidRDefault="00897FD5" w:rsidP="00897FD5">
            <w:pPr>
              <w:pStyle w:val="Tabletext"/>
              <w:jc w:val="center"/>
              <w:rPr>
                <w:szCs w:val="22"/>
              </w:rPr>
            </w:pPr>
          </w:p>
          <w:p w14:paraId="60BEF1A5" w14:textId="77777777" w:rsidR="00897FD5" w:rsidRPr="00897FD5" w:rsidRDefault="00897FD5" w:rsidP="00897FD5">
            <w:pPr>
              <w:pStyle w:val="Tabletext"/>
              <w:jc w:val="center"/>
              <w:rPr>
                <w:szCs w:val="22"/>
              </w:rPr>
            </w:pPr>
            <w:r w:rsidRPr="00897FD5">
              <w:rPr>
                <w:szCs w:val="22"/>
              </w:rPr>
              <w:t>√ (part)</w:t>
            </w:r>
          </w:p>
          <w:p w14:paraId="18492E1F" w14:textId="77777777" w:rsidR="00897FD5" w:rsidRPr="00897FD5" w:rsidRDefault="00897FD5" w:rsidP="00897FD5">
            <w:pPr>
              <w:pStyle w:val="Tabletext"/>
              <w:jc w:val="center"/>
              <w:rPr>
                <w:szCs w:val="22"/>
              </w:rPr>
            </w:pPr>
            <w:r w:rsidRPr="00897FD5">
              <w:rPr>
                <w:szCs w:val="22"/>
              </w:rPr>
              <w:t>√ (part)</w:t>
            </w:r>
          </w:p>
          <w:p w14:paraId="4A7B134F" w14:textId="77777777" w:rsidR="00897FD5" w:rsidRPr="00897FD5" w:rsidRDefault="00897FD5" w:rsidP="00897FD5">
            <w:pPr>
              <w:pStyle w:val="Tabletext"/>
              <w:jc w:val="center"/>
              <w:rPr>
                <w:szCs w:val="22"/>
              </w:rPr>
            </w:pPr>
            <w:r w:rsidRPr="00897FD5">
              <w:rPr>
                <w:szCs w:val="22"/>
              </w:rPr>
              <w:t>√ (part)</w:t>
            </w:r>
          </w:p>
          <w:p w14:paraId="6EA09271" w14:textId="77777777" w:rsidR="00897FD5" w:rsidRPr="00897FD5" w:rsidRDefault="00897FD5" w:rsidP="00897FD5">
            <w:pPr>
              <w:pStyle w:val="Tabletext"/>
              <w:jc w:val="center"/>
              <w:rPr>
                <w:szCs w:val="22"/>
              </w:rPr>
            </w:pPr>
            <w:r w:rsidRPr="00897FD5">
              <w:rPr>
                <w:szCs w:val="22"/>
              </w:rPr>
              <w:t>√ (part)</w:t>
            </w:r>
          </w:p>
          <w:p w14:paraId="47D7F67B" w14:textId="211EE39A" w:rsidR="00897FD5" w:rsidRPr="00897FD5" w:rsidRDefault="00897FD5" w:rsidP="00897FD5">
            <w:pPr>
              <w:pStyle w:val="Tabletext"/>
              <w:jc w:val="center"/>
              <w:rPr>
                <w:szCs w:val="22"/>
              </w:rPr>
            </w:pPr>
            <w:r w:rsidRPr="00897FD5">
              <w:rPr>
                <w:szCs w:val="22"/>
              </w:rPr>
              <w:t>X</w:t>
            </w:r>
          </w:p>
        </w:tc>
        <w:tc>
          <w:tcPr>
            <w:tcW w:w="1417" w:type="dxa"/>
            <w:tcBorders>
              <w:top w:val="single" w:sz="4" w:space="0" w:color="auto"/>
              <w:left w:val="nil"/>
              <w:bottom w:val="single" w:sz="4" w:space="0" w:color="auto"/>
              <w:right w:val="nil"/>
            </w:tcBorders>
          </w:tcPr>
          <w:p w14:paraId="390E49D0" w14:textId="77777777" w:rsidR="00897FD5" w:rsidRPr="00897FD5" w:rsidRDefault="00897FD5" w:rsidP="00897FD5">
            <w:pPr>
              <w:pStyle w:val="Tabletext"/>
              <w:jc w:val="center"/>
              <w:rPr>
                <w:szCs w:val="22"/>
              </w:rPr>
            </w:pPr>
          </w:p>
          <w:p w14:paraId="7432733F" w14:textId="77777777" w:rsidR="00897FD5" w:rsidRPr="00897FD5" w:rsidRDefault="00897FD5" w:rsidP="00897FD5">
            <w:pPr>
              <w:pStyle w:val="Tabletext"/>
              <w:jc w:val="center"/>
              <w:rPr>
                <w:szCs w:val="22"/>
              </w:rPr>
            </w:pPr>
            <w:r w:rsidRPr="00897FD5">
              <w:rPr>
                <w:szCs w:val="22"/>
              </w:rPr>
              <w:t>-</w:t>
            </w:r>
          </w:p>
          <w:p w14:paraId="4E7C2B0D" w14:textId="77777777" w:rsidR="00897FD5" w:rsidRPr="00897FD5" w:rsidRDefault="00897FD5" w:rsidP="00897FD5">
            <w:pPr>
              <w:pStyle w:val="Tabletext"/>
              <w:jc w:val="center"/>
              <w:rPr>
                <w:szCs w:val="22"/>
              </w:rPr>
            </w:pPr>
            <w:r w:rsidRPr="00897FD5">
              <w:rPr>
                <w:szCs w:val="22"/>
              </w:rPr>
              <w:t>√</w:t>
            </w:r>
          </w:p>
          <w:p w14:paraId="0C8C729C" w14:textId="77777777" w:rsidR="00897FD5" w:rsidRPr="00897FD5" w:rsidRDefault="00897FD5" w:rsidP="00897FD5">
            <w:pPr>
              <w:pStyle w:val="Tabletext"/>
              <w:jc w:val="center"/>
              <w:rPr>
                <w:szCs w:val="22"/>
              </w:rPr>
            </w:pPr>
            <w:r w:rsidRPr="00897FD5">
              <w:rPr>
                <w:szCs w:val="22"/>
              </w:rPr>
              <w:t>-</w:t>
            </w:r>
          </w:p>
          <w:p w14:paraId="031578D5" w14:textId="77777777" w:rsidR="00897FD5" w:rsidRPr="00897FD5" w:rsidRDefault="00897FD5" w:rsidP="00897FD5">
            <w:pPr>
              <w:pStyle w:val="Tabletext"/>
              <w:jc w:val="center"/>
              <w:rPr>
                <w:szCs w:val="22"/>
              </w:rPr>
            </w:pPr>
            <w:r w:rsidRPr="00897FD5">
              <w:rPr>
                <w:szCs w:val="22"/>
              </w:rPr>
              <w:t>-</w:t>
            </w:r>
          </w:p>
          <w:p w14:paraId="545B16A7" w14:textId="69C932A8" w:rsidR="00897FD5" w:rsidRPr="00897FD5" w:rsidRDefault="00897FD5" w:rsidP="00897FD5">
            <w:pPr>
              <w:pStyle w:val="Tabletext"/>
              <w:jc w:val="center"/>
              <w:rPr>
                <w:szCs w:val="22"/>
              </w:rPr>
            </w:pPr>
            <w:r w:rsidRPr="00897FD5">
              <w:rPr>
                <w:szCs w:val="22"/>
              </w:rPr>
              <w:t>-</w:t>
            </w:r>
          </w:p>
        </w:tc>
        <w:tc>
          <w:tcPr>
            <w:tcW w:w="1536" w:type="dxa"/>
            <w:tcBorders>
              <w:top w:val="single" w:sz="4" w:space="0" w:color="auto"/>
              <w:left w:val="nil"/>
              <w:bottom w:val="single" w:sz="4" w:space="0" w:color="auto"/>
              <w:right w:val="nil"/>
            </w:tcBorders>
          </w:tcPr>
          <w:p w14:paraId="66A94879" w14:textId="77777777" w:rsidR="00897FD5" w:rsidRPr="00897FD5" w:rsidRDefault="00897FD5" w:rsidP="00897FD5">
            <w:pPr>
              <w:pStyle w:val="Tabletext"/>
              <w:jc w:val="center"/>
              <w:rPr>
                <w:szCs w:val="22"/>
              </w:rPr>
            </w:pPr>
          </w:p>
          <w:p w14:paraId="074E3AF4" w14:textId="77777777" w:rsidR="00897FD5" w:rsidRPr="00897FD5" w:rsidRDefault="00897FD5" w:rsidP="00897FD5">
            <w:pPr>
              <w:pStyle w:val="Tabletext"/>
              <w:jc w:val="center"/>
              <w:rPr>
                <w:szCs w:val="22"/>
              </w:rPr>
            </w:pPr>
            <w:r w:rsidRPr="00897FD5">
              <w:rPr>
                <w:szCs w:val="22"/>
              </w:rPr>
              <w:t>√ (part)</w:t>
            </w:r>
          </w:p>
          <w:p w14:paraId="5F3852D1" w14:textId="77777777" w:rsidR="00897FD5" w:rsidRPr="00897FD5" w:rsidRDefault="00897FD5" w:rsidP="00897FD5">
            <w:pPr>
              <w:pStyle w:val="Tabletext"/>
              <w:jc w:val="center"/>
              <w:rPr>
                <w:szCs w:val="22"/>
              </w:rPr>
            </w:pPr>
            <w:r w:rsidRPr="00897FD5">
              <w:rPr>
                <w:szCs w:val="22"/>
              </w:rPr>
              <w:t>√</w:t>
            </w:r>
          </w:p>
          <w:p w14:paraId="0ECE1444" w14:textId="77777777" w:rsidR="00897FD5" w:rsidRPr="00897FD5" w:rsidRDefault="00897FD5" w:rsidP="00897FD5">
            <w:pPr>
              <w:pStyle w:val="Tabletext"/>
              <w:jc w:val="center"/>
              <w:rPr>
                <w:szCs w:val="22"/>
              </w:rPr>
            </w:pPr>
            <w:r w:rsidRPr="00897FD5">
              <w:rPr>
                <w:szCs w:val="22"/>
              </w:rPr>
              <w:t>-</w:t>
            </w:r>
          </w:p>
          <w:p w14:paraId="12EC1D3E" w14:textId="77777777" w:rsidR="00897FD5" w:rsidRPr="00897FD5" w:rsidRDefault="00897FD5" w:rsidP="00897FD5">
            <w:pPr>
              <w:pStyle w:val="Tabletext"/>
              <w:jc w:val="center"/>
              <w:rPr>
                <w:szCs w:val="22"/>
              </w:rPr>
            </w:pPr>
            <w:r w:rsidRPr="00897FD5">
              <w:rPr>
                <w:szCs w:val="22"/>
              </w:rPr>
              <w:t>-</w:t>
            </w:r>
          </w:p>
          <w:p w14:paraId="407EAA5D" w14:textId="072A9145" w:rsidR="00897FD5" w:rsidRPr="00897FD5" w:rsidRDefault="00897FD5" w:rsidP="00897FD5">
            <w:pPr>
              <w:pStyle w:val="Tabletext"/>
              <w:jc w:val="center"/>
              <w:rPr>
                <w:szCs w:val="22"/>
              </w:rPr>
            </w:pPr>
            <w:r w:rsidRPr="00897FD5">
              <w:rPr>
                <w:szCs w:val="22"/>
              </w:rPr>
              <w:t>-</w:t>
            </w:r>
          </w:p>
        </w:tc>
      </w:tr>
      <w:tr w:rsidR="00897FD5" w:rsidRPr="00897FD5" w14:paraId="7841DFD8" w14:textId="77777777" w:rsidTr="00897FD5">
        <w:trPr>
          <w:cantSplit/>
        </w:trPr>
        <w:tc>
          <w:tcPr>
            <w:tcW w:w="5387" w:type="dxa"/>
            <w:tcBorders>
              <w:top w:val="single" w:sz="4" w:space="0" w:color="auto"/>
              <w:left w:val="nil"/>
              <w:bottom w:val="single" w:sz="4" w:space="0" w:color="auto"/>
              <w:right w:val="nil"/>
            </w:tcBorders>
          </w:tcPr>
          <w:p w14:paraId="0713AAF5" w14:textId="77777777" w:rsidR="00897FD5" w:rsidRPr="00B5016C" w:rsidRDefault="00897FD5" w:rsidP="00897FD5">
            <w:pPr>
              <w:pStyle w:val="Tabletext"/>
              <w:rPr>
                <w:b/>
                <w:sz w:val="20"/>
              </w:rPr>
            </w:pPr>
            <w:r w:rsidRPr="00B5016C">
              <w:rPr>
                <w:b/>
                <w:sz w:val="20"/>
              </w:rPr>
              <w:t>Complaints and dispute resolution</w:t>
            </w:r>
          </w:p>
          <w:p w14:paraId="189236E6" w14:textId="77777777" w:rsidR="00897FD5" w:rsidRPr="00897FD5" w:rsidRDefault="00897FD5" w:rsidP="00897FD5">
            <w:pPr>
              <w:pStyle w:val="Bullet-tables"/>
              <w:rPr>
                <w:sz w:val="20"/>
                <w:szCs w:val="20"/>
              </w:rPr>
            </w:pPr>
            <w:r w:rsidRPr="00897FD5">
              <w:rPr>
                <w:sz w:val="20"/>
                <w:szCs w:val="20"/>
              </w:rPr>
              <w:t>Complaints procedure—rightsholders</w:t>
            </w:r>
          </w:p>
          <w:p w14:paraId="6A57EE8C" w14:textId="3C50CA61" w:rsidR="00897FD5" w:rsidRPr="00897FD5" w:rsidRDefault="00897FD5" w:rsidP="00897FD5">
            <w:pPr>
              <w:pStyle w:val="Bullet-tables"/>
              <w:rPr>
                <w:sz w:val="20"/>
                <w:szCs w:val="20"/>
              </w:rPr>
            </w:pPr>
            <w:r w:rsidRPr="00897FD5">
              <w:rPr>
                <w:sz w:val="20"/>
                <w:szCs w:val="20"/>
              </w:rPr>
              <w:t xml:space="preserve">Alternative dispute resolution </w:t>
            </w:r>
          </w:p>
        </w:tc>
        <w:tc>
          <w:tcPr>
            <w:tcW w:w="1295" w:type="dxa"/>
            <w:tcBorders>
              <w:top w:val="single" w:sz="4" w:space="0" w:color="auto"/>
              <w:left w:val="nil"/>
              <w:bottom w:val="single" w:sz="4" w:space="0" w:color="auto"/>
              <w:right w:val="nil"/>
            </w:tcBorders>
          </w:tcPr>
          <w:p w14:paraId="0270C741" w14:textId="77777777" w:rsidR="00897FD5" w:rsidRPr="00897FD5" w:rsidRDefault="00897FD5" w:rsidP="00897FD5">
            <w:pPr>
              <w:pStyle w:val="Tabletext"/>
              <w:jc w:val="center"/>
              <w:rPr>
                <w:szCs w:val="22"/>
              </w:rPr>
            </w:pPr>
          </w:p>
          <w:p w14:paraId="3B98BE30" w14:textId="77777777" w:rsidR="00897FD5" w:rsidRPr="00897FD5" w:rsidRDefault="00897FD5" w:rsidP="00897FD5">
            <w:pPr>
              <w:pStyle w:val="Tabletext"/>
              <w:jc w:val="center"/>
              <w:rPr>
                <w:szCs w:val="22"/>
              </w:rPr>
            </w:pPr>
            <w:r w:rsidRPr="00897FD5">
              <w:rPr>
                <w:szCs w:val="22"/>
              </w:rPr>
              <w:t>√</w:t>
            </w:r>
          </w:p>
          <w:p w14:paraId="7D33F629" w14:textId="6DC50C68" w:rsidR="00897FD5" w:rsidRPr="00897FD5" w:rsidRDefault="00897FD5" w:rsidP="00897FD5">
            <w:pPr>
              <w:pStyle w:val="Tabletext"/>
              <w:jc w:val="center"/>
              <w:rPr>
                <w:szCs w:val="22"/>
              </w:rPr>
            </w:pPr>
            <w:r w:rsidRPr="00897FD5">
              <w:rPr>
                <w:szCs w:val="22"/>
              </w:rPr>
              <w:t>√</w:t>
            </w:r>
          </w:p>
        </w:tc>
        <w:tc>
          <w:tcPr>
            <w:tcW w:w="1417" w:type="dxa"/>
            <w:tcBorders>
              <w:top w:val="single" w:sz="4" w:space="0" w:color="auto"/>
              <w:left w:val="nil"/>
              <w:bottom w:val="single" w:sz="4" w:space="0" w:color="auto"/>
              <w:right w:val="nil"/>
            </w:tcBorders>
          </w:tcPr>
          <w:p w14:paraId="3B79E1E0" w14:textId="77777777" w:rsidR="00897FD5" w:rsidRPr="00897FD5" w:rsidRDefault="00897FD5" w:rsidP="00897FD5">
            <w:pPr>
              <w:pStyle w:val="Tabletext"/>
              <w:jc w:val="center"/>
              <w:rPr>
                <w:szCs w:val="22"/>
              </w:rPr>
            </w:pPr>
          </w:p>
          <w:p w14:paraId="4DDB1E06" w14:textId="77777777" w:rsidR="00897FD5" w:rsidRPr="00897FD5" w:rsidRDefault="00897FD5" w:rsidP="00897FD5">
            <w:pPr>
              <w:pStyle w:val="Tabletext"/>
              <w:jc w:val="center"/>
              <w:rPr>
                <w:szCs w:val="22"/>
              </w:rPr>
            </w:pPr>
            <w:r w:rsidRPr="00897FD5">
              <w:rPr>
                <w:szCs w:val="22"/>
              </w:rPr>
              <w:t>√</w:t>
            </w:r>
          </w:p>
          <w:p w14:paraId="7B71F811" w14:textId="6A1BA93D" w:rsidR="00897FD5" w:rsidRPr="00897FD5" w:rsidRDefault="00897FD5" w:rsidP="00897FD5">
            <w:pPr>
              <w:pStyle w:val="Tabletext"/>
              <w:jc w:val="center"/>
              <w:rPr>
                <w:szCs w:val="22"/>
              </w:rPr>
            </w:pPr>
            <w:r w:rsidRPr="00897FD5">
              <w:rPr>
                <w:szCs w:val="22"/>
              </w:rPr>
              <w:t>√</w:t>
            </w:r>
          </w:p>
        </w:tc>
        <w:tc>
          <w:tcPr>
            <w:tcW w:w="1536" w:type="dxa"/>
            <w:tcBorders>
              <w:top w:val="single" w:sz="4" w:space="0" w:color="auto"/>
              <w:left w:val="nil"/>
              <w:bottom w:val="single" w:sz="4" w:space="0" w:color="auto"/>
              <w:right w:val="nil"/>
            </w:tcBorders>
          </w:tcPr>
          <w:p w14:paraId="423879ED" w14:textId="77777777" w:rsidR="00897FD5" w:rsidRPr="00897FD5" w:rsidRDefault="00897FD5" w:rsidP="00897FD5">
            <w:pPr>
              <w:pStyle w:val="Tabletext"/>
              <w:jc w:val="center"/>
              <w:rPr>
                <w:szCs w:val="22"/>
              </w:rPr>
            </w:pPr>
          </w:p>
          <w:p w14:paraId="0BAA611A" w14:textId="77777777" w:rsidR="00897FD5" w:rsidRPr="00897FD5" w:rsidRDefault="00897FD5" w:rsidP="00897FD5">
            <w:pPr>
              <w:pStyle w:val="Tabletext"/>
              <w:jc w:val="center"/>
              <w:rPr>
                <w:szCs w:val="22"/>
              </w:rPr>
            </w:pPr>
            <w:r w:rsidRPr="00897FD5">
              <w:rPr>
                <w:szCs w:val="22"/>
              </w:rPr>
              <w:t>-</w:t>
            </w:r>
          </w:p>
          <w:p w14:paraId="4A674EAB" w14:textId="225BDA6B" w:rsidR="00897FD5" w:rsidRPr="00897FD5" w:rsidRDefault="00897FD5" w:rsidP="00897FD5">
            <w:pPr>
              <w:pStyle w:val="Tabletext"/>
              <w:jc w:val="center"/>
              <w:rPr>
                <w:szCs w:val="22"/>
              </w:rPr>
            </w:pPr>
            <w:r w:rsidRPr="00897FD5">
              <w:rPr>
                <w:szCs w:val="22"/>
              </w:rPr>
              <w:t>-</w:t>
            </w:r>
          </w:p>
        </w:tc>
      </w:tr>
      <w:tr w:rsidR="00897FD5" w:rsidRPr="00897FD5" w14:paraId="44E8A622" w14:textId="77777777" w:rsidTr="00897FD5">
        <w:trPr>
          <w:cantSplit/>
        </w:trPr>
        <w:tc>
          <w:tcPr>
            <w:tcW w:w="5387" w:type="dxa"/>
            <w:tcBorders>
              <w:top w:val="single" w:sz="4" w:space="0" w:color="auto"/>
              <w:left w:val="nil"/>
              <w:bottom w:val="single" w:sz="4" w:space="0" w:color="auto"/>
              <w:right w:val="nil"/>
            </w:tcBorders>
          </w:tcPr>
          <w:p w14:paraId="38D708A6" w14:textId="77777777" w:rsidR="00897FD5" w:rsidRPr="00B5016C" w:rsidRDefault="00897FD5" w:rsidP="00897FD5">
            <w:pPr>
              <w:pStyle w:val="Tabletext"/>
              <w:rPr>
                <w:b/>
                <w:sz w:val="20"/>
              </w:rPr>
            </w:pPr>
            <w:r w:rsidRPr="00B5016C">
              <w:rPr>
                <w:b/>
                <w:sz w:val="20"/>
              </w:rPr>
              <w:t>Compliance and enforcement</w:t>
            </w:r>
          </w:p>
          <w:p w14:paraId="123546A0" w14:textId="2C73909D" w:rsidR="00897FD5" w:rsidRPr="00897FD5" w:rsidRDefault="00897FD5" w:rsidP="00897FD5">
            <w:pPr>
              <w:pStyle w:val="Bullet-tables"/>
              <w:rPr>
                <w:sz w:val="20"/>
                <w:szCs w:val="20"/>
              </w:rPr>
            </w:pPr>
            <w:r w:rsidRPr="00897FD5">
              <w:rPr>
                <w:sz w:val="20"/>
                <w:szCs w:val="20"/>
              </w:rPr>
              <w:t>National competent authority—enforceable</w:t>
            </w:r>
          </w:p>
        </w:tc>
        <w:tc>
          <w:tcPr>
            <w:tcW w:w="1295" w:type="dxa"/>
            <w:tcBorders>
              <w:top w:val="single" w:sz="4" w:space="0" w:color="auto"/>
              <w:left w:val="nil"/>
              <w:bottom w:val="single" w:sz="4" w:space="0" w:color="auto"/>
              <w:right w:val="nil"/>
            </w:tcBorders>
          </w:tcPr>
          <w:p w14:paraId="687F9560" w14:textId="77777777" w:rsidR="00897FD5" w:rsidRPr="00897FD5" w:rsidRDefault="00897FD5" w:rsidP="00897FD5">
            <w:pPr>
              <w:pStyle w:val="Tabletext"/>
              <w:jc w:val="center"/>
              <w:rPr>
                <w:szCs w:val="22"/>
              </w:rPr>
            </w:pPr>
          </w:p>
          <w:p w14:paraId="7A01C973" w14:textId="01926283" w:rsidR="00897FD5" w:rsidRPr="00897FD5" w:rsidRDefault="00897FD5" w:rsidP="00897FD5">
            <w:pPr>
              <w:pStyle w:val="Tabletext"/>
              <w:jc w:val="center"/>
              <w:rPr>
                <w:szCs w:val="22"/>
              </w:rPr>
            </w:pPr>
            <w:r w:rsidRPr="00897FD5">
              <w:rPr>
                <w:szCs w:val="22"/>
              </w:rPr>
              <w:t>X</w:t>
            </w:r>
          </w:p>
        </w:tc>
        <w:tc>
          <w:tcPr>
            <w:tcW w:w="1417" w:type="dxa"/>
            <w:tcBorders>
              <w:top w:val="single" w:sz="4" w:space="0" w:color="auto"/>
              <w:left w:val="nil"/>
              <w:bottom w:val="single" w:sz="4" w:space="0" w:color="auto"/>
              <w:right w:val="nil"/>
            </w:tcBorders>
          </w:tcPr>
          <w:p w14:paraId="67D9FEE0" w14:textId="77777777" w:rsidR="00897FD5" w:rsidRPr="00897FD5" w:rsidRDefault="00897FD5" w:rsidP="00897FD5">
            <w:pPr>
              <w:pStyle w:val="Tabletext"/>
              <w:jc w:val="center"/>
              <w:rPr>
                <w:szCs w:val="22"/>
              </w:rPr>
            </w:pPr>
          </w:p>
          <w:p w14:paraId="58C09C1A" w14:textId="3113B590" w:rsidR="00897FD5" w:rsidRPr="00897FD5" w:rsidRDefault="00897FD5" w:rsidP="00897FD5">
            <w:pPr>
              <w:pStyle w:val="Tabletext"/>
              <w:jc w:val="center"/>
              <w:rPr>
                <w:szCs w:val="22"/>
              </w:rPr>
            </w:pPr>
            <w:r w:rsidRPr="00897FD5">
              <w:rPr>
                <w:szCs w:val="22"/>
              </w:rPr>
              <w:t>-</w:t>
            </w:r>
          </w:p>
        </w:tc>
        <w:tc>
          <w:tcPr>
            <w:tcW w:w="1536" w:type="dxa"/>
            <w:tcBorders>
              <w:top w:val="single" w:sz="4" w:space="0" w:color="auto"/>
              <w:left w:val="nil"/>
              <w:bottom w:val="single" w:sz="4" w:space="0" w:color="auto"/>
              <w:right w:val="nil"/>
            </w:tcBorders>
          </w:tcPr>
          <w:p w14:paraId="5C29209D" w14:textId="77777777" w:rsidR="00897FD5" w:rsidRPr="00897FD5" w:rsidRDefault="00897FD5" w:rsidP="00897FD5">
            <w:pPr>
              <w:pStyle w:val="Tabletext"/>
              <w:jc w:val="center"/>
              <w:rPr>
                <w:szCs w:val="22"/>
              </w:rPr>
            </w:pPr>
          </w:p>
          <w:p w14:paraId="20E323FF" w14:textId="30D515EE" w:rsidR="00897FD5" w:rsidRPr="00897FD5" w:rsidRDefault="00897FD5" w:rsidP="00897FD5">
            <w:pPr>
              <w:pStyle w:val="Tabletext"/>
              <w:jc w:val="center"/>
              <w:rPr>
                <w:szCs w:val="22"/>
              </w:rPr>
            </w:pPr>
            <w:r w:rsidRPr="00897FD5">
              <w:rPr>
                <w:szCs w:val="22"/>
              </w:rPr>
              <w:t>-</w:t>
            </w:r>
          </w:p>
        </w:tc>
      </w:tr>
      <w:tr w:rsidR="00897FD5" w:rsidRPr="00897FD5" w14:paraId="4E011BC3" w14:textId="77777777" w:rsidTr="00897FD5">
        <w:trPr>
          <w:cantSplit/>
        </w:trPr>
        <w:tc>
          <w:tcPr>
            <w:tcW w:w="5387" w:type="dxa"/>
            <w:tcBorders>
              <w:top w:val="single" w:sz="4" w:space="0" w:color="auto"/>
              <w:left w:val="nil"/>
              <w:bottom w:val="single" w:sz="12" w:space="0" w:color="auto"/>
              <w:right w:val="nil"/>
            </w:tcBorders>
          </w:tcPr>
          <w:p w14:paraId="327D709D" w14:textId="77777777" w:rsidR="00897FD5" w:rsidRPr="00B5016C" w:rsidRDefault="00897FD5" w:rsidP="00897FD5">
            <w:pPr>
              <w:pStyle w:val="Tabletext"/>
              <w:rPr>
                <w:b/>
                <w:sz w:val="20"/>
              </w:rPr>
            </w:pPr>
            <w:r w:rsidRPr="00B5016C">
              <w:rPr>
                <w:b/>
                <w:sz w:val="20"/>
              </w:rPr>
              <w:t>Development of staff skills and awareness</w:t>
            </w:r>
          </w:p>
          <w:p w14:paraId="16BA01CB" w14:textId="1155FAEC" w:rsidR="00897FD5" w:rsidRPr="00897FD5" w:rsidRDefault="00897FD5" w:rsidP="00897FD5">
            <w:pPr>
              <w:pStyle w:val="Bullet-tables"/>
              <w:rPr>
                <w:sz w:val="20"/>
                <w:szCs w:val="20"/>
              </w:rPr>
            </w:pPr>
            <w:r w:rsidRPr="00897FD5">
              <w:rPr>
                <w:sz w:val="20"/>
                <w:szCs w:val="20"/>
              </w:rPr>
              <w:t>Awareness of Code, complaints procedure</w:t>
            </w:r>
          </w:p>
        </w:tc>
        <w:tc>
          <w:tcPr>
            <w:tcW w:w="1295" w:type="dxa"/>
            <w:tcBorders>
              <w:top w:val="single" w:sz="4" w:space="0" w:color="auto"/>
              <w:left w:val="nil"/>
              <w:bottom w:val="single" w:sz="12" w:space="0" w:color="auto"/>
              <w:right w:val="nil"/>
            </w:tcBorders>
          </w:tcPr>
          <w:p w14:paraId="517C445B" w14:textId="77777777" w:rsidR="00897FD5" w:rsidRPr="00897FD5" w:rsidRDefault="00897FD5" w:rsidP="00897FD5">
            <w:pPr>
              <w:pStyle w:val="Tabletext"/>
              <w:jc w:val="center"/>
              <w:rPr>
                <w:szCs w:val="22"/>
              </w:rPr>
            </w:pPr>
          </w:p>
          <w:p w14:paraId="206DEA89" w14:textId="275726B6" w:rsidR="00897FD5" w:rsidRPr="00897FD5" w:rsidRDefault="00897FD5" w:rsidP="00897FD5">
            <w:pPr>
              <w:pStyle w:val="Tablerowtext"/>
              <w:jc w:val="center"/>
            </w:pPr>
            <w:r w:rsidRPr="00897FD5">
              <w:t>√</w:t>
            </w:r>
          </w:p>
        </w:tc>
        <w:tc>
          <w:tcPr>
            <w:tcW w:w="1417" w:type="dxa"/>
            <w:tcBorders>
              <w:top w:val="single" w:sz="4" w:space="0" w:color="auto"/>
              <w:left w:val="nil"/>
              <w:bottom w:val="single" w:sz="12" w:space="0" w:color="auto"/>
              <w:right w:val="nil"/>
            </w:tcBorders>
          </w:tcPr>
          <w:p w14:paraId="4E229148" w14:textId="77777777" w:rsidR="00897FD5" w:rsidRPr="00897FD5" w:rsidRDefault="00897FD5" w:rsidP="00897FD5">
            <w:pPr>
              <w:pStyle w:val="Tabletext"/>
              <w:jc w:val="center"/>
              <w:rPr>
                <w:szCs w:val="22"/>
              </w:rPr>
            </w:pPr>
          </w:p>
          <w:p w14:paraId="6E3EF627" w14:textId="1F2C563E" w:rsidR="00897FD5" w:rsidRPr="00897FD5" w:rsidRDefault="00897FD5" w:rsidP="00897FD5">
            <w:pPr>
              <w:pStyle w:val="Tablerowtext"/>
              <w:jc w:val="center"/>
            </w:pPr>
            <w:r w:rsidRPr="00897FD5">
              <w:t>-</w:t>
            </w:r>
          </w:p>
        </w:tc>
        <w:tc>
          <w:tcPr>
            <w:tcW w:w="1536" w:type="dxa"/>
            <w:tcBorders>
              <w:top w:val="single" w:sz="4" w:space="0" w:color="auto"/>
              <w:left w:val="nil"/>
              <w:bottom w:val="single" w:sz="12" w:space="0" w:color="auto"/>
              <w:right w:val="nil"/>
            </w:tcBorders>
          </w:tcPr>
          <w:p w14:paraId="322E4D40" w14:textId="77777777" w:rsidR="00897FD5" w:rsidRPr="00897FD5" w:rsidRDefault="00897FD5" w:rsidP="00897FD5">
            <w:pPr>
              <w:pStyle w:val="Tabletext"/>
              <w:jc w:val="center"/>
              <w:rPr>
                <w:szCs w:val="22"/>
              </w:rPr>
            </w:pPr>
          </w:p>
          <w:p w14:paraId="78E39612" w14:textId="35565DBA" w:rsidR="00897FD5" w:rsidRPr="00897FD5" w:rsidRDefault="00897FD5" w:rsidP="00897FD5">
            <w:pPr>
              <w:pStyle w:val="Tablerowtext"/>
              <w:jc w:val="center"/>
            </w:pPr>
            <w:r w:rsidRPr="00897FD5">
              <w:t>-</w:t>
            </w:r>
          </w:p>
        </w:tc>
      </w:tr>
    </w:tbl>
    <w:p w14:paraId="7EF80635" w14:textId="77777777" w:rsidR="007E7021" w:rsidRPr="00897FD5" w:rsidRDefault="007E7021" w:rsidP="00897FD5">
      <w:pPr>
        <w:pStyle w:val="Sourcenotes"/>
        <w:ind w:right="-165"/>
        <w:rPr>
          <w:w w:val="99"/>
        </w:rPr>
      </w:pPr>
      <w:r w:rsidRPr="00897FD5">
        <w:rPr>
          <w:w w:val="99"/>
        </w:rPr>
        <w:t xml:space="preserve">*’Declared’ refers to declared collecting societies under the </w:t>
      </w:r>
      <w:r w:rsidRPr="00897FD5">
        <w:rPr>
          <w:i/>
          <w:w w:val="99"/>
        </w:rPr>
        <w:t>Copyright Act 1968</w:t>
      </w:r>
      <w:r w:rsidRPr="00897FD5">
        <w:rPr>
          <w:w w:val="99"/>
        </w:rPr>
        <w:t>; ‘voluntary’ refers to other, non-declared collecting societies.</w:t>
      </w:r>
    </w:p>
    <w:p w14:paraId="0C132BF9" w14:textId="77777777" w:rsidR="007E7021" w:rsidRPr="00897FD5" w:rsidRDefault="007E7021" w:rsidP="00897FD5">
      <w:pPr>
        <w:pStyle w:val="Sourcenotes"/>
        <w:ind w:right="-165"/>
        <w:rPr>
          <w:w w:val="98"/>
        </w:rPr>
      </w:pPr>
      <w:r w:rsidRPr="00897FD5">
        <w:rPr>
          <w:w w:val="98"/>
        </w:rPr>
        <w:t>**</w:t>
      </w:r>
      <w:r w:rsidRPr="00897FD5">
        <w:rPr>
          <w:i/>
          <w:w w:val="98"/>
        </w:rPr>
        <w:t>Copyright Act 1968</w:t>
      </w:r>
      <w:r w:rsidRPr="00897FD5">
        <w:rPr>
          <w:w w:val="98"/>
        </w:rPr>
        <w:t>, Copyright Regulations 1969 and Guidelines for Declared Collecting Societies (as amended 2001).</w:t>
      </w:r>
    </w:p>
    <w:p w14:paraId="568AA7BA" w14:textId="77777777" w:rsidR="007E7021" w:rsidRDefault="007E7021" w:rsidP="007E7021">
      <w:pPr>
        <w:spacing w:after="0"/>
        <w:rPr>
          <w:sz w:val="18"/>
          <w:szCs w:val="18"/>
        </w:rPr>
      </w:pPr>
    </w:p>
    <w:p w14:paraId="20517439" w14:textId="77777777" w:rsidR="007E7021" w:rsidRDefault="007E7021" w:rsidP="007E7021">
      <w:pPr>
        <w:pStyle w:val="Heading3"/>
      </w:pPr>
      <w:bookmarkStart w:id="357" w:name="_Toc501010991"/>
      <w:bookmarkStart w:id="358" w:name="_Toc504393039"/>
      <w:bookmarkStart w:id="359" w:name="_Toc506373295"/>
      <w:r>
        <w:t>EU Directive Annual Transparency Report</w:t>
      </w:r>
      <w:bookmarkEnd w:id="357"/>
      <w:bookmarkEnd w:id="358"/>
      <w:bookmarkEnd w:id="359"/>
    </w:p>
    <w:p w14:paraId="6FE46687" w14:textId="77777777" w:rsidR="007E7021" w:rsidRDefault="007E7021" w:rsidP="007E7021">
      <w:pPr>
        <w:keepLines/>
      </w:pPr>
      <w:r>
        <w:t>Under the EU Directive, CMOs in the European Union are required to publish on their websites an ‘annual transparency report,’ which should include information on the activities and governance of the CMO, comprehensive financial information and information on the use of amounts deducted for social, cultural and educational services.</w:t>
      </w:r>
    </w:p>
    <w:p w14:paraId="283E2F3F" w14:textId="77777777" w:rsidR="007E7021" w:rsidRDefault="007E7021" w:rsidP="007E7021">
      <w:r>
        <w:t>Table E2 outlines the extent to which Australian collecting societies provide the type of information which CMOs must publish on their website under the EU Directive. Under the EU Directive this information must be provided for each financial year and must remain publicly available on the relevant website for at least five years. Information provided by collecting societies in Australia indicates some collecting societies are providing a lot of the information required of CMOs under the EU Directive. The review has found that consolidating the information collecting societies provide would be beneficial for stakeholders and improve confidence in the system.</w:t>
      </w:r>
    </w:p>
    <w:p w14:paraId="74A7546F" w14:textId="77777777" w:rsidR="007E7021" w:rsidRDefault="007E7021" w:rsidP="007E7021">
      <w:pPr>
        <w:pStyle w:val="Tablefigureheading"/>
      </w:pPr>
      <w:bookmarkStart w:id="360" w:name="_Toc501010992"/>
      <w:bookmarkStart w:id="361" w:name="_Toc506371899"/>
      <w:r>
        <w:t>Table E2. Annual transparency reporting requirements—international comparison</w:t>
      </w:r>
      <w:bookmarkEnd w:id="360"/>
      <w:bookmarkEnd w:id="361"/>
    </w:p>
    <w:tbl>
      <w:tblPr>
        <w:tblStyle w:val="TableGrid"/>
        <w:tblW w:w="9493" w:type="dxa"/>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Description w:val="Table E1. EU Directive and TAG Compendium - comparison with Australian Code of Conduct and other governance instruments.&#10;&#10;This table indicates the issues and elements of collecting societies' operations that are covered by the Code of Conduct for Copyright Collecting Societies in comparison to what is covered by equivalent instruments in interanational jurisdictions."/>
      </w:tblPr>
      <w:tblGrid>
        <w:gridCol w:w="5382"/>
        <w:gridCol w:w="851"/>
        <w:gridCol w:w="850"/>
        <w:gridCol w:w="1134"/>
        <w:gridCol w:w="1276"/>
      </w:tblGrid>
      <w:tr w:rsidR="00A0483F" w14:paraId="5AE8AEEA" w14:textId="77777777" w:rsidTr="00A0483F">
        <w:trPr>
          <w:cantSplit/>
          <w:tblHeader/>
        </w:trPr>
        <w:tc>
          <w:tcPr>
            <w:tcW w:w="5382" w:type="dxa"/>
            <w:tcBorders>
              <w:top w:val="nil"/>
              <w:left w:val="single" w:sz="4" w:space="0" w:color="FFFFFF" w:themeColor="background1"/>
              <w:bottom w:val="single" w:sz="4" w:space="0" w:color="FFFFFF" w:themeColor="background1"/>
              <w:right w:val="nil"/>
            </w:tcBorders>
            <w:shd w:val="clear" w:color="auto" w:fill="113651"/>
          </w:tcPr>
          <w:p w14:paraId="341ED899" w14:textId="77777777" w:rsidR="00A0483F" w:rsidRDefault="00A0483F" w:rsidP="00CC6845">
            <w:pPr>
              <w:pStyle w:val="Tableheading"/>
            </w:pPr>
            <w:r>
              <w:t>Annual transparency report</w:t>
            </w:r>
          </w:p>
          <w:p w14:paraId="042231C5" w14:textId="0B17048D" w:rsidR="00A0483F" w:rsidRPr="00A0483F" w:rsidRDefault="00A0483F" w:rsidP="00A0483F">
            <w:pPr>
              <w:rPr>
                <w:lang w:eastAsia="en-US" w:bidi="ar-SA"/>
              </w:rPr>
            </w:pPr>
            <w:r>
              <w:rPr>
                <w:lang w:eastAsia="en-US" w:bidi="ar-SA"/>
              </w:rPr>
              <w:t>(EU Directive, article 22 and annex)</w:t>
            </w:r>
          </w:p>
        </w:tc>
        <w:tc>
          <w:tcPr>
            <w:tcW w:w="851" w:type="dxa"/>
            <w:tcBorders>
              <w:top w:val="nil"/>
              <w:left w:val="nil"/>
              <w:bottom w:val="single" w:sz="4" w:space="0" w:color="FFFFFF" w:themeColor="background1"/>
              <w:right w:val="nil"/>
            </w:tcBorders>
            <w:shd w:val="clear" w:color="auto" w:fill="113651"/>
          </w:tcPr>
          <w:p w14:paraId="498F0ECB" w14:textId="77777777" w:rsidR="00A0483F" w:rsidRDefault="00A0483F" w:rsidP="00CC6845">
            <w:pPr>
              <w:pStyle w:val="Tableheading"/>
              <w:jc w:val="center"/>
            </w:pPr>
          </w:p>
        </w:tc>
        <w:tc>
          <w:tcPr>
            <w:tcW w:w="850" w:type="dxa"/>
            <w:tcBorders>
              <w:top w:val="nil"/>
              <w:left w:val="nil"/>
              <w:bottom w:val="single" w:sz="4" w:space="0" w:color="FFFFFF" w:themeColor="background1"/>
              <w:right w:val="nil"/>
            </w:tcBorders>
            <w:shd w:val="clear" w:color="auto" w:fill="113651"/>
          </w:tcPr>
          <w:p w14:paraId="2EDC0957" w14:textId="7FDFD8DA" w:rsidR="00A0483F" w:rsidRDefault="00A0483F" w:rsidP="00CC6845">
            <w:pPr>
              <w:pStyle w:val="Tableheading"/>
              <w:jc w:val="center"/>
            </w:pPr>
          </w:p>
        </w:tc>
        <w:tc>
          <w:tcPr>
            <w:tcW w:w="1134" w:type="dxa"/>
            <w:tcBorders>
              <w:top w:val="nil"/>
              <w:left w:val="nil"/>
              <w:bottom w:val="single" w:sz="4" w:space="0" w:color="FFFFFF" w:themeColor="background1"/>
              <w:right w:val="nil"/>
            </w:tcBorders>
            <w:shd w:val="clear" w:color="auto" w:fill="113651"/>
          </w:tcPr>
          <w:p w14:paraId="3E5A9DB3" w14:textId="6CECE38E" w:rsidR="00A0483F" w:rsidRDefault="00A0483F" w:rsidP="00CC6845">
            <w:pPr>
              <w:pStyle w:val="Tableheading"/>
              <w:jc w:val="center"/>
            </w:pPr>
          </w:p>
        </w:tc>
        <w:tc>
          <w:tcPr>
            <w:tcW w:w="1276" w:type="dxa"/>
            <w:tcBorders>
              <w:top w:val="nil"/>
              <w:left w:val="nil"/>
              <w:bottom w:val="single" w:sz="4" w:space="0" w:color="FFFFFF" w:themeColor="background1"/>
              <w:right w:val="nil"/>
            </w:tcBorders>
            <w:shd w:val="clear" w:color="auto" w:fill="113651"/>
          </w:tcPr>
          <w:p w14:paraId="3560BABD" w14:textId="6031ADFE" w:rsidR="00A0483F" w:rsidRDefault="00A0483F" w:rsidP="00CC6845">
            <w:pPr>
              <w:pStyle w:val="Tableheading"/>
              <w:jc w:val="center"/>
            </w:pPr>
          </w:p>
        </w:tc>
      </w:tr>
      <w:tr w:rsidR="00A0483F" w14:paraId="56DB28DE" w14:textId="77777777" w:rsidTr="00A0483F">
        <w:trPr>
          <w:cantSplit/>
          <w:tblHeader/>
        </w:trPr>
        <w:tc>
          <w:tcPr>
            <w:tcW w:w="5382" w:type="dxa"/>
            <w:tcBorders>
              <w:top w:val="single" w:sz="4" w:space="0" w:color="FFFFFF" w:themeColor="background1"/>
              <w:left w:val="single" w:sz="4" w:space="0" w:color="FFFFFF" w:themeColor="background1"/>
              <w:bottom w:val="thickThinLargeGap" w:sz="24" w:space="0" w:color="auto"/>
              <w:right w:val="nil"/>
            </w:tcBorders>
            <w:shd w:val="clear" w:color="auto" w:fill="113651"/>
          </w:tcPr>
          <w:p w14:paraId="278C36DF" w14:textId="1A883000" w:rsidR="00A0483F" w:rsidRDefault="00A0483F" w:rsidP="00CC6845">
            <w:pPr>
              <w:pStyle w:val="Tableheading"/>
            </w:pPr>
            <w:r>
              <w:t>Type of information</w:t>
            </w:r>
          </w:p>
        </w:tc>
        <w:tc>
          <w:tcPr>
            <w:tcW w:w="851" w:type="dxa"/>
            <w:tcBorders>
              <w:top w:val="single" w:sz="4" w:space="0" w:color="FFFFFF" w:themeColor="background1"/>
              <w:left w:val="nil"/>
              <w:bottom w:val="thickThinLargeGap" w:sz="24" w:space="0" w:color="auto"/>
              <w:right w:val="nil"/>
            </w:tcBorders>
            <w:shd w:val="clear" w:color="auto" w:fill="113651"/>
          </w:tcPr>
          <w:p w14:paraId="4921CDB9" w14:textId="3972F734" w:rsidR="00A0483F" w:rsidRPr="008219CD" w:rsidRDefault="00A0483F" w:rsidP="00CC6845">
            <w:pPr>
              <w:pStyle w:val="Tableheading"/>
              <w:jc w:val="center"/>
              <w:rPr>
                <w:sz w:val="20"/>
              </w:rPr>
            </w:pPr>
            <w:r w:rsidRPr="008219CD">
              <w:rPr>
                <w:sz w:val="20"/>
              </w:rPr>
              <w:t>PPCA</w:t>
            </w:r>
          </w:p>
        </w:tc>
        <w:tc>
          <w:tcPr>
            <w:tcW w:w="850" w:type="dxa"/>
            <w:tcBorders>
              <w:top w:val="single" w:sz="4" w:space="0" w:color="FFFFFF" w:themeColor="background1"/>
              <w:left w:val="nil"/>
              <w:bottom w:val="thickThinLargeGap" w:sz="24" w:space="0" w:color="auto"/>
              <w:right w:val="nil"/>
            </w:tcBorders>
            <w:shd w:val="clear" w:color="auto" w:fill="113651"/>
          </w:tcPr>
          <w:p w14:paraId="30DE1257" w14:textId="54D18F5B" w:rsidR="00A0483F" w:rsidRPr="008219CD" w:rsidRDefault="00A0483F" w:rsidP="00CC6845">
            <w:pPr>
              <w:pStyle w:val="Tableheading"/>
              <w:jc w:val="center"/>
              <w:rPr>
                <w:sz w:val="20"/>
              </w:rPr>
            </w:pPr>
            <w:r w:rsidRPr="008219CD">
              <w:rPr>
                <w:sz w:val="20"/>
              </w:rPr>
              <w:t>APRA</w:t>
            </w:r>
          </w:p>
        </w:tc>
        <w:tc>
          <w:tcPr>
            <w:tcW w:w="1134" w:type="dxa"/>
            <w:tcBorders>
              <w:top w:val="single" w:sz="4" w:space="0" w:color="FFFFFF" w:themeColor="background1"/>
              <w:left w:val="nil"/>
              <w:bottom w:val="thickThinLargeGap" w:sz="24" w:space="0" w:color="auto"/>
              <w:right w:val="nil"/>
            </w:tcBorders>
            <w:shd w:val="clear" w:color="auto" w:fill="113651"/>
          </w:tcPr>
          <w:p w14:paraId="52726F2B" w14:textId="54F7B91C" w:rsidR="00A0483F" w:rsidRPr="008219CD" w:rsidRDefault="00A0483F" w:rsidP="00CC6845">
            <w:pPr>
              <w:pStyle w:val="Tableheading"/>
              <w:jc w:val="center"/>
              <w:rPr>
                <w:sz w:val="20"/>
              </w:rPr>
            </w:pPr>
            <w:r w:rsidRPr="008219CD">
              <w:rPr>
                <w:sz w:val="20"/>
              </w:rPr>
              <w:t>Copyright agency</w:t>
            </w:r>
          </w:p>
        </w:tc>
        <w:tc>
          <w:tcPr>
            <w:tcW w:w="1276" w:type="dxa"/>
            <w:tcBorders>
              <w:top w:val="single" w:sz="4" w:space="0" w:color="FFFFFF" w:themeColor="background1"/>
              <w:left w:val="nil"/>
              <w:bottom w:val="thickThinLargeGap" w:sz="24" w:space="0" w:color="auto"/>
              <w:right w:val="nil"/>
            </w:tcBorders>
            <w:shd w:val="clear" w:color="auto" w:fill="113651"/>
          </w:tcPr>
          <w:p w14:paraId="0B1F9D1D" w14:textId="1D7BB704" w:rsidR="00A0483F" w:rsidRPr="008219CD" w:rsidRDefault="00A0483F" w:rsidP="00CC6845">
            <w:pPr>
              <w:pStyle w:val="Tableheading"/>
              <w:jc w:val="center"/>
              <w:rPr>
                <w:sz w:val="20"/>
              </w:rPr>
            </w:pPr>
            <w:r w:rsidRPr="008219CD">
              <w:rPr>
                <w:sz w:val="20"/>
              </w:rPr>
              <w:t>S</w:t>
            </w:r>
            <w:r w:rsidR="008219CD" w:rsidRPr="008219CD">
              <w:rPr>
                <w:sz w:val="20"/>
              </w:rPr>
              <w:t>c</w:t>
            </w:r>
            <w:r w:rsidRPr="008219CD">
              <w:rPr>
                <w:sz w:val="20"/>
              </w:rPr>
              <w:t>reenrights</w:t>
            </w:r>
          </w:p>
        </w:tc>
      </w:tr>
      <w:tr w:rsidR="00A0483F" w:rsidRPr="00897FD5" w14:paraId="1BD643BE" w14:textId="77777777" w:rsidTr="00A0483F">
        <w:trPr>
          <w:cantSplit/>
        </w:trPr>
        <w:tc>
          <w:tcPr>
            <w:tcW w:w="5382" w:type="dxa"/>
            <w:tcBorders>
              <w:top w:val="thickThinLargeGap" w:sz="24" w:space="0" w:color="auto"/>
              <w:left w:val="nil"/>
              <w:bottom w:val="single" w:sz="4" w:space="0" w:color="auto"/>
              <w:right w:val="nil"/>
            </w:tcBorders>
            <w:shd w:val="clear" w:color="auto" w:fill="113651"/>
          </w:tcPr>
          <w:p w14:paraId="1EF9829F" w14:textId="6541C836" w:rsidR="00A0483F" w:rsidRPr="00A0483F" w:rsidRDefault="00A0483F" w:rsidP="00A0483F">
            <w:pPr>
              <w:pStyle w:val="Tabletext"/>
              <w:rPr>
                <w:b/>
              </w:rPr>
            </w:pPr>
            <w:r w:rsidRPr="00A0483F">
              <w:rPr>
                <w:b/>
              </w:rPr>
              <w:t>General:</w:t>
            </w:r>
          </w:p>
        </w:tc>
        <w:tc>
          <w:tcPr>
            <w:tcW w:w="851" w:type="dxa"/>
            <w:tcBorders>
              <w:top w:val="thickThinLargeGap" w:sz="24" w:space="0" w:color="auto"/>
              <w:left w:val="nil"/>
              <w:bottom w:val="single" w:sz="4" w:space="0" w:color="auto"/>
              <w:right w:val="nil"/>
            </w:tcBorders>
            <w:shd w:val="clear" w:color="auto" w:fill="113651"/>
          </w:tcPr>
          <w:p w14:paraId="35CFE607" w14:textId="77777777" w:rsidR="00A0483F" w:rsidRPr="00897FD5" w:rsidRDefault="00A0483F" w:rsidP="00CC6845">
            <w:pPr>
              <w:pStyle w:val="Tabletext"/>
              <w:jc w:val="center"/>
              <w:rPr>
                <w:szCs w:val="22"/>
              </w:rPr>
            </w:pPr>
          </w:p>
        </w:tc>
        <w:tc>
          <w:tcPr>
            <w:tcW w:w="850" w:type="dxa"/>
            <w:tcBorders>
              <w:top w:val="thickThinLargeGap" w:sz="24" w:space="0" w:color="auto"/>
              <w:left w:val="nil"/>
              <w:bottom w:val="single" w:sz="4" w:space="0" w:color="auto"/>
              <w:right w:val="nil"/>
            </w:tcBorders>
            <w:shd w:val="clear" w:color="auto" w:fill="113651"/>
          </w:tcPr>
          <w:p w14:paraId="4F73D1AA" w14:textId="1037554B" w:rsidR="00A0483F" w:rsidRPr="00897FD5" w:rsidRDefault="00A0483F" w:rsidP="00CC6845">
            <w:pPr>
              <w:pStyle w:val="Tabletext"/>
              <w:jc w:val="center"/>
              <w:rPr>
                <w:szCs w:val="22"/>
              </w:rPr>
            </w:pPr>
          </w:p>
        </w:tc>
        <w:tc>
          <w:tcPr>
            <w:tcW w:w="1134" w:type="dxa"/>
            <w:tcBorders>
              <w:top w:val="thickThinLargeGap" w:sz="24" w:space="0" w:color="auto"/>
              <w:left w:val="nil"/>
              <w:bottom w:val="single" w:sz="4" w:space="0" w:color="auto"/>
              <w:right w:val="nil"/>
            </w:tcBorders>
            <w:shd w:val="clear" w:color="auto" w:fill="113651"/>
          </w:tcPr>
          <w:p w14:paraId="526D66C9" w14:textId="1E92F50B" w:rsidR="00A0483F" w:rsidRPr="00897FD5" w:rsidRDefault="00A0483F" w:rsidP="00CC6845">
            <w:pPr>
              <w:pStyle w:val="Tabletext"/>
              <w:jc w:val="center"/>
              <w:rPr>
                <w:szCs w:val="22"/>
              </w:rPr>
            </w:pPr>
          </w:p>
        </w:tc>
        <w:tc>
          <w:tcPr>
            <w:tcW w:w="1276" w:type="dxa"/>
            <w:tcBorders>
              <w:top w:val="thickThinLargeGap" w:sz="24" w:space="0" w:color="auto"/>
              <w:left w:val="nil"/>
              <w:bottom w:val="single" w:sz="4" w:space="0" w:color="auto"/>
              <w:right w:val="nil"/>
            </w:tcBorders>
            <w:shd w:val="clear" w:color="auto" w:fill="113651"/>
          </w:tcPr>
          <w:p w14:paraId="55543DDE" w14:textId="30393AD6" w:rsidR="00A0483F" w:rsidRPr="00897FD5" w:rsidRDefault="00A0483F" w:rsidP="00CC6845">
            <w:pPr>
              <w:pStyle w:val="Tabletext"/>
              <w:jc w:val="center"/>
              <w:rPr>
                <w:szCs w:val="22"/>
              </w:rPr>
            </w:pPr>
          </w:p>
        </w:tc>
      </w:tr>
      <w:tr w:rsidR="00A0483F" w:rsidRPr="00897FD5" w14:paraId="321E2DD1" w14:textId="77777777" w:rsidTr="00A0483F">
        <w:trPr>
          <w:cantSplit/>
        </w:trPr>
        <w:tc>
          <w:tcPr>
            <w:tcW w:w="5382" w:type="dxa"/>
            <w:tcBorders>
              <w:top w:val="single" w:sz="4" w:space="0" w:color="auto"/>
              <w:left w:val="nil"/>
              <w:bottom w:val="single" w:sz="4" w:space="0" w:color="auto"/>
              <w:right w:val="nil"/>
            </w:tcBorders>
          </w:tcPr>
          <w:p w14:paraId="2F38DE7B" w14:textId="4485D167" w:rsidR="00A0483F" w:rsidRPr="00897FD5" w:rsidRDefault="00A0483F" w:rsidP="00A0483F">
            <w:pPr>
              <w:pStyle w:val="Tabletext"/>
            </w:pPr>
            <w:r w:rsidRPr="00DC063A">
              <w:t>Financial statements</w:t>
            </w:r>
          </w:p>
        </w:tc>
        <w:tc>
          <w:tcPr>
            <w:tcW w:w="851" w:type="dxa"/>
            <w:tcBorders>
              <w:top w:val="single" w:sz="4" w:space="0" w:color="auto"/>
              <w:left w:val="nil"/>
              <w:bottom w:val="single" w:sz="4" w:space="0" w:color="auto"/>
              <w:right w:val="nil"/>
            </w:tcBorders>
          </w:tcPr>
          <w:p w14:paraId="5666E47F" w14:textId="5CBF241F" w:rsidR="00A0483F" w:rsidRPr="00897FD5" w:rsidRDefault="00A0483F" w:rsidP="00A0483F">
            <w:pPr>
              <w:pStyle w:val="Tabletext"/>
              <w:jc w:val="center"/>
              <w:rPr>
                <w:szCs w:val="22"/>
              </w:rPr>
            </w:pPr>
            <w:r>
              <w:t>Y</w:t>
            </w:r>
          </w:p>
        </w:tc>
        <w:tc>
          <w:tcPr>
            <w:tcW w:w="850" w:type="dxa"/>
            <w:tcBorders>
              <w:top w:val="single" w:sz="4" w:space="0" w:color="auto"/>
              <w:left w:val="nil"/>
              <w:bottom w:val="single" w:sz="4" w:space="0" w:color="auto"/>
              <w:right w:val="nil"/>
            </w:tcBorders>
          </w:tcPr>
          <w:p w14:paraId="6304DD94" w14:textId="2BD9B2F2" w:rsidR="00A0483F" w:rsidRPr="00897FD5" w:rsidRDefault="00A0483F" w:rsidP="00A0483F">
            <w:pPr>
              <w:pStyle w:val="Tabletext"/>
              <w:jc w:val="center"/>
              <w:rPr>
                <w:szCs w:val="22"/>
              </w:rPr>
            </w:pPr>
            <w:r>
              <w:t>Y</w:t>
            </w:r>
          </w:p>
        </w:tc>
        <w:tc>
          <w:tcPr>
            <w:tcW w:w="1134" w:type="dxa"/>
            <w:tcBorders>
              <w:top w:val="single" w:sz="4" w:space="0" w:color="auto"/>
              <w:left w:val="nil"/>
              <w:bottom w:val="single" w:sz="4" w:space="0" w:color="auto"/>
              <w:right w:val="nil"/>
            </w:tcBorders>
          </w:tcPr>
          <w:p w14:paraId="0FEA6845" w14:textId="59B2C727" w:rsidR="00A0483F" w:rsidRPr="00897FD5" w:rsidRDefault="00A0483F" w:rsidP="00A0483F">
            <w:pPr>
              <w:pStyle w:val="Tabletext"/>
              <w:jc w:val="center"/>
              <w:rPr>
                <w:szCs w:val="22"/>
              </w:rPr>
            </w:pPr>
            <w:r>
              <w:t>Y</w:t>
            </w:r>
          </w:p>
        </w:tc>
        <w:tc>
          <w:tcPr>
            <w:tcW w:w="1276" w:type="dxa"/>
            <w:tcBorders>
              <w:top w:val="single" w:sz="4" w:space="0" w:color="auto"/>
              <w:left w:val="nil"/>
              <w:bottom w:val="single" w:sz="4" w:space="0" w:color="auto"/>
              <w:right w:val="nil"/>
            </w:tcBorders>
          </w:tcPr>
          <w:p w14:paraId="6F913EAC" w14:textId="3A8F09D2" w:rsidR="00A0483F" w:rsidRPr="00897FD5" w:rsidRDefault="00A0483F" w:rsidP="00A0483F">
            <w:pPr>
              <w:pStyle w:val="Tabletext"/>
              <w:jc w:val="center"/>
              <w:rPr>
                <w:szCs w:val="22"/>
              </w:rPr>
            </w:pPr>
            <w:r>
              <w:t>Y</w:t>
            </w:r>
          </w:p>
        </w:tc>
      </w:tr>
      <w:tr w:rsidR="00A0483F" w:rsidRPr="00897FD5" w14:paraId="2EB8FAB5" w14:textId="77777777" w:rsidTr="00A0483F">
        <w:trPr>
          <w:cantSplit/>
        </w:trPr>
        <w:tc>
          <w:tcPr>
            <w:tcW w:w="5382" w:type="dxa"/>
            <w:tcBorders>
              <w:top w:val="single" w:sz="4" w:space="0" w:color="auto"/>
              <w:left w:val="nil"/>
              <w:bottom w:val="single" w:sz="4" w:space="0" w:color="auto"/>
              <w:right w:val="nil"/>
            </w:tcBorders>
          </w:tcPr>
          <w:p w14:paraId="451314FA" w14:textId="1C789149" w:rsidR="00A0483F" w:rsidRPr="00897FD5" w:rsidRDefault="00A0483F" w:rsidP="00A0483F">
            <w:pPr>
              <w:pStyle w:val="Tabletext"/>
            </w:pPr>
            <w:r w:rsidRPr="00DC063A">
              <w:t>Report on activities in financial year</w:t>
            </w:r>
          </w:p>
        </w:tc>
        <w:tc>
          <w:tcPr>
            <w:tcW w:w="851" w:type="dxa"/>
            <w:tcBorders>
              <w:top w:val="single" w:sz="4" w:space="0" w:color="auto"/>
              <w:left w:val="nil"/>
              <w:bottom w:val="single" w:sz="4" w:space="0" w:color="auto"/>
              <w:right w:val="nil"/>
            </w:tcBorders>
          </w:tcPr>
          <w:p w14:paraId="1C43F2BC" w14:textId="586A68BF" w:rsidR="00A0483F" w:rsidRPr="00897FD5" w:rsidRDefault="00A0483F" w:rsidP="00A0483F">
            <w:pPr>
              <w:pStyle w:val="Tabletext"/>
              <w:jc w:val="center"/>
              <w:rPr>
                <w:szCs w:val="22"/>
              </w:rPr>
            </w:pPr>
            <w:r>
              <w:t>Y</w:t>
            </w:r>
          </w:p>
        </w:tc>
        <w:tc>
          <w:tcPr>
            <w:tcW w:w="850" w:type="dxa"/>
            <w:tcBorders>
              <w:top w:val="single" w:sz="4" w:space="0" w:color="auto"/>
              <w:left w:val="nil"/>
              <w:bottom w:val="single" w:sz="4" w:space="0" w:color="auto"/>
              <w:right w:val="nil"/>
            </w:tcBorders>
          </w:tcPr>
          <w:p w14:paraId="6AF6C02E" w14:textId="05414F51" w:rsidR="00A0483F" w:rsidRPr="00897FD5" w:rsidRDefault="00A0483F" w:rsidP="00A0483F">
            <w:pPr>
              <w:pStyle w:val="Tabletext"/>
              <w:jc w:val="center"/>
              <w:rPr>
                <w:szCs w:val="22"/>
              </w:rPr>
            </w:pPr>
            <w:r>
              <w:t>Y</w:t>
            </w:r>
          </w:p>
        </w:tc>
        <w:tc>
          <w:tcPr>
            <w:tcW w:w="1134" w:type="dxa"/>
            <w:tcBorders>
              <w:top w:val="single" w:sz="4" w:space="0" w:color="auto"/>
              <w:left w:val="nil"/>
              <w:bottom w:val="single" w:sz="4" w:space="0" w:color="auto"/>
              <w:right w:val="nil"/>
            </w:tcBorders>
          </w:tcPr>
          <w:p w14:paraId="09F27020" w14:textId="358C876E" w:rsidR="00A0483F" w:rsidRPr="00897FD5" w:rsidRDefault="00A0483F" w:rsidP="00A0483F">
            <w:pPr>
              <w:pStyle w:val="Tabletext"/>
              <w:jc w:val="center"/>
              <w:rPr>
                <w:szCs w:val="22"/>
              </w:rPr>
            </w:pPr>
            <w:r>
              <w:t>Y</w:t>
            </w:r>
          </w:p>
        </w:tc>
        <w:tc>
          <w:tcPr>
            <w:tcW w:w="1276" w:type="dxa"/>
            <w:tcBorders>
              <w:top w:val="single" w:sz="4" w:space="0" w:color="auto"/>
              <w:left w:val="nil"/>
              <w:bottom w:val="single" w:sz="4" w:space="0" w:color="auto"/>
              <w:right w:val="nil"/>
            </w:tcBorders>
          </w:tcPr>
          <w:p w14:paraId="5EA65934" w14:textId="6B3458DB" w:rsidR="00A0483F" w:rsidRPr="00897FD5" w:rsidRDefault="00A0483F" w:rsidP="00A0483F">
            <w:pPr>
              <w:pStyle w:val="Tabletext"/>
              <w:jc w:val="center"/>
              <w:rPr>
                <w:szCs w:val="22"/>
              </w:rPr>
            </w:pPr>
            <w:r>
              <w:t>Y</w:t>
            </w:r>
          </w:p>
        </w:tc>
      </w:tr>
      <w:tr w:rsidR="00A0483F" w:rsidRPr="00897FD5" w14:paraId="56AE4013" w14:textId="77777777" w:rsidTr="00A0483F">
        <w:trPr>
          <w:cantSplit/>
        </w:trPr>
        <w:tc>
          <w:tcPr>
            <w:tcW w:w="5382" w:type="dxa"/>
            <w:tcBorders>
              <w:top w:val="single" w:sz="4" w:space="0" w:color="auto"/>
              <w:left w:val="nil"/>
              <w:bottom w:val="single" w:sz="4" w:space="0" w:color="auto"/>
              <w:right w:val="nil"/>
            </w:tcBorders>
          </w:tcPr>
          <w:p w14:paraId="09001D85" w14:textId="5241B7DA" w:rsidR="00A0483F" w:rsidRPr="00897FD5" w:rsidRDefault="00A0483F" w:rsidP="00A0483F">
            <w:pPr>
              <w:pStyle w:val="Tabletext"/>
            </w:pPr>
            <w:r w:rsidRPr="00DC063A">
              <w:t>Refusals to grant a licence</w:t>
            </w:r>
          </w:p>
        </w:tc>
        <w:tc>
          <w:tcPr>
            <w:tcW w:w="851" w:type="dxa"/>
            <w:tcBorders>
              <w:top w:val="single" w:sz="4" w:space="0" w:color="auto"/>
              <w:left w:val="nil"/>
              <w:bottom w:val="single" w:sz="4" w:space="0" w:color="auto"/>
              <w:right w:val="nil"/>
            </w:tcBorders>
          </w:tcPr>
          <w:p w14:paraId="73993D2B" w14:textId="70787DC6" w:rsidR="00A0483F" w:rsidRPr="00897FD5" w:rsidRDefault="00A0483F" w:rsidP="00A0483F">
            <w:pPr>
              <w:pStyle w:val="Tabletext"/>
              <w:jc w:val="center"/>
              <w:rPr>
                <w:szCs w:val="22"/>
              </w:rPr>
            </w:pPr>
            <w:r>
              <w:t>N</w:t>
            </w:r>
            <w:r>
              <w:rPr>
                <w:rStyle w:val="EndnoteReference"/>
                <w:sz w:val="20"/>
              </w:rPr>
              <w:endnoteReference w:id="197"/>
            </w:r>
          </w:p>
        </w:tc>
        <w:tc>
          <w:tcPr>
            <w:tcW w:w="850" w:type="dxa"/>
            <w:tcBorders>
              <w:top w:val="single" w:sz="4" w:space="0" w:color="auto"/>
              <w:left w:val="nil"/>
              <w:bottom w:val="single" w:sz="4" w:space="0" w:color="auto"/>
              <w:right w:val="nil"/>
            </w:tcBorders>
          </w:tcPr>
          <w:p w14:paraId="385D89FE" w14:textId="51575534" w:rsidR="00A0483F" w:rsidRPr="00897FD5" w:rsidRDefault="00A0483F" w:rsidP="00A0483F">
            <w:pPr>
              <w:pStyle w:val="Tabletext"/>
              <w:jc w:val="center"/>
              <w:rPr>
                <w:szCs w:val="22"/>
              </w:rPr>
            </w:pPr>
            <w:r>
              <w:t>N/A</w:t>
            </w:r>
            <w:r>
              <w:rPr>
                <w:rStyle w:val="EndnoteReference"/>
                <w:sz w:val="20"/>
              </w:rPr>
              <w:endnoteReference w:id="198"/>
            </w:r>
          </w:p>
        </w:tc>
        <w:tc>
          <w:tcPr>
            <w:tcW w:w="1134" w:type="dxa"/>
            <w:tcBorders>
              <w:top w:val="single" w:sz="4" w:space="0" w:color="auto"/>
              <w:left w:val="nil"/>
              <w:bottom w:val="single" w:sz="4" w:space="0" w:color="auto"/>
              <w:right w:val="nil"/>
            </w:tcBorders>
          </w:tcPr>
          <w:p w14:paraId="03805CF8" w14:textId="45D73725" w:rsidR="00A0483F" w:rsidRPr="00897FD5" w:rsidRDefault="00A0483F" w:rsidP="00A0483F">
            <w:pPr>
              <w:pStyle w:val="Tabletext"/>
              <w:jc w:val="center"/>
              <w:rPr>
                <w:szCs w:val="22"/>
              </w:rPr>
            </w:pPr>
            <w:r>
              <w:t>N/A</w:t>
            </w:r>
            <w:r>
              <w:rPr>
                <w:rStyle w:val="EndnoteReference"/>
                <w:sz w:val="20"/>
              </w:rPr>
              <w:endnoteReference w:id="199"/>
            </w:r>
          </w:p>
        </w:tc>
        <w:tc>
          <w:tcPr>
            <w:tcW w:w="1276" w:type="dxa"/>
            <w:tcBorders>
              <w:top w:val="single" w:sz="4" w:space="0" w:color="auto"/>
              <w:left w:val="nil"/>
              <w:bottom w:val="single" w:sz="4" w:space="0" w:color="auto"/>
              <w:right w:val="nil"/>
            </w:tcBorders>
          </w:tcPr>
          <w:p w14:paraId="4644C109" w14:textId="71253BA0" w:rsidR="00A0483F" w:rsidRPr="00897FD5" w:rsidRDefault="00A0483F" w:rsidP="00A0483F">
            <w:pPr>
              <w:pStyle w:val="Tabletext"/>
              <w:jc w:val="center"/>
              <w:rPr>
                <w:szCs w:val="22"/>
              </w:rPr>
            </w:pPr>
            <w:r>
              <w:t>N/A</w:t>
            </w:r>
          </w:p>
        </w:tc>
      </w:tr>
      <w:tr w:rsidR="00A0483F" w:rsidRPr="00897FD5" w14:paraId="70A12FC0" w14:textId="77777777" w:rsidTr="00A0483F">
        <w:trPr>
          <w:cantSplit/>
        </w:trPr>
        <w:tc>
          <w:tcPr>
            <w:tcW w:w="5382" w:type="dxa"/>
            <w:tcBorders>
              <w:top w:val="single" w:sz="4" w:space="0" w:color="auto"/>
              <w:left w:val="nil"/>
              <w:bottom w:val="single" w:sz="4" w:space="0" w:color="auto"/>
              <w:right w:val="nil"/>
            </w:tcBorders>
          </w:tcPr>
          <w:p w14:paraId="526F4A21" w14:textId="3C6D4C41" w:rsidR="00A0483F" w:rsidRPr="00897FD5" w:rsidRDefault="00A0483F" w:rsidP="00A0483F">
            <w:pPr>
              <w:pStyle w:val="Tabletext"/>
            </w:pPr>
            <w:r w:rsidRPr="00DC063A">
              <w:t>Legal and governance structure</w:t>
            </w:r>
          </w:p>
        </w:tc>
        <w:tc>
          <w:tcPr>
            <w:tcW w:w="851" w:type="dxa"/>
            <w:tcBorders>
              <w:top w:val="single" w:sz="4" w:space="0" w:color="auto"/>
              <w:left w:val="nil"/>
              <w:bottom w:val="single" w:sz="4" w:space="0" w:color="auto"/>
              <w:right w:val="nil"/>
            </w:tcBorders>
          </w:tcPr>
          <w:p w14:paraId="395A050F" w14:textId="48133F71" w:rsidR="00A0483F" w:rsidRPr="00897FD5" w:rsidRDefault="00A0483F" w:rsidP="00A0483F">
            <w:pPr>
              <w:pStyle w:val="Tabletext"/>
              <w:jc w:val="center"/>
              <w:rPr>
                <w:szCs w:val="22"/>
              </w:rPr>
            </w:pPr>
            <w:r>
              <w:t>Y</w:t>
            </w:r>
          </w:p>
        </w:tc>
        <w:tc>
          <w:tcPr>
            <w:tcW w:w="850" w:type="dxa"/>
            <w:tcBorders>
              <w:top w:val="single" w:sz="4" w:space="0" w:color="auto"/>
              <w:left w:val="nil"/>
              <w:bottom w:val="single" w:sz="4" w:space="0" w:color="auto"/>
              <w:right w:val="nil"/>
            </w:tcBorders>
          </w:tcPr>
          <w:p w14:paraId="260286B9" w14:textId="2575A61F" w:rsidR="00A0483F" w:rsidRPr="00897FD5" w:rsidRDefault="00A0483F" w:rsidP="00A0483F">
            <w:pPr>
              <w:pStyle w:val="Tabletext"/>
              <w:jc w:val="center"/>
              <w:rPr>
                <w:szCs w:val="22"/>
              </w:rPr>
            </w:pPr>
            <w:r>
              <w:t>Y</w:t>
            </w:r>
          </w:p>
        </w:tc>
        <w:tc>
          <w:tcPr>
            <w:tcW w:w="1134" w:type="dxa"/>
            <w:tcBorders>
              <w:top w:val="single" w:sz="4" w:space="0" w:color="auto"/>
              <w:left w:val="nil"/>
              <w:bottom w:val="single" w:sz="4" w:space="0" w:color="auto"/>
              <w:right w:val="nil"/>
            </w:tcBorders>
          </w:tcPr>
          <w:p w14:paraId="7B6AE9E0" w14:textId="2D72C576" w:rsidR="00A0483F" w:rsidRPr="00897FD5" w:rsidRDefault="00A0483F" w:rsidP="00A0483F">
            <w:pPr>
              <w:pStyle w:val="Tabletext"/>
              <w:jc w:val="center"/>
              <w:rPr>
                <w:szCs w:val="22"/>
              </w:rPr>
            </w:pPr>
            <w:r>
              <w:t>Y</w:t>
            </w:r>
          </w:p>
        </w:tc>
        <w:tc>
          <w:tcPr>
            <w:tcW w:w="1276" w:type="dxa"/>
            <w:tcBorders>
              <w:top w:val="single" w:sz="4" w:space="0" w:color="auto"/>
              <w:left w:val="nil"/>
              <w:bottom w:val="single" w:sz="4" w:space="0" w:color="auto"/>
              <w:right w:val="nil"/>
            </w:tcBorders>
          </w:tcPr>
          <w:p w14:paraId="6C7C1E3E" w14:textId="270DFD4F" w:rsidR="00A0483F" w:rsidRPr="00897FD5" w:rsidRDefault="00A0483F" w:rsidP="00A0483F">
            <w:pPr>
              <w:pStyle w:val="Tabletext"/>
              <w:jc w:val="center"/>
              <w:rPr>
                <w:szCs w:val="22"/>
              </w:rPr>
            </w:pPr>
            <w:r>
              <w:t>Y</w:t>
            </w:r>
          </w:p>
        </w:tc>
      </w:tr>
      <w:tr w:rsidR="00A0483F" w:rsidRPr="00897FD5" w14:paraId="21EC2A80" w14:textId="77777777" w:rsidTr="00A0483F">
        <w:trPr>
          <w:cantSplit/>
        </w:trPr>
        <w:tc>
          <w:tcPr>
            <w:tcW w:w="5382" w:type="dxa"/>
            <w:tcBorders>
              <w:top w:val="single" w:sz="4" w:space="0" w:color="auto"/>
              <w:left w:val="nil"/>
              <w:bottom w:val="single" w:sz="4" w:space="0" w:color="auto"/>
              <w:right w:val="nil"/>
            </w:tcBorders>
          </w:tcPr>
          <w:p w14:paraId="0A622054" w14:textId="5EBB9770" w:rsidR="00A0483F" w:rsidRPr="00897FD5" w:rsidRDefault="00A0483F" w:rsidP="00A0483F">
            <w:pPr>
              <w:pStyle w:val="Tabletext"/>
            </w:pPr>
            <w:r w:rsidRPr="00DC063A">
              <w:t>Entities directly or indirectly owned or controlled wholly or in part</w:t>
            </w:r>
          </w:p>
        </w:tc>
        <w:tc>
          <w:tcPr>
            <w:tcW w:w="851" w:type="dxa"/>
            <w:tcBorders>
              <w:top w:val="single" w:sz="4" w:space="0" w:color="auto"/>
              <w:left w:val="nil"/>
              <w:bottom w:val="single" w:sz="4" w:space="0" w:color="auto"/>
              <w:right w:val="nil"/>
            </w:tcBorders>
          </w:tcPr>
          <w:p w14:paraId="5DAD986D" w14:textId="77777777" w:rsidR="00A0483F" w:rsidRDefault="00A0483F" w:rsidP="00A0483F">
            <w:pPr>
              <w:pStyle w:val="Tabletext"/>
              <w:jc w:val="center"/>
            </w:pPr>
            <w:r>
              <w:t>N</w:t>
            </w:r>
          </w:p>
          <w:p w14:paraId="656C8D45" w14:textId="67BD6749" w:rsidR="00A0483F" w:rsidRPr="00897FD5" w:rsidRDefault="00A0483F" w:rsidP="00A0483F">
            <w:pPr>
              <w:pStyle w:val="Tabletext"/>
              <w:jc w:val="center"/>
              <w:rPr>
                <w:szCs w:val="22"/>
              </w:rPr>
            </w:pPr>
            <w:r>
              <w:t>(N/A)</w:t>
            </w:r>
          </w:p>
        </w:tc>
        <w:tc>
          <w:tcPr>
            <w:tcW w:w="850" w:type="dxa"/>
            <w:tcBorders>
              <w:top w:val="single" w:sz="4" w:space="0" w:color="auto"/>
              <w:left w:val="nil"/>
              <w:bottom w:val="single" w:sz="4" w:space="0" w:color="auto"/>
              <w:right w:val="nil"/>
            </w:tcBorders>
          </w:tcPr>
          <w:p w14:paraId="0675D5DD" w14:textId="6830459E" w:rsidR="00A0483F" w:rsidRPr="00897FD5" w:rsidRDefault="00A0483F" w:rsidP="00A0483F">
            <w:pPr>
              <w:pStyle w:val="Tabletext"/>
              <w:jc w:val="center"/>
              <w:rPr>
                <w:szCs w:val="22"/>
              </w:rPr>
            </w:pPr>
            <w:r>
              <w:t>Y</w:t>
            </w:r>
          </w:p>
        </w:tc>
        <w:tc>
          <w:tcPr>
            <w:tcW w:w="1134" w:type="dxa"/>
            <w:tcBorders>
              <w:top w:val="single" w:sz="4" w:space="0" w:color="auto"/>
              <w:left w:val="nil"/>
              <w:bottom w:val="single" w:sz="4" w:space="0" w:color="auto"/>
              <w:right w:val="nil"/>
            </w:tcBorders>
          </w:tcPr>
          <w:p w14:paraId="1740B645" w14:textId="1EEBA008" w:rsidR="00A0483F" w:rsidRPr="00897FD5" w:rsidRDefault="00A0483F" w:rsidP="00A0483F">
            <w:pPr>
              <w:pStyle w:val="Tabletext"/>
              <w:jc w:val="center"/>
              <w:rPr>
                <w:szCs w:val="22"/>
              </w:rPr>
            </w:pPr>
            <w:r>
              <w:t>Y</w:t>
            </w:r>
          </w:p>
        </w:tc>
        <w:tc>
          <w:tcPr>
            <w:tcW w:w="1276" w:type="dxa"/>
            <w:tcBorders>
              <w:top w:val="single" w:sz="4" w:space="0" w:color="auto"/>
              <w:left w:val="nil"/>
              <w:bottom w:val="single" w:sz="4" w:space="0" w:color="auto"/>
              <w:right w:val="nil"/>
            </w:tcBorders>
          </w:tcPr>
          <w:p w14:paraId="17187FD1" w14:textId="50672062" w:rsidR="00A0483F" w:rsidRPr="00897FD5" w:rsidRDefault="00A0483F" w:rsidP="00A0483F">
            <w:pPr>
              <w:pStyle w:val="Tabletext"/>
              <w:jc w:val="center"/>
              <w:rPr>
                <w:szCs w:val="22"/>
              </w:rPr>
            </w:pPr>
            <w:r>
              <w:t>Y</w:t>
            </w:r>
            <w:r>
              <w:rPr>
                <w:rStyle w:val="EndnoteReference"/>
                <w:sz w:val="20"/>
              </w:rPr>
              <w:endnoteReference w:id="200"/>
            </w:r>
          </w:p>
        </w:tc>
      </w:tr>
      <w:tr w:rsidR="00A0483F" w:rsidRPr="00897FD5" w14:paraId="5983A4B6" w14:textId="77777777" w:rsidTr="00CC6845">
        <w:trPr>
          <w:cantSplit/>
        </w:trPr>
        <w:tc>
          <w:tcPr>
            <w:tcW w:w="5382" w:type="dxa"/>
            <w:tcBorders>
              <w:top w:val="single" w:sz="4" w:space="0" w:color="auto"/>
              <w:left w:val="nil"/>
              <w:bottom w:val="single" w:sz="4" w:space="0" w:color="auto"/>
              <w:right w:val="nil"/>
            </w:tcBorders>
          </w:tcPr>
          <w:p w14:paraId="09A0E5B0" w14:textId="2CFE71E1" w:rsidR="00A0483F" w:rsidRPr="00897FD5" w:rsidRDefault="00A0483F" w:rsidP="00A0483F">
            <w:pPr>
              <w:pStyle w:val="Tabletext"/>
            </w:pPr>
            <w:r w:rsidRPr="00DC063A">
              <w:t>Total remuneration paid to directors and managers in the previous year and other benefits granted to them</w:t>
            </w:r>
          </w:p>
        </w:tc>
        <w:tc>
          <w:tcPr>
            <w:tcW w:w="851" w:type="dxa"/>
            <w:tcBorders>
              <w:top w:val="single" w:sz="4" w:space="0" w:color="auto"/>
              <w:left w:val="nil"/>
              <w:bottom w:val="single" w:sz="4" w:space="0" w:color="auto"/>
              <w:right w:val="nil"/>
            </w:tcBorders>
          </w:tcPr>
          <w:p w14:paraId="5E770AC9" w14:textId="3863A1E0" w:rsidR="00A0483F" w:rsidRPr="00897FD5" w:rsidRDefault="00A0483F" w:rsidP="00A0483F">
            <w:pPr>
              <w:pStyle w:val="Tabletext"/>
              <w:jc w:val="center"/>
              <w:rPr>
                <w:szCs w:val="22"/>
              </w:rPr>
            </w:pPr>
            <w:r>
              <w:t>Y</w:t>
            </w:r>
          </w:p>
        </w:tc>
        <w:tc>
          <w:tcPr>
            <w:tcW w:w="850" w:type="dxa"/>
            <w:tcBorders>
              <w:top w:val="single" w:sz="4" w:space="0" w:color="auto"/>
              <w:left w:val="nil"/>
              <w:bottom w:val="single" w:sz="4" w:space="0" w:color="auto"/>
              <w:right w:val="nil"/>
            </w:tcBorders>
          </w:tcPr>
          <w:p w14:paraId="785D29FD" w14:textId="6145DFBF" w:rsidR="00A0483F" w:rsidRPr="00897FD5" w:rsidRDefault="00A0483F" w:rsidP="00A0483F">
            <w:pPr>
              <w:pStyle w:val="Tabletext"/>
              <w:jc w:val="center"/>
              <w:rPr>
                <w:szCs w:val="22"/>
              </w:rPr>
            </w:pPr>
            <w:r>
              <w:t>Y</w:t>
            </w:r>
          </w:p>
        </w:tc>
        <w:tc>
          <w:tcPr>
            <w:tcW w:w="1134" w:type="dxa"/>
            <w:tcBorders>
              <w:top w:val="single" w:sz="4" w:space="0" w:color="auto"/>
              <w:left w:val="nil"/>
              <w:bottom w:val="single" w:sz="4" w:space="0" w:color="auto"/>
              <w:right w:val="nil"/>
            </w:tcBorders>
          </w:tcPr>
          <w:p w14:paraId="67CAFEE8" w14:textId="50A58644" w:rsidR="00A0483F" w:rsidRPr="00897FD5" w:rsidRDefault="00A0483F" w:rsidP="00A0483F">
            <w:pPr>
              <w:pStyle w:val="Tabletext"/>
              <w:jc w:val="center"/>
              <w:rPr>
                <w:szCs w:val="22"/>
              </w:rPr>
            </w:pPr>
            <w:r>
              <w:t>Y (part)</w:t>
            </w:r>
            <w:r>
              <w:rPr>
                <w:rStyle w:val="EndnoteReference"/>
                <w:sz w:val="20"/>
              </w:rPr>
              <w:endnoteReference w:id="201"/>
            </w:r>
          </w:p>
        </w:tc>
        <w:tc>
          <w:tcPr>
            <w:tcW w:w="1276" w:type="dxa"/>
            <w:tcBorders>
              <w:top w:val="single" w:sz="4" w:space="0" w:color="auto"/>
              <w:left w:val="nil"/>
              <w:bottom w:val="single" w:sz="4" w:space="0" w:color="auto"/>
              <w:right w:val="nil"/>
            </w:tcBorders>
          </w:tcPr>
          <w:p w14:paraId="6B4BE456" w14:textId="5E9B55C3" w:rsidR="00A0483F" w:rsidRPr="00897FD5" w:rsidRDefault="00A0483F" w:rsidP="00A0483F">
            <w:pPr>
              <w:pStyle w:val="Tabletext"/>
              <w:jc w:val="center"/>
              <w:rPr>
                <w:szCs w:val="22"/>
              </w:rPr>
            </w:pPr>
            <w:r>
              <w:t>Y (part)</w:t>
            </w:r>
            <w:r>
              <w:rPr>
                <w:rStyle w:val="EndnoteReference"/>
                <w:sz w:val="20"/>
              </w:rPr>
              <w:endnoteReference w:id="202"/>
            </w:r>
          </w:p>
        </w:tc>
      </w:tr>
      <w:tr w:rsidR="00A0483F" w:rsidRPr="00897FD5" w14:paraId="0577CE4A" w14:textId="77777777" w:rsidTr="00CC6845">
        <w:trPr>
          <w:cantSplit/>
        </w:trPr>
        <w:tc>
          <w:tcPr>
            <w:tcW w:w="5382" w:type="dxa"/>
            <w:tcBorders>
              <w:top w:val="single" w:sz="4" w:space="0" w:color="auto"/>
              <w:left w:val="nil"/>
              <w:bottom w:val="single" w:sz="4" w:space="0" w:color="auto"/>
              <w:right w:val="nil"/>
            </w:tcBorders>
            <w:shd w:val="clear" w:color="auto" w:fill="113651"/>
          </w:tcPr>
          <w:p w14:paraId="43FC3696" w14:textId="6418417C" w:rsidR="00A0483F" w:rsidRPr="00897FD5" w:rsidRDefault="00CC6845" w:rsidP="00A0483F">
            <w:pPr>
              <w:pStyle w:val="Tabletext"/>
            </w:pPr>
            <w:r w:rsidRPr="00CC6845">
              <w:rPr>
                <w:b/>
              </w:rPr>
              <w:t xml:space="preserve">Rights revenue </w:t>
            </w:r>
            <w:r w:rsidRPr="00DC063A">
              <w:t xml:space="preserve">(per category of rights managed and type of use, </w:t>
            </w:r>
            <w:r w:rsidR="008219CD" w:rsidRPr="00DC063A">
              <w:t>e.g.</w:t>
            </w:r>
            <w:r w:rsidRPr="00DC063A">
              <w:t xml:space="preserve"> broadcasting, online, public performance):</w:t>
            </w:r>
          </w:p>
        </w:tc>
        <w:tc>
          <w:tcPr>
            <w:tcW w:w="851" w:type="dxa"/>
            <w:tcBorders>
              <w:top w:val="single" w:sz="4" w:space="0" w:color="auto"/>
              <w:left w:val="nil"/>
              <w:bottom w:val="single" w:sz="4" w:space="0" w:color="auto"/>
              <w:right w:val="nil"/>
            </w:tcBorders>
            <w:shd w:val="clear" w:color="auto" w:fill="113651"/>
          </w:tcPr>
          <w:p w14:paraId="61ABB67A" w14:textId="77777777" w:rsidR="00A0483F" w:rsidRPr="00897FD5" w:rsidRDefault="00A0483F" w:rsidP="00A0483F">
            <w:pPr>
              <w:pStyle w:val="Tablerowtext"/>
              <w:jc w:val="center"/>
            </w:pPr>
          </w:p>
        </w:tc>
        <w:tc>
          <w:tcPr>
            <w:tcW w:w="850" w:type="dxa"/>
            <w:tcBorders>
              <w:top w:val="single" w:sz="4" w:space="0" w:color="auto"/>
              <w:left w:val="nil"/>
              <w:bottom w:val="single" w:sz="4" w:space="0" w:color="auto"/>
              <w:right w:val="nil"/>
            </w:tcBorders>
            <w:shd w:val="clear" w:color="auto" w:fill="113651"/>
          </w:tcPr>
          <w:p w14:paraId="1525EEBA" w14:textId="17E5B05E" w:rsidR="00A0483F" w:rsidRPr="00897FD5" w:rsidRDefault="00A0483F" w:rsidP="00A0483F">
            <w:pPr>
              <w:pStyle w:val="Tablerowtext"/>
              <w:jc w:val="center"/>
            </w:pPr>
          </w:p>
        </w:tc>
        <w:tc>
          <w:tcPr>
            <w:tcW w:w="1134" w:type="dxa"/>
            <w:tcBorders>
              <w:top w:val="single" w:sz="4" w:space="0" w:color="auto"/>
              <w:left w:val="nil"/>
              <w:bottom w:val="single" w:sz="4" w:space="0" w:color="auto"/>
              <w:right w:val="nil"/>
            </w:tcBorders>
            <w:shd w:val="clear" w:color="auto" w:fill="113651"/>
          </w:tcPr>
          <w:p w14:paraId="2B192EAC" w14:textId="103E94E7" w:rsidR="00A0483F" w:rsidRPr="00897FD5" w:rsidRDefault="00A0483F" w:rsidP="00A0483F">
            <w:pPr>
              <w:pStyle w:val="Tablerowtext"/>
              <w:jc w:val="center"/>
            </w:pPr>
          </w:p>
        </w:tc>
        <w:tc>
          <w:tcPr>
            <w:tcW w:w="1276" w:type="dxa"/>
            <w:tcBorders>
              <w:top w:val="single" w:sz="4" w:space="0" w:color="auto"/>
              <w:left w:val="nil"/>
              <w:bottom w:val="single" w:sz="4" w:space="0" w:color="auto"/>
              <w:right w:val="nil"/>
            </w:tcBorders>
            <w:shd w:val="clear" w:color="auto" w:fill="113651"/>
          </w:tcPr>
          <w:p w14:paraId="71A29695" w14:textId="0E9BF625" w:rsidR="00A0483F" w:rsidRPr="00897FD5" w:rsidRDefault="00A0483F" w:rsidP="00A0483F">
            <w:pPr>
              <w:pStyle w:val="Tablerowtext"/>
              <w:jc w:val="center"/>
            </w:pPr>
          </w:p>
        </w:tc>
      </w:tr>
      <w:tr w:rsidR="00CC6845" w:rsidRPr="00897FD5" w14:paraId="32A716D8" w14:textId="77777777" w:rsidTr="00CC6845">
        <w:trPr>
          <w:cantSplit/>
        </w:trPr>
        <w:tc>
          <w:tcPr>
            <w:tcW w:w="5382" w:type="dxa"/>
            <w:tcBorders>
              <w:top w:val="single" w:sz="4" w:space="0" w:color="auto"/>
              <w:left w:val="nil"/>
              <w:bottom w:val="single" w:sz="4" w:space="0" w:color="auto"/>
              <w:right w:val="nil"/>
            </w:tcBorders>
          </w:tcPr>
          <w:p w14:paraId="6100406C" w14:textId="316F181C" w:rsidR="00CC6845" w:rsidRPr="00897FD5" w:rsidRDefault="00CC6845" w:rsidP="00CC6845">
            <w:pPr>
              <w:pStyle w:val="Tabletext"/>
            </w:pPr>
            <w:r w:rsidRPr="00DC063A">
              <w:t>Rights re</w:t>
            </w:r>
            <w:r>
              <w:t>venue</w:t>
            </w:r>
          </w:p>
        </w:tc>
        <w:tc>
          <w:tcPr>
            <w:tcW w:w="851" w:type="dxa"/>
            <w:tcBorders>
              <w:top w:val="single" w:sz="4" w:space="0" w:color="auto"/>
              <w:left w:val="nil"/>
              <w:bottom w:val="single" w:sz="4" w:space="0" w:color="auto"/>
              <w:right w:val="nil"/>
            </w:tcBorders>
          </w:tcPr>
          <w:p w14:paraId="61B45702" w14:textId="0DFCC9B5" w:rsidR="00CC6845" w:rsidRPr="00897FD5" w:rsidRDefault="00CC6845" w:rsidP="00CC6845">
            <w:pPr>
              <w:pStyle w:val="Tablerowtext"/>
              <w:jc w:val="center"/>
            </w:pPr>
            <w:r>
              <w:t>Y</w:t>
            </w:r>
          </w:p>
        </w:tc>
        <w:tc>
          <w:tcPr>
            <w:tcW w:w="850" w:type="dxa"/>
            <w:tcBorders>
              <w:top w:val="single" w:sz="4" w:space="0" w:color="auto"/>
              <w:left w:val="nil"/>
              <w:bottom w:val="single" w:sz="4" w:space="0" w:color="auto"/>
              <w:right w:val="nil"/>
            </w:tcBorders>
          </w:tcPr>
          <w:p w14:paraId="5E7AD785" w14:textId="35D2EEEF" w:rsidR="00CC6845" w:rsidRPr="00897FD5" w:rsidRDefault="00CC6845" w:rsidP="00CC6845">
            <w:pPr>
              <w:pStyle w:val="Tablerowtext"/>
              <w:jc w:val="center"/>
            </w:pPr>
            <w:r>
              <w:t>Y</w:t>
            </w:r>
          </w:p>
        </w:tc>
        <w:tc>
          <w:tcPr>
            <w:tcW w:w="1134" w:type="dxa"/>
            <w:tcBorders>
              <w:top w:val="single" w:sz="4" w:space="0" w:color="auto"/>
              <w:left w:val="nil"/>
              <w:bottom w:val="single" w:sz="4" w:space="0" w:color="auto"/>
              <w:right w:val="nil"/>
            </w:tcBorders>
          </w:tcPr>
          <w:p w14:paraId="29AAE375" w14:textId="782519EB" w:rsidR="00CC6845" w:rsidRPr="00897FD5" w:rsidRDefault="00CC6845" w:rsidP="00CC6845">
            <w:pPr>
              <w:pStyle w:val="Tablerowtext"/>
              <w:jc w:val="center"/>
            </w:pPr>
            <w:r>
              <w:t>Y</w:t>
            </w:r>
          </w:p>
        </w:tc>
        <w:tc>
          <w:tcPr>
            <w:tcW w:w="1276" w:type="dxa"/>
            <w:tcBorders>
              <w:top w:val="single" w:sz="4" w:space="0" w:color="auto"/>
              <w:left w:val="nil"/>
              <w:bottom w:val="single" w:sz="4" w:space="0" w:color="auto"/>
              <w:right w:val="nil"/>
            </w:tcBorders>
          </w:tcPr>
          <w:p w14:paraId="1BE4C6B0" w14:textId="42603712" w:rsidR="00CC6845" w:rsidRPr="00897FD5" w:rsidRDefault="00CC6845" w:rsidP="00CC6845">
            <w:pPr>
              <w:pStyle w:val="Tablerowtext"/>
              <w:jc w:val="center"/>
            </w:pPr>
            <w:r>
              <w:t>Y</w:t>
            </w:r>
          </w:p>
        </w:tc>
      </w:tr>
      <w:tr w:rsidR="00CC6845" w:rsidRPr="00897FD5" w14:paraId="3DDE9E69" w14:textId="77777777" w:rsidTr="00CC6845">
        <w:trPr>
          <w:cantSplit/>
        </w:trPr>
        <w:tc>
          <w:tcPr>
            <w:tcW w:w="5382" w:type="dxa"/>
            <w:tcBorders>
              <w:top w:val="single" w:sz="4" w:space="0" w:color="auto"/>
              <w:left w:val="nil"/>
              <w:bottom w:val="single" w:sz="4" w:space="0" w:color="auto"/>
              <w:right w:val="nil"/>
            </w:tcBorders>
          </w:tcPr>
          <w:p w14:paraId="0488F7C7" w14:textId="002D7A32" w:rsidR="00CC6845" w:rsidRPr="00897FD5" w:rsidRDefault="00CC6845" w:rsidP="00CC6845">
            <w:pPr>
              <w:pStyle w:val="Tabletext"/>
            </w:pPr>
            <w:r>
              <w:t>Income on investment of rights revenue, and use of such income</w:t>
            </w:r>
          </w:p>
        </w:tc>
        <w:tc>
          <w:tcPr>
            <w:tcW w:w="851" w:type="dxa"/>
            <w:tcBorders>
              <w:top w:val="single" w:sz="4" w:space="0" w:color="auto"/>
              <w:left w:val="nil"/>
              <w:bottom w:val="single" w:sz="4" w:space="0" w:color="auto"/>
              <w:right w:val="nil"/>
            </w:tcBorders>
          </w:tcPr>
          <w:p w14:paraId="1596311D" w14:textId="6BB57CAB" w:rsidR="00CC6845" w:rsidRPr="00897FD5" w:rsidRDefault="00CC6845" w:rsidP="00CC6845">
            <w:pPr>
              <w:pStyle w:val="Tablerowtext"/>
              <w:jc w:val="center"/>
            </w:pPr>
            <w:r>
              <w:t>Y</w:t>
            </w:r>
          </w:p>
        </w:tc>
        <w:tc>
          <w:tcPr>
            <w:tcW w:w="850" w:type="dxa"/>
            <w:tcBorders>
              <w:top w:val="single" w:sz="4" w:space="0" w:color="auto"/>
              <w:left w:val="nil"/>
              <w:bottom w:val="single" w:sz="4" w:space="0" w:color="auto"/>
              <w:right w:val="nil"/>
            </w:tcBorders>
          </w:tcPr>
          <w:p w14:paraId="3DE6D245" w14:textId="2C7CA848" w:rsidR="00CC6845" w:rsidRPr="00897FD5" w:rsidRDefault="00CC6845" w:rsidP="00CC6845">
            <w:pPr>
              <w:pStyle w:val="Tablerowtext"/>
              <w:jc w:val="center"/>
            </w:pPr>
            <w:r>
              <w:t>Y</w:t>
            </w:r>
          </w:p>
        </w:tc>
        <w:tc>
          <w:tcPr>
            <w:tcW w:w="1134" w:type="dxa"/>
            <w:tcBorders>
              <w:top w:val="single" w:sz="4" w:space="0" w:color="auto"/>
              <w:left w:val="nil"/>
              <w:bottom w:val="single" w:sz="4" w:space="0" w:color="auto"/>
              <w:right w:val="nil"/>
            </w:tcBorders>
          </w:tcPr>
          <w:p w14:paraId="5B1D6566" w14:textId="25C3F50E" w:rsidR="00CC6845" w:rsidRPr="00897FD5" w:rsidRDefault="00CC6845" w:rsidP="00CC6845">
            <w:pPr>
              <w:pStyle w:val="Tablerowtext"/>
              <w:jc w:val="center"/>
            </w:pPr>
            <w:r>
              <w:t>Y (part)</w:t>
            </w:r>
            <w:r>
              <w:rPr>
                <w:rStyle w:val="EndnoteReference"/>
                <w:sz w:val="20"/>
              </w:rPr>
              <w:endnoteReference w:id="203"/>
            </w:r>
          </w:p>
        </w:tc>
        <w:tc>
          <w:tcPr>
            <w:tcW w:w="1276" w:type="dxa"/>
            <w:tcBorders>
              <w:top w:val="single" w:sz="4" w:space="0" w:color="auto"/>
              <w:left w:val="nil"/>
              <w:bottom w:val="single" w:sz="4" w:space="0" w:color="auto"/>
              <w:right w:val="nil"/>
            </w:tcBorders>
          </w:tcPr>
          <w:p w14:paraId="11C7ED13" w14:textId="45189ED7" w:rsidR="00CC6845" w:rsidRPr="00897FD5" w:rsidRDefault="00CC6845" w:rsidP="00CC6845">
            <w:pPr>
              <w:pStyle w:val="Tablerowtext"/>
              <w:jc w:val="center"/>
            </w:pPr>
            <w:r>
              <w:t>Y</w:t>
            </w:r>
          </w:p>
        </w:tc>
      </w:tr>
      <w:tr w:rsidR="00CC6845" w:rsidRPr="00897FD5" w14:paraId="749F6792" w14:textId="77777777" w:rsidTr="00CC6845">
        <w:trPr>
          <w:cantSplit/>
        </w:trPr>
        <w:tc>
          <w:tcPr>
            <w:tcW w:w="5382" w:type="dxa"/>
            <w:tcBorders>
              <w:top w:val="single" w:sz="4" w:space="0" w:color="auto"/>
              <w:left w:val="nil"/>
              <w:bottom w:val="single" w:sz="4" w:space="0" w:color="auto"/>
              <w:right w:val="nil"/>
            </w:tcBorders>
            <w:shd w:val="clear" w:color="auto" w:fill="113651"/>
          </w:tcPr>
          <w:p w14:paraId="063716D5" w14:textId="5876CDDE" w:rsidR="00CC6845" w:rsidRPr="00897FD5" w:rsidRDefault="00CC6845" w:rsidP="00CC6845">
            <w:pPr>
              <w:pStyle w:val="Tabletext"/>
            </w:pPr>
            <w:r w:rsidRPr="00CC6845">
              <w:rPr>
                <w:b/>
              </w:rPr>
              <w:t>The cost of rights management and other services</w:t>
            </w:r>
            <w:r w:rsidRPr="00DC063A">
              <w:t xml:space="preserve"> (per category of rights managed):</w:t>
            </w:r>
          </w:p>
        </w:tc>
        <w:tc>
          <w:tcPr>
            <w:tcW w:w="851" w:type="dxa"/>
            <w:tcBorders>
              <w:top w:val="single" w:sz="4" w:space="0" w:color="auto"/>
              <w:left w:val="nil"/>
              <w:bottom w:val="single" w:sz="4" w:space="0" w:color="auto"/>
              <w:right w:val="nil"/>
            </w:tcBorders>
            <w:shd w:val="clear" w:color="auto" w:fill="113651"/>
          </w:tcPr>
          <w:p w14:paraId="0A7393CB" w14:textId="77777777" w:rsidR="00CC6845" w:rsidRPr="00897FD5" w:rsidRDefault="00CC6845" w:rsidP="00CC6845">
            <w:pPr>
              <w:pStyle w:val="Tablerowtext"/>
              <w:jc w:val="center"/>
            </w:pPr>
          </w:p>
        </w:tc>
        <w:tc>
          <w:tcPr>
            <w:tcW w:w="850" w:type="dxa"/>
            <w:tcBorders>
              <w:top w:val="single" w:sz="4" w:space="0" w:color="auto"/>
              <w:left w:val="nil"/>
              <w:bottom w:val="single" w:sz="4" w:space="0" w:color="auto"/>
              <w:right w:val="nil"/>
            </w:tcBorders>
            <w:shd w:val="clear" w:color="auto" w:fill="113651"/>
          </w:tcPr>
          <w:p w14:paraId="0EF98A61" w14:textId="77777777" w:rsidR="00CC6845" w:rsidRPr="00897FD5" w:rsidRDefault="00CC6845" w:rsidP="00CC6845">
            <w:pPr>
              <w:pStyle w:val="Tablerowtext"/>
              <w:jc w:val="center"/>
            </w:pPr>
          </w:p>
        </w:tc>
        <w:tc>
          <w:tcPr>
            <w:tcW w:w="1134" w:type="dxa"/>
            <w:tcBorders>
              <w:top w:val="single" w:sz="4" w:space="0" w:color="auto"/>
              <w:left w:val="nil"/>
              <w:bottom w:val="single" w:sz="4" w:space="0" w:color="auto"/>
              <w:right w:val="nil"/>
            </w:tcBorders>
            <w:shd w:val="clear" w:color="auto" w:fill="113651"/>
          </w:tcPr>
          <w:p w14:paraId="163E6538" w14:textId="77777777" w:rsidR="00CC6845" w:rsidRPr="00897FD5" w:rsidRDefault="00CC6845" w:rsidP="00CC6845">
            <w:pPr>
              <w:pStyle w:val="Tablerowtext"/>
              <w:jc w:val="center"/>
            </w:pPr>
          </w:p>
        </w:tc>
        <w:tc>
          <w:tcPr>
            <w:tcW w:w="1276" w:type="dxa"/>
            <w:tcBorders>
              <w:top w:val="single" w:sz="4" w:space="0" w:color="auto"/>
              <w:left w:val="nil"/>
              <w:bottom w:val="single" w:sz="4" w:space="0" w:color="auto"/>
              <w:right w:val="nil"/>
            </w:tcBorders>
            <w:shd w:val="clear" w:color="auto" w:fill="113651"/>
          </w:tcPr>
          <w:p w14:paraId="72BDC0EE" w14:textId="77777777" w:rsidR="00CC6845" w:rsidRPr="00897FD5" w:rsidRDefault="00CC6845" w:rsidP="00CC6845">
            <w:pPr>
              <w:pStyle w:val="Tablerowtext"/>
              <w:jc w:val="center"/>
            </w:pPr>
          </w:p>
        </w:tc>
      </w:tr>
      <w:tr w:rsidR="00CC6845" w:rsidRPr="00897FD5" w14:paraId="3DD7905B" w14:textId="77777777" w:rsidTr="00CC6845">
        <w:trPr>
          <w:cantSplit/>
        </w:trPr>
        <w:tc>
          <w:tcPr>
            <w:tcW w:w="5382" w:type="dxa"/>
            <w:tcBorders>
              <w:top w:val="single" w:sz="4" w:space="0" w:color="auto"/>
              <w:left w:val="nil"/>
              <w:bottom w:val="single" w:sz="4" w:space="0" w:color="auto"/>
              <w:right w:val="nil"/>
            </w:tcBorders>
          </w:tcPr>
          <w:p w14:paraId="3FCF97F9" w14:textId="17EAEA2A" w:rsidR="00CC6845" w:rsidRPr="00897FD5" w:rsidRDefault="00CC6845" w:rsidP="00CC6845">
            <w:pPr>
              <w:pStyle w:val="Tabletext"/>
            </w:pPr>
            <w:r>
              <w:t>Total o</w:t>
            </w:r>
            <w:r w:rsidRPr="00DC063A">
              <w:t>perating and financial costs</w:t>
            </w:r>
          </w:p>
        </w:tc>
        <w:tc>
          <w:tcPr>
            <w:tcW w:w="851" w:type="dxa"/>
            <w:tcBorders>
              <w:top w:val="single" w:sz="4" w:space="0" w:color="auto"/>
              <w:left w:val="nil"/>
              <w:bottom w:val="single" w:sz="4" w:space="0" w:color="auto"/>
              <w:right w:val="nil"/>
            </w:tcBorders>
          </w:tcPr>
          <w:p w14:paraId="1A060C91" w14:textId="2A261305" w:rsidR="00CC6845" w:rsidRPr="00897FD5" w:rsidRDefault="00CC6845" w:rsidP="00CC6845">
            <w:pPr>
              <w:pStyle w:val="Tablerowtext"/>
              <w:jc w:val="center"/>
            </w:pPr>
            <w:r>
              <w:t>Y</w:t>
            </w:r>
          </w:p>
        </w:tc>
        <w:tc>
          <w:tcPr>
            <w:tcW w:w="850" w:type="dxa"/>
            <w:tcBorders>
              <w:top w:val="single" w:sz="4" w:space="0" w:color="auto"/>
              <w:left w:val="nil"/>
              <w:bottom w:val="single" w:sz="4" w:space="0" w:color="auto"/>
              <w:right w:val="nil"/>
            </w:tcBorders>
          </w:tcPr>
          <w:p w14:paraId="751CD9BC" w14:textId="11B45E6B" w:rsidR="00CC6845" w:rsidRPr="00897FD5" w:rsidRDefault="00CC6845" w:rsidP="00CC6845">
            <w:pPr>
              <w:pStyle w:val="Tablerowtext"/>
              <w:jc w:val="center"/>
            </w:pPr>
            <w:r>
              <w:t>Y</w:t>
            </w:r>
          </w:p>
        </w:tc>
        <w:tc>
          <w:tcPr>
            <w:tcW w:w="1134" w:type="dxa"/>
            <w:tcBorders>
              <w:top w:val="single" w:sz="4" w:space="0" w:color="auto"/>
              <w:left w:val="nil"/>
              <w:bottom w:val="single" w:sz="4" w:space="0" w:color="auto"/>
              <w:right w:val="nil"/>
            </w:tcBorders>
          </w:tcPr>
          <w:p w14:paraId="6ED9F0F0" w14:textId="4F96D9CE" w:rsidR="00CC6845" w:rsidRPr="00897FD5" w:rsidRDefault="00CC6845" w:rsidP="00CC6845">
            <w:pPr>
              <w:pStyle w:val="Tablerowtext"/>
              <w:jc w:val="center"/>
            </w:pPr>
            <w:r>
              <w:t>Y</w:t>
            </w:r>
          </w:p>
        </w:tc>
        <w:tc>
          <w:tcPr>
            <w:tcW w:w="1276" w:type="dxa"/>
            <w:tcBorders>
              <w:top w:val="single" w:sz="4" w:space="0" w:color="auto"/>
              <w:left w:val="nil"/>
              <w:bottom w:val="single" w:sz="4" w:space="0" w:color="auto"/>
              <w:right w:val="nil"/>
            </w:tcBorders>
          </w:tcPr>
          <w:p w14:paraId="39FD19E7" w14:textId="692E90BF" w:rsidR="00CC6845" w:rsidRPr="00897FD5" w:rsidRDefault="00CC6845" w:rsidP="00CC6845">
            <w:pPr>
              <w:pStyle w:val="Tablerowtext"/>
              <w:jc w:val="center"/>
            </w:pPr>
            <w:r>
              <w:t>Y</w:t>
            </w:r>
          </w:p>
        </w:tc>
      </w:tr>
      <w:tr w:rsidR="00CC6845" w:rsidRPr="00897FD5" w14:paraId="249A200A" w14:textId="77777777" w:rsidTr="00CC6845">
        <w:trPr>
          <w:cantSplit/>
        </w:trPr>
        <w:tc>
          <w:tcPr>
            <w:tcW w:w="5382" w:type="dxa"/>
            <w:tcBorders>
              <w:top w:val="single" w:sz="4" w:space="0" w:color="auto"/>
              <w:left w:val="nil"/>
              <w:bottom w:val="single" w:sz="4" w:space="0" w:color="auto"/>
              <w:right w:val="nil"/>
            </w:tcBorders>
          </w:tcPr>
          <w:p w14:paraId="285DE6E7" w14:textId="3A73D238" w:rsidR="00CC6845" w:rsidRPr="00897FD5" w:rsidRDefault="00CC6845" w:rsidP="00CC6845">
            <w:pPr>
              <w:pStyle w:val="Tabletext"/>
            </w:pPr>
            <w:r w:rsidRPr="00DC063A">
              <w:t>Operating and financial costs with regard to the management of rights, including management fees</w:t>
            </w:r>
          </w:p>
        </w:tc>
        <w:tc>
          <w:tcPr>
            <w:tcW w:w="851" w:type="dxa"/>
            <w:tcBorders>
              <w:top w:val="single" w:sz="4" w:space="0" w:color="auto"/>
              <w:left w:val="nil"/>
              <w:bottom w:val="single" w:sz="4" w:space="0" w:color="auto"/>
              <w:right w:val="nil"/>
            </w:tcBorders>
          </w:tcPr>
          <w:p w14:paraId="35700010" w14:textId="0854783A" w:rsidR="00CC6845" w:rsidRPr="00897FD5" w:rsidRDefault="00CC6845" w:rsidP="00CC6845">
            <w:pPr>
              <w:pStyle w:val="Tablerowtext"/>
              <w:jc w:val="center"/>
            </w:pPr>
            <w:r>
              <w:t>Y</w:t>
            </w:r>
          </w:p>
        </w:tc>
        <w:tc>
          <w:tcPr>
            <w:tcW w:w="850" w:type="dxa"/>
            <w:tcBorders>
              <w:top w:val="single" w:sz="4" w:space="0" w:color="auto"/>
              <w:left w:val="nil"/>
              <w:bottom w:val="single" w:sz="4" w:space="0" w:color="auto"/>
              <w:right w:val="nil"/>
            </w:tcBorders>
          </w:tcPr>
          <w:p w14:paraId="24BF3EFB" w14:textId="2B95004B" w:rsidR="00CC6845" w:rsidRPr="00897FD5" w:rsidRDefault="00CC6845" w:rsidP="00CC6845">
            <w:pPr>
              <w:pStyle w:val="Tablerowtext"/>
              <w:jc w:val="center"/>
            </w:pPr>
            <w:r>
              <w:t>Y</w:t>
            </w:r>
          </w:p>
        </w:tc>
        <w:tc>
          <w:tcPr>
            <w:tcW w:w="1134" w:type="dxa"/>
            <w:tcBorders>
              <w:top w:val="single" w:sz="4" w:space="0" w:color="auto"/>
              <w:left w:val="nil"/>
              <w:bottom w:val="single" w:sz="4" w:space="0" w:color="auto"/>
              <w:right w:val="nil"/>
            </w:tcBorders>
          </w:tcPr>
          <w:p w14:paraId="57DFDC81" w14:textId="0E391211" w:rsidR="00CC6845" w:rsidRPr="00897FD5" w:rsidRDefault="00CC6845" w:rsidP="00CC6845">
            <w:pPr>
              <w:pStyle w:val="Tablerowtext"/>
              <w:jc w:val="center"/>
            </w:pPr>
            <w:r>
              <w:t>Y</w:t>
            </w:r>
          </w:p>
        </w:tc>
        <w:tc>
          <w:tcPr>
            <w:tcW w:w="1276" w:type="dxa"/>
            <w:tcBorders>
              <w:top w:val="single" w:sz="4" w:space="0" w:color="auto"/>
              <w:left w:val="nil"/>
              <w:bottom w:val="single" w:sz="4" w:space="0" w:color="auto"/>
              <w:right w:val="nil"/>
            </w:tcBorders>
          </w:tcPr>
          <w:p w14:paraId="421B18FB" w14:textId="12FACAA6" w:rsidR="00CC6845" w:rsidRPr="00897FD5" w:rsidRDefault="00CC6845" w:rsidP="00CC6845">
            <w:pPr>
              <w:pStyle w:val="Tablerowtext"/>
              <w:jc w:val="center"/>
            </w:pPr>
            <w:r>
              <w:t>Y (part)</w:t>
            </w:r>
            <w:r>
              <w:rPr>
                <w:rStyle w:val="EndnoteReference"/>
                <w:sz w:val="20"/>
              </w:rPr>
              <w:endnoteReference w:id="204"/>
            </w:r>
          </w:p>
        </w:tc>
      </w:tr>
      <w:tr w:rsidR="00CC6845" w:rsidRPr="00897FD5" w14:paraId="1C77E9EC" w14:textId="77777777" w:rsidTr="00CC6845">
        <w:trPr>
          <w:cantSplit/>
        </w:trPr>
        <w:tc>
          <w:tcPr>
            <w:tcW w:w="5382" w:type="dxa"/>
            <w:tcBorders>
              <w:top w:val="single" w:sz="4" w:space="0" w:color="auto"/>
              <w:left w:val="nil"/>
              <w:bottom w:val="single" w:sz="4" w:space="0" w:color="auto"/>
              <w:right w:val="nil"/>
            </w:tcBorders>
          </w:tcPr>
          <w:p w14:paraId="130140D0" w14:textId="517F7660" w:rsidR="00CC6845" w:rsidRPr="00897FD5" w:rsidRDefault="00CC6845" w:rsidP="00CC6845">
            <w:pPr>
              <w:pStyle w:val="Tabletext"/>
            </w:pPr>
            <w:r w:rsidRPr="00DC063A">
              <w:t>Operating and financial costs with regard to other services, including social, cultural and educational services</w:t>
            </w:r>
          </w:p>
        </w:tc>
        <w:tc>
          <w:tcPr>
            <w:tcW w:w="851" w:type="dxa"/>
            <w:tcBorders>
              <w:top w:val="single" w:sz="4" w:space="0" w:color="auto"/>
              <w:left w:val="nil"/>
              <w:bottom w:val="single" w:sz="4" w:space="0" w:color="auto"/>
              <w:right w:val="nil"/>
            </w:tcBorders>
          </w:tcPr>
          <w:p w14:paraId="3220342B" w14:textId="21ED3132" w:rsidR="00CC6845" w:rsidRPr="00897FD5" w:rsidRDefault="00CC6845" w:rsidP="00CC6845">
            <w:pPr>
              <w:pStyle w:val="Tablerowtext"/>
              <w:jc w:val="center"/>
            </w:pPr>
            <w:r>
              <w:t>Y</w:t>
            </w:r>
          </w:p>
        </w:tc>
        <w:tc>
          <w:tcPr>
            <w:tcW w:w="850" w:type="dxa"/>
            <w:tcBorders>
              <w:top w:val="single" w:sz="4" w:space="0" w:color="auto"/>
              <w:left w:val="nil"/>
              <w:bottom w:val="single" w:sz="4" w:space="0" w:color="auto"/>
              <w:right w:val="nil"/>
            </w:tcBorders>
          </w:tcPr>
          <w:p w14:paraId="187E2FD6" w14:textId="2385095B" w:rsidR="00CC6845" w:rsidRPr="00897FD5" w:rsidRDefault="00CC6845" w:rsidP="00CC6845">
            <w:pPr>
              <w:pStyle w:val="Tablerowtext"/>
              <w:jc w:val="center"/>
            </w:pPr>
            <w:r>
              <w:t>Y</w:t>
            </w:r>
          </w:p>
        </w:tc>
        <w:tc>
          <w:tcPr>
            <w:tcW w:w="1134" w:type="dxa"/>
            <w:tcBorders>
              <w:top w:val="single" w:sz="4" w:space="0" w:color="auto"/>
              <w:left w:val="nil"/>
              <w:bottom w:val="single" w:sz="4" w:space="0" w:color="auto"/>
              <w:right w:val="nil"/>
            </w:tcBorders>
          </w:tcPr>
          <w:p w14:paraId="3BFDF2E5" w14:textId="41C4B8C2" w:rsidR="00CC6845" w:rsidRPr="00897FD5" w:rsidRDefault="00CC6845" w:rsidP="00CC6845">
            <w:pPr>
              <w:pStyle w:val="Tablerowtext"/>
              <w:jc w:val="center"/>
            </w:pPr>
            <w:r>
              <w:t>N</w:t>
            </w:r>
          </w:p>
        </w:tc>
        <w:tc>
          <w:tcPr>
            <w:tcW w:w="1276" w:type="dxa"/>
            <w:tcBorders>
              <w:top w:val="single" w:sz="4" w:space="0" w:color="auto"/>
              <w:left w:val="nil"/>
              <w:bottom w:val="single" w:sz="4" w:space="0" w:color="auto"/>
              <w:right w:val="nil"/>
            </w:tcBorders>
          </w:tcPr>
          <w:p w14:paraId="185BFFFA" w14:textId="32F0B601" w:rsidR="00CC6845" w:rsidRPr="00897FD5" w:rsidRDefault="00CC6845" w:rsidP="00CC6845">
            <w:pPr>
              <w:pStyle w:val="Tablerowtext"/>
              <w:jc w:val="center"/>
            </w:pPr>
            <w:r>
              <w:t>N/A</w:t>
            </w:r>
          </w:p>
        </w:tc>
      </w:tr>
      <w:tr w:rsidR="00CC6845" w:rsidRPr="00897FD5" w14:paraId="0BF0A46D" w14:textId="77777777" w:rsidTr="00CC6845">
        <w:trPr>
          <w:cantSplit/>
        </w:trPr>
        <w:tc>
          <w:tcPr>
            <w:tcW w:w="5382" w:type="dxa"/>
            <w:tcBorders>
              <w:top w:val="single" w:sz="4" w:space="0" w:color="auto"/>
              <w:left w:val="nil"/>
              <w:bottom w:val="single" w:sz="4" w:space="0" w:color="auto"/>
              <w:right w:val="nil"/>
            </w:tcBorders>
          </w:tcPr>
          <w:p w14:paraId="2BC68FAC" w14:textId="578321CC" w:rsidR="00CC6845" w:rsidRPr="00897FD5" w:rsidRDefault="00CC6845" w:rsidP="00CC6845">
            <w:pPr>
              <w:pStyle w:val="Tabletext"/>
            </w:pPr>
            <w:r w:rsidRPr="00DC063A">
              <w:t>Resources used to cover costs</w:t>
            </w:r>
          </w:p>
        </w:tc>
        <w:tc>
          <w:tcPr>
            <w:tcW w:w="851" w:type="dxa"/>
            <w:tcBorders>
              <w:top w:val="single" w:sz="4" w:space="0" w:color="auto"/>
              <w:left w:val="nil"/>
              <w:bottom w:val="single" w:sz="4" w:space="0" w:color="auto"/>
              <w:right w:val="nil"/>
            </w:tcBorders>
          </w:tcPr>
          <w:p w14:paraId="7B828143" w14:textId="5CB47C5A" w:rsidR="00CC6845" w:rsidRPr="00897FD5" w:rsidRDefault="00CC6845" w:rsidP="00CC6845">
            <w:pPr>
              <w:pStyle w:val="Tablerowtext"/>
              <w:jc w:val="center"/>
            </w:pPr>
            <w:r>
              <w:t>Y</w:t>
            </w:r>
          </w:p>
        </w:tc>
        <w:tc>
          <w:tcPr>
            <w:tcW w:w="850" w:type="dxa"/>
            <w:tcBorders>
              <w:top w:val="single" w:sz="4" w:space="0" w:color="auto"/>
              <w:left w:val="nil"/>
              <w:bottom w:val="single" w:sz="4" w:space="0" w:color="auto"/>
              <w:right w:val="nil"/>
            </w:tcBorders>
          </w:tcPr>
          <w:p w14:paraId="58A5E7FE" w14:textId="13138275" w:rsidR="00CC6845" w:rsidRPr="00897FD5" w:rsidRDefault="00CC6845" w:rsidP="00CC6845">
            <w:pPr>
              <w:pStyle w:val="Tablerowtext"/>
              <w:jc w:val="center"/>
            </w:pPr>
            <w:r>
              <w:t>Y</w:t>
            </w:r>
          </w:p>
        </w:tc>
        <w:tc>
          <w:tcPr>
            <w:tcW w:w="1134" w:type="dxa"/>
            <w:tcBorders>
              <w:top w:val="single" w:sz="4" w:space="0" w:color="auto"/>
              <w:left w:val="nil"/>
              <w:bottom w:val="single" w:sz="4" w:space="0" w:color="auto"/>
              <w:right w:val="nil"/>
            </w:tcBorders>
          </w:tcPr>
          <w:p w14:paraId="6FC1D077" w14:textId="6E807C59" w:rsidR="00CC6845" w:rsidRPr="00897FD5" w:rsidRDefault="00CC6845" w:rsidP="00CC6845">
            <w:pPr>
              <w:pStyle w:val="Tablerowtext"/>
              <w:jc w:val="center"/>
            </w:pPr>
            <w:r>
              <w:t>Y</w:t>
            </w:r>
          </w:p>
        </w:tc>
        <w:tc>
          <w:tcPr>
            <w:tcW w:w="1276" w:type="dxa"/>
            <w:tcBorders>
              <w:top w:val="single" w:sz="4" w:space="0" w:color="auto"/>
              <w:left w:val="nil"/>
              <w:bottom w:val="single" w:sz="4" w:space="0" w:color="auto"/>
              <w:right w:val="nil"/>
            </w:tcBorders>
          </w:tcPr>
          <w:p w14:paraId="79675339" w14:textId="522F44DD" w:rsidR="00CC6845" w:rsidRPr="00897FD5" w:rsidRDefault="00CC6845" w:rsidP="00CC6845">
            <w:pPr>
              <w:pStyle w:val="Tablerowtext"/>
              <w:jc w:val="center"/>
            </w:pPr>
            <w:r>
              <w:t>Y</w:t>
            </w:r>
          </w:p>
        </w:tc>
      </w:tr>
      <w:tr w:rsidR="00CC6845" w:rsidRPr="00897FD5" w14:paraId="0EB2B96E" w14:textId="77777777" w:rsidTr="00CC6845">
        <w:trPr>
          <w:cantSplit/>
        </w:trPr>
        <w:tc>
          <w:tcPr>
            <w:tcW w:w="5382" w:type="dxa"/>
            <w:tcBorders>
              <w:top w:val="single" w:sz="4" w:space="0" w:color="auto"/>
              <w:left w:val="nil"/>
              <w:bottom w:val="single" w:sz="4" w:space="0" w:color="auto"/>
              <w:right w:val="nil"/>
            </w:tcBorders>
          </w:tcPr>
          <w:p w14:paraId="4F68BF39" w14:textId="7A71A6BA" w:rsidR="00CC6845" w:rsidRPr="00897FD5" w:rsidRDefault="00CC6845" w:rsidP="00CC6845">
            <w:pPr>
              <w:pStyle w:val="Tabletext"/>
            </w:pPr>
            <w:r w:rsidRPr="00DC063A">
              <w:t>Deductions from rights revenue, per category of rights managed and type of use, and purpose of the deduction</w:t>
            </w:r>
          </w:p>
        </w:tc>
        <w:tc>
          <w:tcPr>
            <w:tcW w:w="851" w:type="dxa"/>
            <w:tcBorders>
              <w:top w:val="single" w:sz="4" w:space="0" w:color="auto"/>
              <w:left w:val="nil"/>
              <w:bottom w:val="single" w:sz="4" w:space="0" w:color="auto"/>
              <w:right w:val="nil"/>
            </w:tcBorders>
          </w:tcPr>
          <w:p w14:paraId="007CC1B5" w14:textId="7516229B" w:rsidR="00CC6845" w:rsidRPr="00897FD5" w:rsidRDefault="00CC6845" w:rsidP="00CC6845">
            <w:pPr>
              <w:pStyle w:val="Tablerowtext"/>
              <w:jc w:val="center"/>
            </w:pPr>
            <w:r>
              <w:t>Y</w:t>
            </w:r>
          </w:p>
        </w:tc>
        <w:tc>
          <w:tcPr>
            <w:tcW w:w="850" w:type="dxa"/>
            <w:tcBorders>
              <w:top w:val="single" w:sz="4" w:space="0" w:color="auto"/>
              <w:left w:val="nil"/>
              <w:bottom w:val="single" w:sz="4" w:space="0" w:color="auto"/>
              <w:right w:val="nil"/>
            </w:tcBorders>
          </w:tcPr>
          <w:p w14:paraId="4D1FE19E" w14:textId="6D3A8A05" w:rsidR="00CC6845" w:rsidRPr="00897FD5" w:rsidRDefault="00CC6845" w:rsidP="00CC6845">
            <w:pPr>
              <w:pStyle w:val="Tablerowtext"/>
              <w:jc w:val="center"/>
            </w:pPr>
            <w:r>
              <w:t>Y</w:t>
            </w:r>
          </w:p>
        </w:tc>
        <w:tc>
          <w:tcPr>
            <w:tcW w:w="1134" w:type="dxa"/>
            <w:tcBorders>
              <w:top w:val="single" w:sz="4" w:space="0" w:color="auto"/>
              <w:left w:val="nil"/>
              <w:bottom w:val="single" w:sz="4" w:space="0" w:color="auto"/>
              <w:right w:val="nil"/>
            </w:tcBorders>
          </w:tcPr>
          <w:p w14:paraId="5B1F5253" w14:textId="79CDC970" w:rsidR="00CC6845" w:rsidRPr="00897FD5" w:rsidRDefault="00CC6845" w:rsidP="00CC6845">
            <w:pPr>
              <w:pStyle w:val="Tablerowtext"/>
              <w:jc w:val="center"/>
            </w:pPr>
            <w:r>
              <w:t>N</w:t>
            </w:r>
            <w:r>
              <w:rPr>
                <w:rStyle w:val="EndnoteReference"/>
                <w:sz w:val="20"/>
              </w:rPr>
              <w:endnoteReference w:id="205"/>
            </w:r>
          </w:p>
        </w:tc>
        <w:tc>
          <w:tcPr>
            <w:tcW w:w="1276" w:type="dxa"/>
            <w:tcBorders>
              <w:top w:val="single" w:sz="4" w:space="0" w:color="auto"/>
              <w:left w:val="nil"/>
              <w:bottom w:val="single" w:sz="4" w:space="0" w:color="auto"/>
              <w:right w:val="nil"/>
            </w:tcBorders>
          </w:tcPr>
          <w:p w14:paraId="5BA61CFB" w14:textId="68DEE79B" w:rsidR="00CC6845" w:rsidRPr="00897FD5" w:rsidRDefault="00CC6845" w:rsidP="00CC6845">
            <w:pPr>
              <w:pStyle w:val="Tablerowtext"/>
              <w:jc w:val="center"/>
            </w:pPr>
            <w:r>
              <w:t>Y (part)</w:t>
            </w:r>
            <w:r>
              <w:rPr>
                <w:rStyle w:val="EndnoteReference"/>
                <w:sz w:val="20"/>
              </w:rPr>
              <w:endnoteReference w:id="206"/>
            </w:r>
          </w:p>
        </w:tc>
      </w:tr>
      <w:tr w:rsidR="00CC6845" w:rsidRPr="00897FD5" w14:paraId="6F767F48" w14:textId="77777777" w:rsidTr="00CC6845">
        <w:trPr>
          <w:cantSplit/>
        </w:trPr>
        <w:tc>
          <w:tcPr>
            <w:tcW w:w="5382" w:type="dxa"/>
            <w:tcBorders>
              <w:top w:val="single" w:sz="4" w:space="0" w:color="auto"/>
              <w:left w:val="nil"/>
              <w:bottom w:val="single" w:sz="4" w:space="0" w:color="auto"/>
              <w:right w:val="nil"/>
            </w:tcBorders>
          </w:tcPr>
          <w:p w14:paraId="7B144203" w14:textId="15F8A0D8" w:rsidR="00CC6845" w:rsidRPr="00897FD5" w:rsidRDefault="00CC6845" w:rsidP="00CC6845">
            <w:pPr>
              <w:pStyle w:val="Tabletext"/>
            </w:pPr>
            <w:r w:rsidRPr="00DC063A">
              <w:t xml:space="preserve">Percentages of </w:t>
            </w:r>
            <w:r>
              <w:t>total</w:t>
            </w:r>
            <w:r w:rsidRPr="00DC063A">
              <w:t xml:space="preserve"> costs to total righ</w:t>
            </w:r>
            <w:r>
              <w:t>ts revenue</w:t>
            </w:r>
          </w:p>
        </w:tc>
        <w:tc>
          <w:tcPr>
            <w:tcW w:w="851" w:type="dxa"/>
            <w:tcBorders>
              <w:top w:val="single" w:sz="4" w:space="0" w:color="auto"/>
              <w:left w:val="nil"/>
              <w:bottom w:val="single" w:sz="4" w:space="0" w:color="auto"/>
              <w:right w:val="nil"/>
            </w:tcBorders>
          </w:tcPr>
          <w:p w14:paraId="53355EE8" w14:textId="7E3F4DE4" w:rsidR="00CC6845" w:rsidRPr="00897FD5" w:rsidRDefault="00CC6845" w:rsidP="00CC6845">
            <w:pPr>
              <w:pStyle w:val="Tablerowtext"/>
              <w:jc w:val="center"/>
            </w:pPr>
            <w:r>
              <w:t>Y</w:t>
            </w:r>
            <w:r>
              <w:rPr>
                <w:rStyle w:val="EndnoteReference"/>
                <w:sz w:val="20"/>
              </w:rPr>
              <w:endnoteReference w:id="207"/>
            </w:r>
          </w:p>
        </w:tc>
        <w:tc>
          <w:tcPr>
            <w:tcW w:w="850" w:type="dxa"/>
            <w:tcBorders>
              <w:top w:val="single" w:sz="4" w:space="0" w:color="auto"/>
              <w:left w:val="nil"/>
              <w:bottom w:val="single" w:sz="4" w:space="0" w:color="auto"/>
              <w:right w:val="nil"/>
            </w:tcBorders>
          </w:tcPr>
          <w:p w14:paraId="4186C0D3" w14:textId="4778B72C" w:rsidR="00CC6845" w:rsidRPr="00897FD5" w:rsidRDefault="00CC6845" w:rsidP="00CC6845">
            <w:pPr>
              <w:pStyle w:val="Tablerowtext"/>
              <w:jc w:val="center"/>
            </w:pPr>
            <w:r>
              <w:t>Y</w:t>
            </w:r>
          </w:p>
        </w:tc>
        <w:tc>
          <w:tcPr>
            <w:tcW w:w="1134" w:type="dxa"/>
            <w:tcBorders>
              <w:top w:val="single" w:sz="4" w:space="0" w:color="auto"/>
              <w:left w:val="nil"/>
              <w:bottom w:val="single" w:sz="4" w:space="0" w:color="auto"/>
              <w:right w:val="nil"/>
            </w:tcBorders>
          </w:tcPr>
          <w:p w14:paraId="69A0309F" w14:textId="7D1800D3" w:rsidR="00CC6845" w:rsidRPr="00897FD5" w:rsidRDefault="00CC6845" w:rsidP="00CC6845">
            <w:pPr>
              <w:pStyle w:val="Tablerowtext"/>
              <w:jc w:val="center"/>
            </w:pPr>
            <w:r>
              <w:t>Y</w:t>
            </w:r>
          </w:p>
        </w:tc>
        <w:tc>
          <w:tcPr>
            <w:tcW w:w="1276" w:type="dxa"/>
            <w:tcBorders>
              <w:top w:val="single" w:sz="4" w:space="0" w:color="auto"/>
              <w:left w:val="nil"/>
              <w:bottom w:val="single" w:sz="4" w:space="0" w:color="auto"/>
              <w:right w:val="nil"/>
            </w:tcBorders>
          </w:tcPr>
          <w:p w14:paraId="41763906" w14:textId="1CE4A9CC" w:rsidR="00CC6845" w:rsidRPr="00897FD5" w:rsidRDefault="00CC6845" w:rsidP="00CC6845">
            <w:pPr>
              <w:pStyle w:val="Tablerowtext"/>
              <w:jc w:val="center"/>
            </w:pPr>
            <w:r>
              <w:t>Y</w:t>
            </w:r>
          </w:p>
        </w:tc>
      </w:tr>
      <w:tr w:rsidR="00CC6845" w:rsidRPr="00897FD5" w14:paraId="06CFE980" w14:textId="77777777" w:rsidTr="00CC6845">
        <w:trPr>
          <w:cantSplit/>
        </w:trPr>
        <w:tc>
          <w:tcPr>
            <w:tcW w:w="5382" w:type="dxa"/>
            <w:tcBorders>
              <w:top w:val="single" w:sz="4" w:space="0" w:color="auto"/>
              <w:left w:val="nil"/>
              <w:bottom w:val="single" w:sz="4" w:space="0" w:color="auto"/>
              <w:right w:val="nil"/>
            </w:tcBorders>
            <w:shd w:val="clear" w:color="auto" w:fill="113651"/>
          </w:tcPr>
          <w:p w14:paraId="79CD4943" w14:textId="35CE732C" w:rsidR="00CC6845" w:rsidRPr="00897FD5" w:rsidRDefault="00CC6845" w:rsidP="00CC6845">
            <w:pPr>
              <w:pStyle w:val="Tabletext"/>
            </w:pPr>
            <w:r w:rsidRPr="00CC6845">
              <w:rPr>
                <w:b/>
              </w:rPr>
              <w:t>Amounts due to rightsholders</w:t>
            </w:r>
            <w:r w:rsidRPr="00DC063A">
              <w:t xml:space="preserve"> (per category of rights managed and type of use):</w:t>
            </w:r>
          </w:p>
        </w:tc>
        <w:tc>
          <w:tcPr>
            <w:tcW w:w="851" w:type="dxa"/>
            <w:tcBorders>
              <w:top w:val="single" w:sz="4" w:space="0" w:color="auto"/>
              <w:left w:val="nil"/>
              <w:bottom w:val="single" w:sz="4" w:space="0" w:color="auto"/>
              <w:right w:val="nil"/>
            </w:tcBorders>
            <w:shd w:val="clear" w:color="auto" w:fill="113651"/>
          </w:tcPr>
          <w:p w14:paraId="5380977C" w14:textId="77777777" w:rsidR="00CC6845" w:rsidRPr="00897FD5" w:rsidRDefault="00CC6845" w:rsidP="00CC6845">
            <w:pPr>
              <w:pStyle w:val="Tablerowtext"/>
              <w:jc w:val="center"/>
            </w:pPr>
          </w:p>
        </w:tc>
        <w:tc>
          <w:tcPr>
            <w:tcW w:w="850" w:type="dxa"/>
            <w:tcBorders>
              <w:top w:val="single" w:sz="4" w:space="0" w:color="auto"/>
              <w:left w:val="nil"/>
              <w:bottom w:val="single" w:sz="4" w:space="0" w:color="auto"/>
              <w:right w:val="nil"/>
            </w:tcBorders>
            <w:shd w:val="clear" w:color="auto" w:fill="113651"/>
          </w:tcPr>
          <w:p w14:paraId="07404B8A" w14:textId="77777777" w:rsidR="00CC6845" w:rsidRPr="00897FD5" w:rsidRDefault="00CC6845" w:rsidP="00CC6845">
            <w:pPr>
              <w:pStyle w:val="Tablerowtext"/>
              <w:jc w:val="center"/>
            </w:pPr>
          </w:p>
        </w:tc>
        <w:tc>
          <w:tcPr>
            <w:tcW w:w="1134" w:type="dxa"/>
            <w:tcBorders>
              <w:top w:val="single" w:sz="4" w:space="0" w:color="auto"/>
              <w:left w:val="nil"/>
              <w:bottom w:val="single" w:sz="4" w:space="0" w:color="auto"/>
              <w:right w:val="nil"/>
            </w:tcBorders>
            <w:shd w:val="clear" w:color="auto" w:fill="113651"/>
          </w:tcPr>
          <w:p w14:paraId="489E984B" w14:textId="77777777" w:rsidR="00CC6845" w:rsidRPr="00897FD5" w:rsidRDefault="00CC6845" w:rsidP="00CC6845">
            <w:pPr>
              <w:pStyle w:val="Tablerowtext"/>
              <w:jc w:val="center"/>
            </w:pPr>
          </w:p>
        </w:tc>
        <w:tc>
          <w:tcPr>
            <w:tcW w:w="1276" w:type="dxa"/>
            <w:tcBorders>
              <w:top w:val="single" w:sz="4" w:space="0" w:color="auto"/>
              <w:left w:val="nil"/>
              <w:bottom w:val="single" w:sz="4" w:space="0" w:color="auto"/>
              <w:right w:val="nil"/>
            </w:tcBorders>
            <w:shd w:val="clear" w:color="auto" w:fill="113651"/>
          </w:tcPr>
          <w:p w14:paraId="074540B4" w14:textId="77777777" w:rsidR="00CC6845" w:rsidRPr="00897FD5" w:rsidRDefault="00CC6845" w:rsidP="00CC6845">
            <w:pPr>
              <w:pStyle w:val="Tablerowtext"/>
              <w:jc w:val="center"/>
            </w:pPr>
          </w:p>
        </w:tc>
      </w:tr>
      <w:tr w:rsidR="00B5016C" w:rsidRPr="00897FD5" w14:paraId="380080B9" w14:textId="77777777" w:rsidTr="00CC6845">
        <w:trPr>
          <w:cantSplit/>
        </w:trPr>
        <w:tc>
          <w:tcPr>
            <w:tcW w:w="5382" w:type="dxa"/>
            <w:tcBorders>
              <w:top w:val="single" w:sz="4" w:space="0" w:color="auto"/>
              <w:left w:val="nil"/>
              <w:bottom w:val="single" w:sz="4" w:space="0" w:color="auto"/>
              <w:right w:val="nil"/>
            </w:tcBorders>
          </w:tcPr>
          <w:p w14:paraId="1B4B82B8" w14:textId="399F2DB1" w:rsidR="00B5016C" w:rsidRPr="00897FD5" w:rsidRDefault="00B5016C" w:rsidP="00B5016C">
            <w:pPr>
              <w:pStyle w:val="Tabletext"/>
            </w:pPr>
            <w:r w:rsidRPr="00DC063A">
              <w:t>Total amount attributed to rightsholders</w:t>
            </w:r>
          </w:p>
        </w:tc>
        <w:tc>
          <w:tcPr>
            <w:tcW w:w="851" w:type="dxa"/>
            <w:tcBorders>
              <w:top w:val="single" w:sz="4" w:space="0" w:color="auto"/>
              <w:left w:val="nil"/>
              <w:bottom w:val="single" w:sz="4" w:space="0" w:color="auto"/>
              <w:right w:val="nil"/>
            </w:tcBorders>
          </w:tcPr>
          <w:p w14:paraId="3AE28BDC" w14:textId="2AA8ABE1" w:rsidR="00B5016C" w:rsidRPr="00897FD5" w:rsidRDefault="00B5016C" w:rsidP="00B5016C">
            <w:pPr>
              <w:pStyle w:val="Tablerowtext"/>
              <w:jc w:val="center"/>
            </w:pPr>
            <w:r>
              <w:t>N</w:t>
            </w:r>
          </w:p>
        </w:tc>
        <w:tc>
          <w:tcPr>
            <w:tcW w:w="850" w:type="dxa"/>
            <w:tcBorders>
              <w:top w:val="single" w:sz="4" w:space="0" w:color="auto"/>
              <w:left w:val="nil"/>
              <w:bottom w:val="single" w:sz="4" w:space="0" w:color="auto"/>
              <w:right w:val="nil"/>
            </w:tcBorders>
          </w:tcPr>
          <w:p w14:paraId="201C530C" w14:textId="23D6A2A5" w:rsidR="00B5016C" w:rsidRPr="00897FD5" w:rsidRDefault="00B5016C" w:rsidP="00B5016C">
            <w:pPr>
              <w:pStyle w:val="Tablerowtext"/>
              <w:jc w:val="center"/>
            </w:pPr>
            <w:r>
              <w:t>Y</w:t>
            </w:r>
          </w:p>
        </w:tc>
        <w:tc>
          <w:tcPr>
            <w:tcW w:w="1134" w:type="dxa"/>
            <w:tcBorders>
              <w:top w:val="single" w:sz="4" w:space="0" w:color="auto"/>
              <w:left w:val="nil"/>
              <w:bottom w:val="single" w:sz="4" w:space="0" w:color="auto"/>
              <w:right w:val="nil"/>
            </w:tcBorders>
          </w:tcPr>
          <w:p w14:paraId="79AAC687" w14:textId="7C2A477D" w:rsidR="00B5016C" w:rsidRPr="00897FD5" w:rsidRDefault="00B5016C" w:rsidP="00B5016C">
            <w:pPr>
              <w:pStyle w:val="Tablerowtext"/>
              <w:jc w:val="center"/>
            </w:pPr>
            <w:r>
              <w:t>Y</w:t>
            </w:r>
          </w:p>
        </w:tc>
        <w:tc>
          <w:tcPr>
            <w:tcW w:w="1276" w:type="dxa"/>
            <w:tcBorders>
              <w:top w:val="single" w:sz="4" w:space="0" w:color="auto"/>
              <w:left w:val="nil"/>
              <w:bottom w:val="single" w:sz="4" w:space="0" w:color="auto"/>
              <w:right w:val="nil"/>
            </w:tcBorders>
          </w:tcPr>
          <w:p w14:paraId="278F1AB6" w14:textId="7D058569" w:rsidR="00B5016C" w:rsidRPr="00897FD5" w:rsidRDefault="00B5016C" w:rsidP="00B5016C">
            <w:pPr>
              <w:pStyle w:val="Tablerowtext"/>
              <w:jc w:val="center"/>
            </w:pPr>
            <w:r>
              <w:t>Y</w:t>
            </w:r>
          </w:p>
        </w:tc>
      </w:tr>
      <w:tr w:rsidR="00B5016C" w:rsidRPr="00897FD5" w14:paraId="4B301328" w14:textId="77777777" w:rsidTr="00CC6845">
        <w:trPr>
          <w:cantSplit/>
        </w:trPr>
        <w:tc>
          <w:tcPr>
            <w:tcW w:w="5382" w:type="dxa"/>
            <w:tcBorders>
              <w:top w:val="single" w:sz="4" w:space="0" w:color="auto"/>
              <w:left w:val="nil"/>
              <w:bottom w:val="single" w:sz="4" w:space="0" w:color="auto"/>
              <w:right w:val="nil"/>
            </w:tcBorders>
          </w:tcPr>
          <w:p w14:paraId="161CB5A6" w14:textId="57DC08DA" w:rsidR="00B5016C" w:rsidRPr="00897FD5" w:rsidRDefault="00B5016C" w:rsidP="00B5016C">
            <w:pPr>
              <w:pStyle w:val="Tabletext"/>
            </w:pPr>
            <w:r w:rsidRPr="00DC063A">
              <w:t>Total paid to rightsholders</w:t>
            </w:r>
            <w:r>
              <w:t>, and frequency of payments</w:t>
            </w:r>
          </w:p>
        </w:tc>
        <w:tc>
          <w:tcPr>
            <w:tcW w:w="851" w:type="dxa"/>
            <w:tcBorders>
              <w:top w:val="single" w:sz="4" w:space="0" w:color="auto"/>
              <w:left w:val="nil"/>
              <w:bottom w:val="single" w:sz="4" w:space="0" w:color="auto"/>
              <w:right w:val="nil"/>
            </w:tcBorders>
          </w:tcPr>
          <w:p w14:paraId="66716543" w14:textId="2F4C68D7" w:rsidR="00B5016C" w:rsidRPr="00897FD5" w:rsidRDefault="00B5016C" w:rsidP="00B5016C">
            <w:pPr>
              <w:pStyle w:val="Tablerowtext"/>
              <w:jc w:val="center"/>
            </w:pPr>
            <w:r>
              <w:t>Y</w:t>
            </w:r>
          </w:p>
        </w:tc>
        <w:tc>
          <w:tcPr>
            <w:tcW w:w="850" w:type="dxa"/>
            <w:tcBorders>
              <w:top w:val="single" w:sz="4" w:space="0" w:color="auto"/>
              <w:left w:val="nil"/>
              <w:bottom w:val="single" w:sz="4" w:space="0" w:color="auto"/>
              <w:right w:val="nil"/>
            </w:tcBorders>
          </w:tcPr>
          <w:p w14:paraId="2746B1E1" w14:textId="215ECB30" w:rsidR="00B5016C" w:rsidRPr="00897FD5" w:rsidRDefault="00B5016C" w:rsidP="00B5016C">
            <w:pPr>
              <w:pStyle w:val="Tablerowtext"/>
              <w:jc w:val="center"/>
            </w:pPr>
            <w:r>
              <w:t>Y</w:t>
            </w:r>
          </w:p>
        </w:tc>
        <w:tc>
          <w:tcPr>
            <w:tcW w:w="1134" w:type="dxa"/>
            <w:tcBorders>
              <w:top w:val="single" w:sz="4" w:space="0" w:color="auto"/>
              <w:left w:val="nil"/>
              <w:bottom w:val="single" w:sz="4" w:space="0" w:color="auto"/>
              <w:right w:val="nil"/>
            </w:tcBorders>
          </w:tcPr>
          <w:p w14:paraId="5E22C5D9" w14:textId="4CA5A410" w:rsidR="00B5016C" w:rsidRPr="00897FD5" w:rsidRDefault="00B5016C" w:rsidP="00B5016C">
            <w:pPr>
              <w:pStyle w:val="Tablerowtext"/>
              <w:jc w:val="center"/>
            </w:pPr>
            <w:r>
              <w:t>Y</w:t>
            </w:r>
          </w:p>
        </w:tc>
        <w:tc>
          <w:tcPr>
            <w:tcW w:w="1276" w:type="dxa"/>
            <w:tcBorders>
              <w:top w:val="single" w:sz="4" w:space="0" w:color="auto"/>
              <w:left w:val="nil"/>
              <w:bottom w:val="single" w:sz="4" w:space="0" w:color="auto"/>
              <w:right w:val="nil"/>
            </w:tcBorders>
          </w:tcPr>
          <w:p w14:paraId="770D101D" w14:textId="0993D96D" w:rsidR="00B5016C" w:rsidRPr="00897FD5" w:rsidRDefault="00B5016C" w:rsidP="00B5016C">
            <w:pPr>
              <w:pStyle w:val="Tablerowtext"/>
              <w:jc w:val="center"/>
            </w:pPr>
            <w:r>
              <w:t>Y</w:t>
            </w:r>
          </w:p>
        </w:tc>
      </w:tr>
      <w:tr w:rsidR="00B5016C" w:rsidRPr="00897FD5" w14:paraId="1BF02647" w14:textId="77777777" w:rsidTr="00CC6845">
        <w:trPr>
          <w:cantSplit/>
        </w:trPr>
        <w:tc>
          <w:tcPr>
            <w:tcW w:w="5382" w:type="dxa"/>
            <w:tcBorders>
              <w:top w:val="single" w:sz="4" w:space="0" w:color="auto"/>
              <w:left w:val="nil"/>
              <w:bottom w:val="single" w:sz="4" w:space="0" w:color="auto"/>
              <w:right w:val="nil"/>
            </w:tcBorders>
          </w:tcPr>
          <w:p w14:paraId="058F8FF9" w14:textId="0808D563" w:rsidR="00B5016C" w:rsidRPr="00897FD5" w:rsidRDefault="00B5016C" w:rsidP="00B5016C">
            <w:pPr>
              <w:pStyle w:val="Tabletext"/>
            </w:pPr>
            <w:r w:rsidRPr="00DC063A">
              <w:t>Total amount collected but not yet attributed to rightsholders, and financial year amounts were collected</w:t>
            </w:r>
          </w:p>
        </w:tc>
        <w:tc>
          <w:tcPr>
            <w:tcW w:w="851" w:type="dxa"/>
            <w:tcBorders>
              <w:top w:val="single" w:sz="4" w:space="0" w:color="auto"/>
              <w:left w:val="nil"/>
              <w:bottom w:val="single" w:sz="4" w:space="0" w:color="auto"/>
              <w:right w:val="nil"/>
            </w:tcBorders>
          </w:tcPr>
          <w:p w14:paraId="6F930577" w14:textId="6B217810" w:rsidR="00B5016C" w:rsidRPr="00897FD5" w:rsidRDefault="00B5016C" w:rsidP="00B5016C">
            <w:pPr>
              <w:pStyle w:val="Tablerowtext"/>
              <w:jc w:val="center"/>
            </w:pPr>
            <w:r>
              <w:t>Y</w:t>
            </w:r>
            <w:r>
              <w:rPr>
                <w:rStyle w:val="EndnoteReference"/>
                <w:sz w:val="20"/>
              </w:rPr>
              <w:endnoteReference w:id="208"/>
            </w:r>
          </w:p>
        </w:tc>
        <w:tc>
          <w:tcPr>
            <w:tcW w:w="850" w:type="dxa"/>
            <w:tcBorders>
              <w:top w:val="single" w:sz="4" w:space="0" w:color="auto"/>
              <w:left w:val="nil"/>
              <w:bottom w:val="single" w:sz="4" w:space="0" w:color="auto"/>
              <w:right w:val="nil"/>
            </w:tcBorders>
          </w:tcPr>
          <w:p w14:paraId="7645A767" w14:textId="0E89EC2D" w:rsidR="00B5016C" w:rsidRPr="00897FD5" w:rsidRDefault="00B5016C" w:rsidP="00B5016C">
            <w:pPr>
              <w:pStyle w:val="Tablerowtext"/>
              <w:jc w:val="center"/>
            </w:pPr>
            <w:r>
              <w:t>Y</w:t>
            </w:r>
            <w:r>
              <w:rPr>
                <w:rStyle w:val="EndnoteReference"/>
                <w:sz w:val="20"/>
              </w:rPr>
              <w:endnoteReference w:id="209"/>
            </w:r>
          </w:p>
        </w:tc>
        <w:tc>
          <w:tcPr>
            <w:tcW w:w="1134" w:type="dxa"/>
            <w:tcBorders>
              <w:top w:val="single" w:sz="4" w:space="0" w:color="auto"/>
              <w:left w:val="nil"/>
              <w:bottom w:val="single" w:sz="4" w:space="0" w:color="auto"/>
              <w:right w:val="nil"/>
            </w:tcBorders>
          </w:tcPr>
          <w:p w14:paraId="69342050" w14:textId="266EBEFB" w:rsidR="00B5016C" w:rsidRPr="00897FD5" w:rsidRDefault="00B5016C" w:rsidP="00B5016C">
            <w:pPr>
              <w:pStyle w:val="Tablerowtext"/>
              <w:jc w:val="center"/>
            </w:pPr>
            <w:r>
              <w:t>Y</w:t>
            </w:r>
          </w:p>
        </w:tc>
        <w:tc>
          <w:tcPr>
            <w:tcW w:w="1276" w:type="dxa"/>
            <w:tcBorders>
              <w:top w:val="single" w:sz="4" w:space="0" w:color="auto"/>
              <w:left w:val="nil"/>
              <w:bottom w:val="single" w:sz="4" w:space="0" w:color="auto"/>
              <w:right w:val="nil"/>
            </w:tcBorders>
          </w:tcPr>
          <w:p w14:paraId="0FC88DAF" w14:textId="01A165CD" w:rsidR="00B5016C" w:rsidRPr="00897FD5" w:rsidRDefault="00B5016C" w:rsidP="00B5016C">
            <w:pPr>
              <w:pStyle w:val="Tablerowtext"/>
              <w:jc w:val="center"/>
            </w:pPr>
            <w:r>
              <w:t>N/A</w:t>
            </w:r>
            <w:r>
              <w:rPr>
                <w:rStyle w:val="EndnoteReference"/>
                <w:sz w:val="20"/>
              </w:rPr>
              <w:endnoteReference w:id="210"/>
            </w:r>
          </w:p>
        </w:tc>
      </w:tr>
      <w:tr w:rsidR="00B5016C" w:rsidRPr="00897FD5" w14:paraId="44B75EA2" w14:textId="77777777" w:rsidTr="00CC6845">
        <w:trPr>
          <w:cantSplit/>
        </w:trPr>
        <w:tc>
          <w:tcPr>
            <w:tcW w:w="5382" w:type="dxa"/>
            <w:tcBorders>
              <w:top w:val="single" w:sz="4" w:space="0" w:color="auto"/>
              <w:left w:val="nil"/>
              <w:bottom w:val="single" w:sz="4" w:space="0" w:color="auto"/>
              <w:right w:val="nil"/>
            </w:tcBorders>
          </w:tcPr>
          <w:p w14:paraId="18E9B520" w14:textId="3322EA7B" w:rsidR="00B5016C" w:rsidRPr="00F510F4" w:rsidRDefault="00B5016C" w:rsidP="00B5016C">
            <w:pPr>
              <w:pStyle w:val="Tabletext"/>
              <w:rPr>
                <w:szCs w:val="22"/>
              </w:rPr>
            </w:pPr>
            <w:r w:rsidRPr="00075ADD">
              <w:rPr>
                <w:szCs w:val="22"/>
              </w:rPr>
              <w:t>Total amount attributed to but not yet distributed to rightsholders, and financial year amounts were collected</w:t>
            </w:r>
          </w:p>
        </w:tc>
        <w:tc>
          <w:tcPr>
            <w:tcW w:w="851" w:type="dxa"/>
            <w:tcBorders>
              <w:top w:val="single" w:sz="4" w:space="0" w:color="auto"/>
              <w:left w:val="nil"/>
              <w:bottom w:val="single" w:sz="4" w:space="0" w:color="auto"/>
              <w:right w:val="nil"/>
            </w:tcBorders>
          </w:tcPr>
          <w:p w14:paraId="58D65C29" w14:textId="77777777" w:rsidR="00B5016C" w:rsidRPr="00897FD5" w:rsidRDefault="00B5016C" w:rsidP="00B5016C">
            <w:pPr>
              <w:pStyle w:val="Tablerowtext"/>
              <w:jc w:val="center"/>
            </w:pPr>
          </w:p>
        </w:tc>
        <w:tc>
          <w:tcPr>
            <w:tcW w:w="850" w:type="dxa"/>
            <w:tcBorders>
              <w:top w:val="single" w:sz="4" w:space="0" w:color="auto"/>
              <w:left w:val="nil"/>
              <w:bottom w:val="single" w:sz="4" w:space="0" w:color="auto"/>
              <w:right w:val="nil"/>
            </w:tcBorders>
          </w:tcPr>
          <w:p w14:paraId="329A76B0" w14:textId="5D8A495C" w:rsidR="00B5016C" w:rsidRPr="00897FD5" w:rsidRDefault="00B5016C" w:rsidP="00B5016C">
            <w:pPr>
              <w:pStyle w:val="Tablerowtext"/>
              <w:jc w:val="center"/>
            </w:pPr>
            <w:r>
              <w:rPr>
                <w:sz w:val="20"/>
                <w:szCs w:val="20"/>
              </w:rPr>
              <w:t>N</w:t>
            </w:r>
          </w:p>
        </w:tc>
        <w:tc>
          <w:tcPr>
            <w:tcW w:w="1134" w:type="dxa"/>
            <w:tcBorders>
              <w:top w:val="single" w:sz="4" w:space="0" w:color="auto"/>
              <w:left w:val="nil"/>
              <w:bottom w:val="single" w:sz="4" w:space="0" w:color="auto"/>
              <w:right w:val="nil"/>
            </w:tcBorders>
          </w:tcPr>
          <w:p w14:paraId="6AC7FB60" w14:textId="1D2D3A5C" w:rsidR="00B5016C" w:rsidRPr="00897FD5" w:rsidRDefault="00B5016C" w:rsidP="00B5016C">
            <w:pPr>
              <w:pStyle w:val="Tablerowtext"/>
              <w:jc w:val="center"/>
            </w:pPr>
            <w:r>
              <w:rPr>
                <w:sz w:val="20"/>
                <w:szCs w:val="20"/>
              </w:rPr>
              <w:t>Y</w:t>
            </w:r>
          </w:p>
        </w:tc>
        <w:tc>
          <w:tcPr>
            <w:tcW w:w="1276" w:type="dxa"/>
            <w:tcBorders>
              <w:top w:val="single" w:sz="4" w:space="0" w:color="auto"/>
              <w:left w:val="nil"/>
              <w:bottom w:val="single" w:sz="4" w:space="0" w:color="auto"/>
              <w:right w:val="nil"/>
            </w:tcBorders>
          </w:tcPr>
          <w:p w14:paraId="15038FFB" w14:textId="6B2494D1" w:rsidR="00B5016C" w:rsidRPr="00897FD5" w:rsidRDefault="00B5016C" w:rsidP="00B5016C">
            <w:pPr>
              <w:pStyle w:val="Tablerowtext"/>
              <w:jc w:val="center"/>
            </w:pPr>
            <w:r>
              <w:rPr>
                <w:sz w:val="20"/>
                <w:szCs w:val="20"/>
              </w:rPr>
              <w:t>Y</w:t>
            </w:r>
            <w:r>
              <w:rPr>
                <w:rStyle w:val="EndnoteReference"/>
                <w:sz w:val="20"/>
                <w:szCs w:val="20"/>
              </w:rPr>
              <w:endnoteReference w:id="211"/>
            </w:r>
          </w:p>
        </w:tc>
      </w:tr>
      <w:tr w:rsidR="00B5016C" w:rsidRPr="00897FD5" w14:paraId="7B1F59E1" w14:textId="77777777" w:rsidTr="00CC6845">
        <w:trPr>
          <w:cantSplit/>
        </w:trPr>
        <w:tc>
          <w:tcPr>
            <w:tcW w:w="5382" w:type="dxa"/>
            <w:tcBorders>
              <w:top w:val="single" w:sz="4" w:space="0" w:color="auto"/>
              <w:left w:val="nil"/>
              <w:bottom w:val="single" w:sz="4" w:space="0" w:color="auto"/>
              <w:right w:val="nil"/>
            </w:tcBorders>
          </w:tcPr>
          <w:p w14:paraId="30AD2B5B" w14:textId="165D3AE6" w:rsidR="00B5016C" w:rsidRPr="00F510F4" w:rsidRDefault="00B5016C" w:rsidP="00B5016C">
            <w:pPr>
              <w:pStyle w:val="Tabletext"/>
              <w:rPr>
                <w:szCs w:val="22"/>
              </w:rPr>
            </w:pPr>
            <w:r w:rsidRPr="00075ADD">
              <w:rPr>
                <w:szCs w:val="22"/>
              </w:rPr>
              <w:t>Reasons for any delay in the distribution and payments</w:t>
            </w:r>
          </w:p>
        </w:tc>
        <w:tc>
          <w:tcPr>
            <w:tcW w:w="851" w:type="dxa"/>
            <w:tcBorders>
              <w:top w:val="single" w:sz="4" w:space="0" w:color="auto"/>
              <w:left w:val="nil"/>
              <w:bottom w:val="single" w:sz="4" w:space="0" w:color="auto"/>
              <w:right w:val="nil"/>
            </w:tcBorders>
          </w:tcPr>
          <w:p w14:paraId="7E650D95" w14:textId="11A9560F" w:rsidR="00B5016C" w:rsidRPr="00897FD5" w:rsidRDefault="00B5016C" w:rsidP="00B5016C">
            <w:pPr>
              <w:pStyle w:val="Tablerowtext"/>
              <w:jc w:val="center"/>
            </w:pPr>
            <w:r>
              <w:rPr>
                <w:sz w:val="20"/>
                <w:szCs w:val="20"/>
              </w:rPr>
              <w:t>N/A</w:t>
            </w:r>
          </w:p>
        </w:tc>
        <w:tc>
          <w:tcPr>
            <w:tcW w:w="850" w:type="dxa"/>
            <w:tcBorders>
              <w:top w:val="single" w:sz="4" w:space="0" w:color="auto"/>
              <w:left w:val="nil"/>
              <w:bottom w:val="single" w:sz="4" w:space="0" w:color="auto"/>
              <w:right w:val="nil"/>
            </w:tcBorders>
          </w:tcPr>
          <w:p w14:paraId="05C710EF" w14:textId="28574263" w:rsidR="00B5016C" w:rsidRPr="00897FD5" w:rsidRDefault="00B5016C" w:rsidP="00B5016C">
            <w:pPr>
              <w:pStyle w:val="Tablerowtext"/>
              <w:jc w:val="center"/>
            </w:pPr>
            <w:r>
              <w:rPr>
                <w:sz w:val="20"/>
                <w:szCs w:val="20"/>
              </w:rPr>
              <w:t>Y</w:t>
            </w:r>
            <w:r>
              <w:rPr>
                <w:rStyle w:val="EndnoteReference"/>
                <w:sz w:val="20"/>
                <w:szCs w:val="20"/>
              </w:rPr>
              <w:endnoteReference w:id="212"/>
            </w:r>
          </w:p>
        </w:tc>
        <w:tc>
          <w:tcPr>
            <w:tcW w:w="1134" w:type="dxa"/>
            <w:tcBorders>
              <w:top w:val="single" w:sz="4" w:space="0" w:color="auto"/>
              <w:left w:val="nil"/>
              <w:bottom w:val="single" w:sz="4" w:space="0" w:color="auto"/>
              <w:right w:val="nil"/>
            </w:tcBorders>
          </w:tcPr>
          <w:p w14:paraId="40E1416B" w14:textId="6152507B" w:rsidR="00B5016C" w:rsidRPr="00897FD5" w:rsidRDefault="00B5016C" w:rsidP="00B5016C">
            <w:pPr>
              <w:pStyle w:val="Tablerowtext"/>
              <w:jc w:val="center"/>
            </w:pPr>
            <w:r>
              <w:rPr>
                <w:sz w:val="20"/>
                <w:szCs w:val="20"/>
              </w:rPr>
              <w:t>Y</w:t>
            </w:r>
          </w:p>
        </w:tc>
        <w:tc>
          <w:tcPr>
            <w:tcW w:w="1276" w:type="dxa"/>
            <w:tcBorders>
              <w:top w:val="single" w:sz="4" w:space="0" w:color="auto"/>
              <w:left w:val="nil"/>
              <w:bottom w:val="single" w:sz="4" w:space="0" w:color="auto"/>
              <w:right w:val="nil"/>
            </w:tcBorders>
          </w:tcPr>
          <w:p w14:paraId="1C97803D" w14:textId="2DE6577A" w:rsidR="00B5016C" w:rsidRPr="00897FD5" w:rsidRDefault="00B5016C" w:rsidP="00B5016C">
            <w:pPr>
              <w:pStyle w:val="Tablerowtext"/>
              <w:jc w:val="center"/>
            </w:pPr>
            <w:r>
              <w:rPr>
                <w:sz w:val="20"/>
                <w:szCs w:val="20"/>
              </w:rPr>
              <w:t>N/A</w:t>
            </w:r>
          </w:p>
        </w:tc>
      </w:tr>
      <w:tr w:rsidR="00B5016C" w:rsidRPr="00897FD5" w14:paraId="7ADCD4AE" w14:textId="77777777" w:rsidTr="00B5016C">
        <w:trPr>
          <w:cantSplit/>
        </w:trPr>
        <w:tc>
          <w:tcPr>
            <w:tcW w:w="5382" w:type="dxa"/>
            <w:tcBorders>
              <w:top w:val="single" w:sz="4" w:space="0" w:color="auto"/>
              <w:left w:val="nil"/>
              <w:bottom w:val="single" w:sz="4" w:space="0" w:color="auto"/>
              <w:right w:val="nil"/>
            </w:tcBorders>
          </w:tcPr>
          <w:p w14:paraId="04869BBF" w14:textId="78B6A029" w:rsidR="00B5016C" w:rsidRPr="00897FD5" w:rsidRDefault="00B5016C" w:rsidP="00B5016C">
            <w:pPr>
              <w:pStyle w:val="Tabletext"/>
            </w:pPr>
            <w:r w:rsidRPr="00DC063A">
              <w:t>Total non-distributable amounts and use of those amounts</w:t>
            </w:r>
          </w:p>
        </w:tc>
        <w:tc>
          <w:tcPr>
            <w:tcW w:w="851" w:type="dxa"/>
            <w:tcBorders>
              <w:top w:val="single" w:sz="4" w:space="0" w:color="auto"/>
              <w:left w:val="nil"/>
              <w:bottom w:val="single" w:sz="4" w:space="0" w:color="auto"/>
              <w:right w:val="nil"/>
            </w:tcBorders>
          </w:tcPr>
          <w:p w14:paraId="3B11999F" w14:textId="112B319E" w:rsidR="00B5016C" w:rsidRPr="00897FD5" w:rsidRDefault="00B5016C" w:rsidP="00B5016C">
            <w:pPr>
              <w:pStyle w:val="Tablerowtext"/>
              <w:jc w:val="center"/>
            </w:pPr>
            <w:r>
              <w:t>N/A</w:t>
            </w:r>
          </w:p>
        </w:tc>
        <w:tc>
          <w:tcPr>
            <w:tcW w:w="850" w:type="dxa"/>
            <w:tcBorders>
              <w:top w:val="single" w:sz="4" w:space="0" w:color="auto"/>
              <w:left w:val="nil"/>
              <w:bottom w:val="single" w:sz="4" w:space="0" w:color="auto"/>
              <w:right w:val="nil"/>
            </w:tcBorders>
          </w:tcPr>
          <w:p w14:paraId="2D3F3B2F" w14:textId="411B4374" w:rsidR="00B5016C" w:rsidRPr="00897FD5" w:rsidRDefault="00B5016C" w:rsidP="00B5016C">
            <w:pPr>
              <w:pStyle w:val="Tablerowtext"/>
              <w:jc w:val="center"/>
            </w:pPr>
            <w:r>
              <w:t>N</w:t>
            </w:r>
          </w:p>
        </w:tc>
        <w:tc>
          <w:tcPr>
            <w:tcW w:w="1134" w:type="dxa"/>
            <w:tcBorders>
              <w:top w:val="single" w:sz="4" w:space="0" w:color="auto"/>
              <w:left w:val="nil"/>
              <w:bottom w:val="single" w:sz="4" w:space="0" w:color="auto"/>
              <w:right w:val="nil"/>
            </w:tcBorders>
          </w:tcPr>
          <w:p w14:paraId="6DCE4C6B" w14:textId="4DF796CD" w:rsidR="00B5016C" w:rsidRPr="00897FD5" w:rsidRDefault="00B5016C" w:rsidP="00B5016C">
            <w:pPr>
              <w:pStyle w:val="Tablerowtext"/>
              <w:jc w:val="center"/>
            </w:pPr>
            <w:r>
              <w:t>Y</w:t>
            </w:r>
          </w:p>
        </w:tc>
        <w:tc>
          <w:tcPr>
            <w:tcW w:w="1276" w:type="dxa"/>
            <w:tcBorders>
              <w:top w:val="single" w:sz="4" w:space="0" w:color="auto"/>
              <w:left w:val="nil"/>
              <w:bottom w:val="single" w:sz="4" w:space="0" w:color="auto"/>
              <w:right w:val="nil"/>
            </w:tcBorders>
          </w:tcPr>
          <w:p w14:paraId="1E56969D" w14:textId="2E611243" w:rsidR="00B5016C" w:rsidRPr="00897FD5" w:rsidRDefault="00B5016C" w:rsidP="00B5016C">
            <w:pPr>
              <w:pStyle w:val="Tablerowtext"/>
              <w:jc w:val="center"/>
            </w:pPr>
            <w:r>
              <w:t>Y (part)</w:t>
            </w:r>
            <w:r>
              <w:rPr>
                <w:rStyle w:val="EndnoteReference"/>
                <w:sz w:val="20"/>
              </w:rPr>
              <w:endnoteReference w:id="213"/>
            </w:r>
          </w:p>
        </w:tc>
      </w:tr>
      <w:tr w:rsidR="00B5016C" w:rsidRPr="00897FD5" w14:paraId="2F4A8F98" w14:textId="77777777" w:rsidTr="00B5016C">
        <w:trPr>
          <w:cantSplit/>
        </w:trPr>
        <w:tc>
          <w:tcPr>
            <w:tcW w:w="5382" w:type="dxa"/>
            <w:tcBorders>
              <w:top w:val="single" w:sz="4" w:space="0" w:color="auto"/>
              <w:left w:val="nil"/>
              <w:bottom w:val="single" w:sz="4" w:space="0" w:color="auto"/>
              <w:right w:val="nil"/>
            </w:tcBorders>
            <w:shd w:val="clear" w:color="auto" w:fill="113651"/>
          </w:tcPr>
          <w:p w14:paraId="71A339C8" w14:textId="622695C7" w:rsidR="00B5016C" w:rsidRPr="00897FD5" w:rsidRDefault="00B5016C" w:rsidP="00B5016C">
            <w:pPr>
              <w:pStyle w:val="Tabletext"/>
            </w:pPr>
            <w:r w:rsidRPr="00B5016C">
              <w:rPr>
                <w:b/>
              </w:rPr>
              <w:t>Relationships with other CMOs</w:t>
            </w:r>
            <w:r w:rsidRPr="00DC063A">
              <w:t xml:space="preserve"> (per category of rights, type of use and organisation):</w:t>
            </w:r>
          </w:p>
        </w:tc>
        <w:tc>
          <w:tcPr>
            <w:tcW w:w="851" w:type="dxa"/>
            <w:tcBorders>
              <w:top w:val="single" w:sz="4" w:space="0" w:color="auto"/>
              <w:left w:val="nil"/>
              <w:bottom w:val="single" w:sz="4" w:space="0" w:color="auto"/>
              <w:right w:val="nil"/>
            </w:tcBorders>
            <w:shd w:val="clear" w:color="auto" w:fill="113651"/>
          </w:tcPr>
          <w:p w14:paraId="1DEC9E33" w14:textId="77777777" w:rsidR="00B5016C" w:rsidRPr="00897FD5" w:rsidRDefault="00B5016C" w:rsidP="00B5016C">
            <w:pPr>
              <w:pStyle w:val="Tablerowtext"/>
              <w:jc w:val="center"/>
            </w:pPr>
          </w:p>
        </w:tc>
        <w:tc>
          <w:tcPr>
            <w:tcW w:w="850" w:type="dxa"/>
            <w:tcBorders>
              <w:top w:val="single" w:sz="4" w:space="0" w:color="auto"/>
              <w:left w:val="nil"/>
              <w:bottom w:val="single" w:sz="4" w:space="0" w:color="auto"/>
              <w:right w:val="nil"/>
            </w:tcBorders>
            <w:shd w:val="clear" w:color="auto" w:fill="113651"/>
          </w:tcPr>
          <w:p w14:paraId="197DDDC6" w14:textId="77777777" w:rsidR="00B5016C" w:rsidRPr="00897FD5" w:rsidRDefault="00B5016C" w:rsidP="00B5016C">
            <w:pPr>
              <w:pStyle w:val="Tablerowtext"/>
              <w:jc w:val="center"/>
            </w:pPr>
          </w:p>
        </w:tc>
        <w:tc>
          <w:tcPr>
            <w:tcW w:w="1134" w:type="dxa"/>
            <w:tcBorders>
              <w:top w:val="single" w:sz="4" w:space="0" w:color="auto"/>
              <w:left w:val="nil"/>
              <w:bottom w:val="single" w:sz="4" w:space="0" w:color="auto"/>
              <w:right w:val="nil"/>
            </w:tcBorders>
            <w:shd w:val="clear" w:color="auto" w:fill="113651"/>
          </w:tcPr>
          <w:p w14:paraId="0CB1C734" w14:textId="77777777" w:rsidR="00B5016C" w:rsidRPr="00897FD5" w:rsidRDefault="00B5016C" w:rsidP="00B5016C">
            <w:pPr>
              <w:pStyle w:val="Tablerowtext"/>
              <w:jc w:val="center"/>
            </w:pPr>
          </w:p>
        </w:tc>
        <w:tc>
          <w:tcPr>
            <w:tcW w:w="1276" w:type="dxa"/>
            <w:tcBorders>
              <w:top w:val="single" w:sz="4" w:space="0" w:color="auto"/>
              <w:left w:val="nil"/>
              <w:bottom w:val="single" w:sz="4" w:space="0" w:color="auto"/>
              <w:right w:val="nil"/>
            </w:tcBorders>
            <w:shd w:val="clear" w:color="auto" w:fill="113651"/>
          </w:tcPr>
          <w:p w14:paraId="1B33DA4D" w14:textId="77777777" w:rsidR="00B5016C" w:rsidRPr="00897FD5" w:rsidRDefault="00B5016C" w:rsidP="00B5016C">
            <w:pPr>
              <w:pStyle w:val="Tablerowtext"/>
              <w:jc w:val="center"/>
            </w:pPr>
          </w:p>
        </w:tc>
      </w:tr>
      <w:tr w:rsidR="00B5016C" w:rsidRPr="00897FD5" w14:paraId="23D0ACF4" w14:textId="77777777" w:rsidTr="00CC6845">
        <w:trPr>
          <w:cantSplit/>
        </w:trPr>
        <w:tc>
          <w:tcPr>
            <w:tcW w:w="5382" w:type="dxa"/>
            <w:tcBorders>
              <w:top w:val="single" w:sz="4" w:space="0" w:color="auto"/>
              <w:left w:val="nil"/>
              <w:bottom w:val="single" w:sz="4" w:space="0" w:color="auto"/>
              <w:right w:val="nil"/>
            </w:tcBorders>
          </w:tcPr>
          <w:p w14:paraId="112A5CBE" w14:textId="759596B3" w:rsidR="00B5016C" w:rsidRPr="00897FD5" w:rsidRDefault="00B5016C" w:rsidP="00B5016C">
            <w:pPr>
              <w:pStyle w:val="Tabletext"/>
            </w:pPr>
            <w:r w:rsidRPr="00DC063A">
              <w:t>Amounts recei</w:t>
            </w:r>
            <w:r>
              <w:t>ved from and paid to other CMOs</w:t>
            </w:r>
          </w:p>
        </w:tc>
        <w:tc>
          <w:tcPr>
            <w:tcW w:w="851" w:type="dxa"/>
            <w:tcBorders>
              <w:top w:val="single" w:sz="4" w:space="0" w:color="auto"/>
              <w:left w:val="nil"/>
              <w:bottom w:val="single" w:sz="4" w:space="0" w:color="auto"/>
              <w:right w:val="nil"/>
            </w:tcBorders>
          </w:tcPr>
          <w:p w14:paraId="213496DA" w14:textId="615546FF" w:rsidR="00B5016C" w:rsidRPr="00897FD5" w:rsidRDefault="00B5016C" w:rsidP="00B5016C">
            <w:pPr>
              <w:pStyle w:val="Tablerowtext"/>
              <w:jc w:val="center"/>
            </w:pPr>
            <w:r>
              <w:t>N</w:t>
            </w:r>
            <w:r>
              <w:rPr>
                <w:rStyle w:val="EndnoteReference"/>
                <w:sz w:val="20"/>
              </w:rPr>
              <w:endnoteReference w:id="214"/>
            </w:r>
          </w:p>
        </w:tc>
        <w:tc>
          <w:tcPr>
            <w:tcW w:w="850" w:type="dxa"/>
            <w:tcBorders>
              <w:top w:val="single" w:sz="4" w:space="0" w:color="auto"/>
              <w:left w:val="nil"/>
              <w:bottom w:val="single" w:sz="4" w:space="0" w:color="auto"/>
              <w:right w:val="nil"/>
            </w:tcBorders>
          </w:tcPr>
          <w:p w14:paraId="798BFB04" w14:textId="3098E759" w:rsidR="00B5016C" w:rsidRPr="00897FD5" w:rsidRDefault="00B5016C" w:rsidP="00B5016C">
            <w:pPr>
              <w:pStyle w:val="Tablerowtext"/>
              <w:jc w:val="center"/>
            </w:pPr>
            <w:r>
              <w:t>Y</w:t>
            </w:r>
            <w:r>
              <w:rPr>
                <w:rStyle w:val="EndnoteReference"/>
                <w:sz w:val="20"/>
              </w:rPr>
              <w:endnoteReference w:id="215"/>
            </w:r>
          </w:p>
        </w:tc>
        <w:tc>
          <w:tcPr>
            <w:tcW w:w="1134" w:type="dxa"/>
            <w:tcBorders>
              <w:top w:val="single" w:sz="4" w:space="0" w:color="auto"/>
              <w:left w:val="nil"/>
              <w:bottom w:val="single" w:sz="4" w:space="0" w:color="auto"/>
              <w:right w:val="nil"/>
            </w:tcBorders>
          </w:tcPr>
          <w:p w14:paraId="0A29AFC8" w14:textId="39F33CCC" w:rsidR="00B5016C" w:rsidRPr="00897FD5" w:rsidRDefault="00B5016C" w:rsidP="00B5016C">
            <w:pPr>
              <w:pStyle w:val="Tablerowtext"/>
              <w:jc w:val="center"/>
            </w:pPr>
            <w:r>
              <w:t>Y (foreign)</w:t>
            </w:r>
            <w:r>
              <w:rPr>
                <w:rStyle w:val="EndnoteReference"/>
                <w:sz w:val="20"/>
              </w:rPr>
              <w:endnoteReference w:id="216"/>
            </w:r>
          </w:p>
        </w:tc>
        <w:tc>
          <w:tcPr>
            <w:tcW w:w="1276" w:type="dxa"/>
            <w:tcBorders>
              <w:top w:val="single" w:sz="4" w:space="0" w:color="auto"/>
              <w:left w:val="nil"/>
              <w:bottom w:val="single" w:sz="4" w:space="0" w:color="auto"/>
              <w:right w:val="nil"/>
            </w:tcBorders>
          </w:tcPr>
          <w:p w14:paraId="7C4951B6" w14:textId="3FD7DCB6" w:rsidR="00B5016C" w:rsidRPr="00897FD5" w:rsidRDefault="00B5016C" w:rsidP="00B5016C">
            <w:pPr>
              <w:pStyle w:val="Tablerowtext"/>
              <w:jc w:val="center"/>
            </w:pPr>
            <w:r>
              <w:t>Y (part)</w:t>
            </w:r>
            <w:r>
              <w:rPr>
                <w:rStyle w:val="EndnoteReference"/>
                <w:sz w:val="20"/>
              </w:rPr>
              <w:endnoteReference w:id="217"/>
            </w:r>
          </w:p>
        </w:tc>
      </w:tr>
      <w:tr w:rsidR="00B5016C" w:rsidRPr="00897FD5" w14:paraId="343A9016" w14:textId="77777777" w:rsidTr="00B5016C">
        <w:trPr>
          <w:cantSplit/>
        </w:trPr>
        <w:tc>
          <w:tcPr>
            <w:tcW w:w="5382" w:type="dxa"/>
            <w:tcBorders>
              <w:top w:val="single" w:sz="4" w:space="0" w:color="auto"/>
              <w:left w:val="nil"/>
              <w:bottom w:val="single" w:sz="4" w:space="0" w:color="auto"/>
              <w:right w:val="nil"/>
            </w:tcBorders>
          </w:tcPr>
          <w:p w14:paraId="7169E402" w14:textId="1151B024" w:rsidR="00B5016C" w:rsidRPr="00897FD5" w:rsidRDefault="00B5016C" w:rsidP="00B5016C">
            <w:pPr>
              <w:pStyle w:val="Tabletext"/>
            </w:pPr>
            <w:r w:rsidRPr="00DC063A">
              <w:t>Management fees and other deductions from rights revenue due to other CMOs</w:t>
            </w:r>
            <w:r>
              <w:t>, and from amounts paid by other CMOs</w:t>
            </w:r>
          </w:p>
        </w:tc>
        <w:tc>
          <w:tcPr>
            <w:tcW w:w="851" w:type="dxa"/>
            <w:tcBorders>
              <w:top w:val="single" w:sz="4" w:space="0" w:color="auto"/>
              <w:left w:val="nil"/>
              <w:bottom w:val="single" w:sz="4" w:space="0" w:color="auto"/>
              <w:right w:val="nil"/>
            </w:tcBorders>
          </w:tcPr>
          <w:p w14:paraId="065D26DA" w14:textId="05DF1957" w:rsidR="00B5016C" w:rsidRPr="00897FD5" w:rsidRDefault="00B5016C" w:rsidP="00B5016C">
            <w:pPr>
              <w:pStyle w:val="Tablerowtext"/>
              <w:jc w:val="center"/>
            </w:pPr>
            <w:r>
              <w:t>N</w:t>
            </w:r>
          </w:p>
        </w:tc>
        <w:tc>
          <w:tcPr>
            <w:tcW w:w="850" w:type="dxa"/>
            <w:tcBorders>
              <w:top w:val="single" w:sz="4" w:space="0" w:color="auto"/>
              <w:left w:val="nil"/>
              <w:bottom w:val="single" w:sz="4" w:space="0" w:color="auto"/>
              <w:right w:val="nil"/>
            </w:tcBorders>
          </w:tcPr>
          <w:p w14:paraId="3EA8404D" w14:textId="5ADBE44A" w:rsidR="00B5016C" w:rsidRPr="00897FD5" w:rsidRDefault="00B5016C" w:rsidP="00B5016C">
            <w:pPr>
              <w:pStyle w:val="Tablerowtext"/>
              <w:jc w:val="center"/>
            </w:pPr>
            <w:r>
              <w:t>Y</w:t>
            </w:r>
            <w:r>
              <w:rPr>
                <w:rStyle w:val="EndnoteReference"/>
                <w:sz w:val="20"/>
              </w:rPr>
              <w:endnoteReference w:id="218"/>
            </w:r>
          </w:p>
        </w:tc>
        <w:tc>
          <w:tcPr>
            <w:tcW w:w="1134" w:type="dxa"/>
            <w:tcBorders>
              <w:top w:val="single" w:sz="4" w:space="0" w:color="auto"/>
              <w:left w:val="nil"/>
              <w:bottom w:val="single" w:sz="4" w:space="0" w:color="auto"/>
              <w:right w:val="nil"/>
            </w:tcBorders>
          </w:tcPr>
          <w:p w14:paraId="57B7B246" w14:textId="4A0783CB" w:rsidR="00B5016C" w:rsidRPr="00897FD5" w:rsidRDefault="00B5016C" w:rsidP="00B5016C">
            <w:pPr>
              <w:pStyle w:val="Tablerowtext"/>
              <w:jc w:val="center"/>
            </w:pPr>
            <w:r>
              <w:t>Y (foreign)</w:t>
            </w:r>
            <w:r>
              <w:rPr>
                <w:rStyle w:val="EndnoteReference"/>
                <w:sz w:val="20"/>
              </w:rPr>
              <w:endnoteReference w:id="219"/>
            </w:r>
          </w:p>
        </w:tc>
        <w:tc>
          <w:tcPr>
            <w:tcW w:w="1276" w:type="dxa"/>
            <w:tcBorders>
              <w:top w:val="single" w:sz="4" w:space="0" w:color="auto"/>
              <w:left w:val="nil"/>
              <w:bottom w:val="single" w:sz="4" w:space="0" w:color="auto"/>
              <w:right w:val="nil"/>
            </w:tcBorders>
          </w:tcPr>
          <w:p w14:paraId="3D3EFB46" w14:textId="4F1DB382" w:rsidR="00B5016C" w:rsidRPr="00897FD5" w:rsidRDefault="00B5016C" w:rsidP="00B5016C">
            <w:pPr>
              <w:pStyle w:val="Tablerowtext"/>
              <w:jc w:val="center"/>
            </w:pPr>
            <w:r>
              <w:t>N</w:t>
            </w:r>
            <w:r>
              <w:rPr>
                <w:rStyle w:val="EndnoteReference"/>
                <w:sz w:val="20"/>
              </w:rPr>
              <w:endnoteReference w:id="220"/>
            </w:r>
          </w:p>
        </w:tc>
      </w:tr>
      <w:tr w:rsidR="00B5016C" w:rsidRPr="00897FD5" w14:paraId="122B30B8" w14:textId="77777777" w:rsidTr="00B5016C">
        <w:trPr>
          <w:cantSplit/>
        </w:trPr>
        <w:tc>
          <w:tcPr>
            <w:tcW w:w="5382" w:type="dxa"/>
            <w:tcBorders>
              <w:top w:val="single" w:sz="4" w:space="0" w:color="auto"/>
              <w:left w:val="nil"/>
              <w:bottom w:val="single" w:sz="4" w:space="0" w:color="auto"/>
              <w:right w:val="nil"/>
            </w:tcBorders>
          </w:tcPr>
          <w:p w14:paraId="4F015C1F" w14:textId="5B9701D4" w:rsidR="00B5016C" w:rsidRPr="00897FD5" w:rsidRDefault="00B5016C" w:rsidP="00B5016C">
            <w:pPr>
              <w:pStyle w:val="Tabletext"/>
            </w:pPr>
            <w:r w:rsidRPr="00DC063A">
              <w:t>Amounts distributed directly to rightsholders originating from other CMOs</w:t>
            </w:r>
          </w:p>
        </w:tc>
        <w:tc>
          <w:tcPr>
            <w:tcW w:w="851" w:type="dxa"/>
            <w:tcBorders>
              <w:top w:val="single" w:sz="4" w:space="0" w:color="auto"/>
              <w:left w:val="nil"/>
              <w:bottom w:val="single" w:sz="4" w:space="0" w:color="auto"/>
              <w:right w:val="nil"/>
            </w:tcBorders>
          </w:tcPr>
          <w:p w14:paraId="0237E03E" w14:textId="4B2E0871" w:rsidR="00B5016C" w:rsidRPr="00897FD5" w:rsidRDefault="00B5016C" w:rsidP="00B5016C">
            <w:pPr>
              <w:pStyle w:val="Tablerowtext"/>
              <w:jc w:val="center"/>
            </w:pPr>
            <w:r>
              <w:t>N</w:t>
            </w:r>
          </w:p>
        </w:tc>
        <w:tc>
          <w:tcPr>
            <w:tcW w:w="850" w:type="dxa"/>
            <w:tcBorders>
              <w:top w:val="single" w:sz="4" w:space="0" w:color="auto"/>
              <w:left w:val="nil"/>
              <w:bottom w:val="single" w:sz="4" w:space="0" w:color="auto"/>
              <w:right w:val="nil"/>
            </w:tcBorders>
          </w:tcPr>
          <w:p w14:paraId="34A248DF" w14:textId="4006BC81" w:rsidR="00B5016C" w:rsidRPr="00897FD5" w:rsidRDefault="00B5016C" w:rsidP="00B5016C">
            <w:pPr>
              <w:pStyle w:val="Tablerowtext"/>
              <w:jc w:val="center"/>
            </w:pPr>
            <w:r>
              <w:t>Y</w:t>
            </w:r>
            <w:r>
              <w:rPr>
                <w:rStyle w:val="EndnoteReference"/>
                <w:sz w:val="20"/>
              </w:rPr>
              <w:endnoteReference w:id="221"/>
            </w:r>
          </w:p>
        </w:tc>
        <w:tc>
          <w:tcPr>
            <w:tcW w:w="1134" w:type="dxa"/>
            <w:tcBorders>
              <w:top w:val="single" w:sz="4" w:space="0" w:color="auto"/>
              <w:left w:val="nil"/>
              <w:bottom w:val="single" w:sz="4" w:space="0" w:color="auto"/>
              <w:right w:val="nil"/>
            </w:tcBorders>
          </w:tcPr>
          <w:p w14:paraId="50D25C25" w14:textId="3E6BE0F1" w:rsidR="00B5016C" w:rsidRPr="00897FD5" w:rsidRDefault="00B5016C" w:rsidP="00B5016C">
            <w:pPr>
              <w:pStyle w:val="Tablerowtext"/>
              <w:jc w:val="center"/>
            </w:pPr>
            <w:r>
              <w:t>N</w:t>
            </w:r>
          </w:p>
        </w:tc>
        <w:tc>
          <w:tcPr>
            <w:tcW w:w="1276" w:type="dxa"/>
            <w:tcBorders>
              <w:top w:val="single" w:sz="4" w:space="0" w:color="auto"/>
              <w:left w:val="nil"/>
              <w:bottom w:val="single" w:sz="4" w:space="0" w:color="auto"/>
              <w:right w:val="nil"/>
            </w:tcBorders>
          </w:tcPr>
          <w:p w14:paraId="3125CCB6" w14:textId="4BA15F7B" w:rsidR="00B5016C" w:rsidRPr="00897FD5" w:rsidRDefault="00B5016C" w:rsidP="00B5016C">
            <w:pPr>
              <w:pStyle w:val="Tablerowtext"/>
              <w:jc w:val="center"/>
            </w:pPr>
            <w:r>
              <w:t>N</w:t>
            </w:r>
            <w:r>
              <w:rPr>
                <w:rStyle w:val="EndnoteReference"/>
                <w:sz w:val="20"/>
              </w:rPr>
              <w:endnoteReference w:id="222"/>
            </w:r>
          </w:p>
        </w:tc>
      </w:tr>
      <w:tr w:rsidR="00B5016C" w:rsidRPr="00897FD5" w14:paraId="246AFFE9" w14:textId="77777777" w:rsidTr="00B5016C">
        <w:trPr>
          <w:cantSplit/>
        </w:trPr>
        <w:tc>
          <w:tcPr>
            <w:tcW w:w="5382" w:type="dxa"/>
            <w:tcBorders>
              <w:top w:val="single" w:sz="4" w:space="0" w:color="auto"/>
              <w:left w:val="nil"/>
              <w:bottom w:val="single" w:sz="4" w:space="0" w:color="auto"/>
              <w:right w:val="nil"/>
            </w:tcBorders>
            <w:shd w:val="clear" w:color="auto" w:fill="113651"/>
          </w:tcPr>
          <w:p w14:paraId="33730FA8" w14:textId="0AA08614" w:rsidR="00B5016C" w:rsidRPr="00897FD5" w:rsidRDefault="00B5016C" w:rsidP="00B5016C">
            <w:pPr>
              <w:pStyle w:val="Tabletext"/>
            </w:pPr>
            <w:r w:rsidRPr="00B5016C">
              <w:rPr>
                <w:b/>
              </w:rPr>
              <w:t>Deductions for the purposes of social, cultural and educational services</w:t>
            </w:r>
            <w:r w:rsidRPr="00DC063A">
              <w:t xml:space="preserve"> (per type of purpose, category of rights managed and type of use):</w:t>
            </w:r>
          </w:p>
        </w:tc>
        <w:tc>
          <w:tcPr>
            <w:tcW w:w="851" w:type="dxa"/>
            <w:tcBorders>
              <w:top w:val="single" w:sz="4" w:space="0" w:color="auto"/>
              <w:left w:val="nil"/>
              <w:bottom w:val="single" w:sz="4" w:space="0" w:color="auto"/>
              <w:right w:val="nil"/>
            </w:tcBorders>
            <w:shd w:val="clear" w:color="auto" w:fill="113651"/>
          </w:tcPr>
          <w:p w14:paraId="602C6B7B" w14:textId="77777777" w:rsidR="00B5016C" w:rsidRPr="00897FD5" w:rsidRDefault="00B5016C" w:rsidP="00B5016C">
            <w:pPr>
              <w:pStyle w:val="Tablerowtext"/>
              <w:jc w:val="center"/>
            </w:pPr>
          </w:p>
        </w:tc>
        <w:tc>
          <w:tcPr>
            <w:tcW w:w="850" w:type="dxa"/>
            <w:tcBorders>
              <w:top w:val="single" w:sz="4" w:space="0" w:color="auto"/>
              <w:left w:val="nil"/>
              <w:bottom w:val="single" w:sz="4" w:space="0" w:color="auto"/>
              <w:right w:val="nil"/>
            </w:tcBorders>
            <w:shd w:val="clear" w:color="auto" w:fill="113651"/>
          </w:tcPr>
          <w:p w14:paraId="23244A84" w14:textId="77777777" w:rsidR="00B5016C" w:rsidRPr="00897FD5" w:rsidRDefault="00B5016C" w:rsidP="00B5016C">
            <w:pPr>
              <w:pStyle w:val="Tablerowtext"/>
              <w:jc w:val="center"/>
            </w:pPr>
          </w:p>
        </w:tc>
        <w:tc>
          <w:tcPr>
            <w:tcW w:w="1134" w:type="dxa"/>
            <w:tcBorders>
              <w:top w:val="single" w:sz="4" w:space="0" w:color="auto"/>
              <w:left w:val="nil"/>
              <w:bottom w:val="single" w:sz="4" w:space="0" w:color="auto"/>
              <w:right w:val="nil"/>
            </w:tcBorders>
            <w:shd w:val="clear" w:color="auto" w:fill="113651"/>
          </w:tcPr>
          <w:p w14:paraId="424B74F5" w14:textId="77777777" w:rsidR="00B5016C" w:rsidRPr="00897FD5" w:rsidRDefault="00B5016C" w:rsidP="00B5016C">
            <w:pPr>
              <w:pStyle w:val="Tablerowtext"/>
              <w:jc w:val="center"/>
            </w:pPr>
          </w:p>
        </w:tc>
        <w:tc>
          <w:tcPr>
            <w:tcW w:w="1276" w:type="dxa"/>
            <w:tcBorders>
              <w:top w:val="single" w:sz="4" w:space="0" w:color="auto"/>
              <w:left w:val="nil"/>
              <w:bottom w:val="single" w:sz="4" w:space="0" w:color="auto"/>
              <w:right w:val="nil"/>
            </w:tcBorders>
            <w:shd w:val="clear" w:color="auto" w:fill="113651"/>
          </w:tcPr>
          <w:p w14:paraId="63D2AE06" w14:textId="77777777" w:rsidR="00B5016C" w:rsidRPr="00897FD5" w:rsidRDefault="00B5016C" w:rsidP="00B5016C">
            <w:pPr>
              <w:pStyle w:val="Tablerowtext"/>
              <w:jc w:val="center"/>
            </w:pPr>
          </w:p>
        </w:tc>
      </w:tr>
      <w:tr w:rsidR="00B5016C" w:rsidRPr="00897FD5" w14:paraId="7A2C3652" w14:textId="77777777" w:rsidTr="00B5016C">
        <w:trPr>
          <w:cantSplit/>
        </w:trPr>
        <w:tc>
          <w:tcPr>
            <w:tcW w:w="5382" w:type="dxa"/>
            <w:tcBorders>
              <w:top w:val="single" w:sz="4" w:space="0" w:color="auto"/>
              <w:left w:val="nil"/>
              <w:bottom w:val="single" w:sz="4" w:space="0" w:color="auto"/>
              <w:right w:val="nil"/>
            </w:tcBorders>
          </w:tcPr>
          <w:p w14:paraId="6575331F" w14:textId="0D83A8DF" w:rsidR="00B5016C" w:rsidRPr="00897FD5" w:rsidRDefault="00B5016C" w:rsidP="00B5016C">
            <w:pPr>
              <w:pStyle w:val="Tabletext"/>
            </w:pPr>
            <w:r w:rsidRPr="00DC063A">
              <w:t>Amounts deducted in the financial year</w:t>
            </w:r>
          </w:p>
        </w:tc>
        <w:tc>
          <w:tcPr>
            <w:tcW w:w="851" w:type="dxa"/>
            <w:tcBorders>
              <w:top w:val="single" w:sz="4" w:space="0" w:color="auto"/>
              <w:left w:val="nil"/>
              <w:bottom w:val="single" w:sz="4" w:space="0" w:color="auto"/>
              <w:right w:val="nil"/>
            </w:tcBorders>
          </w:tcPr>
          <w:p w14:paraId="5C3710BD" w14:textId="21BCC5F5" w:rsidR="00B5016C" w:rsidRPr="00897FD5" w:rsidRDefault="00B5016C" w:rsidP="00B5016C">
            <w:pPr>
              <w:pStyle w:val="Tablerowtext"/>
              <w:jc w:val="center"/>
            </w:pPr>
            <w:r>
              <w:t>N</w:t>
            </w:r>
            <w:r>
              <w:rPr>
                <w:rStyle w:val="EndnoteReference"/>
                <w:sz w:val="20"/>
              </w:rPr>
              <w:endnoteReference w:id="223"/>
            </w:r>
          </w:p>
        </w:tc>
        <w:tc>
          <w:tcPr>
            <w:tcW w:w="850" w:type="dxa"/>
            <w:tcBorders>
              <w:top w:val="single" w:sz="4" w:space="0" w:color="auto"/>
              <w:left w:val="nil"/>
              <w:bottom w:val="single" w:sz="4" w:space="0" w:color="auto"/>
              <w:right w:val="nil"/>
            </w:tcBorders>
          </w:tcPr>
          <w:p w14:paraId="478A12C1" w14:textId="287EE376" w:rsidR="00B5016C" w:rsidRPr="00897FD5" w:rsidRDefault="00B5016C" w:rsidP="00B5016C">
            <w:pPr>
              <w:pStyle w:val="Tablerowtext"/>
              <w:jc w:val="center"/>
            </w:pPr>
            <w:r>
              <w:t>Y</w:t>
            </w:r>
            <w:r>
              <w:rPr>
                <w:rStyle w:val="EndnoteReference"/>
                <w:sz w:val="20"/>
              </w:rPr>
              <w:endnoteReference w:id="224"/>
            </w:r>
          </w:p>
        </w:tc>
        <w:tc>
          <w:tcPr>
            <w:tcW w:w="1134" w:type="dxa"/>
            <w:tcBorders>
              <w:top w:val="single" w:sz="4" w:space="0" w:color="auto"/>
              <w:left w:val="nil"/>
              <w:bottom w:val="single" w:sz="4" w:space="0" w:color="auto"/>
              <w:right w:val="nil"/>
            </w:tcBorders>
          </w:tcPr>
          <w:p w14:paraId="16FE45C4" w14:textId="4E820FA8" w:rsidR="00B5016C" w:rsidRPr="00897FD5" w:rsidRDefault="00B5016C" w:rsidP="00B5016C">
            <w:pPr>
              <w:pStyle w:val="Tablerowtext"/>
              <w:jc w:val="center"/>
            </w:pPr>
            <w:r>
              <w:t>Y</w:t>
            </w:r>
          </w:p>
        </w:tc>
        <w:tc>
          <w:tcPr>
            <w:tcW w:w="1276" w:type="dxa"/>
            <w:tcBorders>
              <w:top w:val="single" w:sz="4" w:space="0" w:color="auto"/>
              <w:left w:val="nil"/>
              <w:bottom w:val="single" w:sz="4" w:space="0" w:color="auto"/>
              <w:right w:val="nil"/>
            </w:tcBorders>
          </w:tcPr>
          <w:p w14:paraId="33C726E7" w14:textId="6E9F8110" w:rsidR="00B5016C" w:rsidRPr="00897FD5" w:rsidRDefault="00B5016C" w:rsidP="00B5016C">
            <w:pPr>
              <w:pStyle w:val="Tablerowtext"/>
              <w:jc w:val="center"/>
            </w:pPr>
            <w:r>
              <w:t>N/A</w:t>
            </w:r>
            <w:r>
              <w:rPr>
                <w:rStyle w:val="EndnoteReference"/>
                <w:sz w:val="20"/>
              </w:rPr>
              <w:endnoteReference w:id="225"/>
            </w:r>
          </w:p>
        </w:tc>
      </w:tr>
      <w:tr w:rsidR="00B5016C" w:rsidRPr="00897FD5" w14:paraId="3F4B3F08" w14:textId="77777777" w:rsidTr="00A0483F">
        <w:trPr>
          <w:cantSplit/>
        </w:trPr>
        <w:tc>
          <w:tcPr>
            <w:tcW w:w="5382" w:type="dxa"/>
            <w:tcBorders>
              <w:top w:val="single" w:sz="4" w:space="0" w:color="auto"/>
              <w:left w:val="nil"/>
              <w:bottom w:val="single" w:sz="12" w:space="0" w:color="auto"/>
              <w:right w:val="nil"/>
            </w:tcBorders>
          </w:tcPr>
          <w:p w14:paraId="5DEAD85F" w14:textId="10CD959F" w:rsidR="00B5016C" w:rsidRPr="00897FD5" w:rsidRDefault="00B5016C" w:rsidP="00B5016C">
            <w:pPr>
              <w:pStyle w:val="Tabletext"/>
            </w:pPr>
            <w:r w:rsidRPr="00DC063A">
              <w:t xml:space="preserve">Explanation of use of </w:t>
            </w:r>
            <w:r>
              <w:t xml:space="preserve">such </w:t>
            </w:r>
            <w:r w:rsidRPr="00DC063A">
              <w:t xml:space="preserve">amounts, including management </w:t>
            </w:r>
            <w:r>
              <w:t>fees</w:t>
            </w:r>
          </w:p>
        </w:tc>
        <w:tc>
          <w:tcPr>
            <w:tcW w:w="851" w:type="dxa"/>
            <w:tcBorders>
              <w:top w:val="single" w:sz="4" w:space="0" w:color="auto"/>
              <w:left w:val="nil"/>
              <w:bottom w:val="single" w:sz="12" w:space="0" w:color="auto"/>
              <w:right w:val="nil"/>
            </w:tcBorders>
          </w:tcPr>
          <w:p w14:paraId="157B9E2A" w14:textId="39F1A83D" w:rsidR="00B5016C" w:rsidRPr="00897FD5" w:rsidRDefault="00B5016C" w:rsidP="00B5016C">
            <w:pPr>
              <w:pStyle w:val="Tablerowtext"/>
              <w:jc w:val="center"/>
            </w:pPr>
            <w:r>
              <w:t>Y</w:t>
            </w:r>
            <w:r>
              <w:rPr>
                <w:rStyle w:val="EndnoteReference"/>
                <w:sz w:val="20"/>
              </w:rPr>
              <w:endnoteReference w:id="226"/>
            </w:r>
          </w:p>
        </w:tc>
        <w:tc>
          <w:tcPr>
            <w:tcW w:w="850" w:type="dxa"/>
            <w:tcBorders>
              <w:top w:val="single" w:sz="4" w:space="0" w:color="auto"/>
              <w:left w:val="nil"/>
              <w:bottom w:val="single" w:sz="12" w:space="0" w:color="auto"/>
              <w:right w:val="nil"/>
            </w:tcBorders>
          </w:tcPr>
          <w:p w14:paraId="426F6914" w14:textId="7449ADC4" w:rsidR="00B5016C" w:rsidRPr="00897FD5" w:rsidRDefault="00B5016C" w:rsidP="00B5016C">
            <w:pPr>
              <w:pStyle w:val="Tablerowtext"/>
              <w:jc w:val="center"/>
            </w:pPr>
            <w:r>
              <w:t>N</w:t>
            </w:r>
          </w:p>
        </w:tc>
        <w:tc>
          <w:tcPr>
            <w:tcW w:w="1134" w:type="dxa"/>
            <w:tcBorders>
              <w:top w:val="single" w:sz="4" w:space="0" w:color="auto"/>
              <w:left w:val="nil"/>
              <w:bottom w:val="single" w:sz="12" w:space="0" w:color="auto"/>
              <w:right w:val="nil"/>
            </w:tcBorders>
          </w:tcPr>
          <w:p w14:paraId="471F0A78" w14:textId="499C2CCB" w:rsidR="00B5016C" w:rsidRPr="00897FD5" w:rsidRDefault="00B5016C" w:rsidP="00B5016C">
            <w:pPr>
              <w:pStyle w:val="Tablerowtext"/>
              <w:jc w:val="center"/>
            </w:pPr>
            <w:r>
              <w:t>Y (part)</w:t>
            </w:r>
            <w:r>
              <w:rPr>
                <w:rStyle w:val="EndnoteReference"/>
                <w:sz w:val="20"/>
              </w:rPr>
              <w:endnoteReference w:id="227"/>
            </w:r>
          </w:p>
        </w:tc>
        <w:tc>
          <w:tcPr>
            <w:tcW w:w="1276" w:type="dxa"/>
            <w:tcBorders>
              <w:top w:val="single" w:sz="4" w:space="0" w:color="auto"/>
              <w:left w:val="nil"/>
              <w:bottom w:val="single" w:sz="12" w:space="0" w:color="auto"/>
              <w:right w:val="nil"/>
            </w:tcBorders>
          </w:tcPr>
          <w:p w14:paraId="0CE16E25" w14:textId="5017817A" w:rsidR="00B5016C" w:rsidRPr="00897FD5" w:rsidRDefault="00B5016C" w:rsidP="00B5016C">
            <w:pPr>
              <w:pStyle w:val="Tablerowtext"/>
              <w:jc w:val="center"/>
            </w:pPr>
            <w:r>
              <w:t>N/A</w:t>
            </w:r>
          </w:p>
        </w:tc>
      </w:tr>
    </w:tbl>
    <w:p w14:paraId="1D8FB40F" w14:textId="77777777" w:rsidR="007E7021" w:rsidRDefault="007E7021" w:rsidP="007E7021">
      <w:pPr>
        <w:pStyle w:val="Sourcenotes"/>
      </w:pPr>
      <w:r w:rsidRPr="00682642">
        <w:rPr>
          <w:b/>
        </w:rPr>
        <w:t>Source</w:t>
      </w:r>
      <w:r>
        <w:t>: based on information made available by the identified collecting societies, including on their respective websites.</w:t>
      </w:r>
    </w:p>
    <w:p w14:paraId="1F2A0FC9" w14:textId="1B6846D9" w:rsidR="004B4BEB" w:rsidRDefault="004B4BEB">
      <w:pPr>
        <w:spacing w:after="160" w:line="259" w:lineRule="auto"/>
        <w:rPr>
          <w:rFonts w:eastAsiaTheme="minorHAnsi"/>
          <w:lang w:eastAsia="en-US"/>
        </w:rPr>
      </w:pPr>
      <w:r>
        <w:rPr>
          <w:rFonts w:eastAsiaTheme="minorHAnsi"/>
          <w:lang w:eastAsia="en-US"/>
        </w:rPr>
        <w:br w:type="page"/>
      </w:r>
    </w:p>
    <w:p w14:paraId="4C79D66F" w14:textId="77777777" w:rsidR="00CA07DA" w:rsidRPr="00D5394A" w:rsidRDefault="00CA07DA" w:rsidP="00CA07DA">
      <w:pPr>
        <w:pStyle w:val="Heading2"/>
      </w:pPr>
      <w:bookmarkStart w:id="362" w:name="_Toc493755797"/>
      <w:bookmarkStart w:id="363" w:name="_Toc504393040"/>
      <w:bookmarkStart w:id="364" w:name="_Toc506373296"/>
      <w:bookmarkEnd w:id="11"/>
      <w:bookmarkEnd w:id="12"/>
      <w:bookmarkEnd w:id="13"/>
      <w:r>
        <w:t>References</w:t>
      </w:r>
      <w:bookmarkEnd w:id="362"/>
      <w:bookmarkEnd w:id="363"/>
      <w:bookmarkEnd w:id="364"/>
    </w:p>
    <w:sectPr w:rsidR="00CA07DA" w:rsidRPr="00D5394A" w:rsidSect="00897FD5">
      <w:headerReference w:type="default" r:id="rId21"/>
      <w:footerReference w:type="default" r:id="rId22"/>
      <w:endnotePr>
        <w:numFmt w:val="decimal"/>
      </w:endnotePr>
      <w:type w:val="continuous"/>
      <w:pgSz w:w="11906" w:h="16838"/>
      <w:pgMar w:top="1440" w:right="1133" w:bottom="1276" w:left="1440" w:header="34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E6B84" w14:textId="77777777" w:rsidR="004E343D" w:rsidRDefault="004E343D" w:rsidP="00FA1359">
      <w:pPr>
        <w:spacing w:after="0"/>
      </w:pPr>
      <w:r>
        <w:separator/>
      </w:r>
    </w:p>
  </w:endnote>
  <w:endnote w:type="continuationSeparator" w:id="0">
    <w:p w14:paraId="593B2B80" w14:textId="77777777" w:rsidR="004E343D" w:rsidRDefault="004E343D" w:rsidP="00FA1359">
      <w:pPr>
        <w:spacing w:after="0"/>
      </w:pPr>
      <w:r>
        <w:continuationSeparator/>
      </w:r>
    </w:p>
  </w:endnote>
  <w:endnote w:type="continuationNotice" w:id="1">
    <w:p w14:paraId="0A7F6203" w14:textId="77777777" w:rsidR="004E343D" w:rsidRDefault="004E343D">
      <w:pPr>
        <w:spacing w:after="0"/>
      </w:pPr>
    </w:p>
  </w:endnote>
  <w:endnote w:id="2">
    <w:p w14:paraId="16E12DB9" w14:textId="77777777" w:rsidR="004E343D" w:rsidRDefault="004E343D" w:rsidP="007E7021">
      <w:pPr>
        <w:pStyle w:val="EndnoteText"/>
      </w:pPr>
    </w:p>
    <w:p w14:paraId="46F99CC1" w14:textId="77777777" w:rsidR="004E343D" w:rsidRDefault="004E343D" w:rsidP="007E7021">
      <w:pPr>
        <w:pStyle w:val="EndnoteText"/>
      </w:pPr>
      <w:r>
        <w:rPr>
          <w:rStyle w:val="EndnoteReference"/>
        </w:rPr>
        <w:endnoteRef/>
      </w:r>
      <w:r>
        <w:t xml:space="preserve"> Australian Competition and Consumer Commission (2011), </w:t>
      </w:r>
      <w:hyperlink r:id="rId1" w:history="1">
        <w:r w:rsidRPr="00A53BFE">
          <w:rPr>
            <w:rStyle w:val="Hyperlink"/>
          </w:rPr>
          <w:t>Guidelines for developing effective voluntary industry codes of conduct,</w:t>
        </w:r>
      </w:hyperlink>
      <w:r>
        <w:t xml:space="preserve"> July, p. 6.  </w:t>
      </w:r>
    </w:p>
  </w:endnote>
  <w:endnote w:id="3">
    <w:p w14:paraId="4D0F57C3" w14:textId="03CB5489" w:rsidR="004E343D" w:rsidRDefault="004E343D">
      <w:pPr>
        <w:pStyle w:val="EndnoteText"/>
      </w:pPr>
      <w:r>
        <w:rPr>
          <w:rStyle w:val="EndnoteReference"/>
        </w:rPr>
        <w:endnoteRef/>
      </w:r>
      <w:r>
        <w:t xml:space="preserve"> PPCA is an unlisted public company limited by shares, the shares being held by the remaining three of the six founding members. The three members are ineligible to receive any dividend, and they receive remuneration only on the same basis as other licensors, in line with PPCA’s ‘Distribution Policy’ – see Report of the Review of Copyright Collecting Societies’ Compliance with their Code of Conduct for the Year 1 July 2016 to 30 June 2017 at p 54. </w:t>
      </w:r>
    </w:p>
  </w:endnote>
  <w:endnote w:id="4">
    <w:p w14:paraId="70FF794B" w14:textId="07A4D82D" w:rsidR="004E343D" w:rsidRDefault="004E343D" w:rsidP="007E7021">
      <w:pPr>
        <w:pStyle w:val="EndnoteText"/>
      </w:pPr>
      <w:r>
        <w:rPr>
          <w:rStyle w:val="EndnoteReference"/>
        </w:rPr>
        <w:endnoteRef/>
      </w:r>
      <w:r>
        <w:t xml:space="preserve"> Intellectual property licensing is currently exempt from some of the restrictive trade practices provisions under s. 51(3) of the </w:t>
      </w:r>
      <w:r>
        <w:rPr>
          <w:i/>
        </w:rPr>
        <w:t>Competition and Consumer Act 2010</w:t>
      </w:r>
      <w:r>
        <w:t xml:space="preserve"> (Cth). This means that intellectual property rights are not subject to the same competition laws as other property rights. The Productivity Commission has recommended that s.51(3) be repealed: Productivity Commission (2016), </w:t>
      </w:r>
      <w:hyperlink r:id="rId2" w:history="1">
        <w:r>
          <w:rPr>
            <w:rStyle w:val="Hyperlink"/>
          </w:rPr>
          <w:t>Intellectual Property Arrangements</w:t>
        </w:r>
      </w:hyperlink>
      <w:r>
        <w:t xml:space="preserve">, Inquiry Report No. 78, 23 September, p. 37 (Recommendation 15.1). The Government supports this recommendation: Australian Government (2017), </w:t>
      </w:r>
      <w:hyperlink r:id="rId3" w:history="1">
        <w:r w:rsidRPr="00917C9F">
          <w:rPr>
            <w:rStyle w:val="Hyperlink"/>
            <w:i/>
          </w:rPr>
          <w:t>Australian Government Response to the Productivity Commission Inquiry into Intellectual Property Arrangements</w:t>
        </w:r>
      </w:hyperlink>
      <w:r>
        <w:t>, August.</w:t>
      </w:r>
    </w:p>
  </w:endnote>
  <w:endnote w:id="5">
    <w:p w14:paraId="13DD22A4" w14:textId="77777777" w:rsidR="004E343D" w:rsidRDefault="004E343D" w:rsidP="007E7021">
      <w:pPr>
        <w:pStyle w:val="EndnoteText"/>
      </w:pPr>
      <w:r>
        <w:rPr>
          <w:rStyle w:val="EndnoteReference"/>
        </w:rPr>
        <w:endnoteRef/>
      </w:r>
      <w:r>
        <w:t xml:space="preserve"> For example see submissions by the </w:t>
      </w:r>
      <w:hyperlink r:id="rId4" w:history="1">
        <w:r w:rsidRPr="00736383">
          <w:rPr>
            <w:rStyle w:val="Hyperlink"/>
          </w:rPr>
          <w:t>Australian Copyright Council</w:t>
        </w:r>
      </w:hyperlink>
      <w:r>
        <w:t xml:space="preserve">, and </w:t>
      </w:r>
      <w:hyperlink r:id="rId5" w:history="1">
        <w:r w:rsidRPr="00736383">
          <w:rPr>
            <w:rStyle w:val="Hyperlink"/>
          </w:rPr>
          <w:t>Copyright Agency</w:t>
        </w:r>
      </w:hyperlink>
      <w:r>
        <w:t>.</w:t>
      </w:r>
    </w:p>
  </w:endnote>
  <w:endnote w:id="6">
    <w:p w14:paraId="2586B2BD" w14:textId="77777777" w:rsidR="004E343D" w:rsidRDefault="004E343D" w:rsidP="007E7021">
      <w:pPr>
        <w:pStyle w:val="EndnoteText"/>
      </w:pPr>
      <w:r>
        <w:rPr>
          <w:rStyle w:val="EndnoteReference"/>
        </w:rPr>
        <w:endnoteRef/>
      </w:r>
      <w:r>
        <w:t xml:space="preserve"> See for instance submissions by Isentia and Live Performance Australia to the </w:t>
      </w:r>
      <w:hyperlink r:id="rId6" w:history="1">
        <w:r w:rsidRPr="00195B7C">
          <w:rPr>
            <w:rStyle w:val="Hyperlink"/>
          </w:rPr>
          <w:t>Review of the Code of Conduct for Copyright Collecting Societies</w:t>
        </w:r>
      </w:hyperlink>
      <w:r>
        <w:t>.</w:t>
      </w:r>
    </w:p>
  </w:endnote>
  <w:endnote w:id="7">
    <w:p w14:paraId="3B83C93D" w14:textId="5E7CA048" w:rsidR="004E343D" w:rsidRDefault="004E343D" w:rsidP="007E7021">
      <w:pPr>
        <w:pStyle w:val="EndnoteText"/>
      </w:pPr>
      <w:r>
        <w:rPr>
          <w:rStyle w:val="EndnoteReference"/>
        </w:rPr>
        <w:endnoteRef/>
      </w:r>
      <w:r>
        <w:t xml:space="preserve"> </w:t>
      </w:r>
      <w:hyperlink r:id="rId7" w:history="1">
        <w:r w:rsidRPr="00C844C6">
          <w:rPr>
            <w:rStyle w:val="Hyperlink"/>
          </w:rPr>
          <w:t>Code of Conduct for Collecting Societies</w:t>
        </w:r>
      </w:hyperlink>
      <w:r w:rsidRPr="00C844C6">
        <w:t xml:space="preserve">, Amended 1 July 2011, </w:t>
      </w:r>
      <w:r>
        <w:t>clause </w:t>
      </w:r>
      <w:r w:rsidRPr="00C844C6">
        <w:t>2.3(d).</w:t>
      </w:r>
    </w:p>
  </w:endnote>
  <w:endnote w:id="8">
    <w:p w14:paraId="49CBF510" w14:textId="77777777" w:rsidR="004E343D" w:rsidRDefault="004E343D" w:rsidP="007E7021">
      <w:pPr>
        <w:pStyle w:val="EndnoteText"/>
      </w:pPr>
      <w:r>
        <w:rPr>
          <w:rStyle w:val="EndnoteReference"/>
        </w:rPr>
        <w:endnoteRef/>
      </w:r>
      <w:r>
        <w:t xml:space="preserve"> </w:t>
      </w:r>
      <w:r w:rsidRPr="00526F9E">
        <w:t xml:space="preserve">See for example Productivity Commission (2016), </w:t>
      </w:r>
      <w:hyperlink r:id="rId8" w:history="1">
        <w:r w:rsidRPr="00526F9E">
          <w:rPr>
            <w:rStyle w:val="Hyperlink"/>
          </w:rPr>
          <w:t>Intellectual Property Arrangements</w:t>
        </w:r>
      </w:hyperlink>
      <w:r w:rsidRPr="00526F9E">
        <w:t>, Inquiry Report No. 78, 23 September, p</w:t>
      </w:r>
      <w:r>
        <w:t>p. 154-155</w:t>
      </w:r>
      <w:r w:rsidRPr="00526F9E">
        <w:t>.</w:t>
      </w:r>
    </w:p>
  </w:endnote>
  <w:endnote w:id="9">
    <w:p w14:paraId="308540BA" w14:textId="46985AB4" w:rsidR="004E343D" w:rsidRDefault="004E343D" w:rsidP="007E7021">
      <w:pPr>
        <w:pStyle w:val="EndnoteText"/>
      </w:pPr>
      <w:r>
        <w:rPr>
          <w:rStyle w:val="EndnoteReference"/>
        </w:rPr>
        <w:endnoteRef/>
      </w:r>
      <w:r>
        <w:t xml:space="preserve"> See for example APRA AMCOS (2017), submission to Discussion Paper, available from </w:t>
      </w:r>
      <w:hyperlink r:id="rId9" w:history="1">
        <w:r>
          <w:rPr>
            <w:rStyle w:val="Hyperlink"/>
          </w:rPr>
          <w:t>Review of the Code of Conduct for Copyright Collecting Societies</w:t>
        </w:r>
      </w:hyperlink>
      <w:r>
        <w:t>, paragraph 46.</w:t>
      </w:r>
    </w:p>
  </w:endnote>
  <w:endnote w:id="10">
    <w:p w14:paraId="0310F837" w14:textId="77777777" w:rsidR="004E343D" w:rsidRDefault="004E343D" w:rsidP="007E7021">
      <w:pPr>
        <w:pStyle w:val="EndnoteText"/>
      </w:pPr>
      <w:r>
        <w:rPr>
          <w:rStyle w:val="EndnoteReference"/>
        </w:rPr>
        <w:endnoteRef/>
      </w:r>
      <w:r>
        <w:t xml:space="preserve"> See </w:t>
      </w:r>
      <w:hyperlink r:id="rId10" w:history="1">
        <w:r w:rsidRPr="00BA0518">
          <w:rPr>
            <w:rStyle w:val="Hyperlink"/>
          </w:rPr>
          <w:t>http://apraamcos.com.au/media/Customers/State_LG_Consultation_Doc.pdf</w:t>
        </w:r>
      </w:hyperlink>
      <w:r>
        <w:t xml:space="preserve">. </w:t>
      </w:r>
    </w:p>
  </w:endnote>
  <w:endnote w:id="11">
    <w:p w14:paraId="3D0F04E3" w14:textId="77777777" w:rsidR="004E343D" w:rsidRDefault="004E343D" w:rsidP="007E7021">
      <w:pPr>
        <w:pStyle w:val="EndnoteText"/>
      </w:pPr>
      <w:r>
        <w:rPr>
          <w:rStyle w:val="EndnoteReference"/>
        </w:rPr>
        <w:endnoteRef/>
      </w:r>
      <w:r>
        <w:t xml:space="preserve"> Isentia, (2017), </w:t>
      </w:r>
      <w:hyperlink r:id="rId11" w:history="1">
        <w:r w:rsidRPr="00B8312A">
          <w:rPr>
            <w:rStyle w:val="Hyperlink"/>
          </w:rPr>
          <w:t>submission to Discussion Paper</w:t>
        </w:r>
      </w:hyperlink>
      <w:r>
        <w:t xml:space="preserve">, Review of the Code of Conduct for Copyright Collecting Societies, October, pp. 2-3. </w:t>
      </w:r>
    </w:p>
  </w:endnote>
  <w:endnote w:id="12">
    <w:p w14:paraId="043B4712" w14:textId="77777777" w:rsidR="004E343D" w:rsidRDefault="004E343D" w:rsidP="007E7021">
      <w:pPr>
        <w:pStyle w:val="EndnoteText"/>
      </w:pPr>
      <w:r>
        <w:rPr>
          <w:rStyle w:val="EndnoteReference"/>
        </w:rPr>
        <w:endnoteRef/>
      </w:r>
      <w:r>
        <w:t xml:space="preserve"> Free TV Australia (2017), </w:t>
      </w:r>
      <w:hyperlink r:id="rId12" w:history="1">
        <w:r w:rsidRPr="00257B6C">
          <w:rPr>
            <w:rStyle w:val="Hyperlink"/>
          </w:rPr>
          <w:t>submission to the Discussion Paper</w:t>
        </w:r>
      </w:hyperlink>
      <w:r>
        <w:t>, Review of the Code of Conduct for Copyright Collecting Societies, p. 3.</w:t>
      </w:r>
    </w:p>
  </w:endnote>
  <w:endnote w:id="13">
    <w:p w14:paraId="71223668" w14:textId="1A6D0380" w:rsidR="004E343D" w:rsidRDefault="004E343D" w:rsidP="007E7021">
      <w:pPr>
        <w:pStyle w:val="EndnoteText"/>
      </w:pPr>
      <w:r>
        <w:rPr>
          <w:rStyle w:val="EndnoteReference"/>
        </w:rPr>
        <w:endnoteRef/>
      </w:r>
      <w:r>
        <w:t xml:space="preserve"> See, for example, Commonwealth Department of Communications and the Arts (2015), </w:t>
      </w:r>
      <w:hyperlink r:id="rId13" w:history="1">
        <w:r>
          <w:rPr>
            <w:rStyle w:val="Hyperlink"/>
          </w:rPr>
          <w:t>Submission to the Productivity Commission Issues Paper (October 2015) - Intellectual Property Arrangements</w:t>
        </w:r>
      </w:hyperlink>
      <w:r>
        <w:t xml:space="preserve"> (Submission DR154), October, p. 2; Productivity Commission (2016); Statement of Ms Delia Browne, National Copyright Director of the COAG Education Council, Inquiry into intellectual property arrangements - transcript of proceedings, Sydney, 27 June, p. 808.</w:t>
      </w:r>
    </w:p>
  </w:endnote>
  <w:endnote w:id="14">
    <w:p w14:paraId="74D78189" w14:textId="13FA497D" w:rsidR="004E343D" w:rsidRDefault="004E343D">
      <w:pPr>
        <w:pStyle w:val="EndnoteText"/>
      </w:pPr>
      <w:r>
        <w:rPr>
          <w:rStyle w:val="EndnoteReference"/>
        </w:rPr>
        <w:endnoteRef/>
      </w:r>
      <w:r>
        <w:t xml:space="preserve"> Australian Society of Authors, submission to the Discussion Paper, available from the </w:t>
      </w:r>
      <w:hyperlink r:id="rId14" w:history="1">
        <w:r>
          <w:rPr>
            <w:rStyle w:val="Hyperlink"/>
          </w:rPr>
          <w:t>Review of the Code of Conduct for Copyright Collecting Societies</w:t>
        </w:r>
      </w:hyperlink>
      <w:r>
        <w:t>, September, p. 2.</w:t>
      </w:r>
    </w:p>
  </w:endnote>
  <w:endnote w:id="15">
    <w:p w14:paraId="11A6C54C" w14:textId="066AE585" w:rsidR="004E343D" w:rsidRDefault="004E343D" w:rsidP="007E7021">
      <w:pPr>
        <w:pStyle w:val="EndnoteText"/>
      </w:pPr>
      <w:r>
        <w:rPr>
          <w:rStyle w:val="EndnoteReference"/>
        </w:rPr>
        <w:endnoteRef/>
      </w:r>
      <w:r>
        <w:t xml:space="preserve"> </w:t>
      </w:r>
      <w:r>
        <w:rPr>
          <w:i/>
        </w:rPr>
        <w:t>Code of Conduct for Copyright Collecting Societies</w:t>
      </w:r>
      <w:r>
        <w:t xml:space="preserve"> (2017), clause 2.3(c)(ii).</w:t>
      </w:r>
    </w:p>
  </w:endnote>
  <w:endnote w:id="16">
    <w:p w14:paraId="45EB9F05" w14:textId="77777777" w:rsidR="004E343D" w:rsidRDefault="004E343D" w:rsidP="007E7021">
      <w:pPr>
        <w:pStyle w:val="EndnoteText"/>
      </w:pPr>
      <w:r>
        <w:rPr>
          <w:rStyle w:val="EndnoteReference"/>
        </w:rPr>
        <w:endnoteRef/>
      </w:r>
      <w:r>
        <w:t xml:space="preserve"> Screenrights (2017), </w:t>
      </w:r>
      <w:hyperlink r:id="rId15" w:history="1">
        <w:r w:rsidRPr="00AB18A4">
          <w:rPr>
            <w:rStyle w:val="Hyperlink"/>
          </w:rPr>
          <w:t>submission to the Discussion Paper</w:t>
        </w:r>
      </w:hyperlink>
      <w:r>
        <w:t>, Review of the Code of Conduct for Copyright Collecting Societies, September, p. 8.</w:t>
      </w:r>
    </w:p>
  </w:endnote>
  <w:endnote w:id="17">
    <w:p w14:paraId="7B40554F" w14:textId="77777777" w:rsidR="004E343D" w:rsidRDefault="004E343D" w:rsidP="007E7021">
      <w:pPr>
        <w:pStyle w:val="EndnoteText"/>
      </w:pPr>
      <w:r>
        <w:rPr>
          <w:rStyle w:val="EndnoteReference"/>
        </w:rPr>
        <w:endnoteRef/>
      </w:r>
      <w:r>
        <w:t xml:space="preserve"> Australia Law Reform Commission (2014) </w:t>
      </w:r>
      <w:hyperlink r:id="rId16" w:history="1">
        <w:r w:rsidRPr="00C33A48">
          <w:rPr>
            <w:rStyle w:val="Hyperlink"/>
          </w:rPr>
          <w:t>Copyright and the Digital Economy</w:t>
        </w:r>
      </w:hyperlink>
      <w:r>
        <w:t xml:space="preserve"> (122), 14, p202.</w:t>
      </w:r>
    </w:p>
  </w:endnote>
  <w:endnote w:id="18">
    <w:p w14:paraId="6E15B760" w14:textId="77777777" w:rsidR="004E343D" w:rsidRDefault="004E343D" w:rsidP="007E7021">
      <w:pPr>
        <w:pStyle w:val="EndnoteText"/>
      </w:pPr>
      <w:r>
        <w:rPr>
          <w:rStyle w:val="EndnoteReference"/>
        </w:rPr>
        <w:endnoteRef/>
      </w:r>
      <w:r>
        <w:t xml:space="preserve"> Australian Small Business Commissioner (2015), </w:t>
      </w:r>
      <w:hyperlink r:id="rId17" w:history="1">
        <w:r w:rsidRPr="00CA7F08">
          <w:rPr>
            <w:rStyle w:val="Hyperlink"/>
          </w:rPr>
          <w:t>Productivity Commission inquiry into Intellectual Property Arrangements – Submission by the Office of the Small Business Commissioner (Submission 101)</w:t>
        </w:r>
      </w:hyperlink>
      <w:r>
        <w:t>, December, pp. 13-14.</w:t>
      </w:r>
    </w:p>
  </w:endnote>
  <w:endnote w:id="19">
    <w:p w14:paraId="5228CB7F" w14:textId="77777777" w:rsidR="004E343D" w:rsidRDefault="004E343D" w:rsidP="007E7021">
      <w:pPr>
        <w:pStyle w:val="EndnoteText"/>
      </w:pPr>
      <w:r>
        <w:rPr>
          <w:rStyle w:val="EndnoteReference"/>
        </w:rPr>
        <w:endnoteRef/>
      </w:r>
      <w:r>
        <w:t xml:space="preserve"> Live Performance Australia (2017), </w:t>
      </w:r>
      <w:hyperlink r:id="rId18" w:history="1">
        <w:r w:rsidRPr="00E336A0">
          <w:rPr>
            <w:rStyle w:val="Hyperlink"/>
          </w:rPr>
          <w:t>submission to the Discussion Paper</w:t>
        </w:r>
      </w:hyperlink>
      <w:r>
        <w:t>, Review of the Code of Conduct for Copyright Collecting Societies, p3.</w:t>
      </w:r>
    </w:p>
  </w:endnote>
  <w:endnote w:id="20">
    <w:p w14:paraId="02139717" w14:textId="77777777" w:rsidR="004E343D" w:rsidRDefault="004E343D" w:rsidP="007E7021">
      <w:pPr>
        <w:pStyle w:val="EndnoteText"/>
      </w:pPr>
      <w:r>
        <w:rPr>
          <w:rStyle w:val="EndnoteReference"/>
        </w:rPr>
        <w:endnoteRef/>
      </w:r>
      <w:r>
        <w:t xml:space="preserve"> Ibid, p. 4.</w:t>
      </w:r>
    </w:p>
  </w:endnote>
  <w:endnote w:id="21">
    <w:p w14:paraId="4497F990" w14:textId="1EC4FD97" w:rsidR="004E343D" w:rsidRDefault="004E343D" w:rsidP="007E7021">
      <w:pPr>
        <w:pStyle w:val="EndnoteText"/>
      </w:pPr>
      <w:r>
        <w:rPr>
          <w:rStyle w:val="EndnoteReference"/>
        </w:rPr>
        <w:endnoteRef/>
      </w:r>
      <w:r>
        <w:t xml:space="preserve"> </w:t>
      </w:r>
      <w:r w:rsidRPr="00E13E8C">
        <w:rPr>
          <w:i/>
        </w:rPr>
        <w:t>Code of Conduct for Copyright Collecting Societies</w:t>
      </w:r>
      <w:r>
        <w:t xml:space="preserve"> (2017), clause 2.4.</w:t>
      </w:r>
    </w:p>
  </w:endnote>
  <w:endnote w:id="22">
    <w:p w14:paraId="154DE99A" w14:textId="77777777" w:rsidR="004E343D" w:rsidRDefault="004E343D" w:rsidP="007E7021">
      <w:pPr>
        <w:pStyle w:val="EndnoteText"/>
      </w:pPr>
      <w:r>
        <w:rPr>
          <w:rStyle w:val="EndnoteReference"/>
        </w:rPr>
        <w:endnoteRef/>
      </w:r>
      <w:r>
        <w:t xml:space="preserve"> Copyright Agency (2014), </w:t>
      </w:r>
      <w:hyperlink r:id="rId19" w:history="1">
        <w:r>
          <w:rPr>
            <w:rStyle w:val="Hyperlink"/>
          </w:rPr>
          <w:t>Proposal for amendment to code of conduct regarding reporting</w:t>
        </w:r>
      </w:hyperlink>
      <w:r>
        <w:t xml:space="preserve">, p4.  </w:t>
      </w:r>
    </w:p>
  </w:endnote>
  <w:endnote w:id="23">
    <w:p w14:paraId="69076CB8" w14:textId="77777777" w:rsidR="004E343D" w:rsidRDefault="004E343D" w:rsidP="007E7021">
      <w:pPr>
        <w:pStyle w:val="EndnoteText"/>
      </w:pPr>
      <w:r>
        <w:rPr>
          <w:rStyle w:val="EndnoteReference"/>
        </w:rPr>
        <w:endnoteRef/>
      </w:r>
      <w:r>
        <w:t xml:space="preserve"> </w:t>
      </w:r>
      <w:r w:rsidRPr="00F34528">
        <w:t xml:space="preserve">Copyright Agency (2017), </w:t>
      </w:r>
      <w:hyperlink r:id="rId20" w:history="1">
        <w:r w:rsidRPr="00F34528">
          <w:rPr>
            <w:rStyle w:val="Hyperlink"/>
          </w:rPr>
          <w:t>submission to Discussion Paper</w:t>
        </w:r>
      </w:hyperlink>
      <w:r w:rsidRPr="00F34528">
        <w:t>, Review of the Code of Conduct for Copyright Collecting Societies, September, p14.</w:t>
      </w:r>
    </w:p>
  </w:endnote>
  <w:endnote w:id="24">
    <w:p w14:paraId="5CE2BC63" w14:textId="1497C0FA" w:rsidR="004E343D" w:rsidRDefault="004E343D" w:rsidP="007E7021">
      <w:pPr>
        <w:pStyle w:val="EndnoteText"/>
      </w:pPr>
      <w:r>
        <w:rPr>
          <w:rStyle w:val="EndnoteReference"/>
        </w:rPr>
        <w:endnoteRef/>
      </w:r>
      <w:r>
        <w:t xml:space="preserve"> Clause 2.9, see </w:t>
      </w:r>
      <w:hyperlink r:id="rId21" w:history="1">
        <w:r w:rsidRPr="0072254A">
          <w:rPr>
            <w:rStyle w:val="Hyperlink"/>
          </w:rPr>
          <w:t>Report of the Code Reviewer upon a Review of the Operation of the Code of Conduct of the Copyright Collecting Societies of Australia</w:t>
        </w:r>
      </w:hyperlink>
      <w:r>
        <w:t>, p7, April, 2017.</w:t>
      </w:r>
    </w:p>
  </w:endnote>
  <w:endnote w:id="25">
    <w:p w14:paraId="0162113D" w14:textId="77777777" w:rsidR="004E343D" w:rsidRDefault="004E343D" w:rsidP="007E7021">
      <w:pPr>
        <w:pStyle w:val="EndnoteText"/>
      </w:pPr>
      <w:r>
        <w:rPr>
          <w:rStyle w:val="EndnoteReference"/>
        </w:rPr>
        <w:endnoteRef/>
      </w:r>
      <w:r>
        <w:t xml:space="preserve"> </w:t>
      </w:r>
      <w:r w:rsidRPr="00F34528">
        <w:t xml:space="preserve">Universities Australia (2017), </w:t>
      </w:r>
      <w:hyperlink r:id="rId22" w:history="1">
        <w:r w:rsidRPr="00F34528">
          <w:rPr>
            <w:rStyle w:val="Hyperlink"/>
          </w:rPr>
          <w:t>submission to Discussion Paper</w:t>
        </w:r>
      </w:hyperlink>
      <w:r w:rsidRPr="00F34528">
        <w:t>, Review of the Code of Conduct for Copyright Collecting Societies, September, p11.</w:t>
      </w:r>
      <w:r>
        <w:t xml:space="preserve"> </w:t>
      </w:r>
    </w:p>
  </w:endnote>
  <w:endnote w:id="26">
    <w:p w14:paraId="2A3BFA86" w14:textId="77777777" w:rsidR="004E343D" w:rsidRDefault="004E343D" w:rsidP="007E7021">
      <w:pPr>
        <w:pStyle w:val="EndnoteText"/>
      </w:pPr>
      <w:r>
        <w:rPr>
          <w:rStyle w:val="EndnoteReference"/>
        </w:rPr>
        <w:endnoteRef/>
      </w:r>
      <w:r>
        <w:t xml:space="preserve"> Live Performance Australia (2017), </w:t>
      </w:r>
      <w:hyperlink r:id="rId23" w:history="1">
        <w:r w:rsidRPr="00F34528">
          <w:rPr>
            <w:rStyle w:val="Hyperlink"/>
          </w:rPr>
          <w:t>submission to Discussion Paper</w:t>
        </w:r>
      </w:hyperlink>
      <w:r>
        <w:t>, Review of the Code of Conduct for Copyright Collecting Societies, October, p5.</w:t>
      </w:r>
    </w:p>
  </w:endnote>
  <w:endnote w:id="27">
    <w:p w14:paraId="5A06A458" w14:textId="77777777" w:rsidR="004E343D" w:rsidRDefault="004E343D" w:rsidP="007E7021">
      <w:pPr>
        <w:pStyle w:val="EndnoteText"/>
      </w:pPr>
      <w:r>
        <w:rPr>
          <w:rStyle w:val="EndnoteReference"/>
        </w:rPr>
        <w:endnoteRef/>
      </w:r>
      <w:r>
        <w:t xml:space="preserve"> Copyright Advisory Group to COAG Education Council (2017), </w:t>
      </w:r>
      <w:hyperlink r:id="rId24" w:history="1">
        <w:r w:rsidRPr="0079094D">
          <w:rPr>
            <w:rStyle w:val="Hyperlink"/>
          </w:rPr>
          <w:t>submission to Discussion Paper</w:t>
        </w:r>
      </w:hyperlink>
      <w:r>
        <w:t xml:space="preserve">, Review of the </w:t>
      </w:r>
      <w:r w:rsidRPr="00FA5453">
        <w:t>Code of Conduct for Copyright Collecting Societies, p10.</w:t>
      </w:r>
    </w:p>
  </w:endnote>
  <w:endnote w:id="28">
    <w:p w14:paraId="24C387A1" w14:textId="04A449FE" w:rsidR="004E343D" w:rsidRDefault="004E343D">
      <w:pPr>
        <w:pStyle w:val="EndnoteText"/>
      </w:pPr>
      <w:r>
        <w:rPr>
          <w:rStyle w:val="EndnoteReference"/>
        </w:rPr>
        <w:endnoteRef/>
      </w:r>
      <w:r>
        <w:t xml:space="preserve"> Ibid at p. 13</w:t>
      </w:r>
    </w:p>
  </w:endnote>
  <w:endnote w:id="29">
    <w:p w14:paraId="4BDBBC1E" w14:textId="77777777" w:rsidR="004E343D" w:rsidRDefault="004E343D" w:rsidP="007E7021">
      <w:pPr>
        <w:pStyle w:val="EndnoteText"/>
      </w:pPr>
      <w:r>
        <w:rPr>
          <w:rStyle w:val="EndnoteReference"/>
        </w:rPr>
        <w:endnoteRef/>
      </w:r>
      <w:r>
        <w:t xml:space="preserve"> Lindgren, K. (2015), </w:t>
      </w:r>
      <w:r w:rsidRPr="000927D2">
        <w:t>Supplementary Report of the Code Reviewer upon a Review of the Operation of the Code of Conduct of the Copyright Collecting Societies of Australia</w:t>
      </w:r>
      <w:r w:rsidRPr="00C054FB">
        <w:t xml:space="preserve">, </w:t>
      </w:r>
      <w:r>
        <w:t xml:space="preserve">p. </w:t>
      </w:r>
      <w:r w:rsidRPr="00C054FB">
        <w:t>13</w:t>
      </w:r>
      <w:r>
        <w:t>.</w:t>
      </w:r>
    </w:p>
  </w:endnote>
  <w:endnote w:id="30">
    <w:p w14:paraId="47CC9B85" w14:textId="77777777" w:rsidR="004E343D" w:rsidRDefault="004E343D" w:rsidP="007E7021">
      <w:pPr>
        <w:pStyle w:val="EndnoteText"/>
      </w:pPr>
      <w:r>
        <w:rPr>
          <w:rStyle w:val="EndnoteReference"/>
        </w:rPr>
        <w:endnoteRef/>
      </w:r>
      <w:r>
        <w:t xml:space="preserve"> </w:t>
      </w:r>
      <w:r w:rsidRPr="00C054FB">
        <w:t>New South Wales Department of Justice</w:t>
      </w:r>
      <w:r>
        <w:t xml:space="preserve"> (2016),</w:t>
      </w:r>
      <w:r w:rsidRPr="00C054FB">
        <w:t xml:space="preserve"> </w:t>
      </w:r>
      <w:hyperlink r:id="rId25" w:history="1">
        <w:r w:rsidRPr="00C054FB">
          <w:rPr>
            <w:rStyle w:val="Hyperlink"/>
          </w:rPr>
          <w:t>Response to the Productivity Commission’s Draft Report</w:t>
        </w:r>
        <w:r>
          <w:rPr>
            <w:rStyle w:val="Hyperlink"/>
          </w:rPr>
          <w:t>—</w:t>
        </w:r>
        <w:r w:rsidRPr="00C054FB">
          <w:rPr>
            <w:rStyle w:val="Hyperlink"/>
          </w:rPr>
          <w:t>Intellectual Property Arrangements</w:t>
        </w:r>
      </w:hyperlink>
      <w:r w:rsidRPr="000927D2">
        <w:t xml:space="preserve"> (Submission DR610),</w:t>
      </w:r>
      <w:r>
        <w:t xml:space="preserve"> p. </w:t>
      </w:r>
      <w:r w:rsidRPr="00AF2ADF">
        <w:t>3</w:t>
      </w:r>
      <w:r>
        <w:t>.</w:t>
      </w:r>
    </w:p>
  </w:endnote>
  <w:endnote w:id="31">
    <w:p w14:paraId="0F77283E" w14:textId="77777777" w:rsidR="004E343D" w:rsidRDefault="004E343D" w:rsidP="007E7021">
      <w:pPr>
        <w:pStyle w:val="EndnoteText"/>
      </w:pPr>
      <w:r>
        <w:rPr>
          <w:rStyle w:val="EndnoteReference"/>
        </w:rPr>
        <w:endnoteRef/>
      </w:r>
      <w:r>
        <w:t xml:space="preserve"> </w:t>
      </w:r>
      <w:r w:rsidRPr="00E13E8C">
        <w:t xml:space="preserve">APRA / AMCOS (2017), submission to Discussion Paper, available from </w:t>
      </w:r>
      <w:hyperlink r:id="rId26" w:history="1">
        <w:r w:rsidRPr="00E13E8C">
          <w:rPr>
            <w:rStyle w:val="Hyperlink"/>
          </w:rPr>
          <w:t>Review of the Code of Conduct for Copyright Collecting Societies</w:t>
        </w:r>
      </w:hyperlink>
      <w:r w:rsidRPr="00E13E8C">
        <w:t>, paragraph 51.</w:t>
      </w:r>
    </w:p>
  </w:endnote>
  <w:endnote w:id="32">
    <w:p w14:paraId="694F8DB7" w14:textId="77777777" w:rsidR="004E343D" w:rsidRDefault="004E343D" w:rsidP="007E7021">
      <w:pPr>
        <w:pStyle w:val="EndnoteText"/>
      </w:pPr>
      <w:r w:rsidRPr="00706D99">
        <w:rPr>
          <w:rStyle w:val="EndnoteReference"/>
        </w:rPr>
        <w:endnoteRef/>
      </w:r>
      <w:r w:rsidRPr="00706D99">
        <w:t xml:space="preserve"> Copyright Agency (2017), </w:t>
      </w:r>
      <w:hyperlink r:id="rId27" w:history="1">
        <w:r w:rsidRPr="00706D99">
          <w:rPr>
            <w:rStyle w:val="Hyperlink"/>
          </w:rPr>
          <w:t>submission to Discussion Paper</w:t>
        </w:r>
      </w:hyperlink>
      <w:r w:rsidRPr="00706D99">
        <w:t>, Review of the Code of Conduct for Copyright Coll</w:t>
      </w:r>
      <w:r>
        <w:t>ecting Societies, September, pp. 5-7</w:t>
      </w:r>
      <w:r w:rsidRPr="00706D99">
        <w:t>.</w:t>
      </w:r>
    </w:p>
  </w:endnote>
  <w:endnote w:id="33">
    <w:p w14:paraId="2BFC925A" w14:textId="77777777" w:rsidR="004E343D" w:rsidRDefault="004E343D" w:rsidP="007E7021">
      <w:pPr>
        <w:pStyle w:val="EndnoteText"/>
      </w:pPr>
      <w:r>
        <w:rPr>
          <w:rStyle w:val="EndnoteReference"/>
        </w:rPr>
        <w:endnoteRef/>
      </w:r>
      <w:r>
        <w:t xml:space="preserve"> </w:t>
      </w:r>
      <w:r w:rsidRPr="00F34528">
        <w:t xml:space="preserve">Copyright Agency (2017), </w:t>
      </w:r>
      <w:hyperlink r:id="rId28" w:history="1">
        <w:r w:rsidRPr="00F34528">
          <w:rPr>
            <w:rStyle w:val="Hyperlink"/>
          </w:rPr>
          <w:t>submission to Discussion Paper</w:t>
        </w:r>
      </w:hyperlink>
      <w:r w:rsidRPr="00F34528">
        <w:t>, Review of the Code of Conduct for Copyright Collecting Societies, September</w:t>
      </w:r>
      <w:r>
        <w:t>, p. 3.</w:t>
      </w:r>
    </w:p>
  </w:endnote>
  <w:endnote w:id="34">
    <w:p w14:paraId="13875D9D" w14:textId="77777777" w:rsidR="004E343D" w:rsidRDefault="004E343D" w:rsidP="007E7021">
      <w:pPr>
        <w:pStyle w:val="EndnoteText"/>
      </w:pPr>
      <w:r>
        <w:rPr>
          <w:rStyle w:val="EndnoteReference"/>
        </w:rPr>
        <w:endnoteRef/>
      </w:r>
      <w:r>
        <w:t xml:space="preserve"> Australian Society of Authors (2017), submission to the Discussion Paper, available from the </w:t>
      </w:r>
      <w:hyperlink r:id="rId29" w:history="1">
        <w:r w:rsidRPr="001D7AC9">
          <w:rPr>
            <w:rStyle w:val="Hyperlink"/>
          </w:rPr>
          <w:t>Review of the Code of Conduct for Copyright Collecting Societies</w:t>
        </w:r>
      </w:hyperlink>
      <w:r>
        <w:t>, p. 3.</w:t>
      </w:r>
    </w:p>
  </w:endnote>
  <w:endnote w:id="35">
    <w:p w14:paraId="4B1F1E7C" w14:textId="77777777" w:rsidR="004E343D" w:rsidRDefault="004E343D" w:rsidP="007E7021">
      <w:pPr>
        <w:pStyle w:val="EndnoteText"/>
      </w:pPr>
      <w:r>
        <w:rPr>
          <w:rStyle w:val="EndnoteReference"/>
        </w:rPr>
        <w:endnoteRef/>
      </w:r>
      <w:r>
        <w:t xml:space="preserve"> </w:t>
      </w:r>
      <w:r w:rsidRPr="00F34528">
        <w:t xml:space="preserve">Copyright Agency (2017), </w:t>
      </w:r>
      <w:hyperlink r:id="rId30" w:history="1">
        <w:r w:rsidRPr="00F34528">
          <w:rPr>
            <w:rStyle w:val="Hyperlink"/>
          </w:rPr>
          <w:t>submission to Discussion Paper</w:t>
        </w:r>
      </w:hyperlink>
      <w:r w:rsidRPr="00F34528">
        <w:t>, Review of the Code of Conduct for Copyright Collecting Societies, September,</w:t>
      </w:r>
      <w:r>
        <w:t xml:space="preserve"> p. 3.</w:t>
      </w:r>
    </w:p>
  </w:endnote>
  <w:endnote w:id="36">
    <w:p w14:paraId="03E15BB5" w14:textId="77777777" w:rsidR="004E343D" w:rsidRPr="00240FB5" w:rsidRDefault="004E343D" w:rsidP="007E7021">
      <w:pPr>
        <w:pStyle w:val="EndnoteText"/>
      </w:pPr>
      <w:r w:rsidRPr="00240FB5">
        <w:rPr>
          <w:rStyle w:val="EndnoteReference"/>
        </w:rPr>
        <w:endnoteRef/>
      </w:r>
      <w:r w:rsidRPr="00240FB5">
        <w:t xml:space="preserve"> Copyright Act 1968, </w:t>
      </w:r>
      <w:hyperlink r:id="rId31" w:history="1">
        <w:r w:rsidRPr="00240FB5">
          <w:rPr>
            <w:rStyle w:val="Hyperlink"/>
          </w:rPr>
          <w:t>Declaration of Collecting Societies, Guidelines</w:t>
        </w:r>
      </w:hyperlink>
      <w:r w:rsidRPr="00240FB5">
        <w:t>, paragraph 17.</w:t>
      </w:r>
    </w:p>
  </w:endnote>
  <w:endnote w:id="37">
    <w:p w14:paraId="7787EE5D" w14:textId="77777777" w:rsidR="004E343D" w:rsidRDefault="004E343D" w:rsidP="007E7021">
      <w:pPr>
        <w:pStyle w:val="EndnoteText"/>
      </w:pPr>
      <w:r>
        <w:rPr>
          <w:rStyle w:val="EndnoteReference"/>
        </w:rPr>
        <w:endnoteRef/>
      </w:r>
      <w:r>
        <w:t xml:space="preserve"> Reg 23L(g), </w:t>
      </w:r>
      <w:hyperlink r:id="rId32" w:history="1">
        <w:r w:rsidRPr="0093672E">
          <w:rPr>
            <w:rStyle w:val="Hyperlink"/>
            <w:i/>
          </w:rPr>
          <w:t>Copyright Regulations 1969</w:t>
        </w:r>
      </w:hyperlink>
      <w:r w:rsidRPr="001055B2">
        <w:rPr>
          <w:i/>
        </w:rPr>
        <w:t xml:space="preserve"> </w:t>
      </w:r>
      <w:r>
        <w:t xml:space="preserve">(Cth). </w:t>
      </w:r>
    </w:p>
  </w:endnote>
  <w:endnote w:id="38">
    <w:p w14:paraId="34D06E28" w14:textId="77777777" w:rsidR="004E343D" w:rsidRDefault="004E343D" w:rsidP="007E7021">
      <w:pPr>
        <w:pStyle w:val="EndnoteText"/>
      </w:pPr>
      <w:r>
        <w:rPr>
          <w:rStyle w:val="EndnoteReference"/>
        </w:rPr>
        <w:endnoteRef/>
      </w:r>
      <w:r>
        <w:t xml:space="preserve"> Reg 23L(i), </w:t>
      </w:r>
      <w:hyperlink r:id="rId33" w:history="1">
        <w:r w:rsidRPr="0093672E">
          <w:rPr>
            <w:rStyle w:val="Hyperlink"/>
            <w:i/>
          </w:rPr>
          <w:t>Copyright Regulations 1969</w:t>
        </w:r>
      </w:hyperlink>
      <w:r w:rsidRPr="001055B2">
        <w:rPr>
          <w:i/>
        </w:rPr>
        <w:t xml:space="preserve"> </w:t>
      </w:r>
      <w:r>
        <w:t>(Cth).</w:t>
      </w:r>
    </w:p>
  </w:endnote>
  <w:endnote w:id="39">
    <w:p w14:paraId="3B1EBE7C" w14:textId="3F861A17" w:rsidR="004E343D" w:rsidRDefault="004E343D" w:rsidP="007E7021">
      <w:pPr>
        <w:pStyle w:val="EndnoteText"/>
      </w:pPr>
      <w:r w:rsidRPr="00BB2B0F">
        <w:rPr>
          <w:rStyle w:val="EndnoteReference"/>
        </w:rPr>
        <w:endnoteRef/>
      </w:r>
      <w:r w:rsidRPr="00BB2B0F">
        <w:t xml:space="preserve"> Copyright Agency (2016), </w:t>
      </w:r>
      <w:hyperlink r:id="rId34" w:history="1">
        <w:r w:rsidRPr="00BB2B0F">
          <w:rPr>
            <w:rStyle w:val="Hyperlink"/>
          </w:rPr>
          <w:t xml:space="preserve">Annual Report </w:t>
        </w:r>
        <w:r>
          <w:rPr>
            <w:rStyle w:val="Hyperlink"/>
          </w:rPr>
          <w:t>2015–16</w:t>
        </w:r>
      </w:hyperlink>
      <w:r w:rsidRPr="00BB2B0F">
        <w:t>, p</w:t>
      </w:r>
      <w:r>
        <w:t xml:space="preserve">. </w:t>
      </w:r>
      <w:r w:rsidRPr="00BB2B0F">
        <w:t xml:space="preserve">36. </w:t>
      </w:r>
    </w:p>
  </w:endnote>
  <w:endnote w:id="40">
    <w:p w14:paraId="257E7F9A" w14:textId="204BF24A" w:rsidR="004E343D" w:rsidRDefault="004E343D" w:rsidP="007E7021">
      <w:pPr>
        <w:pStyle w:val="EndnoteText"/>
      </w:pPr>
      <w:r>
        <w:rPr>
          <w:rStyle w:val="EndnoteReference"/>
        </w:rPr>
        <w:endnoteRef/>
      </w:r>
      <w:r>
        <w:t xml:space="preserve"> Screenrights (2017), </w:t>
      </w:r>
      <w:hyperlink r:id="rId35" w:history="1">
        <w:r w:rsidRPr="00F928B8">
          <w:rPr>
            <w:rStyle w:val="Hyperlink"/>
          </w:rPr>
          <w:t xml:space="preserve">Annual Report </w:t>
        </w:r>
        <w:r>
          <w:rPr>
            <w:rStyle w:val="Hyperlink"/>
          </w:rPr>
          <w:t>2016–17</w:t>
        </w:r>
      </w:hyperlink>
      <w:r>
        <w:t>, p. 25.</w:t>
      </w:r>
    </w:p>
  </w:endnote>
  <w:endnote w:id="41">
    <w:p w14:paraId="00F207A6" w14:textId="77777777" w:rsidR="004E343D" w:rsidRDefault="004E343D" w:rsidP="007E7021">
      <w:pPr>
        <w:pStyle w:val="EndnoteText"/>
      </w:pPr>
      <w:r>
        <w:rPr>
          <w:rStyle w:val="EndnoteReference"/>
        </w:rPr>
        <w:endnoteRef/>
      </w:r>
      <w:r>
        <w:t xml:space="preserve"> Council of Australian University Librarians (2017), </w:t>
      </w:r>
      <w:hyperlink r:id="rId36" w:history="1">
        <w:r w:rsidRPr="006A76EE">
          <w:rPr>
            <w:rStyle w:val="Hyperlink"/>
          </w:rPr>
          <w:t>submission to the Discussion Paper</w:t>
        </w:r>
      </w:hyperlink>
      <w:r>
        <w:t>, Review of the Code of Conduct for Copyright Collecting Societies, p1.</w:t>
      </w:r>
    </w:p>
  </w:endnote>
  <w:endnote w:id="42">
    <w:p w14:paraId="601C1078" w14:textId="77777777" w:rsidR="004E343D" w:rsidRPr="00BB2B0F" w:rsidRDefault="004E343D" w:rsidP="007E7021">
      <w:pPr>
        <w:pStyle w:val="EndnoteText"/>
      </w:pPr>
      <w:r>
        <w:rPr>
          <w:rStyle w:val="EndnoteReference"/>
        </w:rPr>
        <w:endnoteRef/>
      </w:r>
      <w:r>
        <w:t xml:space="preserve"> See </w:t>
      </w:r>
      <w:hyperlink r:id="rId37" w:history="1">
        <w:r w:rsidRPr="00BB2B0F">
          <w:rPr>
            <w:rStyle w:val="Hyperlink"/>
          </w:rPr>
          <w:t>https://static-copyright-com-au.s3.amazonaws.com/uploads/2015/04/Code-amendment-proposal-2014-11-13.pdf</w:t>
        </w:r>
      </w:hyperlink>
      <w:r w:rsidRPr="00BB2B0F">
        <w:t xml:space="preserve"> </w:t>
      </w:r>
    </w:p>
  </w:endnote>
  <w:endnote w:id="43">
    <w:p w14:paraId="2FB0A908" w14:textId="77777777" w:rsidR="004E343D" w:rsidRDefault="004E343D" w:rsidP="007E7021">
      <w:pPr>
        <w:pStyle w:val="EndnoteText"/>
      </w:pPr>
      <w:r>
        <w:rPr>
          <w:rStyle w:val="EndnoteReference"/>
        </w:rPr>
        <w:endnoteRef/>
      </w:r>
      <w:r>
        <w:t xml:space="preserve"> Associate Professor Rebecca Giblin and Professor Kimberlee Weatherall, </w:t>
      </w:r>
      <w:hyperlink r:id="rId38" w:history="1">
        <w:r w:rsidRPr="00E4778A">
          <w:rPr>
            <w:rStyle w:val="Hyperlink"/>
          </w:rPr>
          <w:t>submission to the Discussion Paper</w:t>
        </w:r>
      </w:hyperlink>
      <w:r>
        <w:t>, Review of the Code of Conduct for Copyright Collecting Societies, p. 9.</w:t>
      </w:r>
    </w:p>
  </w:endnote>
  <w:endnote w:id="44">
    <w:p w14:paraId="27516A41" w14:textId="77777777" w:rsidR="004E343D" w:rsidRDefault="004E343D" w:rsidP="007E7021">
      <w:pPr>
        <w:pStyle w:val="EndnoteText"/>
      </w:pPr>
      <w:r>
        <w:rPr>
          <w:rStyle w:val="EndnoteReference"/>
        </w:rPr>
        <w:endnoteRef/>
      </w:r>
      <w:r>
        <w:t xml:space="preserve"> Copyright Agency (2016) </w:t>
      </w:r>
      <w:hyperlink r:id="rId39" w:history="1">
        <w:r w:rsidRPr="00CB65C9">
          <w:rPr>
            <w:rStyle w:val="Hyperlink"/>
          </w:rPr>
          <w:t>Distribution Policy</w:t>
        </w:r>
      </w:hyperlink>
      <w:r>
        <w:t>, November, p. 22.</w:t>
      </w:r>
    </w:p>
  </w:endnote>
  <w:endnote w:id="45">
    <w:p w14:paraId="79660AFD" w14:textId="77777777" w:rsidR="004E343D" w:rsidRDefault="004E343D" w:rsidP="007E7021">
      <w:pPr>
        <w:pStyle w:val="EndnoteText"/>
      </w:pPr>
      <w:r>
        <w:rPr>
          <w:rStyle w:val="EndnoteReference"/>
        </w:rPr>
        <w:endnoteRef/>
      </w:r>
      <w:r>
        <w:t xml:space="preserve"> EU (2012), Directive 2012 on certain permitted uses of orphan works, 14.</w:t>
      </w:r>
    </w:p>
  </w:endnote>
  <w:endnote w:id="46">
    <w:p w14:paraId="5AC081C5" w14:textId="77777777" w:rsidR="004E343D" w:rsidRDefault="004E343D" w:rsidP="007E7021">
      <w:pPr>
        <w:pStyle w:val="EndnoteText"/>
      </w:pPr>
      <w:r>
        <w:rPr>
          <w:rStyle w:val="EndnoteReference"/>
        </w:rPr>
        <w:endnoteRef/>
      </w:r>
      <w:r>
        <w:t xml:space="preserve"> </w:t>
      </w:r>
      <w:hyperlink r:id="rId40" w:history="1">
        <w:r w:rsidRPr="000542FC">
          <w:rPr>
            <w:rStyle w:val="Hyperlink"/>
            <w:i/>
          </w:rPr>
          <w:t>The Copyright and Rights in Performances (Certain Permitted Uses of Orphan Works) Regulations 2014</w:t>
        </w:r>
      </w:hyperlink>
      <w:r>
        <w:t>, Statutory Instruments No. 2861 [UK].</w:t>
      </w:r>
    </w:p>
  </w:endnote>
  <w:endnote w:id="47">
    <w:p w14:paraId="263F5821" w14:textId="77777777" w:rsidR="004E343D" w:rsidRPr="00931597" w:rsidRDefault="004E343D" w:rsidP="007E7021">
      <w:pPr>
        <w:pStyle w:val="EndnoteText"/>
      </w:pPr>
      <w:r>
        <w:rPr>
          <w:rStyle w:val="EndnoteReference"/>
        </w:rPr>
        <w:endnoteRef/>
      </w:r>
      <w:r>
        <w:t xml:space="preserve"> Heritage Plus and European Commission (2016) ‘EnDOW’ </w:t>
      </w:r>
      <w:r>
        <w:rPr>
          <w:i/>
        </w:rPr>
        <w:t xml:space="preserve">requirements for diligent search in the United Kingdom, the Netherlands and Italy, </w:t>
      </w:r>
      <w:r>
        <w:t>p. 26.</w:t>
      </w:r>
    </w:p>
  </w:endnote>
  <w:endnote w:id="48">
    <w:p w14:paraId="479F2ABA" w14:textId="7BFAF88C" w:rsidR="004E343D" w:rsidRDefault="004E343D">
      <w:pPr>
        <w:pStyle w:val="EndnoteText"/>
      </w:pPr>
      <w:r>
        <w:rPr>
          <w:rStyle w:val="EndnoteReference"/>
        </w:rPr>
        <w:endnoteRef/>
      </w:r>
      <w:r>
        <w:t xml:space="preserve"> See for example submissions by CAG and UA to the </w:t>
      </w:r>
      <w:hyperlink r:id="rId41" w:history="1">
        <w:r w:rsidRPr="00195B7C">
          <w:rPr>
            <w:rStyle w:val="Hyperlink"/>
          </w:rPr>
          <w:t>Review of the Code of Conduct for Copyright Collecting Societies</w:t>
        </w:r>
      </w:hyperlink>
      <w:r>
        <w:rPr>
          <w:rStyle w:val="Hyperlink"/>
        </w:rPr>
        <w:t>.</w:t>
      </w:r>
    </w:p>
  </w:endnote>
  <w:endnote w:id="49">
    <w:p w14:paraId="6724C39A" w14:textId="77777777" w:rsidR="004E343D" w:rsidRDefault="004E343D" w:rsidP="007E7021">
      <w:pPr>
        <w:pStyle w:val="EndnoteText"/>
      </w:pPr>
      <w:r>
        <w:rPr>
          <w:rStyle w:val="EndnoteReference"/>
        </w:rPr>
        <w:endnoteRef/>
      </w:r>
      <w:r>
        <w:t xml:space="preserve"> </w:t>
      </w:r>
      <w:r w:rsidRPr="00154030">
        <w:rPr>
          <w:i/>
        </w:rPr>
        <w:t>TAG Compendium of Good Practices Concerning the Collective Management of Copyright and Related Rights</w:t>
      </w:r>
      <w:r>
        <w:rPr>
          <w:i/>
        </w:rPr>
        <w:t>,</w:t>
      </w:r>
      <w:r>
        <w:t xml:space="preserve"> Working Document of the Consortium of Federations and the World Intellectual Property Organization (WIPO) within the Framework of the TAG of Excellence Project.</w:t>
      </w:r>
    </w:p>
  </w:endnote>
  <w:endnote w:id="50">
    <w:p w14:paraId="0870CE14" w14:textId="77777777" w:rsidR="004E343D" w:rsidRPr="00CB2B87" w:rsidRDefault="004E343D" w:rsidP="007E7021">
      <w:pPr>
        <w:pStyle w:val="EndnoteText"/>
        <w:rPr>
          <w:i/>
        </w:rPr>
      </w:pPr>
      <w:r w:rsidRPr="00CB2B87">
        <w:rPr>
          <w:rStyle w:val="EndnoteReference"/>
        </w:rPr>
        <w:endnoteRef/>
      </w:r>
      <w:r w:rsidRPr="00CB2B87">
        <w:t xml:space="preserve"> </w:t>
      </w:r>
      <w:r w:rsidRPr="008B3152">
        <w:t>WIPO</w:t>
      </w:r>
      <w:r>
        <w:t xml:space="preserve">, </w:t>
      </w:r>
      <w:r w:rsidRPr="009A17A7">
        <w:t>(2013)</w:t>
      </w:r>
      <w:r>
        <w:t xml:space="preserve">, </w:t>
      </w:r>
      <w:hyperlink r:id="rId42" w:history="1">
        <w:r w:rsidRPr="008B3152">
          <w:rPr>
            <w:rStyle w:val="Hyperlink"/>
            <w:i/>
          </w:rPr>
          <w:t>TAG compendium of good practices concerning the collective management of copyright and related rights</w:t>
        </w:r>
      </w:hyperlink>
      <w:r>
        <w:rPr>
          <w:i/>
        </w:rPr>
        <w:t xml:space="preserve">, </w:t>
      </w:r>
      <w:r w:rsidRPr="00CB2B87">
        <w:t>p</w:t>
      </w:r>
      <w:r>
        <w:t xml:space="preserve">. </w:t>
      </w:r>
      <w:r w:rsidRPr="00CB2B87">
        <w:t>8.</w:t>
      </w:r>
      <w:r>
        <w:t xml:space="preserve"> </w:t>
      </w:r>
    </w:p>
  </w:endnote>
  <w:endnote w:id="51">
    <w:p w14:paraId="6A9E94A7" w14:textId="77777777" w:rsidR="004E343D" w:rsidRPr="009155A7" w:rsidRDefault="004E343D" w:rsidP="007E7021">
      <w:pPr>
        <w:pStyle w:val="EndnoteText"/>
      </w:pPr>
      <w:r>
        <w:rPr>
          <w:rStyle w:val="EndnoteReference"/>
        </w:rPr>
        <w:endnoteRef/>
      </w:r>
      <w:r>
        <w:t xml:space="preserve"> WIPO, </w:t>
      </w:r>
      <w:r w:rsidRPr="009A17A7">
        <w:t>(2013)</w:t>
      </w:r>
      <w:r>
        <w:t xml:space="preserve">, </w:t>
      </w:r>
      <w:hyperlink r:id="rId43" w:history="1">
        <w:r w:rsidRPr="009155A7">
          <w:rPr>
            <w:rStyle w:val="Hyperlink"/>
            <w:i/>
          </w:rPr>
          <w:t>TAG compendium of good practices concerning the collective management of copyright and related rights</w:t>
        </w:r>
      </w:hyperlink>
      <w:r w:rsidRPr="009155A7">
        <w:rPr>
          <w:i/>
        </w:rPr>
        <w:t xml:space="preserve">, </w:t>
      </w:r>
      <w:r w:rsidRPr="009155A7">
        <w:t>p</w:t>
      </w:r>
      <w:r>
        <w:t xml:space="preserve">. </w:t>
      </w:r>
      <w:r w:rsidRPr="009155A7">
        <w:t>9.</w:t>
      </w:r>
    </w:p>
  </w:endnote>
  <w:endnote w:id="52">
    <w:p w14:paraId="1B24BEDF" w14:textId="3CEDEEBD" w:rsidR="004E343D" w:rsidRDefault="004E343D">
      <w:pPr>
        <w:pStyle w:val="EndnoteText"/>
      </w:pPr>
      <w:r>
        <w:rPr>
          <w:rStyle w:val="EndnoteReference"/>
        </w:rPr>
        <w:endnoteRef/>
      </w:r>
      <w:r>
        <w:t xml:space="preserve"> WIPO, (2018), </w:t>
      </w:r>
      <w:hyperlink r:id="rId44" w:history="1">
        <w:r w:rsidRPr="00F94B0A">
          <w:rPr>
            <w:rStyle w:val="Hyperlink"/>
            <w:i/>
          </w:rPr>
          <w:t>WIPO Good Practice Toolkit for CMOs (The Toolkit)</w:t>
        </w:r>
      </w:hyperlink>
      <w:r>
        <w:t>, Working Document, January, p10.</w:t>
      </w:r>
    </w:p>
  </w:endnote>
  <w:endnote w:id="53">
    <w:p w14:paraId="60B9BE21" w14:textId="66390BD3" w:rsidR="004E343D" w:rsidRPr="009155A7" w:rsidRDefault="004E343D" w:rsidP="007E7021">
      <w:pPr>
        <w:pStyle w:val="EndnoteText"/>
      </w:pPr>
      <w:r w:rsidRPr="009155A7">
        <w:rPr>
          <w:rStyle w:val="EndnoteReference"/>
        </w:rPr>
        <w:endnoteRef/>
      </w:r>
      <w:r w:rsidRPr="009155A7">
        <w:t xml:space="preserve"> See </w:t>
      </w:r>
      <w:hyperlink r:id="rId45" w:history="1">
        <w:r w:rsidRPr="009155A7">
          <w:rPr>
            <w:rStyle w:val="Hyperlink"/>
          </w:rPr>
          <w:t>The Collective Management of Copyright (EU Directive) Regulations 2016</w:t>
        </w:r>
      </w:hyperlink>
      <w:r w:rsidRPr="009155A7">
        <w:t xml:space="preserve">, 2016 No.221, </w:t>
      </w:r>
      <w:r>
        <w:t>clause </w:t>
      </w:r>
      <w:r w:rsidRPr="009155A7">
        <w:t xml:space="preserve">7(d)(ii) and (v). </w:t>
      </w:r>
    </w:p>
  </w:endnote>
  <w:endnote w:id="54">
    <w:p w14:paraId="50BFF4AB" w14:textId="77777777" w:rsidR="004E343D" w:rsidRPr="009155A7" w:rsidRDefault="004E343D" w:rsidP="007E7021">
      <w:pPr>
        <w:pStyle w:val="EndnoteText"/>
      </w:pPr>
      <w:r w:rsidRPr="009155A7">
        <w:rPr>
          <w:rStyle w:val="EndnoteReference"/>
        </w:rPr>
        <w:endnoteRef/>
      </w:r>
      <w:r w:rsidRPr="009155A7">
        <w:t xml:space="preserve"> See </w:t>
      </w:r>
      <w:hyperlink r:id="rId46" w:history="1">
        <w:r w:rsidRPr="009155A7">
          <w:rPr>
            <w:rStyle w:val="Hyperlink"/>
          </w:rPr>
          <w:t>The Collective Management of Copyright (EU Directive) Regulations 2016</w:t>
        </w:r>
      </w:hyperlink>
      <w:r w:rsidRPr="009155A7">
        <w:t xml:space="preserve">, 2016 No.221, </w:t>
      </w:r>
      <w:r w:rsidRPr="009155A7">
        <w:rPr>
          <w:shd w:val="clear" w:color="auto" w:fill="FFFFFF"/>
        </w:rPr>
        <w:t>(4)(j)(vii)</w:t>
      </w:r>
    </w:p>
  </w:endnote>
  <w:endnote w:id="55">
    <w:p w14:paraId="6F1A278C" w14:textId="77777777" w:rsidR="004E343D" w:rsidRDefault="004E343D" w:rsidP="007E7021">
      <w:pPr>
        <w:pStyle w:val="EndnoteText"/>
      </w:pPr>
      <w:r w:rsidRPr="009155A7">
        <w:rPr>
          <w:rStyle w:val="EndnoteReference"/>
        </w:rPr>
        <w:endnoteRef/>
      </w:r>
      <w:r w:rsidRPr="009155A7">
        <w:t xml:space="preserve"> </w:t>
      </w:r>
      <w:r w:rsidRPr="002005A9">
        <w:t>Information available to date indicates that some CMOs intend to allocate non-distributable amounts to members; in its annual transparency report the collecting society for the UK publishing industry stated that ‘Non-distributable monies will be re-allocated as being non-title specific monies and distributed accordingly to publishers on a pro rata basis…’</w:t>
      </w:r>
      <w:r>
        <w:t xml:space="preserve"> See </w:t>
      </w:r>
      <w:r w:rsidRPr="009155A7">
        <w:t>The Publishers</w:t>
      </w:r>
      <w:r>
        <w:t xml:space="preserve"> Licensing Society (PLS), </w:t>
      </w:r>
      <w:hyperlink r:id="rId47" w:history="1">
        <w:r w:rsidRPr="002D2F42">
          <w:rPr>
            <w:rStyle w:val="Hyperlink"/>
          </w:rPr>
          <w:t>Publishers Licensing Society Annual Transparency Report</w:t>
        </w:r>
      </w:hyperlink>
      <w:r>
        <w:t>, For the year ended 31 March 2017, p12.</w:t>
      </w:r>
    </w:p>
  </w:endnote>
  <w:endnote w:id="56">
    <w:p w14:paraId="596C277C" w14:textId="77777777" w:rsidR="004E343D" w:rsidRPr="0009579D" w:rsidRDefault="004E343D" w:rsidP="007E7021">
      <w:pPr>
        <w:pStyle w:val="EndnoteText"/>
      </w:pPr>
      <w:r>
        <w:rPr>
          <w:rStyle w:val="EndnoteReference"/>
        </w:rPr>
        <w:endnoteRef/>
      </w:r>
      <w:r>
        <w:t xml:space="preserve"> The </w:t>
      </w:r>
      <w:r>
        <w:rPr>
          <w:i/>
        </w:rPr>
        <w:t>Copyright Act 1968</w:t>
      </w:r>
      <w:r>
        <w:t xml:space="preserve"> provides that the Minister and the Copyright Tribunal must not declare a body to be the collecting society unless its rules contain such other provisions as are prescribed including, inter alia, provisions about ‘the distribution of amounts collected by it’: see ss. 135P(3)(d)(iii), 135ZZB(3)(d)(iii), 135ZZT(3)(d)(iii), 135ZZZO(7)(d)(iii) and 153F(6)(e)(iii). Any alteration by a declared collecting society of its rules so that they no longer comply with these provisions may be cause for revocation of its declaration: see ss. </w:t>
      </w:r>
      <w:r w:rsidRPr="0009579D">
        <w:t>135Q(1)(c), 135ZZC(1)(c), 135ZZU(1)(c), 135ZZZP(1)(c) and 153G(5)(c).</w:t>
      </w:r>
    </w:p>
  </w:endnote>
  <w:endnote w:id="57">
    <w:p w14:paraId="2533A32E" w14:textId="77777777" w:rsidR="004E343D" w:rsidRPr="0009579D" w:rsidRDefault="004E343D" w:rsidP="007E7021">
      <w:pPr>
        <w:pStyle w:val="EndnoteText"/>
      </w:pPr>
      <w:r w:rsidRPr="009F5A12">
        <w:rPr>
          <w:rStyle w:val="EndnoteReference"/>
        </w:rPr>
        <w:endnoteRef/>
      </w:r>
      <w:r w:rsidRPr="009F5A12">
        <w:t xml:space="preserve"> </w:t>
      </w:r>
      <w:r w:rsidRPr="00EC6BE2">
        <w:t xml:space="preserve">Queensland University of Technology School of Law (2017), </w:t>
      </w:r>
      <w:hyperlink r:id="rId48" w:history="1">
        <w:r w:rsidRPr="00EC6BE2">
          <w:rPr>
            <w:rStyle w:val="Hyperlink"/>
          </w:rPr>
          <w:t>submission to the Discussion Paper</w:t>
        </w:r>
      </w:hyperlink>
      <w:r w:rsidRPr="00EC6BE2">
        <w:t xml:space="preserve">, Review of the Code of Conduct for Copyright Collecting Societies, October, </w:t>
      </w:r>
      <w:r w:rsidRPr="009F5A12">
        <w:t>p1.</w:t>
      </w:r>
      <w:r w:rsidRPr="0009579D">
        <w:t xml:space="preserve"> </w:t>
      </w:r>
    </w:p>
  </w:endnote>
  <w:endnote w:id="58">
    <w:p w14:paraId="4907DB1A" w14:textId="77777777" w:rsidR="004E343D" w:rsidRDefault="004E343D" w:rsidP="007E7021">
      <w:pPr>
        <w:pStyle w:val="EndnoteText"/>
      </w:pPr>
      <w:r w:rsidRPr="009F5A12">
        <w:rPr>
          <w:rStyle w:val="EndnoteReference"/>
        </w:rPr>
        <w:endnoteRef/>
      </w:r>
      <w:r w:rsidRPr="009F5A12">
        <w:t xml:space="preserve"> </w:t>
      </w:r>
      <w:r>
        <w:t xml:space="preserve">Live Performance Australia (2017), </w:t>
      </w:r>
      <w:hyperlink r:id="rId49" w:history="1">
        <w:r>
          <w:rPr>
            <w:rStyle w:val="Hyperlink"/>
          </w:rPr>
          <w:t>submission to the Discussion Paper</w:t>
        </w:r>
      </w:hyperlink>
      <w:r>
        <w:t>, Review of the Code of Conduct for Copyright Collecting Societies,</w:t>
      </w:r>
      <w:r w:rsidRPr="009F5A12">
        <w:t xml:space="preserve"> p</w:t>
      </w:r>
      <w:r>
        <w:t xml:space="preserve">. </w:t>
      </w:r>
      <w:r w:rsidRPr="009F5A12">
        <w:t>5.</w:t>
      </w:r>
    </w:p>
  </w:endnote>
  <w:endnote w:id="59">
    <w:p w14:paraId="4D6D418C" w14:textId="77777777" w:rsidR="004E343D" w:rsidRDefault="004E343D" w:rsidP="007E7021">
      <w:pPr>
        <w:pStyle w:val="EndnoteText"/>
      </w:pPr>
      <w:r>
        <w:rPr>
          <w:rStyle w:val="EndnoteReference"/>
        </w:rPr>
        <w:endnoteRef/>
      </w:r>
      <w:r>
        <w:t xml:space="preserve"> Australian Competition and Consumer Commission (2011), </w:t>
      </w:r>
      <w:hyperlink r:id="rId50" w:history="1">
        <w:r w:rsidRPr="00A53BFE">
          <w:rPr>
            <w:rStyle w:val="Hyperlink"/>
          </w:rPr>
          <w:t>Guidelines for developing effective voluntary industry codes of conduct,</w:t>
        </w:r>
      </w:hyperlink>
      <w:r>
        <w:t xml:space="preserve"> July, p. 3</w:t>
      </w:r>
    </w:p>
  </w:endnote>
  <w:endnote w:id="60">
    <w:p w14:paraId="73786E2D" w14:textId="77777777" w:rsidR="004E343D" w:rsidRDefault="004E343D" w:rsidP="007E7021">
      <w:pPr>
        <w:pStyle w:val="EndnoteText"/>
      </w:pPr>
      <w:r>
        <w:rPr>
          <w:rStyle w:val="EndnoteReference"/>
        </w:rPr>
        <w:endnoteRef/>
      </w:r>
      <w:r>
        <w:t xml:space="preserve"> Australian Competition and Consumer Commission (2011), </w:t>
      </w:r>
      <w:hyperlink r:id="rId51" w:history="1">
        <w:r w:rsidRPr="00A53BFE">
          <w:rPr>
            <w:rStyle w:val="Hyperlink"/>
          </w:rPr>
          <w:t>Guidelines for developing effective voluntary industry codes of conduct,</w:t>
        </w:r>
      </w:hyperlink>
      <w:r>
        <w:t xml:space="preserve"> July, pp. 9-10</w:t>
      </w:r>
    </w:p>
  </w:endnote>
  <w:endnote w:id="61">
    <w:p w14:paraId="6E2797C6" w14:textId="77777777" w:rsidR="004E343D" w:rsidRDefault="004E343D" w:rsidP="007E7021">
      <w:pPr>
        <w:pStyle w:val="EndnoteText"/>
      </w:pPr>
      <w:r>
        <w:rPr>
          <w:rStyle w:val="EndnoteReference"/>
        </w:rPr>
        <w:endnoteRef/>
      </w:r>
      <w:r>
        <w:t xml:space="preserve"> Which could relevantly include a Code Administration Committee</w:t>
      </w:r>
    </w:p>
  </w:endnote>
  <w:endnote w:id="62">
    <w:p w14:paraId="7FF688A1" w14:textId="77777777" w:rsidR="004E343D" w:rsidRDefault="004E343D" w:rsidP="007E7021">
      <w:pPr>
        <w:pStyle w:val="EndnoteText"/>
      </w:pPr>
      <w:r>
        <w:rPr>
          <w:rStyle w:val="EndnoteReference"/>
        </w:rPr>
        <w:endnoteRef/>
      </w:r>
      <w:r>
        <w:t xml:space="preserve"> The Australian Standard referred to in the ACCC Guidelines is AS4269-1995; which has been superseded by AS ISO 10002-2006 – Customer Satisfaction.</w:t>
      </w:r>
    </w:p>
  </w:endnote>
  <w:endnote w:id="63">
    <w:p w14:paraId="2FE47283" w14:textId="7D7FD21D" w:rsidR="004E343D" w:rsidRDefault="004E343D" w:rsidP="007E7021">
      <w:pPr>
        <w:pStyle w:val="EndnoteText"/>
      </w:pPr>
      <w:r>
        <w:rPr>
          <w:rStyle w:val="EndnoteReference"/>
        </w:rPr>
        <w:endnoteRef/>
      </w:r>
      <w:r>
        <w:t xml:space="preserve"> For example, Screenrights’ ADR facilities are not accessible for disputes relating to the quantum of equitable remuneration (statutory licence). </w:t>
      </w:r>
    </w:p>
  </w:endnote>
  <w:endnote w:id="64">
    <w:p w14:paraId="6A09E653" w14:textId="2E247337" w:rsidR="004E343D" w:rsidRDefault="004E343D" w:rsidP="007E7021">
      <w:pPr>
        <w:pStyle w:val="EndnoteText"/>
      </w:pPr>
      <w:r>
        <w:rPr>
          <w:rStyle w:val="EndnoteReference"/>
        </w:rPr>
        <w:endnoteRef/>
      </w:r>
      <w:r>
        <w:t xml:space="preserve"> </w:t>
      </w:r>
      <w:r w:rsidRPr="000927D2">
        <w:rPr>
          <w:i/>
        </w:rPr>
        <w:t>Code of Conduct for Copyright Collecting Societies</w:t>
      </w:r>
      <w:r>
        <w:t xml:space="preserve"> (2017)</w:t>
      </w:r>
      <w:r w:rsidRPr="00C844C6">
        <w:t xml:space="preserve">, </w:t>
      </w:r>
      <w:r>
        <w:t>clause </w:t>
      </w:r>
      <w:r w:rsidRPr="00C844C6">
        <w:t>1.3(d</w:t>
      </w:r>
      <w:r>
        <w:t>).</w:t>
      </w:r>
    </w:p>
  </w:endnote>
  <w:endnote w:id="65">
    <w:p w14:paraId="18D5FD15" w14:textId="028E7DEF" w:rsidR="004E343D" w:rsidRDefault="004E343D" w:rsidP="007E7021">
      <w:pPr>
        <w:pStyle w:val="EndnoteText"/>
      </w:pPr>
      <w:r>
        <w:rPr>
          <w:rStyle w:val="EndnoteReference"/>
        </w:rPr>
        <w:endnoteRef/>
      </w:r>
      <w:r>
        <w:t xml:space="preserve"> </w:t>
      </w:r>
      <w:r w:rsidRPr="000927D2">
        <w:rPr>
          <w:i/>
        </w:rPr>
        <w:t>Code of Conduct for Copyright Collecting Societies</w:t>
      </w:r>
      <w:r>
        <w:t xml:space="preserve"> (2017)</w:t>
      </w:r>
      <w:r w:rsidRPr="00C844C6">
        <w:t xml:space="preserve">, </w:t>
      </w:r>
      <w:r>
        <w:t>clause 3(a).</w:t>
      </w:r>
    </w:p>
  </w:endnote>
  <w:endnote w:id="66">
    <w:p w14:paraId="645ADCED" w14:textId="241DCFCF" w:rsidR="004E343D" w:rsidRDefault="004E343D" w:rsidP="007E7021">
      <w:pPr>
        <w:pStyle w:val="EndnoteText"/>
      </w:pPr>
      <w:r>
        <w:rPr>
          <w:rStyle w:val="EndnoteReference"/>
        </w:rPr>
        <w:endnoteRef/>
      </w:r>
      <w:r>
        <w:t xml:space="preserve"> </w:t>
      </w:r>
      <w:r w:rsidRPr="000927D2">
        <w:rPr>
          <w:i/>
        </w:rPr>
        <w:t>Code of Conduct for Copyright Collecting Societies</w:t>
      </w:r>
      <w:r>
        <w:t xml:space="preserve"> (2017)</w:t>
      </w:r>
      <w:r w:rsidRPr="00C844C6">
        <w:t xml:space="preserve">, </w:t>
      </w:r>
      <w:r>
        <w:t xml:space="preserve">clause 3(c) being Australian Standard ISO 10002-2006 – </w:t>
      </w:r>
      <w:r w:rsidRPr="00D82F65">
        <w:rPr>
          <w:i/>
        </w:rPr>
        <w:t>Customer Satisfaction</w:t>
      </w:r>
      <w:r>
        <w:rPr>
          <w:i/>
        </w:rPr>
        <w:t>.</w:t>
      </w:r>
    </w:p>
  </w:endnote>
  <w:endnote w:id="67">
    <w:p w14:paraId="0CDA692F" w14:textId="466AB3D2" w:rsidR="004E343D" w:rsidRDefault="004E343D" w:rsidP="007E7021">
      <w:pPr>
        <w:pStyle w:val="EndnoteText"/>
      </w:pPr>
      <w:r>
        <w:rPr>
          <w:rStyle w:val="EndnoteReference"/>
        </w:rPr>
        <w:endnoteRef/>
      </w:r>
      <w:r>
        <w:t xml:space="preserve"> </w:t>
      </w:r>
      <w:r w:rsidRPr="000927D2">
        <w:rPr>
          <w:i/>
        </w:rPr>
        <w:t>Code of Conduct for Copyright Collecting Societies</w:t>
      </w:r>
      <w:r>
        <w:t xml:space="preserve"> (2017)</w:t>
      </w:r>
      <w:r w:rsidRPr="00C844C6">
        <w:t xml:space="preserve">, </w:t>
      </w:r>
      <w:r>
        <w:t>clause 3(c)(viii)</w:t>
      </w:r>
    </w:p>
  </w:endnote>
  <w:endnote w:id="68">
    <w:p w14:paraId="3201F7EE" w14:textId="77777777" w:rsidR="004E343D" w:rsidRDefault="004E343D" w:rsidP="007E7021">
      <w:pPr>
        <w:pStyle w:val="EndnoteText"/>
      </w:pPr>
      <w:r>
        <w:rPr>
          <w:rStyle w:val="EndnoteReference"/>
        </w:rPr>
        <w:endnoteRef/>
      </w:r>
      <w:r>
        <w:t xml:space="preserve"> APRA</w:t>
      </w:r>
      <w:r w:rsidRPr="00E13E8C">
        <w:t xml:space="preserve"> AMCOS (2017), submission to Discussion Paper, available from </w:t>
      </w:r>
      <w:hyperlink r:id="rId52" w:history="1">
        <w:r w:rsidRPr="00E13E8C">
          <w:rPr>
            <w:rStyle w:val="Hyperlink"/>
          </w:rPr>
          <w:t>Review of the Code of Conduct for Copyright Collecting Societies</w:t>
        </w:r>
      </w:hyperlink>
      <w:r w:rsidRPr="00E13E8C">
        <w:t>,</w:t>
      </w:r>
      <w:r>
        <w:t xml:space="preserve"> para 21-22.</w:t>
      </w:r>
    </w:p>
  </w:endnote>
  <w:endnote w:id="69">
    <w:p w14:paraId="109146B9" w14:textId="77777777" w:rsidR="004E343D" w:rsidRDefault="004E343D" w:rsidP="007E7021">
      <w:pPr>
        <w:pStyle w:val="EndnoteText"/>
      </w:pPr>
      <w:r>
        <w:rPr>
          <w:rStyle w:val="EndnoteReference"/>
        </w:rPr>
        <w:endnoteRef/>
      </w:r>
      <w:r>
        <w:t xml:space="preserve"> Screenrights (2017), </w:t>
      </w:r>
      <w:hyperlink r:id="rId53" w:history="1">
        <w:r>
          <w:rPr>
            <w:rStyle w:val="Hyperlink"/>
          </w:rPr>
          <w:t>submission to the Discussion Paper</w:t>
        </w:r>
      </w:hyperlink>
      <w:r>
        <w:t>, Review of the Code of Conduct for Copyright Collecting Societies, September, p. 4.</w:t>
      </w:r>
    </w:p>
  </w:endnote>
  <w:endnote w:id="70">
    <w:p w14:paraId="3052D1D8" w14:textId="77777777" w:rsidR="004E343D" w:rsidRDefault="004E343D" w:rsidP="007E7021">
      <w:pPr>
        <w:pStyle w:val="EndnoteText"/>
      </w:pPr>
      <w:r>
        <w:rPr>
          <w:rStyle w:val="EndnoteReference"/>
        </w:rPr>
        <w:endnoteRef/>
      </w:r>
      <w:r>
        <w:t xml:space="preserve"> </w:t>
      </w:r>
      <w:r>
        <w:rPr>
          <w:lang w:eastAsia="en-US"/>
        </w:rPr>
        <w:t>see Screenrights’ ADR policies as an example</w:t>
      </w:r>
    </w:p>
  </w:endnote>
  <w:endnote w:id="71">
    <w:p w14:paraId="74490C81" w14:textId="77777777" w:rsidR="004E343D" w:rsidRDefault="004E343D" w:rsidP="007E7021">
      <w:pPr>
        <w:pStyle w:val="EndnoteText"/>
      </w:pPr>
      <w:r>
        <w:rPr>
          <w:rStyle w:val="EndnoteReference"/>
        </w:rPr>
        <w:endnoteRef/>
      </w:r>
      <w:r>
        <w:t xml:space="preserve"> Live Performance Australia (2017), </w:t>
      </w:r>
      <w:hyperlink r:id="rId54" w:history="1">
        <w:r w:rsidRPr="00E336A0">
          <w:rPr>
            <w:rStyle w:val="Hyperlink"/>
          </w:rPr>
          <w:t>submission to the Discussion Paper</w:t>
        </w:r>
      </w:hyperlink>
      <w:r>
        <w:t>, Review of the Code of Conduct for Copyright Collecting Societies, p. 5.</w:t>
      </w:r>
    </w:p>
  </w:endnote>
  <w:endnote w:id="72">
    <w:p w14:paraId="3171A42E" w14:textId="287CE62F" w:rsidR="004E343D" w:rsidRDefault="004E343D" w:rsidP="007E7021">
      <w:pPr>
        <w:pStyle w:val="EndnoteText"/>
      </w:pPr>
      <w:r>
        <w:rPr>
          <w:rStyle w:val="EndnoteReference"/>
        </w:rPr>
        <w:endnoteRef/>
      </w:r>
      <w:r>
        <w:t xml:space="preserve"> </w:t>
      </w:r>
      <w:hyperlink r:id="rId55" w:history="1">
        <w:r w:rsidRPr="00B87BFA">
          <w:rPr>
            <w:rStyle w:val="Hyperlink"/>
          </w:rPr>
          <w:t>Report of the Code Reviewer (the Hon JCS Burchett, QC, formerly a Justice of the Federal Court of Australia) upon a review of the operation of the Code of Conduct of the Copyright Collecting Societies of Australia</w:t>
        </w:r>
      </w:hyperlink>
      <w:r>
        <w:t>, June 2011, p. 2.</w:t>
      </w:r>
    </w:p>
  </w:endnote>
  <w:endnote w:id="73">
    <w:p w14:paraId="6FB4412A" w14:textId="7D7C9F8F" w:rsidR="004E343D" w:rsidRDefault="004E343D" w:rsidP="007E7021">
      <w:pPr>
        <w:pStyle w:val="EndnoteText"/>
      </w:pPr>
      <w:r>
        <w:rPr>
          <w:rStyle w:val="EndnoteReference"/>
        </w:rPr>
        <w:endnoteRef/>
      </w:r>
      <w:r>
        <w:t xml:space="preserve"> J.C.S. Burchett, QC (2004), </w:t>
      </w:r>
      <w:hyperlink r:id="rId56" w:history="1">
        <w:r w:rsidRPr="00B87BFA">
          <w:rPr>
            <w:rStyle w:val="Hyperlink"/>
          </w:rPr>
          <w:t>Report of the Review of Copyright Collecting Societies’ Compliance with their Code of Conduct for the Year 1 July 2003 to 30</w:t>
        </w:r>
        <w:r>
          <w:rPr>
            <w:rStyle w:val="Hyperlink"/>
          </w:rPr>
          <w:t> June</w:t>
        </w:r>
        <w:r w:rsidRPr="00B87BFA">
          <w:rPr>
            <w:rStyle w:val="Hyperlink"/>
          </w:rPr>
          <w:t xml:space="preserve"> 2004</w:t>
        </w:r>
      </w:hyperlink>
      <w:r>
        <w:t>, p. 4.</w:t>
      </w:r>
    </w:p>
  </w:endnote>
  <w:endnote w:id="74">
    <w:p w14:paraId="7134DAE5" w14:textId="77777777" w:rsidR="004E343D" w:rsidRDefault="004E343D" w:rsidP="007E7021">
      <w:pPr>
        <w:pStyle w:val="EndnoteText"/>
      </w:pPr>
      <w:r>
        <w:rPr>
          <w:rStyle w:val="EndnoteReference"/>
        </w:rPr>
        <w:endnoteRef/>
      </w:r>
      <w:r>
        <w:t xml:space="preserve"> The Hon KE Lindgren AM, QC (2014), </w:t>
      </w:r>
      <w:hyperlink r:id="rId57" w:history="1">
        <w:r w:rsidRPr="00B87BFA">
          <w:rPr>
            <w:rStyle w:val="Hyperlink"/>
          </w:rPr>
          <w:t>Report of the Code Reviewer (The Hon KE Lindgren AM, QC, Formerly a Justice of the Federal Court of Australia) upon a Review of the Operation of the Code of Conduct of the Copyright Collecting Societies of Australia</w:t>
        </w:r>
      </w:hyperlink>
      <w:r>
        <w:t xml:space="preserve">, April, p. 8 – as the Code Reviewer cannot resolve such disputes in a way that would bind the disputants unless they appointed the Code Reviewer as an arbitrator for the purpose. </w:t>
      </w:r>
    </w:p>
  </w:endnote>
  <w:endnote w:id="75">
    <w:p w14:paraId="13BE801A" w14:textId="77777777" w:rsidR="004E343D" w:rsidRDefault="004E343D" w:rsidP="007E7021">
      <w:pPr>
        <w:pStyle w:val="EndnoteText"/>
      </w:pPr>
      <w:r>
        <w:rPr>
          <w:rStyle w:val="EndnoteReference"/>
        </w:rPr>
        <w:endnoteRef/>
      </w:r>
      <w:r>
        <w:t xml:space="preserve"> Ibid, p. 5.</w:t>
      </w:r>
    </w:p>
  </w:endnote>
  <w:endnote w:id="76">
    <w:p w14:paraId="0E451122" w14:textId="77777777" w:rsidR="004E343D" w:rsidRDefault="004E343D" w:rsidP="007E7021">
      <w:pPr>
        <w:pStyle w:val="EndnoteText"/>
      </w:pPr>
      <w:r>
        <w:rPr>
          <w:rStyle w:val="EndnoteReference"/>
        </w:rPr>
        <w:endnoteRef/>
      </w:r>
      <w:r>
        <w:t xml:space="preserve"> </w:t>
      </w:r>
      <w:r w:rsidRPr="00D61C48">
        <w:rPr>
          <w:i/>
        </w:rPr>
        <w:t>Copyright Agency Ltd v Department of Education (Qld)</w:t>
      </w:r>
      <w:r w:rsidRPr="00D61C48">
        <w:t xml:space="preserve"> </w:t>
      </w:r>
      <w:hyperlink r:id="rId58" w:history="1">
        <w:r w:rsidRPr="00B103CE">
          <w:rPr>
            <w:rStyle w:val="Hyperlink"/>
          </w:rPr>
          <w:t>[2002] ACopyT 1</w:t>
        </w:r>
      </w:hyperlink>
      <w:r>
        <w:t>,</w:t>
      </w:r>
      <w:r w:rsidRPr="00D61C48">
        <w:t xml:space="preserve"> [14]-[16]</w:t>
      </w:r>
      <w:r>
        <w:t>.</w:t>
      </w:r>
    </w:p>
  </w:endnote>
  <w:endnote w:id="77">
    <w:p w14:paraId="0AAEF4DC" w14:textId="77777777" w:rsidR="004E343D" w:rsidRDefault="004E343D" w:rsidP="007E7021">
      <w:pPr>
        <w:pStyle w:val="EndnoteText"/>
      </w:pPr>
      <w:r>
        <w:rPr>
          <w:rStyle w:val="EndnoteReference"/>
        </w:rPr>
        <w:endnoteRef/>
      </w:r>
      <w:r>
        <w:t xml:space="preserve"> </w:t>
      </w:r>
      <w:r w:rsidRPr="00B87BFA">
        <w:t>Ibid.</w:t>
      </w:r>
    </w:p>
  </w:endnote>
  <w:endnote w:id="78">
    <w:p w14:paraId="74F4558A" w14:textId="77777777" w:rsidR="004E343D" w:rsidRDefault="004E343D" w:rsidP="007E7021">
      <w:pPr>
        <w:pStyle w:val="EndnoteText"/>
      </w:pPr>
      <w:r>
        <w:rPr>
          <w:rStyle w:val="EndnoteReference"/>
        </w:rPr>
        <w:endnoteRef/>
      </w:r>
      <w:r>
        <w:t xml:space="preserve"> </w:t>
      </w:r>
      <w:r w:rsidRPr="00542BB1">
        <w:rPr>
          <w:i/>
        </w:rPr>
        <w:t>Phonographic Performance Company of Australia Limited (ACN 000 680 704) under section 154(1) of the Copyright Act 1968 (Cth)</w:t>
      </w:r>
      <w:r w:rsidRPr="00542BB1">
        <w:t xml:space="preserve"> [2007] ACopyT 1</w:t>
      </w:r>
      <w:r>
        <w:t>, [10].</w:t>
      </w:r>
    </w:p>
  </w:endnote>
  <w:endnote w:id="79">
    <w:p w14:paraId="5C82831F" w14:textId="77777777" w:rsidR="004E343D" w:rsidRDefault="004E343D" w:rsidP="007E7021">
      <w:pPr>
        <w:pStyle w:val="EndnoteText"/>
      </w:pPr>
      <w:r>
        <w:rPr>
          <w:rStyle w:val="EndnoteReference"/>
        </w:rPr>
        <w:endnoteRef/>
      </w:r>
      <w:r>
        <w:t xml:space="preserve"> </w:t>
      </w:r>
      <w:r w:rsidRPr="00F34528">
        <w:t xml:space="preserve">Universities Australia (2017), </w:t>
      </w:r>
      <w:hyperlink r:id="rId59" w:history="1">
        <w:r w:rsidRPr="00F34528">
          <w:rPr>
            <w:rStyle w:val="Hyperlink"/>
          </w:rPr>
          <w:t>submission to Discussion Paper</w:t>
        </w:r>
      </w:hyperlink>
      <w:r w:rsidRPr="00F34528">
        <w:t xml:space="preserve">, Review of the Code of Conduct for Copyright Collecting Societies, September, </w:t>
      </w:r>
      <w:r>
        <w:t>p. 17.</w:t>
      </w:r>
    </w:p>
  </w:endnote>
  <w:endnote w:id="80">
    <w:p w14:paraId="15ED1CFF" w14:textId="77777777" w:rsidR="004E343D" w:rsidRDefault="004E343D" w:rsidP="007E7021">
      <w:pPr>
        <w:pStyle w:val="EndnoteText"/>
      </w:pPr>
      <w:r>
        <w:rPr>
          <w:rStyle w:val="EndnoteReference"/>
        </w:rPr>
        <w:endnoteRef/>
      </w:r>
      <w:r>
        <w:t xml:space="preserve"> Live Performance Australia (2017), </w:t>
      </w:r>
      <w:hyperlink r:id="rId60" w:history="1">
        <w:r w:rsidRPr="00E336A0">
          <w:rPr>
            <w:rStyle w:val="Hyperlink"/>
          </w:rPr>
          <w:t>submission to the Discussion Paper</w:t>
        </w:r>
      </w:hyperlink>
      <w:r>
        <w:t>, Review of the Code of Conduct for Copyright Collecting Societies, pp. 4-5.</w:t>
      </w:r>
    </w:p>
  </w:endnote>
  <w:endnote w:id="81">
    <w:p w14:paraId="447E2938" w14:textId="77777777" w:rsidR="004E343D" w:rsidRDefault="004E343D" w:rsidP="007E7021">
      <w:pPr>
        <w:pStyle w:val="EndnoteText"/>
      </w:pPr>
      <w:r>
        <w:rPr>
          <w:rStyle w:val="EndnoteReference"/>
        </w:rPr>
        <w:endnoteRef/>
      </w:r>
      <w:r>
        <w:t xml:space="preserve"> PPCA (2017), </w:t>
      </w:r>
      <w:hyperlink r:id="rId61" w:history="1">
        <w:r>
          <w:rPr>
            <w:rStyle w:val="Hyperlink"/>
          </w:rPr>
          <w:t>submission to the Discussion Paper</w:t>
        </w:r>
      </w:hyperlink>
      <w:r>
        <w:t>, Review of the Code of Conduct for Copyright Collecting Societies, September, p. 9.</w:t>
      </w:r>
    </w:p>
  </w:endnote>
  <w:endnote w:id="82">
    <w:p w14:paraId="3FAE5EFE" w14:textId="11BFD5DD" w:rsidR="004E343D" w:rsidRDefault="004E343D">
      <w:pPr>
        <w:pStyle w:val="EndnoteText"/>
      </w:pPr>
      <w:r>
        <w:rPr>
          <w:rStyle w:val="EndnoteReference"/>
        </w:rPr>
        <w:endnoteRef/>
      </w:r>
      <w:r>
        <w:t xml:space="preserve"> </w:t>
      </w:r>
      <w:hyperlink r:id="rId62" w:history="1">
        <w:r w:rsidRPr="00955A9D">
          <w:rPr>
            <w:rStyle w:val="Hyperlink"/>
          </w:rPr>
          <w:t>http://www.copyrighttribunal.gov.au/practice-direction</w:t>
        </w:r>
      </w:hyperlink>
      <w:r>
        <w:t xml:space="preserve"> </w:t>
      </w:r>
    </w:p>
  </w:endnote>
  <w:endnote w:id="83">
    <w:p w14:paraId="3700273B" w14:textId="77777777" w:rsidR="004E343D" w:rsidRDefault="004E343D" w:rsidP="007E7021">
      <w:pPr>
        <w:pStyle w:val="EndnoteText"/>
      </w:pPr>
      <w:r>
        <w:rPr>
          <w:rStyle w:val="EndnoteReference"/>
        </w:rPr>
        <w:endnoteRef/>
      </w:r>
      <w:r>
        <w:t xml:space="preserve"> The Hon KE Lindgren AM, QC (2014), </w:t>
      </w:r>
      <w:hyperlink r:id="rId63" w:history="1">
        <w:r w:rsidRPr="00B87BFA">
          <w:rPr>
            <w:rStyle w:val="Hyperlink"/>
          </w:rPr>
          <w:t>Report of the Code Reviewer (The Hon KE Lindgren AM, QC, Formerly a Justice of the Federal Court of Australia) upon a Review of the Operation of the Code of Conduct of the Copyright Collecting Societies of Australia</w:t>
        </w:r>
      </w:hyperlink>
      <w:r>
        <w:t>, April, p. 5.</w:t>
      </w:r>
    </w:p>
  </w:endnote>
  <w:endnote w:id="84">
    <w:p w14:paraId="1BEDCCC4" w14:textId="3A418CA4" w:rsidR="004E343D" w:rsidRDefault="004E343D" w:rsidP="007E7021">
      <w:pPr>
        <w:pStyle w:val="EndnoteText"/>
      </w:pPr>
      <w:r>
        <w:rPr>
          <w:rStyle w:val="EndnoteReference"/>
        </w:rPr>
        <w:endnoteRef/>
      </w:r>
      <w:r>
        <w:t xml:space="preserve"> ACCC (2014), </w:t>
      </w:r>
      <w:hyperlink r:id="rId64" w:history="1">
        <w:r w:rsidRPr="00B87BFA">
          <w:rPr>
            <w:rStyle w:val="Hyperlink"/>
          </w:rPr>
          <w:t>Determination- Application for revocation and substitution of authorisations A91187-A91194 and A91211 lodged by the Australasian Performing Right Association Limited in respect of arrangements for the acquisition and licensing of performing rights in music</w:t>
        </w:r>
      </w:hyperlink>
      <w:r>
        <w:t>, 6 June, p. 55.</w:t>
      </w:r>
    </w:p>
  </w:endnote>
  <w:endnote w:id="85">
    <w:p w14:paraId="0CD535E0" w14:textId="77777777" w:rsidR="004E343D" w:rsidRPr="00483579" w:rsidRDefault="004E343D" w:rsidP="007E7021">
      <w:pPr>
        <w:pStyle w:val="EndnoteText"/>
      </w:pPr>
      <w:r>
        <w:rPr>
          <w:rStyle w:val="EndnoteReference"/>
        </w:rPr>
        <w:endnoteRef/>
      </w:r>
      <w:r>
        <w:t xml:space="preserve"> The </w:t>
      </w:r>
      <w:r w:rsidRPr="00C054FB">
        <w:t>Treasury (2011)</w:t>
      </w:r>
      <w:r>
        <w:t>,</w:t>
      </w:r>
      <w:r w:rsidRPr="00C054FB">
        <w:t xml:space="preserve"> </w:t>
      </w:r>
      <w:hyperlink r:id="rId65" w:history="1">
        <w:r w:rsidRPr="00D12A9F">
          <w:rPr>
            <w:rStyle w:val="Hyperlink"/>
          </w:rPr>
          <w:t xml:space="preserve">Policy guidelines on prescribing industry codes under Part IVB of the </w:t>
        </w:r>
        <w:r w:rsidRPr="000927D2">
          <w:rPr>
            <w:rStyle w:val="Hyperlink"/>
            <w:i/>
          </w:rPr>
          <w:t>Competition and Consumer Act 2010</w:t>
        </w:r>
      </w:hyperlink>
      <w:r>
        <w:t>,</w:t>
      </w:r>
      <w:r w:rsidRPr="00C054FB">
        <w:t xml:space="preserve"> </w:t>
      </w:r>
      <w:r>
        <w:t>May,  p. iv.</w:t>
      </w:r>
    </w:p>
  </w:endnote>
  <w:endnote w:id="86">
    <w:p w14:paraId="6A808E77" w14:textId="77777777" w:rsidR="004E343D" w:rsidRDefault="004E343D" w:rsidP="007E7021">
      <w:pPr>
        <w:pStyle w:val="EndnoteText"/>
      </w:pPr>
      <w:r>
        <w:rPr>
          <w:rStyle w:val="EndnoteReference"/>
        </w:rPr>
        <w:endnoteRef/>
      </w:r>
      <w:r>
        <w:t xml:space="preserve"> The </w:t>
      </w:r>
      <w:r w:rsidRPr="00C054FB">
        <w:t>Treasury (2011)</w:t>
      </w:r>
      <w:r>
        <w:t>,</w:t>
      </w:r>
      <w:r w:rsidRPr="00C054FB">
        <w:t xml:space="preserve"> </w:t>
      </w:r>
      <w:hyperlink r:id="rId66" w:history="1">
        <w:r w:rsidRPr="00D12A9F">
          <w:rPr>
            <w:rStyle w:val="Hyperlink"/>
          </w:rPr>
          <w:t xml:space="preserve">Policy guidelines on prescribing industry codes under Part IVB of the </w:t>
        </w:r>
        <w:r w:rsidRPr="000927D2">
          <w:rPr>
            <w:rStyle w:val="Hyperlink"/>
            <w:i/>
          </w:rPr>
          <w:t>Competition and Consumer Act 2010</w:t>
        </w:r>
      </w:hyperlink>
      <w:r>
        <w:t>,</w:t>
      </w:r>
      <w:r w:rsidRPr="00C054FB">
        <w:t xml:space="preserve"> </w:t>
      </w:r>
      <w:r>
        <w:t>May, p. 2.</w:t>
      </w:r>
    </w:p>
  </w:endnote>
  <w:endnote w:id="87">
    <w:p w14:paraId="60E65EFE" w14:textId="77777777" w:rsidR="004E343D" w:rsidRDefault="004E343D" w:rsidP="007E7021">
      <w:pPr>
        <w:pStyle w:val="EndnoteText"/>
      </w:pPr>
      <w:r>
        <w:rPr>
          <w:rStyle w:val="EndnoteReference"/>
        </w:rPr>
        <w:endnoteRef/>
      </w:r>
      <w:r>
        <w:t xml:space="preserve"> ACCC (2011), </w:t>
      </w:r>
      <w:hyperlink r:id="rId67" w:history="1">
        <w:r w:rsidRPr="00764848">
          <w:rPr>
            <w:rStyle w:val="Hyperlink"/>
          </w:rPr>
          <w:t>Guidelines for developing effective voluntary industry codes of conduct</w:t>
        </w:r>
      </w:hyperlink>
      <w:r>
        <w:t>, July, pp. 11-12.</w:t>
      </w:r>
    </w:p>
  </w:endnote>
  <w:endnote w:id="88">
    <w:p w14:paraId="00D72878" w14:textId="77777777" w:rsidR="004E343D" w:rsidRDefault="004E343D" w:rsidP="007E7021">
      <w:pPr>
        <w:pStyle w:val="EndnoteText"/>
      </w:pPr>
      <w:r>
        <w:rPr>
          <w:rStyle w:val="EndnoteReference"/>
        </w:rPr>
        <w:endnoteRef/>
      </w:r>
      <w:r>
        <w:t xml:space="preserve"> A retired judge of the Federal Court of Australia (1985-2000) and former President of the Copyright Tribunal of Australia.</w:t>
      </w:r>
    </w:p>
  </w:endnote>
  <w:endnote w:id="89">
    <w:p w14:paraId="5938302D" w14:textId="77777777" w:rsidR="004E343D" w:rsidRDefault="004E343D" w:rsidP="007E7021">
      <w:pPr>
        <w:pStyle w:val="EndnoteText"/>
      </w:pPr>
      <w:r>
        <w:rPr>
          <w:rStyle w:val="EndnoteReference"/>
        </w:rPr>
        <w:endnoteRef/>
      </w:r>
      <w:r>
        <w:t xml:space="preserve"> For each of the financial years 2002/03 to 2010/11.</w:t>
      </w:r>
    </w:p>
  </w:endnote>
  <w:endnote w:id="90">
    <w:p w14:paraId="5B9D0B1C" w14:textId="1CF57131" w:rsidR="004E343D" w:rsidRDefault="004E343D" w:rsidP="007E7021">
      <w:pPr>
        <w:pStyle w:val="EndnoteText"/>
      </w:pPr>
      <w:r>
        <w:rPr>
          <w:rStyle w:val="EndnoteReference"/>
        </w:rPr>
        <w:endnoteRef/>
      </w:r>
      <w:r>
        <w:t xml:space="preserve"> Issued in April 2005, April 2008 and June 2011.</w:t>
      </w:r>
    </w:p>
  </w:endnote>
  <w:endnote w:id="91">
    <w:p w14:paraId="32C01188" w14:textId="77777777" w:rsidR="004E343D" w:rsidRDefault="004E343D" w:rsidP="007E7021">
      <w:pPr>
        <w:pStyle w:val="EndnoteText"/>
      </w:pPr>
      <w:r>
        <w:rPr>
          <w:rStyle w:val="EndnoteReference"/>
        </w:rPr>
        <w:endnoteRef/>
      </w:r>
      <w:r>
        <w:t xml:space="preserve"> A retired judge of the Federal Court of Australia (1994-2010) and former President of the Copyright Tribunal of Australia (2000-2007).</w:t>
      </w:r>
    </w:p>
  </w:endnote>
  <w:endnote w:id="92">
    <w:p w14:paraId="0D6D5884" w14:textId="77777777" w:rsidR="004E343D" w:rsidRDefault="004E343D" w:rsidP="007E7021">
      <w:pPr>
        <w:pStyle w:val="EndnoteText"/>
      </w:pPr>
      <w:r>
        <w:rPr>
          <w:rStyle w:val="EndnoteReference"/>
        </w:rPr>
        <w:endnoteRef/>
      </w:r>
      <w:r>
        <w:t xml:space="preserve"> For each of the financial years 2011/2012 to 2015/2016.</w:t>
      </w:r>
    </w:p>
  </w:endnote>
  <w:endnote w:id="93">
    <w:p w14:paraId="36E965B8" w14:textId="77777777" w:rsidR="004E343D" w:rsidRPr="009B7B6C" w:rsidRDefault="004E343D" w:rsidP="007E7021">
      <w:pPr>
        <w:pStyle w:val="EndnoteText"/>
      </w:pPr>
      <w:r w:rsidRPr="009B7B6C">
        <w:rPr>
          <w:rStyle w:val="EndnoteReference"/>
        </w:rPr>
        <w:endnoteRef/>
      </w:r>
      <w:r w:rsidRPr="009B7B6C">
        <w:t xml:space="preserve"> Issued April 2014 (and supplementary report of October 2015) and April 2017.</w:t>
      </w:r>
    </w:p>
  </w:endnote>
  <w:endnote w:id="94">
    <w:p w14:paraId="32F00C4D" w14:textId="2AE07D30" w:rsidR="004E343D" w:rsidRPr="009B7B6C" w:rsidRDefault="004E343D" w:rsidP="007E7021">
      <w:pPr>
        <w:pStyle w:val="EndnoteText"/>
      </w:pPr>
      <w:r w:rsidRPr="009B7B6C">
        <w:rPr>
          <w:rStyle w:val="EndnoteReference"/>
        </w:rPr>
        <w:endnoteRef/>
      </w:r>
      <w:r w:rsidRPr="009B7B6C">
        <w:t xml:space="preserve"> </w:t>
      </w:r>
      <w:r w:rsidRPr="009B7B6C">
        <w:rPr>
          <w:i/>
        </w:rPr>
        <w:t>Code of Conduct for Copyright Collecting Societies</w:t>
      </w:r>
      <w:r w:rsidRPr="009B7B6C">
        <w:t xml:space="preserve"> (2017), </w:t>
      </w:r>
      <w:r>
        <w:t>clause </w:t>
      </w:r>
      <w:r w:rsidRPr="009B7B6C">
        <w:t>5.2(a).</w:t>
      </w:r>
    </w:p>
  </w:endnote>
  <w:endnote w:id="95">
    <w:p w14:paraId="3E14B240" w14:textId="77777777" w:rsidR="004E343D" w:rsidRPr="00EF7478" w:rsidRDefault="004E343D" w:rsidP="007E7021">
      <w:pPr>
        <w:pStyle w:val="EndnoteText"/>
      </w:pPr>
      <w:r w:rsidRPr="009B7B6C">
        <w:rPr>
          <w:rStyle w:val="EndnoteReference"/>
        </w:rPr>
        <w:endnoteRef/>
      </w:r>
      <w:r w:rsidRPr="009B7B6C">
        <w:t xml:space="preserve"> Currently, the Department of Communications and the Arts; prior to this the Attorney-General’s Department has administered this legislation.</w:t>
      </w:r>
    </w:p>
  </w:endnote>
  <w:endnote w:id="96">
    <w:p w14:paraId="3B0717A5" w14:textId="1319CA27" w:rsidR="004E343D" w:rsidRDefault="004E343D" w:rsidP="007E7021">
      <w:pPr>
        <w:pStyle w:val="EndnoteText"/>
      </w:pPr>
      <w:r w:rsidRPr="00EF7478">
        <w:rPr>
          <w:rStyle w:val="EndnoteReference"/>
        </w:rPr>
        <w:endnoteRef/>
      </w:r>
      <w:r w:rsidRPr="00EF7478">
        <w:t xml:space="preserve"> </w:t>
      </w:r>
      <w:r w:rsidRPr="00EF7478">
        <w:rPr>
          <w:i/>
        </w:rPr>
        <w:t>Code of Conduct for Copyright Collecting Societies</w:t>
      </w:r>
      <w:r w:rsidRPr="00EF7478">
        <w:t xml:space="preserve"> (2017), </w:t>
      </w:r>
      <w:r>
        <w:t>clause 5.2(f).</w:t>
      </w:r>
    </w:p>
  </w:endnote>
  <w:endnote w:id="97">
    <w:p w14:paraId="1A22D8FB" w14:textId="70029A54" w:rsidR="004E343D" w:rsidRDefault="004E343D" w:rsidP="007E7021">
      <w:pPr>
        <w:pStyle w:val="EndnoteText"/>
      </w:pPr>
      <w:r>
        <w:rPr>
          <w:rStyle w:val="EndnoteReference"/>
        </w:rPr>
        <w:endnoteRef/>
      </w:r>
      <w:r>
        <w:t xml:space="preserve"> </w:t>
      </w:r>
      <w:r>
        <w:rPr>
          <w:i/>
        </w:rPr>
        <w:t>Code of Conduct for Copyright Collecting Societies</w:t>
      </w:r>
      <w:r>
        <w:t xml:space="preserve"> (2017), clause 5.3(b)(i).</w:t>
      </w:r>
    </w:p>
  </w:endnote>
  <w:endnote w:id="98">
    <w:p w14:paraId="45EAC5F6" w14:textId="02A2F61C" w:rsidR="004E343D" w:rsidRDefault="004E343D" w:rsidP="007E7021">
      <w:pPr>
        <w:pStyle w:val="EndnoteText"/>
      </w:pPr>
      <w:r>
        <w:rPr>
          <w:rStyle w:val="EndnoteReference"/>
        </w:rPr>
        <w:endnoteRef/>
      </w:r>
      <w:r>
        <w:t xml:space="preserve"> </w:t>
      </w:r>
      <w:r>
        <w:rPr>
          <w:i/>
        </w:rPr>
        <w:t>Code of Conduct for Copyright Collecting Societies</w:t>
      </w:r>
      <w:r>
        <w:t xml:space="preserve"> (2017), clause 5.3(b)(ii).</w:t>
      </w:r>
    </w:p>
  </w:endnote>
  <w:endnote w:id="99">
    <w:p w14:paraId="5AB951B9" w14:textId="5EF49C2D" w:rsidR="004E343D" w:rsidRDefault="004E343D" w:rsidP="007E7021">
      <w:pPr>
        <w:pStyle w:val="EndnoteText"/>
      </w:pPr>
      <w:r>
        <w:rPr>
          <w:rStyle w:val="EndnoteReference"/>
        </w:rPr>
        <w:endnoteRef/>
      </w:r>
      <w:r>
        <w:t xml:space="preserve"> </w:t>
      </w:r>
      <w:r>
        <w:rPr>
          <w:i/>
        </w:rPr>
        <w:t>Code of Conduct for Copyright Collecting Societies</w:t>
      </w:r>
      <w:r>
        <w:t xml:space="preserve"> (2017), clause 5.3(b)(iii).</w:t>
      </w:r>
    </w:p>
  </w:endnote>
  <w:endnote w:id="100">
    <w:p w14:paraId="1280FA81" w14:textId="2B85E912" w:rsidR="004E343D" w:rsidRDefault="004E343D" w:rsidP="007E7021">
      <w:pPr>
        <w:pStyle w:val="EndnoteText"/>
      </w:pPr>
      <w:r>
        <w:rPr>
          <w:rStyle w:val="EndnoteReference"/>
        </w:rPr>
        <w:endnoteRef/>
      </w:r>
      <w:r>
        <w:t xml:space="preserve"> J.C.S. Burchett, QC, </w:t>
      </w:r>
      <w:hyperlink r:id="rId68" w:history="1">
        <w:r w:rsidRPr="00714614">
          <w:rPr>
            <w:rStyle w:val="Hyperlink"/>
          </w:rPr>
          <w:t>Report of the Review of Copyright Collecting Societies’ Compliance with their Code of Conduct for the Year 1 July 2003 to 30</w:t>
        </w:r>
        <w:r>
          <w:rPr>
            <w:rStyle w:val="Hyperlink"/>
          </w:rPr>
          <w:t> June</w:t>
        </w:r>
        <w:r w:rsidRPr="00714614">
          <w:rPr>
            <w:rStyle w:val="Hyperlink"/>
          </w:rPr>
          <w:t xml:space="preserve"> 2004</w:t>
        </w:r>
      </w:hyperlink>
      <w:r>
        <w:t>, p. 1.</w:t>
      </w:r>
    </w:p>
  </w:endnote>
  <w:endnote w:id="101">
    <w:p w14:paraId="7916E799" w14:textId="1AE0D3E2" w:rsidR="004E343D" w:rsidRDefault="004E343D" w:rsidP="007E7021">
      <w:pPr>
        <w:pStyle w:val="EndnoteText"/>
      </w:pPr>
      <w:r>
        <w:rPr>
          <w:rStyle w:val="EndnoteReference"/>
        </w:rPr>
        <w:endnoteRef/>
      </w:r>
      <w:r>
        <w:t xml:space="preserve"> J.C.S. Burchett, QC, </w:t>
      </w:r>
      <w:hyperlink r:id="rId69" w:history="1">
        <w:r w:rsidRPr="00714614">
          <w:rPr>
            <w:rStyle w:val="Hyperlink"/>
          </w:rPr>
          <w:t>Report of the Review of Copyright Collecting Societies’ Compliance with their Code of Conduct for the Year 1 July 2004 to 30</w:t>
        </w:r>
        <w:r>
          <w:rPr>
            <w:rStyle w:val="Hyperlink"/>
          </w:rPr>
          <w:t> June</w:t>
        </w:r>
        <w:r w:rsidRPr="00714614">
          <w:rPr>
            <w:rStyle w:val="Hyperlink"/>
          </w:rPr>
          <w:t xml:space="preserve"> 2005</w:t>
        </w:r>
      </w:hyperlink>
      <w:r>
        <w:t>, p. 1.</w:t>
      </w:r>
    </w:p>
  </w:endnote>
  <w:endnote w:id="102">
    <w:p w14:paraId="7EBFD662" w14:textId="77777777" w:rsidR="004E343D" w:rsidRDefault="004E343D" w:rsidP="007E7021">
      <w:pPr>
        <w:pStyle w:val="EndnoteText"/>
      </w:pPr>
      <w:r>
        <w:rPr>
          <w:rStyle w:val="EndnoteReference"/>
        </w:rPr>
        <w:endnoteRef/>
      </w:r>
      <w:r>
        <w:t xml:space="preserve"> Ibid pp. 1-2.</w:t>
      </w:r>
    </w:p>
  </w:endnote>
  <w:endnote w:id="103">
    <w:p w14:paraId="20906CE8" w14:textId="77777777" w:rsidR="004E343D" w:rsidRDefault="004E343D" w:rsidP="007E7021">
      <w:pPr>
        <w:pStyle w:val="EndnoteText"/>
      </w:pPr>
      <w:r>
        <w:rPr>
          <w:rStyle w:val="EndnoteReference"/>
        </w:rPr>
        <w:endnoteRef/>
      </w:r>
      <w:r>
        <w:t xml:space="preserve"> Ibid at p. 29.</w:t>
      </w:r>
    </w:p>
  </w:endnote>
  <w:endnote w:id="104">
    <w:p w14:paraId="5FAECB22" w14:textId="6AD1758D" w:rsidR="004E343D" w:rsidRDefault="004E343D" w:rsidP="007E7021">
      <w:pPr>
        <w:pStyle w:val="EndnoteText"/>
      </w:pPr>
      <w:r>
        <w:rPr>
          <w:rStyle w:val="EndnoteReference"/>
        </w:rPr>
        <w:endnoteRef/>
      </w:r>
      <w:r>
        <w:t xml:space="preserve"> The Hon K E Lindgren AM, QC (2013) </w:t>
      </w:r>
      <w:hyperlink r:id="rId70" w:history="1">
        <w:r w:rsidRPr="00714614">
          <w:rPr>
            <w:rStyle w:val="Hyperlink"/>
          </w:rPr>
          <w:t>Report of the Review of Copyright Collecting Societies’ Compliance with their Code of Conduct for the Year 1 July 2012 to 30</w:t>
        </w:r>
        <w:r>
          <w:rPr>
            <w:rStyle w:val="Hyperlink"/>
          </w:rPr>
          <w:t> June</w:t>
        </w:r>
        <w:r w:rsidRPr="00714614">
          <w:rPr>
            <w:rStyle w:val="Hyperlink"/>
          </w:rPr>
          <w:t xml:space="preserve"> 2013</w:t>
        </w:r>
      </w:hyperlink>
      <w:r>
        <w:t>, November, pp. 45-46.</w:t>
      </w:r>
    </w:p>
  </w:endnote>
  <w:endnote w:id="105">
    <w:p w14:paraId="4FB3C2CC" w14:textId="53590BB1" w:rsidR="004E343D" w:rsidRDefault="004E343D" w:rsidP="007E7021">
      <w:pPr>
        <w:pStyle w:val="EndnoteText"/>
      </w:pPr>
      <w:r>
        <w:rPr>
          <w:rStyle w:val="EndnoteReference"/>
        </w:rPr>
        <w:endnoteRef/>
      </w:r>
      <w:r>
        <w:t xml:space="preserve"> I</w:t>
      </w:r>
      <w:r w:rsidRPr="00A50DD4">
        <w:t>ncluding</w:t>
      </w:r>
      <w:r>
        <w:t xml:space="preserve"> </w:t>
      </w:r>
      <w:r w:rsidRPr="00A50DD4">
        <w:t>re-doing the distribution process for the affected quarterly distribution period</w:t>
      </w:r>
      <w:r>
        <w:t xml:space="preserve"> and </w:t>
      </w:r>
      <w:r w:rsidRPr="00A50DD4">
        <w:t>establishing a consultative group of industry representatives with whom APRA would consult before making any changes to the nightclub music distribution policy</w:t>
      </w:r>
      <w:r>
        <w:t>:</w:t>
      </w:r>
      <w:r w:rsidRPr="00625BEC">
        <w:t xml:space="preserve"> </w:t>
      </w:r>
      <w:r>
        <w:t xml:space="preserve">The Hon K E Lindgren AM, QC (2013) </w:t>
      </w:r>
      <w:hyperlink r:id="rId71" w:history="1">
        <w:r w:rsidRPr="00714614">
          <w:rPr>
            <w:rStyle w:val="Hyperlink"/>
          </w:rPr>
          <w:t>Report of the Review of Copyright Collecting Societies’ Compliance with their Code of Conduct for the Year 1 July 2012 to 30</w:t>
        </w:r>
        <w:r>
          <w:rPr>
            <w:rStyle w:val="Hyperlink"/>
          </w:rPr>
          <w:t> June</w:t>
        </w:r>
        <w:r w:rsidRPr="00714614">
          <w:rPr>
            <w:rStyle w:val="Hyperlink"/>
          </w:rPr>
          <w:t xml:space="preserve"> 2013</w:t>
        </w:r>
      </w:hyperlink>
      <w:r>
        <w:t>, November, p. 47.</w:t>
      </w:r>
    </w:p>
  </w:endnote>
  <w:endnote w:id="106">
    <w:p w14:paraId="3E44F815" w14:textId="77777777" w:rsidR="004E343D" w:rsidRDefault="004E343D" w:rsidP="007E7021">
      <w:pPr>
        <w:pStyle w:val="EndnoteText"/>
      </w:pPr>
      <w:r>
        <w:rPr>
          <w:rStyle w:val="EndnoteReference"/>
        </w:rPr>
        <w:endnoteRef/>
      </w:r>
      <w:r>
        <w:t xml:space="preserve"> APRA</w:t>
      </w:r>
      <w:r w:rsidRPr="00E13E8C">
        <w:t xml:space="preserve"> AMCOS (2017), submission to Discussion Paper, available from </w:t>
      </w:r>
      <w:hyperlink r:id="rId72" w:history="1">
        <w:r w:rsidRPr="00E13E8C">
          <w:rPr>
            <w:rStyle w:val="Hyperlink"/>
          </w:rPr>
          <w:t>Review of the Code of Conduct for Copyright Collecting Societies</w:t>
        </w:r>
      </w:hyperlink>
      <w:r w:rsidRPr="00E13E8C">
        <w:t>,</w:t>
      </w:r>
      <w:r>
        <w:t xml:space="preserve"> para 68.</w:t>
      </w:r>
    </w:p>
  </w:endnote>
  <w:endnote w:id="107">
    <w:p w14:paraId="76EE0DA6" w14:textId="77777777" w:rsidR="004E343D" w:rsidRDefault="004E343D" w:rsidP="007E7021">
      <w:pPr>
        <w:pStyle w:val="EndnoteText"/>
      </w:pPr>
      <w:r>
        <w:rPr>
          <w:rStyle w:val="EndnoteReference"/>
        </w:rPr>
        <w:endnoteRef/>
      </w:r>
      <w:r>
        <w:t xml:space="preserve"> ACCC (2011), </w:t>
      </w:r>
      <w:hyperlink r:id="rId73" w:history="1">
        <w:r>
          <w:rPr>
            <w:rStyle w:val="Hyperlink"/>
          </w:rPr>
          <w:t>Guidelines for developing effective voluntary industry codes of conduct</w:t>
        </w:r>
      </w:hyperlink>
      <w:r>
        <w:t>, July, p. 11.</w:t>
      </w:r>
    </w:p>
  </w:endnote>
  <w:endnote w:id="108">
    <w:p w14:paraId="258E9936" w14:textId="77777777" w:rsidR="004E343D" w:rsidRDefault="004E343D" w:rsidP="007E7021">
      <w:pPr>
        <w:pStyle w:val="EndnoteText"/>
      </w:pPr>
      <w:r>
        <w:rPr>
          <w:rStyle w:val="EndnoteReference"/>
        </w:rPr>
        <w:endnoteRef/>
      </w:r>
      <w:r>
        <w:t xml:space="preserve"> Ibid.</w:t>
      </w:r>
    </w:p>
  </w:endnote>
  <w:endnote w:id="109">
    <w:p w14:paraId="6A98627D" w14:textId="77777777" w:rsidR="004E343D" w:rsidRDefault="004E343D" w:rsidP="007E7021">
      <w:pPr>
        <w:pStyle w:val="EndnoteText"/>
      </w:pPr>
      <w:r>
        <w:rPr>
          <w:rStyle w:val="EndnoteReference"/>
        </w:rPr>
        <w:endnoteRef/>
      </w:r>
      <w:r>
        <w:t xml:space="preserve"> Free TV Australia (2017), </w:t>
      </w:r>
      <w:hyperlink r:id="rId74" w:history="1">
        <w:r>
          <w:rPr>
            <w:rStyle w:val="Hyperlink"/>
          </w:rPr>
          <w:t>submission to the Discussion Paper</w:t>
        </w:r>
      </w:hyperlink>
      <w:r>
        <w:t>, Review of the Code of Conduct for Copyright Collecting Societies, October, p. 3.</w:t>
      </w:r>
    </w:p>
  </w:endnote>
  <w:endnote w:id="110">
    <w:p w14:paraId="73074640" w14:textId="77777777" w:rsidR="004E343D" w:rsidRDefault="004E343D" w:rsidP="007E7021">
      <w:pPr>
        <w:pStyle w:val="EndnoteText"/>
      </w:pPr>
      <w:r>
        <w:rPr>
          <w:rStyle w:val="EndnoteReference"/>
        </w:rPr>
        <w:endnoteRef/>
      </w:r>
      <w:r>
        <w:t xml:space="preserve"> APRA</w:t>
      </w:r>
      <w:r w:rsidRPr="00E13E8C">
        <w:t xml:space="preserve"> AMCOS (2017), submission to Discussion Paper, available from </w:t>
      </w:r>
      <w:hyperlink r:id="rId75" w:history="1">
        <w:r w:rsidRPr="00E13E8C">
          <w:rPr>
            <w:rStyle w:val="Hyperlink"/>
          </w:rPr>
          <w:t>Review of the Code of Conduct for Copyright Collecting Societies</w:t>
        </w:r>
      </w:hyperlink>
      <w:r w:rsidRPr="00E13E8C">
        <w:t>,</w:t>
      </w:r>
      <w:r>
        <w:t xml:space="preserve"> para 91.</w:t>
      </w:r>
    </w:p>
  </w:endnote>
  <w:endnote w:id="111">
    <w:p w14:paraId="791EF437" w14:textId="77777777" w:rsidR="004E343D" w:rsidRDefault="004E343D" w:rsidP="007E7021">
      <w:pPr>
        <w:pStyle w:val="EndnoteText"/>
      </w:pPr>
      <w:r>
        <w:rPr>
          <w:rStyle w:val="EndnoteReference"/>
        </w:rPr>
        <w:endnoteRef/>
      </w:r>
      <w:r>
        <w:t xml:space="preserve"> APRA</w:t>
      </w:r>
      <w:r w:rsidRPr="00E13E8C">
        <w:t xml:space="preserve"> AMCOS (2017), submission to Discussion Paper, available from </w:t>
      </w:r>
      <w:hyperlink r:id="rId76" w:history="1">
        <w:r w:rsidRPr="00E13E8C">
          <w:rPr>
            <w:rStyle w:val="Hyperlink"/>
          </w:rPr>
          <w:t>Review of the Code of Conduct for Copyright Collecting Societies</w:t>
        </w:r>
      </w:hyperlink>
      <w:r w:rsidRPr="00E13E8C">
        <w:t>,</w:t>
      </w:r>
      <w:r>
        <w:t xml:space="preserve"> para 82-91.</w:t>
      </w:r>
    </w:p>
  </w:endnote>
  <w:endnote w:id="112">
    <w:p w14:paraId="338BE2A2" w14:textId="77777777" w:rsidR="004E343D" w:rsidRDefault="004E343D" w:rsidP="007E7021">
      <w:pPr>
        <w:pStyle w:val="EndnoteText"/>
      </w:pPr>
      <w:r>
        <w:rPr>
          <w:rStyle w:val="EndnoteReference"/>
        </w:rPr>
        <w:endnoteRef/>
      </w:r>
      <w:r>
        <w:t xml:space="preserve"> ACCC (2011), </w:t>
      </w:r>
      <w:hyperlink r:id="rId77" w:history="1">
        <w:r>
          <w:rPr>
            <w:rStyle w:val="Hyperlink"/>
          </w:rPr>
          <w:t>Guidelines for developing effective voluntary industry codes of conduct</w:t>
        </w:r>
      </w:hyperlink>
      <w:r>
        <w:t>, July, p. 12.</w:t>
      </w:r>
    </w:p>
  </w:endnote>
  <w:endnote w:id="113">
    <w:p w14:paraId="1882360C" w14:textId="77777777" w:rsidR="004E343D" w:rsidRDefault="004E343D" w:rsidP="007E7021">
      <w:pPr>
        <w:pStyle w:val="EndnoteText"/>
      </w:pPr>
      <w:r>
        <w:rPr>
          <w:rStyle w:val="EndnoteReference"/>
        </w:rPr>
        <w:endnoteRef/>
      </w:r>
      <w:r>
        <w:t xml:space="preserve"> ACCC (2011), </w:t>
      </w:r>
      <w:hyperlink r:id="rId78" w:history="1">
        <w:r>
          <w:rPr>
            <w:rStyle w:val="Hyperlink"/>
          </w:rPr>
          <w:t>Guidelines for developing effective voluntary industry codes of conduct</w:t>
        </w:r>
      </w:hyperlink>
      <w:r>
        <w:t>, July, p. 20.</w:t>
      </w:r>
    </w:p>
  </w:endnote>
  <w:endnote w:id="114">
    <w:p w14:paraId="566031FD" w14:textId="62B7BA36" w:rsidR="004E343D" w:rsidRDefault="004E343D" w:rsidP="007E7021">
      <w:pPr>
        <w:pStyle w:val="EndnoteText"/>
      </w:pPr>
      <w:r>
        <w:rPr>
          <w:rStyle w:val="EndnoteReference"/>
        </w:rPr>
        <w:endnoteRef/>
      </w:r>
      <w:r>
        <w:t xml:space="preserve"> </w:t>
      </w:r>
      <w:r>
        <w:rPr>
          <w:i/>
        </w:rPr>
        <w:t>Code of Conduct for Copyright Collecting Societies</w:t>
      </w:r>
      <w:r>
        <w:t xml:space="preserve"> (2017), clause 5.3.</w:t>
      </w:r>
    </w:p>
  </w:endnote>
  <w:endnote w:id="115">
    <w:p w14:paraId="436AA9A0" w14:textId="7D548BAB" w:rsidR="004E343D" w:rsidRDefault="004E343D" w:rsidP="007E7021">
      <w:pPr>
        <w:pStyle w:val="EndnoteText"/>
      </w:pPr>
      <w:r>
        <w:rPr>
          <w:rStyle w:val="EndnoteReference"/>
        </w:rPr>
        <w:endnoteRef/>
      </w:r>
      <w:r>
        <w:t xml:space="preserve"> </w:t>
      </w:r>
      <w:r>
        <w:rPr>
          <w:i/>
        </w:rPr>
        <w:t>Code of Conduct for Copyright Collecting Societies</w:t>
      </w:r>
      <w:r>
        <w:t xml:space="preserve"> (2017), clause 5.3(c).</w:t>
      </w:r>
    </w:p>
  </w:endnote>
  <w:endnote w:id="116">
    <w:p w14:paraId="6DFA3C7C" w14:textId="77777777" w:rsidR="004E343D" w:rsidRDefault="004E343D" w:rsidP="007E7021">
      <w:pPr>
        <w:pStyle w:val="EndnoteText"/>
      </w:pPr>
      <w:r>
        <w:rPr>
          <w:rStyle w:val="EndnoteReference"/>
        </w:rPr>
        <w:endnoteRef/>
      </w:r>
      <w:r>
        <w:t xml:space="preserve"> </w:t>
      </w:r>
      <w:r>
        <w:rPr>
          <w:rFonts w:eastAsiaTheme="minorHAnsi"/>
          <w:lang w:eastAsia="en-US"/>
        </w:rPr>
        <w:t xml:space="preserve">The most recent triennial review of the Code reveals that communications to inform members, licensees and the general public of the review included a notice published in </w:t>
      </w:r>
      <w:r w:rsidRPr="009F5E55">
        <w:rPr>
          <w:rFonts w:eastAsiaTheme="minorHAnsi"/>
          <w:i/>
          <w:lang w:eastAsia="en-US"/>
        </w:rPr>
        <w:t>The Australian</w:t>
      </w:r>
      <w:r>
        <w:rPr>
          <w:rFonts w:eastAsiaTheme="minorHAnsi"/>
          <w:lang w:eastAsia="en-US"/>
        </w:rPr>
        <w:t xml:space="preserve"> newspaper, and email notifications sent to the collecting societies’ licensees and relevant industry bodies by the Code Reviewer secretariat. In addition, each of the collecting societies published a notification of the review on their respective websites:</w:t>
      </w:r>
      <w:r>
        <w:t xml:space="preserve"> The Hon KE Lindgren AM, QC (2014), </w:t>
      </w:r>
      <w:hyperlink r:id="rId79" w:history="1">
        <w:r w:rsidRPr="00B87BFA">
          <w:rPr>
            <w:rStyle w:val="Hyperlink"/>
          </w:rPr>
          <w:t>Report of the Code Reviewer (The Hon KE Lindgren AM, QC, Formerly a Justice of the Federal Court of Australia) upon a Review of the Operation of the Code of Conduct of the Copyright Collecting Societies of Australia</w:t>
        </w:r>
      </w:hyperlink>
      <w:r>
        <w:t>, April, page p. 4.</w:t>
      </w:r>
    </w:p>
  </w:endnote>
  <w:endnote w:id="117">
    <w:p w14:paraId="33EF4753" w14:textId="77777777" w:rsidR="004E343D" w:rsidRDefault="004E343D" w:rsidP="007E7021">
      <w:pPr>
        <w:pStyle w:val="EndnoteText"/>
      </w:pPr>
      <w:r>
        <w:rPr>
          <w:rStyle w:val="EndnoteReference"/>
        </w:rPr>
        <w:endnoteRef/>
      </w:r>
      <w:r>
        <w:t xml:space="preserve"> Copyright Advisory Group to COAG Education Council (2017), </w:t>
      </w:r>
      <w:hyperlink r:id="rId80" w:history="1">
        <w:r w:rsidRPr="0079094D">
          <w:rPr>
            <w:rStyle w:val="Hyperlink"/>
          </w:rPr>
          <w:t>submission to Discussion Paper</w:t>
        </w:r>
      </w:hyperlink>
      <w:r>
        <w:t xml:space="preserve">, Review of the </w:t>
      </w:r>
      <w:r w:rsidRPr="00FA5453">
        <w:t xml:space="preserve">Code of Conduct for Copyright Collecting Societies, </w:t>
      </w:r>
      <w:r>
        <w:t>p. 18.</w:t>
      </w:r>
    </w:p>
  </w:endnote>
  <w:endnote w:id="118">
    <w:p w14:paraId="7D9012BD" w14:textId="77777777" w:rsidR="004E343D" w:rsidRDefault="004E343D" w:rsidP="007E7021">
      <w:pPr>
        <w:pStyle w:val="EndnoteText"/>
      </w:pPr>
      <w:r>
        <w:rPr>
          <w:rStyle w:val="EndnoteReference"/>
        </w:rPr>
        <w:endnoteRef/>
      </w:r>
      <w:r>
        <w:t xml:space="preserve"> The Hon K E Lindgren AM, QC (2015), </w:t>
      </w:r>
      <w:hyperlink r:id="rId81" w:history="1">
        <w:r w:rsidRPr="00714614">
          <w:rPr>
            <w:rStyle w:val="Hyperlink"/>
          </w:rPr>
          <w:t>Supplementary Report of the Code Reviewer (The Hon KE Lindgren AM, QC, Formerly a Justice of the Federal Court of Australia) upon a Review of the Operation of the Code of Conduct of the Copyright Collecting Societies of Australia</w:t>
        </w:r>
      </w:hyperlink>
      <w:r w:rsidRPr="007B50C8">
        <w:t>, issued 28 October,</w:t>
      </w:r>
      <w:r>
        <w:t xml:space="preserve"> p. 24.</w:t>
      </w:r>
    </w:p>
  </w:endnote>
  <w:endnote w:id="119">
    <w:p w14:paraId="1B2BE9D4" w14:textId="77777777" w:rsidR="004E343D" w:rsidRDefault="004E343D" w:rsidP="007E7021">
      <w:pPr>
        <w:pStyle w:val="EndnoteText"/>
      </w:pPr>
      <w:r>
        <w:rPr>
          <w:rStyle w:val="EndnoteReference"/>
        </w:rPr>
        <w:endnoteRef/>
      </w:r>
      <w:r>
        <w:t xml:space="preserve"> Universities Australia (2017), </w:t>
      </w:r>
      <w:hyperlink r:id="rId82" w:history="1">
        <w:r>
          <w:rPr>
            <w:rStyle w:val="Hyperlink"/>
          </w:rPr>
          <w:t>submission to Discussion Paper</w:t>
        </w:r>
      </w:hyperlink>
      <w:r>
        <w:t>, Review of the Code of Conduct for Copyright Collecting Societies, September, p. 19.</w:t>
      </w:r>
    </w:p>
  </w:endnote>
  <w:endnote w:id="120">
    <w:p w14:paraId="7EB62595" w14:textId="77777777" w:rsidR="004E343D" w:rsidRDefault="004E343D" w:rsidP="007E7021">
      <w:pPr>
        <w:pStyle w:val="EndnoteText"/>
      </w:pPr>
      <w:r>
        <w:rPr>
          <w:rStyle w:val="EndnoteReference"/>
        </w:rPr>
        <w:endnoteRef/>
      </w:r>
      <w:r>
        <w:t xml:space="preserve"> The Hon K E Lindgren AM, QC (2015), </w:t>
      </w:r>
      <w:hyperlink r:id="rId83" w:history="1">
        <w:r w:rsidRPr="00714614">
          <w:rPr>
            <w:rStyle w:val="Hyperlink"/>
          </w:rPr>
          <w:t>Supplementary Report of the Code Reviewer (The Hon KE Lindgren AM, QC, Formerly a Justice of the Federal Court of Australia) upon a Review of the Operation of the Code of Conduct of the Copyright Collecting Societies of Australia</w:t>
        </w:r>
      </w:hyperlink>
      <w:r w:rsidRPr="007B50C8">
        <w:t>, issued 28 October,</w:t>
      </w:r>
      <w:r>
        <w:t>p. 6.</w:t>
      </w:r>
    </w:p>
  </w:endnote>
  <w:endnote w:id="121">
    <w:p w14:paraId="2CCCAE7B" w14:textId="77777777" w:rsidR="004E343D" w:rsidRDefault="004E343D" w:rsidP="007E7021">
      <w:pPr>
        <w:pStyle w:val="EndnoteText"/>
      </w:pPr>
      <w:r>
        <w:rPr>
          <w:rStyle w:val="EndnoteReference"/>
        </w:rPr>
        <w:endnoteRef/>
      </w:r>
      <w:r>
        <w:t xml:space="preserve"> Copyright Advisory Group to COAG Education Council (2017), </w:t>
      </w:r>
      <w:hyperlink r:id="rId84" w:history="1">
        <w:r w:rsidRPr="0079094D">
          <w:rPr>
            <w:rStyle w:val="Hyperlink"/>
          </w:rPr>
          <w:t>submission to Discussion Paper</w:t>
        </w:r>
      </w:hyperlink>
      <w:r>
        <w:t xml:space="preserve">, Review of the </w:t>
      </w:r>
      <w:r w:rsidRPr="00FA5453">
        <w:t xml:space="preserve">Code of Conduct for Copyright Collecting Societies, </w:t>
      </w:r>
      <w:r>
        <w:t>p. 18.</w:t>
      </w:r>
    </w:p>
  </w:endnote>
  <w:endnote w:id="122">
    <w:p w14:paraId="434E6725" w14:textId="77777777" w:rsidR="004E343D" w:rsidRDefault="004E343D" w:rsidP="007E7021">
      <w:pPr>
        <w:pStyle w:val="EndnoteText"/>
      </w:pPr>
      <w:r>
        <w:rPr>
          <w:rStyle w:val="EndnoteReference"/>
        </w:rPr>
        <w:endnoteRef/>
      </w:r>
      <w:r>
        <w:t xml:space="preserve"> Copyright Advisory Group to COAG Education Council (2017), </w:t>
      </w:r>
      <w:hyperlink r:id="rId85" w:history="1">
        <w:r>
          <w:rPr>
            <w:rStyle w:val="Hyperlink"/>
          </w:rPr>
          <w:t>submission to Discussion Paper</w:t>
        </w:r>
      </w:hyperlink>
      <w:r>
        <w:t>, Review of the Code of Conduct for Copyright Collecting Societies, p. 18.</w:t>
      </w:r>
    </w:p>
  </w:endnote>
  <w:endnote w:id="123">
    <w:p w14:paraId="31D7D4B4" w14:textId="77777777" w:rsidR="004E343D" w:rsidRDefault="004E343D" w:rsidP="007E7021">
      <w:pPr>
        <w:pStyle w:val="EndnoteText"/>
      </w:pPr>
      <w:r>
        <w:rPr>
          <w:rStyle w:val="EndnoteReference"/>
        </w:rPr>
        <w:endnoteRef/>
      </w:r>
      <w:r>
        <w:t xml:space="preserve"> Copyright Advisory Group to COAG Education Council (2017), </w:t>
      </w:r>
      <w:hyperlink r:id="rId86" w:history="1">
        <w:r>
          <w:rPr>
            <w:rStyle w:val="Hyperlink"/>
          </w:rPr>
          <w:t>submission to Discussion Paper</w:t>
        </w:r>
      </w:hyperlink>
      <w:r>
        <w:t>, Review of the Code of Conduct for Copyright Collecting Societies, p. 19.</w:t>
      </w:r>
    </w:p>
  </w:endnote>
  <w:endnote w:id="124">
    <w:p w14:paraId="4007C433" w14:textId="77777777" w:rsidR="004E343D" w:rsidRDefault="004E343D" w:rsidP="007E7021">
      <w:pPr>
        <w:pStyle w:val="EndnoteText"/>
      </w:pPr>
      <w:r>
        <w:rPr>
          <w:rStyle w:val="EndnoteReference"/>
        </w:rPr>
        <w:endnoteRef/>
      </w:r>
      <w:r>
        <w:t xml:space="preserve"> Copyright Advisory Group to COAG Education Council (2017), </w:t>
      </w:r>
      <w:hyperlink r:id="rId87" w:history="1">
        <w:r>
          <w:rPr>
            <w:rStyle w:val="Hyperlink"/>
          </w:rPr>
          <w:t>submission to Discussion Paper</w:t>
        </w:r>
      </w:hyperlink>
      <w:r>
        <w:t>, Review of the Code of Conduct for Copyright Collecting Societies, p. 19.</w:t>
      </w:r>
    </w:p>
  </w:endnote>
  <w:endnote w:id="125">
    <w:p w14:paraId="04FEA4F5" w14:textId="77777777" w:rsidR="004E343D" w:rsidRDefault="004E343D" w:rsidP="007E7021">
      <w:pPr>
        <w:pStyle w:val="EndnoteText"/>
      </w:pPr>
      <w:r>
        <w:rPr>
          <w:rStyle w:val="EndnoteReference"/>
        </w:rPr>
        <w:endnoteRef/>
      </w:r>
      <w:r>
        <w:t xml:space="preserve"> Screenrights (2017), </w:t>
      </w:r>
      <w:hyperlink r:id="rId88" w:history="1">
        <w:r w:rsidRPr="00AB18A4">
          <w:rPr>
            <w:rStyle w:val="Hyperlink"/>
          </w:rPr>
          <w:t>submission to the Discussion Paper</w:t>
        </w:r>
      </w:hyperlink>
      <w:r>
        <w:t>, Review of the Code of Conduct for Copyright Collecting Societies, September, p. 11.</w:t>
      </w:r>
    </w:p>
  </w:endnote>
  <w:endnote w:id="126">
    <w:p w14:paraId="380B08F8" w14:textId="77777777" w:rsidR="004E343D" w:rsidRDefault="004E343D" w:rsidP="007E7021">
      <w:pPr>
        <w:pStyle w:val="EndnoteText"/>
      </w:pPr>
      <w:r>
        <w:rPr>
          <w:rStyle w:val="EndnoteReference"/>
        </w:rPr>
        <w:endnoteRef/>
      </w:r>
      <w:r>
        <w:t xml:space="preserve"> Australian Digital Alliance (2017),</w:t>
      </w:r>
      <w:r w:rsidRPr="00E1534D">
        <w:t xml:space="preserve"> </w:t>
      </w:r>
      <w:hyperlink r:id="rId89" w:history="1">
        <w:r>
          <w:rPr>
            <w:rStyle w:val="Hyperlink"/>
          </w:rPr>
          <w:t>submission to the Discussion Paper</w:t>
        </w:r>
      </w:hyperlink>
      <w:r>
        <w:t>, Review of the Code of Conduct for Copyright Collecting Societies, October, p. 2.</w:t>
      </w:r>
    </w:p>
  </w:endnote>
  <w:endnote w:id="127">
    <w:p w14:paraId="1A63F441" w14:textId="77777777" w:rsidR="004E343D" w:rsidRDefault="004E343D" w:rsidP="007E7021">
      <w:pPr>
        <w:pStyle w:val="EndnoteText"/>
      </w:pPr>
      <w:r>
        <w:rPr>
          <w:rStyle w:val="EndnoteReference"/>
        </w:rPr>
        <w:endnoteRef/>
      </w:r>
      <w:r>
        <w:t xml:space="preserve"> Free TV Australia (2017),</w:t>
      </w:r>
      <w:r w:rsidRPr="00E1534D">
        <w:t xml:space="preserve"> </w:t>
      </w:r>
      <w:hyperlink r:id="rId90" w:history="1">
        <w:r>
          <w:rPr>
            <w:rStyle w:val="Hyperlink"/>
          </w:rPr>
          <w:t>submission to the Discussion Paper</w:t>
        </w:r>
      </w:hyperlink>
      <w:r>
        <w:t>, Review of the Code of Conduct for Copyright Collecting Societies, October, p. 3.</w:t>
      </w:r>
    </w:p>
  </w:endnote>
  <w:endnote w:id="128">
    <w:p w14:paraId="079E1325" w14:textId="77777777" w:rsidR="004E343D" w:rsidRDefault="004E343D" w:rsidP="007E7021">
      <w:pPr>
        <w:pStyle w:val="EndnoteText"/>
      </w:pPr>
      <w:r>
        <w:rPr>
          <w:rStyle w:val="EndnoteReference"/>
        </w:rPr>
        <w:endnoteRef/>
      </w:r>
      <w:r>
        <w:t xml:space="preserve"> Screenrights (2017), </w:t>
      </w:r>
      <w:hyperlink r:id="rId91" w:history="1">
        <w:r w:rsidRPr="00AB18A4">
          <w:rPr>
            <w:rStyle w:val="Hyperlink"/>
          </w:rPr>
          <w:t>submission to the Discussion Paper</w:t>
        </w:r>
      </w:hyperlink>
      <w:r>
        <w:t>, Review of the Code of Conduct for Copyright Collecting Societies, September, p. 6.</w:t>
      </w:r>
    </w:p>
  </w:endnote>
  <w:endnote w:id="129">
    <w:p w14:paraId="56512864" w14:textId="77777777" w:rsidR="004E343D" w:rsidRDefault="004E343D" w:rsidP="007E7021">
      <w:pPr>
        <w:pStyle w:val="EndnoteText"/>
      </w:pPr>
      <w:r>
        <w:rPr>
          <w:rStyle w:val="EndnoteReference"/>
        </w:rPr>
        <w:endnoteRef/>
      </w:r>
      <w:r>
        <w:t xml:space="preserve"> Australian Government (2000), </w:t>
      </w:r>
      <w:r w:rsidRPr="00150E0E">
        <w:t xml:space="preserve">Government response to the report of the House of Representatives Standing Committee on Legal and Constitutional Affairs: </w:t>
      </w:r>
      <w:r>
        <w:t>‘</w:t>
      </w:r>
      <w:r w:rsidRPr="00150E0E">
        <w:t xml:space="preserve">Don’t </w:t>
      </w:r>
      <w:r>
        <w:t>s</w:t>
      </w:r>
      <w:r w:rsidRPr="00150E0E">
        <w:t xml:space="preserve">top the </w:t>
      </w:r>
      <w:r>
        <w:t>m</w:t>
      </w:r>
      <w:r w:rsidRPr="00150E0E">
        <w:t>usic!</w:t>
      </w:r>
      <w:r>
        <w:t>—</w:t>
      </w:r>
      <w:r w:rsidRPr="00150E0E">
        <w:t>A report of the inquiry into copyright, music and small business</w:t>
      </w:r>
      <w:r>
        <w:t>’, November.</w:t>
      </w:r>
    </w:p>
  </w:endnote>
  <w:endnote w:id="130">
    <w:p w14:paraId="028755C7" w14:textId="77777777" w:rsidR="004E343D" w:rsidRDefault="004E343D" w:rsidP="007E7021">
      <w:pPr>
        <w:pStyle w:val="EndnoteText"/>
      </w:pPr>
      <w:r>
        <w:rPr>
          <w:rStyle w:val="EndnoteReference"/>
        </w:rPr>
        <w:endnoteRef/>
      </w:r>
      <w:r>
        <w:t xml:space="preserve"> The </w:t>
      </w:r>
      <w:r w:rsidRPr="00C054FB">
        <w:t>Treasury (2011)</w:t>
      </w:r>
      <w:r>
        <w:t>,</w:t>
      </w:r>
      <w:r w:rsidRPr="00C054FB">
        <w:t xml:space="preserve"> </w:t>
      </w:r>
      <w:hyperlink r:id="rId92" w:history="1">
        <w:r w:rsidRPr="00D12A9F">
          <w:rPr>
            <w:rStyle w:val="Hyperlink"/>
          </w:rPr>
          <w:t xml:space="preserve">Policy guidelines on prescribing industry codes under Part IVB of the </w:t>
        </w:r>
        <w:r w:rsidRPr="000927D2">
          <w:rPr>
            <w:rStyle w:val="Hyperlink"/>
            <w:i/>
          </w:rPr>
          <w:t>Competition and Consumer Act 2010</w:t>
        </w:r>
      </w:hyperlink>
      <w:r>
        <w:t>,</w:t>
      </w:r>
      <w:r w:rsidRPr="00C054FB">
        <w:t xml:space="preserve"> </w:t>
      </w:r>
      <w:r>
        <w:t xml:space="preserve">May, </w:t>
      </w:r>
      <w:r w:rsidRPr="00C054FB">
        <w:t>p. 3</w:t>
      </w:r>
      <w:r>
        <w:t>.</w:t>
      </w:r>
    </w:p>
  </w:endnote>
  <w:endnote w:id="131">
    <w:p w14:paraId="1CF277C8" w14:textId="77777777" w:rsidR="004E343D" w:rsidRDefault="004E343D" w:rsidP="007E7021">
      <w:pPr>
        <w:pStyle w:val="EndnoteText"/>
      </w:pPr>
      <w:r>
        <w:rPr>
          <w:rStyle w:val="EndnoteReference"/>
        </w:rPr>
        <w:endnoteRef/>
      </w:r>
      <w:r>
        <w:t xml:space="preserve"> </w:t>
      </w:r>
      <w:r w:rsidRPr="00C054FB">
        <w:t>Department of Industry</w:t>
      </w:r>
      <w:r>
        <w:t>, Innovation and Science</w:t>
      </w:r>
      <w:r w:rsidRPr="00C054FB">
        <w:t xml:space="preserve"> (2016)</w:t>
      </w:r>
      <w:r>
        <w:t>,</w:t>
      </w:r>
      <w:r w:rsidRPr="00C054FB">
        <w:t xml:space="preserve"> </w:t>
      </w:r>
      <w:hyperlink r:id="rId93" w:history="1">
        <w:r w:rsidRPr="00D12A9F">
          <w:rPr>
            <w:rStyle w:val="Hyperlink"/>
          </w:rPr>
          <w:t>Codes of Practice | business.gov.au</w:t>
        </w:r>
      </w:hyperlink>
      <w:r>
        <w:rPr>
          <w:rStyle w:val="Hyperlink"/>
        </w:rPr>
        <w:t>.</w:t>
      </w:r>
      <w:r w:rsidRPr="00C054FB">
        <w:rPr>
          <w:i/>
        </w:rPr>
        <w:t xml:space="preserve"> </w:t>
      </w:r>
    </w:p>
  </w:endnote>
  <w:endnote w:id="132">
    <w:p w14:paraId="1CE9E7E3" w14:textId="77777777" w:rsidR="004E343D" w:rsidRDefault="004E343D" w:rsidP="007E7021">
      <w:pPr>
        <w:pStyle w:val="EndnoteText"/>
      </w:pPr>
      <w:r>
        <w:rPr>
          <w:rStyle w:val="EndnoteReference"/>
        </w:rPr>
        <w:endnoteRef/>
      </w:r>
      <w:r>
        <w:t xml:space="preserve"> Australian Government (2000), </w:t>
      </w:r>
      <w:r w:rsidRPr="00150E0E">
        <w:t xml:space="preserve">Government response to the report of the House of Representatives Standing Committee on Legal and Constitutional Affairs: </w:t>
      </w:r>
      <w:r>
        <w:t>‘</w:t>
      </w:r>
      <w:r w:rsidRPr="00150E0E">
        <w:t xml:space="preserve">Don’t </w:t>
      </w:r>
      <w:r>
        <w:t>s</w:t>
      </w:r>
      <w:r w:rsidRPr="00150E0E">
        <w:t xml:space="preserve">top the </w:t>
      </w:r>
      <w:r>
        <w:t>m</w:t>
      </w:r>
      <w:r w:rsidRPr="00150E0E">
        <w:t>usic!</w:t>
      </w:r>
      <w:r>
        <w:t>—</w:t>
      </w:r>
      <w:r w:rsidRPr="00150E0E">
        <w:t>A report of the inquiry into copyright, music and small business</w:t>
      </w:r>
      <w:r>
        <w:t>’, November.</w:t>
      </w:r>
    </w:p>
  </w:endnote>
  <w:endnote w:id="133">
    <w:p w14:paraId="5471AABB" w14:textId="77777777" w:rsidR="004E343D" w:rsidRDefault="004E343D" w:rsidP="007E7021">
      <w:pPr>
        <w:pStyle w:val="EndnoteText"/>
      </w:pPr>
      <w:r>
        <w:rPr>
          <w:rStyle w:val="EndnoteReference"/>
        </w:rPr>
        <w:endnoteRef/>
      </w:r>
      <w:r>
        <w:t xml:space="preserve"> </w:t>
      </w:r>
      <w:r w:rsidRPr="005E1232">
        <w:t>Productivity Commission (2016)</w:t>
      </w:r>
      <w:r>
        <w:t xml:space="preserve">, </w:t>
      </w:r>
      <w:hyperlink r:id="rId94" w:history="1">
        <w:r w:rsidRPr="00084F38">
          <w:rPr>
            <w:rStyle w:val="Hyperlink"/>
          </w:rPr>
          <w:t>Intellectual Property Arrangements</w:t>
        </w:r>
      </w:hyperlink>
      <w:r>
        <w:rPr>
          <w:i/>
        </w:rPr>
        <w:t xml:space="preserve">, </w:t>
      </w:r>
      <w:r>
        <w:t>Inquiry Report No. 78, September, p. 161.</w:t>
      </w:r>
    </w:p>
  </w:endnote>
  <w:endnote w:id="134">
    <w:p w14:paraId="27AFBBC6" w14:textId="77777777" w:rsidR="004E343D" w:rsidRDefault="004E343D" w:rsidP="007E7021">
      <w:pPr>
        <w:pStyle w:val="EndnoteText"/>
      </w:pPr>
      <w:r>
        <w:rPr>
          <w:rStyle w:val="EndnoteReference"/>
        </w:rPr>
        <w:endnoteRef/>
      </w:r>
      <w:r>
        <w:t xml:space="preserve"> ACCC (2011), </w:t>
      </w:r>
      <w:hyperlink r:id="rId95" w:history="1">
        <w:r w:rsidRPr="00764848">
          <w:rPr>
            <w:rStyle w:val="Hyperlink"/>
          </w:rPr>
          <w:t>Guidelines for developing effective voluntary industry codes of conduct</w:t>
        </w:r>
      </w:hyperlink>
      <w:r>
        <w:t>, July, p. 26.</w:t>
      </w:r>
    </w:p>
  </w:endnote>
  <w:endnote w:id="135">
    <w:p w14:paraId="1BC36DBA" w14:textId="77777777" w:rsidR="004E343D" w:rsidRDefault="004E343D" w:rsidP="007E7021">
      <w:pPr>
        <w:pStyle w:val="EndnoteText"/>
      </w:pPr>
      <w:r>
        <w:rPr>
          <w:rStyle w:val="EndnoteReference"/>
        </w:rPr>
        <w:endnoteRef/>
      </w:r>
      <w:r>
        <w:t xml:space="preserve"> The Parliamentary Secretary to the Treasurer for the purposes of prescribing codes of conduct</w:t>
      </w:r>
    </w:p>
  </w:endnote>
  <w:endnote w:id="136">
    <w:p w14:paraId="33554765" w14:textId="77777777" w:rsidR="004E343D" w:rsidRDefault="004E343D" w:rsidP="007E7021">
      <w:pPr>
        <w:pStyle w:val="EndnoteText"/>
      </w:pPr>
      <w:r>
        <w:rPr>
          <w:rStyle w:val="EndnoteReference"/>
        </w:rPr>
        <w:endnoteRef/>
      </w:r>
      <w:r>
        <w:t xml:space="preserve"> ACCC (2011), </w:t>
      </w:r>
      <w:hyperlink r:id="rId96" w:history="1">
        <w:r w:rsidRPr="00764848">
          <w:rPr>
            <w:rStyle w:val="Hyperlink"/>
          </w:rPr>
          <w:t>Guidelines for developing effective voluntary industry codes of conduct</w:t>
        </w:r>
      </w:hyperlink>
      <w:r>
        <w:t>, July, p. 26.</w:t>
      </w:r>
    </w:p>
  </w:endnote>
  <w:endnote w:id="137">
    <w:p w14:paraId="69A0CAD3" w14:textId="77777777" w:rsidR="004E343D" w:rsidRDefault="004E343D" w:rsidP="007E7021">
      <w:pPr>
        <w:pStyle w:val="EndnoteText"/>
      </w:pPr>
      <w:r>
        <w:rPr>
          <w:rStyle w:val="EndnoteReference"/>
        </w:rPr>
        <w:endnoteRef/>
      </w:r>
      <w:r>
        <w:t xml:space="preserve"> </w:t>
      </w:r>
      <w:r w:rsidRPr="00E334D9">
        <w:t xml:space="preserve">ACCC (2011), </w:t>
      </w:r>
      <w:hyperlink r:id="rId97" w:history="1">
        <w:r w:rsidRPr="00E334D9">
          <w:rPr>
            <w:rStyle w:val="Hyperlink"/>
          </w:rPr>
          <w:t>Guidelines for developing effective voluntary industry codes of conduct</w:t>
        </w:r>
      </w:hyperlink>
      <w:r w:rsidRPr="00E334D9">
        <w:t>, July, p. 26</w:t>
      </w:r>
      <w:r>
        <w:t>.</w:t>
      </w:r>
    </w:p>
  </w:endnote>
  <w:endnote w:id="138">
    <w:p w14:paraId="5891F863" w14:textId="77777777" w:rsidR="004E343D" w:rsidRDefault="004E343D" w:rsidP="007E7021">
      <w:pPr>
        <w:pStyle w:val="EndnoteText"/>
      </w:pPr>
      <w:r>
        <w:rPr>
          <w:rStyle w:val="EndnoteReference"/>
        </w:rPr>
        <w:endnoteRef/>
      </w:r>
      <w:r>
        <w:t xml:space="preserve"> Screenrights (2017), </w:t>
      </w:r>
      <w:hyperlink r:id="rId98" w:history="1">
        <w:r>
          <w:rPr>
            <w:rStyle w:val="Hyperlink"/>
          </w:rPr>
          <w:t>submission to the Discussion Paper</w:t>
        </w:r>
      </w:hyperlink>
      <w:r>
        <w:t>, Review of the Code of Conduct for Copyright Collecting Societies, September, p13.</w:t>
      </w:r>
    </w:p>
  </w:endnote>
  <w:endnote w:id="139">
    <w:p w14:paraId="72F2D1D7" w14:textId="77777777" w:rsidR="004E343D" w:rsidRDefault="004E343D" w:rsidP="007E7021">
      <w:pPr>
        <w:pStyle w:val="EndnoteText"/>
      </w:pPr>
      <w:r>
        <w:rPr>
          <w:rStyle w:val="EndnoteReference"/>
        </w:rPr>
        <w:endnoteRef/>
      </w:r>
      <w:r>
        <w:t xml:space="preserve"> Free TV Australia (2017),</w:t>
      </w:r>
      <w:r w:rsidRPr="00E1534D">
        <w:t xml:space="preserve"> </w:t>
      </w:r>
      <w:hyperlink r:id="rId99" w:history="1">
        <w:r>
          <w:rPr>
            <w:rStyle w:val="Hyperlink"/>
          </w:rPr>
          <w:t>submission to the Discussion Paper</w:t>
        </w:r>
      </w:hyperlink>
      <w:r>
        <w:t>, Review of the Code of Conduct for Copyright Collecting Societies, October, p. 2.</w:t>
      </w:r>
    </w:p>
  </w:endnote>
  <w:endnote w:id="140">
    <w:p w14:paraId="68692A2D" w14:textId="77777777" w:rsidR="004E343D" w:rsidRDefault="004E343D" w:rsidP="007E7021">
      <w:pPr>
        <w:pStyle w:val="EndnoteText"/>
      </w:pPr>
      <w:r>
        <w:rPr>
          <w:rStyle w:val="EndnoteReference"/>
        </w:rPr>
        <w:endnoteRef/>
      </w:r>
      <w:r>
        <w:t xml:space="preserve"> Universities Australia (2017), </w:t>
      </w:r>
      <w:hyperlink r:id="rId100" w:history="1">
        <w:r>
          <w:rPr>
            <w:rStyle w:val="Hyperlink"/>
          </w:rPr>
          <w:t>submission to Discussion Paper</w:t>
        </w:r>
      </w:hyperlink>
      <w:r>
        <w:t>, Review of the Code of Conduct for Copyright Collecting Societies, September, p. 20.</w:t>
      </w:r>
    </w:p>
  </w:endnote>
  <w:endnote w:id="141">
    <w:p w14:paraId="2583F0F8" w14:textId="77777777" w:rsidR="004E343D" w:rsidRDefault="004E343D" w:rsidP="007E7021">
      <w:pPr>
        <w:pStyle w:val="EndnoteText"/>
      </w:pPr>
      <w:r>
        <w:rPr>
          <w:rStyle w:val="EndnoteReference"/>
        </w:rPr>
        <w:endnoteRef/>
      </w:r>
      <w:r>
        <w:t xml:space="preserve"> Australian Publishers Association (2017), </w:t>
      </w:r>
      <w:hyperlink r:id="rId101" w:history="1">
        <w:r>
          <w:rPr>
            <w:rStyle w:val="Hyperlink"/>
          </w:rPr>
          <w:t>submission to the Discussion Paper</w:t>
        </w:r>
      </w:hyperlink>
      <w:r>
        <w:t>, Review of the Code of Conduct for Copyright Collecting Societies, September, p. 6.</w:t>
      </w:r>
    </w:p>
  </w:endnote>
  <w:endnote w:id="142">
    <w:p w14:paraId="51C00DCB" w14:textId="77777777" w:rsidR="004E343D" w:rsidRDefault="004E343D" w:rsidP="007E7021">
      <w:pPr>
        <w:pStyle w:val="EndnoteText"/>
      </w:pPr>
      <w:r>
        <w:rPr>
          <w:rStyle w:val="EndnoteReference"/>
        </w:rPr>
        <w:endnoteRef/>
      </w:r>
      <w:r>
        <w:t xml:space="preserve"> See Parts VA, VB, VC, VD and Division 2 of Part VII of the </w:t>
      </w:r>
      <w:r>
        <w:rPr>
          <w:i/>
        </w:rPr>
        <w:t>Copyright Act 1968</w:t>
      </w:r>
      <w:r>
        <w:t>.</w:t>
      </w:r>
    </w:p>
  </w:endnote>
  <w:endnote w:id="143">
    <w:p w14:paraId="4FDE0B53" w14:textId="77777777" w:rsidR="004E343D" w:rsidRDefault="004E343D" w:rsidP="007E7021">
      <w:pPr>
        <w:pStyle w:val="EndnoteText"/>
      </w:pPr>
      <w:r>
        <w:rPr>
          <w:rStyle w:val="EndnoteReference"/>
        </w:rPr>
        <w:endnoteRef/>
      </w:r>
      <w:r>
        <w:t xml:space="preserve"> ss.135ZZB and </w:t>
      </w:r>
      <w:r w:rsidRPr="00D43E51">
        <w:t xml:space="preserve">153F, </w:t>
      </w:r>
      <w:r w:rsidRPr="00D43E51">
        <w:rPr>
          <w:i/>
        </w:rPr>
        <w:t>Copyright Act 1968</w:t>
      </w:r>
      <w:r w:rsidRPr="00D43E51">
        <w:t xml:space="preserve"> (Cth)</w:t>
      </w:r>
      <w:r>
        <w:t xml:space="preserve">. </w:t>
      </w:r>
    </w:p>
  </w:endnote>
  <w:endnote w:id="144">
    <w:p w14:paraId="14653C2E" w14:textId="77777777" w:rsidR="004E343D" w:rsidRDefault="004E343D" w:rsidP="007E7021">
      <w:pPr>
        <w:pStyle w:val="EndnoteText"/>
      </w:pPr>
      <w:r>
        <w:rPr>
          <w:rStyle w:val="EndnoteReference"/>
        </w:rPr>
        <w:endnoteRef/>
      </w:r>
      <w:r>
        <w:t xml:space="preserve"> ss.135P and 153F, </w:t>
      </w:r>
      <w:r w:rsidRPr="004B2BA8">
        <w:rPr>
          <w:i/>
        </w:rPr>
        <w:t>Copyright Act 1968</w:t>
      </w:r>
      <w:r>
        <w:rPr>
          <w:i/>
        </w:rPr>
        <w:t xml:space="preserve"> </w:t>
      </w:r>
      <w:r w:rsidRPr="004B2BA8">
        <w:t>(Cth)</w:t>
      </w:r>
      <w:r>
        <w:t>.</w:t>
      </w:r>
    </w:p>
  </w:endnote>
  <w:endnote w:id="145">
    <w:p w14:paraId="0AC28010" w14:textId="77777777" w:rsidR="004E343D" w:rsidRDefault="004E343D" w:rsidP="007E7021">
      <w:pPr>
        <w:pStyle w:val="EndnoteText"/>
      </w:pPr>
      <w:r>
        <w:rPr>
          <w:rStyle w:val="EndnoteReference"/>
        </w:rPr>
        <w:endnoteRef/>
      </w:r>
      <w:r>
        <w:t xml:space="preserve"> See for example Sydney Morning Herald (2017), </w:t>
      </w:r>
      <w:hyperlink r:id="rId102" w:history="1">
        <w:r w:rsidRPr="00A61D45">
          <w:rPr>
            <w:rStyle w:val="Hyperlink"/>
          </w:rPr>
          <w:t>Copyright Agency diverts funds meant for authors to $15m fighting fund</w:t>
        </w:r>
      </w:hyperlink>
      <w:r>
        <w:t>, April.</w:t>
      </w:r>
    </w:p>
  </w:endnote>
  <w:endnote w:id="146">
    <w:p w14:paraId="62B7A700" w14:textId="39F00FC3" w:rsidR="004E343D" w:rsidRDefault="004E343D" w:rsidP="007E7021">
      <w:pPr>
        <w:pStyle w:val="EndnoteText"/>
      </w:pPr>
      <w:r>
        <w:rPr>
          <w:rStyle w:val="EndnoteReference"/>
        </w:rPr>
        <w:endnoteRef/>
      </w:r>
      <w:r>
        <w:t xml:space="preserve"> </w:t>
      </w:r>
      <w:r w:rsidRPr="004C0A81">
        <w:rPr>
          <w:i/>
        </w:rPr>
        <w:t>Code of Conduct for Copyright Collecting Societies</w:t>
      </w:r>
      <w:r>
        <w:t xml:space="preserve"> (2017), clause 2.5 (b).</w:t>
      </w:r>
    </w:p>
  </w:endnote>
  <w:endnote w:id="147">
    <w:p w14:paraId="3A8E85E4" w14:textId="324CF4DD" w:rsidR="004E343D" w:rsidRDefault="004E343D" w:rsidP="007E7021">
      <w:pPr>
        <w:pStyle w:val="EndnoteText"/>
        <w:tabs>
          <w:tab w:val="left" w:pos="3285"/>
        </w:tabs>
      </w:pPr>
      <w:r>
        <w:rPr>
          <w:rStyle w:val="EndnoteReference"/>
        </w:rPr>
        <w:endnoteRef/>
      </w:r>
      <w:r>
        <w:t xml:space="preserve"> Copyright Agency Limited, </w:t>
      </w:r>
      <w:hyperlink r:id="rId103" w:history="1">
        <w:r w:rsidRPr="001D7AC9">
          <w:rPr>
            <w:rStyle w:val="Hyperlink"/>
          </w:rPr>
          <w:t>Directors’ Report and Financial Report for the year ended 30</w:t>
        </w:r>
        <w:r>
          <w:rPr>
            <w:rStyle w:val="Hyperlink"/>
          </w:rPr>
          <w:t> June</w:t>
        </w:r>
        <w:r w:rsidRPr="001D7AC9">
          <w:rPr>
            <w:rStyle w:val="Hyperlink"/>
          </w:rPr>
          <w:t xml:space="preserve"> 2017</w:t>
        </w:r>
      </w:hyperlink>
      <w:r>
        <w:t xml:space="preserve">, p5. </w:t>
      </w:r>
    </w:p>
  </w:endnote>
  <w:endnote w:id="148">
    <w:p w14:paraId="08B33BF8" w14:textId="77777777" w:rsidR="004E343D" w:rsidRDefault="004E343D" w:rsidP="007E7021">
      <w:pPr>
        <w:pStyle w:val="EndnoteText"/>
      </w:pPr>
      <w:r>
        <w:rPr>
          <w:rStyle w:val="EndnoteReference"/>
        </w:rPr>
        <w:endnoteRef/>
      </w:r>
      <w:r>
        <w:t xml:space="preserve"> Being 3.2% of total distribution revenue of $141,644,452 as reported in the Annual Report of Copyright Agency Limited for the Financial Year 2011-2012 at p. 12. </w:t>
      </w:r>
    </w:p>
  </w:endnote>
  <w:endnote w:id="149">
    <w:p w14:paraId="5F105F26" w14:textId="26DC980B" w:rsidR="004E343D" w:rsidRDefault="004E343D" w:rsidP="007E7021">
      <w:pPr>
        <w:pStyle w:val="EndnoteText"/>
      </w:pPr>
      <w:r>
        <w:rPr>
          <w:rStyle w:val="EndnoteReference"/>
        </w:rPr>
        <w:endnoteRef/>
      </w:r>
      <w:r>
        <w:t xml:space="preserve"> Copyright Agency Limited, </w:t>
      </w:r>
      <w:hyperlink r:id="rId104" w:history="1">
        <w:r w:rsidRPr="001D7AC9">
          <w:rPr>
            <w:rStyle w:val="Hyperlink"/>
          </w:rPr>
          <w:t>Directors’ Report and Financial Report for the year ended 30</w:t>
        </w:r>
        <w:r>
          <w:rPr>
            <w:rStyle w:val="Hyperlink"/>
          </w:rPr>
          <w:t> June</w:t>
        </w:r>
        <w:r w:rsidRPr="001D7AC9">
          <w:rPr>
            <w:rStyle w:val="Hyperlink"/>
          </w:rPr>
          <w:t xml:space="preserve"> 2015</w:t>
        </w:r>
      </w:hyperlink>
      <w:r>
        <w:t>, p. 26.</w:t>
      </w:r>
    </w:p>
  </w:endnote>
  <w:endnote w:id="150">
    <w:p w14:paraId="121F2EA4" w14:textId="594F911C" w:rsidR="004E343D" w:rsidRDefault="004E343D" w:rsidP="007E7021">
      <w:pPr>
        <w:pStyle w:val="EndnoteText"/>
      </w:pPr>
      <w:r>
        <w:rPr>
          <w:rStyle w:val="EndnoteReference"/>
        </w:rPr>
        <w:endnoteRef/>
      </w:r>
      <w:r>
        <w:t xml:space="preserve"> Copyright Agency Limited, </w:t>
      </w:r>
      <w:hyperlink r:id="rId105" w:history="1">
        <w:r w:rsidRPr="001D7AC9">
          <w:rPr>
            <w:rStyle w:val="Hyperlink"/>
          </w:rPr>
          <w:t>Directors’ Report and Financial Report for the year ended 30</w:t>
        </w:r>
        <w:r>
          <w:rPr>
            <w:rStyle w:val="Hyperlink"/>
          </w:rPr>
          <w:t> June</w:t>
        </w:r>
        <w:r w:rsidRPr="001D7AC9">
          <w:rPr>
            <w:rStyle w:val="Hyperlink"/>
          </w:rPr>
          <w:t xml:space="preserve"> 2017</w:t>
        </w:r>
      </w:hyperlink>
      <w:r>
        <w:t>, p. 3.</w:t>
      </w:r>
    </w:p>
  </w:endnote>
  <w:endnote w:id="151">
    <w:p w14:paraId="514D0A64" w14:textId="77777777" w:rsidR="004E343D" w:rsidRDefault="004E343D" w:rsidP="007E7021">
      <w:pPr>
        <w:pStyle w:val="EndnoteText"/>
      </w:pPr>
      <w:r>
        <w:rPr>
          <w:rStyle w:val="EndnoteReference"/>
        </w:rPr>
        <w:endnoteRef/>
      </w:r>
      <w:r>
        <w:t xml:space="preserve"> Universities Australia (2017), </w:t>
      </w:r>
      <w:hyperlink r:id="rId106" w:history="1">
        <w:r>
          <w:rPr>
            <w:rStyle w:val="Hyperlink"/>
          </w:rPr>
          <w:t>submission to Discussion Paper</w:t>
        </w:r>
      </w:hyperlink>
      <w:r>
        <w:t>, Review of the Code of Conduct for Copyright Collecting Societies, September, p. 9.</w:t>
      </w:r>
    </w:p>
  </w:endnote>
  <w:endnote w:id="152">
    <w:p w14:paraId="13947CBE" w14:textId="22C6C915" w:rsidR="004E343D" w:rsidRPr="008B3152" w:rsidRDefault="004E343D" w:rsidP="007E7021">
      <w:pPr>
        <w:pStyle w:val="EndnoteText"/>
      </w:pPr>
      <w:r>
        <w:rPr>
          <w:rStyle w:val="EndnoteReference"/>
        </w:rPr>
        <w:endnoteRef/>
      </w:r>
      <w:r>
        <w:t xml:space="preserve"> Official Journal of the European Union (2014), </w:t>
      </w:r>
      <w:hyperlink r:id="rId107" w:history="1">
        <w:r w:rsidRPr="00AC6939">
          <w:rPr>
            <w:rStyle w:val="Hyperlink"/>
          </w:rPr>
          <w:t>Directive 2014/26/EU of the European Parliament and of the Council</w:t>
        </w:r>
      </w:hyperlink>
      <w:r>
        <w:t>, clause </w:t>
      </w:r>
      <w:r w:rsidRPr="008B3152">
        <w:t>13(6), February.</w:t>
      </w:r>
    </w:p>
  </w:endnote>
  <w:endnote w:id="153">
    <w:p w14:paraId="42823367" w14:textId="77777777" w:rsidR="004E343D" w:rsidRPr="00A33FBE" w:rsidRDefault="004E343D" w:rsidP="007E7021">
      <w:pPr>
        <w:pStyle w:val="EndnoteText"/>
        <w:tabs>
          <w:tab w:val="left" w:pos="1824"/>
        </w:tabs>
      </w:pPr>
      <w:r w:rsidRPr="00EC6BE2">
        <w:rPr>
          <w:rStyle w:val="EndnoteReference"/>
        </w:rPr>
        <w:endnoteRef/>
      </w:r>
      <w:r w:rsidRPr="00EC6BE2">
        <w:t xml:space="preserve"> Queensland University of Technology School of Law (2017), </w:t>
      </w:r>
      <w:hyperlink r:id="rId108" w:history="1">
        <w:r w:rsidRPr="00EC6BE2">
          <w:rPr>
            <w:rStyle w:val="Hyperlink"/>
          </w:rPr>
          <w:t>submission to the Discussion Paper</w:t>
        </w:r>
      </w:hyperlink>
      <w:r w:rsidRPr="00EC6BE2">
        <w:t>, Review of the Code of Conduct for Copyright Collecting Societies, October, p</w:t>
      </w:r>
      <w:r>
        <w:t xml:space="preserve">. </w:t>
      </w:r>
      <w:r w:rsidRPr="00EC6BE2">
        <w:t>4.</w:t>
      </w:r>
    </w:p>
  </w:endnote>
  <w:endnote w:id="154">
    <w:p w14:paraId="17FAE0F8" w14:textId="77777777" w:rsidR="004E343D" w:rsidRPr="00A33FBE" w:rsidRDefault="004E343D" w:rsidP="007E7021">
      <w:pPr>
        <w:pStyle w:val="EndnoteText"/>
      </w:pPr>
      <w:r w:rsidRPr="00EC6BE2">
        <w:rPr>
          <w:rStyle w:val="EndnoteReference"/>
        </w:rPr>
        <w:endnoteRef/>
      </w:r>
      <w:r w:rsidRPr="00EC6BE2">
        <w:t xml:space="preserve"> Australian Society of Authors (2017), </w:t>
      </w:r>
      <w:r w:rsidRPr="001D7AC9">
        <w:t>submission to the Discussion Paper</w:t>
      </w:r>
      <w:r w:rsidRPr="00EC6BE2">
        <w:t xml:space="preserve">, </w:t>
      </w:r>
      <w:r>
        <w:t xml:space="preserve">available from the </w:t>
      </w:r>
      <w:hyperlink r:id="rId109" w:history="1">
        <w:r w:rsidRPr="001D7AC9">
          <w:rPr>
            <w:rStyle w:val="Hyperlink"/>
          </w:rPr>
          <w:t>Review of the Code of Conduct for Copyright Collecting Societies</w:t>
        </w:r>
      </w:hyperlink>
      <w:r w:rsidRPr="00EC6BE2">
        <w:t xml:space="preserve">, </w:t>
      </w:r>
      <w:r>
        <w:t>October.</w:t>
      </w:r>
    </w:p>
  </w:endnote>
  <w:endnote w:id="155">
    <w:p w14:paraId="0E9548D0" w14:textId="77777777" w:rsidR="004E343D" w:rsidRDefault="004E343D" w:rsidP="007E7021">
      <w:pPr>
        <w:pStyle w:val="EndnoteText"/>
      </w:pPr>
      <w:r>
        <w:rPr>
          <w:rStyle w:val="EndnoteReference"/>
        </w:rPr>
        <w:endnoteRef/>
      </w:r>
      <w:r>
        <w:t xml:space="preserve"> Australian </w:t>
      </w:r>
      <w:r w:rsidRPr="0039680D">
        <w:t xml:space="preserve">Government </w:t>
      </w:r>
      <w:r>
        <w:t xml:space="preserve">(2017), </w:t>
      </w:r>
      <w:hyperlink r:id="rId110" w:history="1">
        <w:r w:rsidRPr="00917C9F">
          <w:rPr>
            <w:rStyle w:val="Hyperlink"/>
            <w:i/>
          </w:rPr>
          <w:t>Australian Government Response to the Productivity Commission Inquiry into Intellectual Property Arrangements</w:t>
        </w:r>
      </w:hyperlink>
      <w:r>
        <w:t>, August</w:t>
      </w:r>
      <w:r w:rsidRPr="00B6739F">
        <w:t xml:space="preserve">; Productivity Commission (2016), </w:t>
      </w:r>
      <w:hyperlink r:id="rId111" w:history="1">
        <w:r w:rsidRPr="00B6739F">
          <w:rPr>
            <w:rStyle w:val="Hyperlink"/>
          </w:rPr>
          <w:t>Intellectual Property Arrangements</w:t>
        </w:r>
      </w:hyperlink>
      <w:r w:rsidRPr="00B6739F">
        <w:t>, Inquiry Report No. 78, 23 September, p.32 (recommendation 5.4).</w:t>
      </w:r>
    </w:p>
  </w:endnote>
  <w:endnote w:id="156">
    <w:p w14:paraId="5A9F9EBF" w14:textId="77777777" w:rsidR="004E343D" w:rsidRDefault="004E343D" w:rsidP="007E7021">
      <w:pPr>
        <w:pStyle w:val="EndnoteText"/>
      </w:pPr>
      <w:r>
        <w:rPr>
          <w:rStyle w:val="EndnoteReference"/>
        </w:rPr>
        <w:endnoteRef/>
      </w:r>
      <w:r>
        <w:t xml:space="preserve"> See </w:t>
      </w:r>
      <w:r w:rsidRPr="000E0A8D">
        <w:rPr>
          <w:i/>
        </w:rPr>
        <w:t>Copyright Act 1968</w:t>
      </w:r>
      <w:r>
        <w:t xml:space="preserve">: Part IVA Divisions 4 and 5, Part VC, Part VD and Part VII, Division 2 and section 153F. See also the </w:t>
      </w:r>
      <w:r w:rsidRPr="000E0A8D">
        <w:rPr>
          <w:i/>
        </w:rPr>
        <w:t>Copyright Regulations 1969</w:t>
      </w:r>
      <w:r>
        <w:t>: regulations 23J, 23JM and 23L.</w:t>
      </w:r>
    </w:p>
  </w:endnote>
  <w:endnote w:id="157">
    <w:p w14:paraId="5D8442CA" w14:textId="77777777" w:rsidR="004E343D" w:rsidRDefault="004E343D" w:rsidP="007E7021">
      <w:pPr>
        <w:pStyle w:val="EndnoteText"/>
      </w:pPr>
      <w:r>
        <w:rPr>
          <w:rStyle w:val="EndnoteReference"/>
        </w:rPr>
        <w:endnoteRef/>
      </w:r>
      <w:r>
        <w:t xml:space="preserve"> The Productivity Commission has recommended the repeal of section 51(3), which the Australian Government supports. See: Productivity Commission (2016), </w:t>
      </w:r>
      <w:hyperlink r:id="rId112" w:history="1">
        <w:r w:rsidRPr="00917C9F">
          <w:rPr>
            <w:rStyle w:val="Hyperlink"/>
            <w:i/>
          </w:rPr>
          <w:t>Intellectual Property Arrangements</w:t>
        </w:r>
      </w:hyperlink>
      <w:r>
        <w:t xml:space="preserve"> (Productivity Commission Inquiry Report No. 78), 23 September, recommendation 15.1; Australian Government (2017), </w:t>
      </w:r>
      <w:hyperlink r:id="rId113" w:history="1">
        <w:r w:rsidRPr="00917C9F">
          <w:rPr>
            <w:rStyle w:val="Hyperlink"/>
            <w:i/>
          </w:rPr>
          <w:t>Australian Government Response to the Productivity Commission Inquiry into Intellectual Property Arrangements</w:t>
        </w:r>
      </w:hyperlink>
      <w:r>
        <w:t>, August, p. 17.</w:t>
      </w:r>
    </w:p>
  </w:endnote>
  <w:endnote w:id="158">
    <w:p w14:paraId="36031673" w14:textId="77777777" w:rsidR="004E343D" w:rsidRDefault="004E343D" w:rsidP="007E7021">
      <w:pPr>
        <w:pStyle w:val="EndnoteText"/>
      </w:pPr>
      <w:r>
        <w:rPr>
          <w:rStyle w:val="EndnoteReference"/>
        </w:rPr>
        <w:endnoteRef/>
      </w:r>
      <w:r>
        <w:t xml:space="preserve"> Except for misuse of market power and some mergers.</w:t>
      </w:r>
    </w:p>
  </w:endnote>
  <w:endnote w:id="159">
    <w:p w14:paraId="2F81162A" w14:textId="77777777" w:rsidR="004E343D" w:rsidRDefault="004E343D" w:rsidP="007E7021">
      <w:pPr>
        <w:pStyle w:val="EndnoteText"/>
      </w:pPr>
      <w:r>
        <w:rPr>
          <w:rStyle w:val="EndnoteReference"/>
        </w:rPr>
        <w:endnoteRef/>
      </w:r>
      <w:r>
        <w:t xml:space="preserve"> Sections 88 and 90 of the </w:t>
      </w:r>
      <w:r w:rsidRPr="00CD12C5">
        <w:rPr>
          <w:i/>
        </w:rPr>
        <w:t>Competition and Consumer Act 2010</w:t>
      </w:r>
      <w:r>
        <w:rPr>
          <w:i/>
        </w:rPr>
        <w:t>.</w:t>
      </w:r>
    </w:p>
  </w:endnote>
  <w:endnote w:id="160">
    <w:p w14:paraId="0345E0FE" w14:textId="77777777" w:rsidR="004E343D" w:rsidRPr="00CC12F2" w:rsidRDefault="004E343D" w:rsidP="007E7021">
      <w:pPr>
        <w:pStyle w:val="EndnoteText"/>
      </w:pPr>
      <w:r>
        <w:rPr>
          <w:rStyle w:val="EndnoteReference"/>
        </w:rPr>
        <w:endnoteRef/>
      </w:r>
      <w:r>
        <w:t xml:space="preserve"> Australian Government, </w:t>
      </w:r>
      <w:hyperlink r:id="rId114" w:history="1">
        <w:r w:rsidRPr="00CC12F2">
          <w:rPr>
            <w:rStyle w:val="Hyperlink"/>
            <w:i/>
          </w:rPr>
          <w:t>Determination of provisions to be contained in collecting society rules</w:t>
        </w:r>
      </w:hyperlink>
      <w:r>
        <w:t>, 16 March 2010.</w:t>
      </w:r>
    </w:p>
  </w:endnote>
  <w:endnote w:id="161">
    <w:p w14:paraId="2AD522DA" w14:textId="77777777" w:rsidR="004E343D" w:rsidRDefault="004E343D" w:rsidP="007E7021">
      <w:pPr>
        <w:pStyle w:val="EndnoteText"/>
      </w:pPr>
      <w:r>
        <w:rPr>
          <w:rStyle w:val="EndnoteReference"/>
        </w:rPr>
        <w:endnoteRef/>
      </w:r>
      <w:r>
        <w:t xml:space="preserve"> </w:t>
      </w:r>
      <w:r w:rsidRPr="003840CC">
        <w:rPr>
          <w:i/>
        </w:rPr>
        <w:t>Resale Royalty Right for Visual Artists Act 2009</w:t>
      </w:r>
      <w:r w:rsidRPr="003840CC">
        <w:t>.</w:t>
      </w:r>
      <w:r>
        <w:t xml:space="preserve"> </w:t>
      </w:r>
    </w:p>
  </w:endnote>
  <w:endnote w:id="162">
    <w:p w14:paraId="1D34190F" w14:textId="77777777" w:rsidR="004E343D" w:rsidRDefault="004E343D" w:rsidP="007E7021">
      <w:pPr>
        <w:pStyle w:val="EndnoteText"/>
      </w:pPr>
      <w:r>
        <w:rPr>
          <w:rStyle w:val="EndnoteReference"/>
        </w:rPr>
        <w:endnoteRef/>
      </w:r>
      <w:r w:rsidRPr="00E127EA">
        <w:rPr>
          <w:i/>
        </w:rPr>
        <w:t xml:space="preserve"> Competition and Consumer Act 2010</w:t>
      </w:r>
      <w:r>
        <w:rPr>
          <w:i/>
        </w:rPr>
        <w:t xml:space="preserve"> </w:t>
      </w:r>
      <w:r w:rsidRPr="005A14AF">
        <w:t>(Cth)</w:t>
      </w:r>
      <w:r>
        <w:t>, Schedule 2.</w:t>
      </w:r>
    </w:p>
  </w:endnote>
  <w:endnote w:id="163">
    <w:p w14:paraId="620A52EB" w14:textId="77777777" w:rsidR="004E343D" w:rsidRDefault="004E343D" w:rsidP="007E7021">
      <w:pPr>
        <w:pStyle w:val="EndnoteText"/>
      </w:pPr>
      <w:r>
        <w:rPr>
          <w:rStyle w:val="EndnoteReference"/>
        </w:rPr>
        <w:endnoteRef/>
      </w:r>
      <w:r>
        <w:t xml:space="preserve"> See: </w:t>
      </w:r>
      <w:hyperlink r:id="rId115" w:history="1">
        <w:r w:rsidRPr="000E390F">
          <w:rPr>
            <w:rStyle w:val="Hyperlink"/>
          </w:rPr>
          <w:t>http://registers.accc.gov.au/content/trimFile.phtml?trimFileTitle=D17+44265.pdf&amp;trimFileFromVersionId=1201742&amp;trimFileName=D17+44265.pdf</w:t>
        </w:r>
      </w:hyperlink>
      <w:r>
        <w:t xml:space="preserve"> for the 2016 report.</w:t>
      </w:r>
    </w:p>
  </w:endnote>
  <w:endnote w:id="164">
    <w:p w14:paraId="411BE447" w14:textId="0521F30A" w:rsidR="004E343D" w:rsidRDefault="004E343D" w:rsidP="007E7021">
      <w:pPr>
        <w:pStyle w:val="EndnoteText"/>
      </w:pPr>
      <w:r>
        <w:rPr>
          <w:rStyle w:val="EndnoteReference"/>
        </w:rPr>
        <w:endnoteRef/>
      </w:r>
      <w:r>
        <w:t xml:space="preserve"> ACCC (2014), </w:t>
      </w:r>
      <w:hyperlink r:id="rId116" w:history="1">
        <w:r w:rsidRPr="00B87BFA">
          <w:rPr>
            <w:rStyle w:val="Hyperlink"/>
          </w:rPr>
          <w:t>Determination- Application for revocation and substitution of authorisations A91187-A91194 and A91211 lodged by the Australasian Performing Right Association Limited in respect of arrangements for the acquisition and licensing of performing rights in music</w:t>
        </w:r>
      </w:hyperlink>
      <w:r>
        <w:t>, 6 June, p. 90.</w:t>
      </w:r>
    </w:p>
  </w:endnote>
  <w:endnote w:id="165">
    <w:p w14:paraId="661148A3" w14:textId="77777777" w:rsidR="004E343D" w:rsidRDefault="004E343D" w:rsidP="007E7021">
      <w:pPr>
        <w:pStyle w:val="EndnoteText"/>
      </w:pPr>
      <w:r>
        <w:rPr>
          <w:rStyle w:val="EndnoteReference"/>
        </w:rPr>
        <w:endnoteRef/>
      </w:r>
      <w:r>
        <w:t xml:space="preserve"> See APRA AMCOS, Alternative Dispute Resolution, </w:t>
      </w:r>
      <w:hyperlink r:id="rId117" w:history="1">
        <w:r w:rsidRPr="00D22498">
          <w:rPr>
            <w:rStyle w:val="Hyperlink"/>
          </w:rPr>
          <w:t>http://apraamcos.com.au/feedback-centre/alternative-dispute-resolution/</w:t>
        </w:r>
      </w:hyperlink>
      <w:r>
        <w:rPr>
          <w:rStyle w:val="Hyperlink"/>
        </w:rPr>
        <w:t>.</w:t>
      </w:r>
      <w:r>
        <w:t xml:space="preserve"> </w:t>
      </w:r>
    </w:p>
  </w:endnote>
  <w:endnote w:id="166">
    <w:p w14:paraId="401C950B" w14:textId="722A7B33" w:rsidR="004E343D" w:rsidRDefault="004E343D" w:rsidP="007E7021">
      <w:pPr>
        <w:pStyle w:val="EndnoteText"/>
      </w:pPr>
      <w:r>
        <w:rPr>
          <w:rStyle w:val="EndnoteReference"/>
        </w:rPr>
        <w:endnoteRef/>
      </w:r>
      <w:r>
        <w:t xml:space="preserve"> The Hon K E Lindgren AM, QC (2015), </w:t>
      </w:r>
      <w:hyperlink r:id="rId118" w:history="1">
        <w:r w:rsidRPr="00917C9F">
          <w:rPr>
            <w:rStyle w:val="Hyperlink"/>
          </w:rPr>
          <w:t>Report of the Review of Copyright Collecting Societies’ Compliance with their Code of Conduct for the Year 1 July 2014 to 30</w:t>
        </w:r>
        <w:r>
          <w:rPr>
            <w:rStyle w:val="Hyperlink"/>
          </w:rPr>
          <w:t> June</w:t>
        </w:r>
        <w:r w:rsidRPr="00917C9F">
          <w:rPr>
            <w:rStyle w:val="Hyperlink"/>
          </w:rPr>
          <w:t xml:space="preserve"> 2015</w:t>
        </w:r>
      </w:hyperlink>
      <w:r>
        <w:t>, December, p. 76.</w:t>
      </w:r>
    </w:p>
  </w:endnote>
  <w:endnote w:id="167">
    <w:p w14:paraId="238E9C31" w14:textId="77777777" w:rsidR="004E343D" w:rsidRDefault="004E343D" w:rsidP="007E7021">
      <w:pPr>
        <w:pStyle w:val="EndnoteText"/>
      </w:pPr>
      <w:r>
        <w:rPr>
          <w:rStyle w:val="EndnoteReference"/>
        </w:rPr>
        <w:endnoteRef/>
      </w:r>
      <w:r>
        <w:t xml:space="preserve"> See Resolution pathways, </w:t>
      </w:r>
      <w:hyperlink r:id="rId119" w:history="1">
        <w:r w:rsidRPr="00D22498">
          <w:rPr>
            <w:rStyle w:val="Hyperlink"/>
          </w:rPr>
          <w:t>http://www.resolutionpathways.com.au/Costs</w:t>
        </w:r>
      </w:hyperlink>
      <w:r>
        <w:t xml:space="preserve"> </w:t>
      </w:r>
    </w:p>
  </w:endnote>
  <w:endnote w:id="168">
    <w:p w14:paraId="310ACB6F" w14:textId="77777777" w:rsidR="004E343D" w:rsidRDefault="004E343D" w:rsidP="007E7021">
      <w:pPr>
        <w:pStyle w:val="EndnoteText"/>
      </w:pPr>
      <w:r>
        <w:rPr>
          <w:rStyle w:val="EndnoteReference"/>
        </w:rPr>
        <w:endnoteRef/>
      </w:r>
      <w:r>
        <w:t xml:space="preserve"> </w:t>
      </w:r>
      <w:hyperlink r:id="rId120" w:history="1">
        <w:r w:rsidRPr="00D22498">
          <w:rPr>
            <w:rStyle w:val="Hyperlink"/>
          </w:rPr>
          <w:t>http://apraamcos.com.au/news/2016/august/apra-amcos-wins-australian-dispute-centre-award/</w:t>
        </w:r>
      </w:hyperlink>
      <w:r>
        <w:t xml:space="preserve"> . </w:t>
      </w:r>
      <w:r w:rsidRPr="00315D81">
        <w:t>In the 2015-2016 annual report, the Code Reviewer noted that seven disputes were referred to APRA/AMCOS’s ADR facility in calendar year 2015, two being licensee disputes and the remainder member disputes. APRA/AMCOS bore the costs of all disputes in this reported period and advised that all ‘were resolved with positive feedback’</w:t>
      </w:r>
    </w:p>
  </w:endnote>
  <w:endnote w:id="169">
    <w:p w14:paraId="062B2DAE" w14:textId="77777777" w:rsidR="004E343D" w:rsidRDefault="004E343D" w:rsidP="007E7021">
      <w:pPr>
        <w:pStyle w:val="EndnoteText"/>
      </w:pPr>
      <w:r>
        <w:rPr>
          <w:rStyle w:val="EndnoteReference"/>
        </w:rPr>
        <w:endnoteRef/>
      </w:r>
      <w:r>
        <w:t xml:space="preserve"> </w:t>
      </w:r>
      <w:hyperlink r:id="rId121" w:history="1">
        <w:r w:rsidRPr="00D22498">
          <w:rPr>
            <w:rStyle w:val="Hyperlink"/>
          </w:rPr>
          <w:t>https://www.copyright.com.au/about-us/governance/compliments-complaints/dispute-resolution/</w:t>
        </w:r>
      </w:hyperlink>
      <w:r>
        <w:t xml:space="preserve"> </w:t>
      </w:r>
    </w:p>
  </w:endnote>
  <w:endnote w:id="170">
    <w:p w14:paraId="41842335" w14:textId="77777777" w:rsidR="004E343D" w:rsidRDefault="004E343D" w:rsidP="007E7021">
      <w:pPr>
        <w:pStyle w:val="EndnoteText"/>
      </w:pPr>
      <w:r>
        <w:rPr>
          <w:rStyle w:val="EndnoteReference"/>
        </w:rPr>
        <w:endnoteRef/>
      </w:r>
      <w:r>
        <w:t xml:space="preserve"> Ibid.</w:t>
      </w:r>
    </w:p>
  </w:endnote>
  <w:endnote w:id="171">
    <w:p w14:paraId="05478E89" w14:textId="77777777" w:rsidR="004E343D" w:rsidRDefault="004E343D" w:rsidP="007E7021">
      <w:pPr>
        <w:pStyle w:val="EndnoteText"/>
      </w:pPr>
      <w:r>
        <w:rPr>
          <w:rStyle w:val="EndnoteReference"/>
        </w:rPr>
        <w:endnoteRef/>
      </w:r>
      <w:r>
        <w:t xml:space="preserve"> Ibid.</w:t>
      </w:r>
    </w:p>
  </w:endnote>
  <w:endnote w:id="172">
    <w:p w14:paraId="2533CEED" w14:textId="77777777" w:rsidR="004E343D" w:rsidRDefault="004E343D" w:rsidP="007E7021">
      <w:pPr>
        <w:pStyle w:val="EndnoteText"/>
      </w:pPr>
      <w:r>
        <w:rPr>
          <w:rStyle w:val="EndnoteReference"/>
        </w:rPr>
        <w:endnoteRef/>
      </w:r>
      <w:r>
        <w:t xml:space="preserve"> Copyright Agency (2017), </w:t>
      </w:r>
      <w:hyperlink r:id="rId122" w:history="1">
        <w:r>
          <w:rPr>
            <w:rStyle w:val="Hyperlink"/>
          </w:rPr>
          <w:t>submission to Discussion Paper</w:t>
        </w:r>
      </w:hyperlink>
      <w:r>
        <w:t>, Review of the Code of Conduct for Copyright Collecting Societies, September, p. 17</w:t>
      </w:r>
    </w:p>
  </w:endnote>
  <w:endnote w:id="173">
    <w:p w14:paraId="4F961391" w14:textId="77777777" w:rsidR="004E343D" w:rsidRDefault="004E343D" w:rsidP="007E7021">
      <w:pPr>
        <w:pStyle w:val="EndnoteText"/>
      </w:pPr>
      <w:r>
        <w:rPr>
          <w:rStyle w:val="EndnoteReference"/>
        </w:rPr>
        <w:endnoteRef/>
      </w:r>
      <w:r>
        <w:t xml:space="preserve"> </w:t>
      </w:r>
      <w:r w:rsidRPr="00315D81">
        <w:t>For example, in the 2015-2016 review period, the Code Reviewer noted that Screenrights dealt with 1.3 million individual claims and 6,848 competing claims, with 2,974 of the competing claims resolved in that period.</w:t>
      </w:r>
    </w:p>
  </w:endnote>
  <w:endnote w:id="174">
    <w:p w14:paraId="4B7987BA" w14:textId="77777777" w:rsidR="004E343D" w:rsidRDefault="004E343D" w:rsidP="007E7021">
      <w:pPr>
        <w:pStyle w:val="EndnoteText"/>
      </w:pPr>
      <w:r>
        <w:rPr>
          <w:rStyle w:val="EndnoteReference"/>
        </w:rPr>
        <w:endnoteRef/>
      </w:r>
      <w:r>
        <w:t xml:space="preserve"> </w:t>
      </w:r>
      <w:hyperlink r:id="rId123" w:history="1">
        <w:r w:rsidRPr="00DC5FDA">
          <w:rPr>
            <w:rStyle w:val="Hyperlink"/>
          </w:rPr>
          <w:t>https://resolution.screenrights.org/express-resolution/</w:t>
        </w:r>
      </w:hyperlink>
      <w:r>
        <w:t xml:space="preserve"> </w:t>
      </w:r>
    </w:p>
  </w:endnote>
  <w:endnote w:id="175">
    <w:p w14:paraId="1058D38C" w14:textId="77777777" w:rsidR="004E343D" w:rsidRDefault="004E343D" w:rsidP="007E7021">
      <w:pPr>
        <w:pStyle w:val="EndnoteText"/>
      </w:pPr>
      <w:r>
        <w:rPr>
          <w:rStyle w:val="EndnoteReference"/>
        </w:rPr>
        <w:endnoteRef/>
      </w:r>
      <w:r>
        <w:t xml:space="preserve"> </w:t>
      </w:r>
      <w:r w:rsidRPr="00315D81">
        <w:t>The presumptions ‘draw on general principles of Australian copyright law, standard terms of industry agreed contracts and industry practice’ and initial assessments undertaken by Screenrights indicate that ‘ERP has resulted in the timely resolution of many competing claims’.</w:t>
      </w:r>
    </w:p>
  </w:endnote>
  <w:endnote w:id="176">
    <w:p w14:paraId="3AB867B1" w14:textId="77777777" w:rsidR="004E343D" w:rsidRDefault="004E343D" w:rsidP="007E7021">
      <w:pPr>
        <w:pStyle w:val="EndnoteText"/>
      </w:pPr>
      <w:r>
        <w:rPr>
          <w:rStyle w:val="EndnoteReference"/>
        </w:rPr>
        <w:endnoteRef/>
      </w:r>
      <w:r>
        <w:t xml:space="preserve"> </w:t>
      </w:r>
      <w:hyperlink r:id="rId124" w:history="1">
        <w:r w:rsidRPr="00D22498">
          <w:rPr>
            <w:rStyle w:val="Hyperlink"/>
          </w:rPr>
          <w:t>https://www.screenrights.org/sites/default/files/uploads/ADR_Policy.pdf</w:t>
        </w:r>
      </w:hyperlink>
      <w:r>
        <w:t xml:space="preserve"> </w:t>
      </w:r>
    </w:p>
  </w:endnote>
  <w:endnote w:id="177">
    <w:p w14:paraId="4F6ED63B" w14:textId="77777777" w:rsidR="004E343D" w:rsidRDefault="004E343D" w:rsidP="007E7021">
      <w:pPr>
        <w:pStyle w:val="EndnoteText"/>
      </w:pPr>
      <w:r>
        <w:rPr>
          <w:rStyle w:val="EndnoteReference"/>
        </w:rPr>
        <w:endnoteRef/>
      </w:r>
      <w:r>
        <w:t xml:space="preserve"> Ibid.</w:t>
      </w:r>
    </w:p>
  </w:endnote>
  <w:endnote w:id="178">
    <w:p w14:paraId="6A1D629C" w14:textId="77777777" w:rsidR="004E343D" w:rsidRDefault="004E343D" w:rsidP="007E7021">
      <w:pPr>
        <w:pStyle w:val="EndnoteText"/>
      </w:pPr>
      <w:r>
        <w:rPr>
          <w:rStyle w:val="EndnoteReference"/>
        </w:rPr>
        <w:endnoteRef/>
      </w:r>
      <w:r>
        <w:t xml:space="preserve"> Ibid.</w:t>
      </w:r>
    </w:p>
  </w:endnote>
  <w:endnote w:id="179">
    <w:p w14:paraId="045CD7F6" w14:textId="77777777" w:rsidR="004E343D" w:rsidRDefault="004E343D" w:rsidP="007E7021">
      <w:pPr>
        <w:pStyle w:val="EndnoteText"/>
      </w:pPr>
      <w:r>
        <w:rPr>
          <w:rStyle w:val="EndnoteReference"/>
        </w:rPr>
        <w:endnoteRef/>
      </w:r>
      <w:r>
        <w:t xml:space="preserve"> </w:t>
      </w:r>
      <w:hyperlink r:id="rId125" w:history="1">
        <w:r w:rsidRPr="00D22498">
          <w:rPr>
            <w:rStyle w:val="Hyperlink"/>
          </w:rPr>
          <w:t>https://www.screenrights.org/sites/default/files/uploads/ISUADRL0413.pdf</w:t>
        </w:r>
      </w:hyperlink>
      <w:r>
        <w:t xml:space="preserve"> </w:t>
      </w:r>
    </w:p>
  </w:endnote>
  <w:endnote w:id="180">
    <w:p w14:paraId="78D5B14F" w14:textId="77777777" w:rsidR="004E343D" w:rsidRDefault="004E343D" w:rsidP="007E7021">
      <w:pPr>
        <w:pStyle w:val="EndnoteText"/>
      </w:pPr>
      <w:r>
        <w:rPr>
          <w:rStyle w:val="EndnoteReference"/>
        </w:rPr>
        <w:endnoteRef/>
      </w:r>
      <w:r>
        <w:t xml:space="preserve"> Ibid.</w:t>
      </w:r>
    </w:p>
  </w:endnote>
  <w:endnote w:id="181">
    <w:p w14:paraId="390025B3" w14:textId="77777777" w:rsidR="004E343D" w:rsidRDefault="004E343D" w:rsidP="007E7021">
      <w:pPr>
        <w:pStyle w:val="EndnoteText"/>
      </w:pPr>
      <w:r>
        <w:rPr>
          <w:rStyle w:val="EndnoteReference"/>
        </w:rPr>
        <w:endnoteRef/>
      </w:r>
      <w:r>
        <w:t xml:space="preserve"> Ibid, p. 1.</w:t>
      </w:r>
    </w:p>
  </w:endnote>
  <w:endnote w:id="182">
    <w:p w14:paraId="55B3238F" w14:textId="77777777" w:rsidR="004E343D" w:rsidRDefault="004E343D" w:rsidP="007E7021">
      <w:pPr>
        <w:pStyle w:val="EndnoteText"/>
      </w:pPr>
      <w:r>
        <w:rPr>
          <w:rStyle w:val="EndnoteReference"/>
        </w:rPr>
        <w:endnoteRef/>
      </w:r>
      <w:r>
        <w:t xml:space="preserve"> Screenrights has also advised that all of its agreements with statutory licensees include provisions for alternative dispute resolution if a dispute arises during the life of the agreement.</w:t>
      </w:r>
    </w:p>
  </w:endnote>
  <w:endnote w:id="183">
    <w:p w14:paraId="5468157E" w14:textId="13545091" w:rsidR="004E343D" w:rsidRDefault="004E343D" w:rsidP="007E7021">
      <w:pPr>
        <w:pStyle w:val="EndnoteText"/>
      </w:pPr>
      <w:r>
        <w:rPr>
          <w:rStyle w:val="EndnoteReference"/>
        </w:rPr>
        <w:endnoteRef/>
      </w:r>
      <w:r>
        <w:t xml:space="preserve"> Phonographic Performance Company of Australia (2008), </w:t>
      </w:r>
      <w:hyperlink r:id="rId126" w:history="1">
        <w:r w:rsidRPr="003840CC">
          <w:rPr>
            <w:rStyle w:val="Hyperlink"/>
          </w:rPr>
          <w:t>Complaints Handling and Dispute Resolution Policy</w:t>
        </w:r>
      </w:hyperlink>
      <w:r>
        <w:t>, p.4.</w:t>
      </w:r>
    </w:p>
  </w:endnote>
  <w:endnote w:id="184">
    <w:p w14:paraId="380D55DF" w14:textId="77777777" w:rsidR="004E343D" w:rsidRDefault="004E343D" w:rsidP="007E7021">
      <w:pPr>
        <w:pStyle w:val="EndnoteText"/>
      </w:pPr>
      <w:r>
        <w:rPr>
          <w:rStyle w:val="EndnoteReference"/>
        </w:rPr>
        <w:endnoteRef/>
      </w:r>
      <w:r>
        <w:t xml:space="preserve"> Ibid at p. 5.</w:t>
      </w:r>
    </w:p>
  </w:endnote>
  <w:endnote w:id="185">
    <w:p w14:paraId="72A41058" w14:textId="77777777" w:rsidR="004E343D" w:rsidRDefault="004E343D" w:rsidP="007E7021">
      <w:pPr>
        <w:pStyle w:val="EndnoteText"/>
      </w:pPr>
      <w:r>
        <w:rPr>
          <w:rStyle w:val="EndnoteReference"/>
        </w:rPr>
        <w:endnoteRef/>
      </w:r>
      <w:r>
        <w:t xml:space="preserve"> Ibid.</w:t>
      </w:r>
    </w:p>
  </w:endnote>
  <w:endnote w:id="186">
    <w:p w14:paraId="1B13F2FC" w14:textId="77777777" w:rsidR="004E343D" w:rsidRDefault="004E343D" w:rsidP="007E7021">
      <w:pPr>
        <w:pStyle w:val="EndnoteText"/>
      </w:pPr>
      <w:r>
        <w:rPr>
          <w:rStyle w:val="EndnoteReference"/>
        </w:rPr>
        <w:endnoteRef/>
      </w:r>
      <w:r>
        <w:t xml:space="preserve"> I</w:t>
      </w:r>
      <w:r w:rsidRPr="00315D81">
        <w:t>f AWGACS does not agree to resolve the dispute via Expert Determination they must provide the complainant with a letter setting out reasons for its decision</w:t>
      </w:r>
      <w:r>
        <w:t>.</w:t>
      </w:r>
    </w:p>
  </w:endnote>
  <w:endnote w:id="187">
    <w:p w14:paraId="675D807E" w14:textId="465B1EEB" w:rsidR="004E343D" w:rsidRDefault="004E343D" w:rsidP="007E7021">
      <w:pPr>
        <w:pStyle w:val="EndnoteText"/>
      </w:pPr>
      <w:r>
        <w:rPr>
          <w:rStyle w:val="EndnoteReference"/>
        </w:rPr>
        <w:endnoteRef/>
      </w:r>
      <w:r>
        <w:t xml:space="preserve"> </w:t>
      </w:r>
      <w:hyperlink r:id="rId127" w:history="1">
        <w:r w:rsidRPr="00D22498">
          <w:rPr>
            <w:rStyle w:val="Hyperlink"/>
          </w:rPr>
          <w:t>http://awgau.s3-ap-southeast-2.amazonaws.com/wordpress/wp-content/uploads/2016/04/18200446/AWGACS-Complaints-and-Disputes-Procedures-03.16-FINAL.pdf</w:t>
        </w:r>
      </w:hyperlink>
      <w:r>
        <w:t xml:space="preserve"> at page 5;</w:t>
      </w:r>
      <w:r w:rsidRPr="00C70E9E">
        <w:t xml:space="preserve"> </w:t>
      </w:r>
      <w:hyperlink r:id="rId128" w:history="1">
        <w:r w:rsidRPr="00994FAB">
          <w:rPr>
            <w:rStyle w:val="Hyperlink"/>
          </w:rPr>
          <w:t>Report of the Review of Copyright Collecting Societies’ Compliance with their Code of Conduct for the Year 1 July 2015 to 30</w:t>
        </w:r>
        <w:r>
          <w:rPr>
            <w:rStyle w:val="Hyperlink"/>
          </w:rPr>
          <w:t> June</w:t>
        </w:r>
        <w:r w:rsidRPr="00994FAB">
          <w:rPr>
            <w:rStyle w:val="Hyperlink"/>
          </w:rPr>
          <w:t xml:space="preserve"> 2016</w:t>
        </w:r>
      </w:hyperlink>
      <w:r>
        <w:t>, p. 120.</w:t>
      </w:r>
    </w:p>
  </w:endnote>
  <w:endnote w:id="188">
    <w:p w14:paraId="09173E8A" w14:textId="77777777" w:rsidR="004E343D" w:rsidRDefault="004E343D" w:rsidP="007E7021">
      <w:pPr>
        <w:pStyle w:val="EndnoteText"/>
      </w:pPr>
      <w:r>
        <w:rPr>
          <w:rStyle w:val="EndnoteReference"/>
        </w:rPr>
        <w:endnoteRef/>
      </w:r>
      <w:r>
        <w:t xml:space="preserve"> Official Journal of the European Union (2014), </w:t>
      </w:r>
      <w:hyperlink r:id="rId129" w:history="1">
        <w:r w:rsidRPr="00AC6939">
          <w:rPr>
            <w:rStyle w:val="Hyperlink"/>
          </w:rPr>
          <w:t>Directive 2014/26/EU of the European Parliament and of the Council</w:t>
        </w:r>
      </w:hyperlink>
      <w:r w:rsidRPr="008B3152">
        <w:t>, February.</w:t>
      </w:r>
      <w:r>
        <w:t xml:space="preserve"> </w:t>
      </w:r>
    </w:p>
  </w:endnote>
  <w:endnote w:id="189">
    <w:p w14:paraId="5BC6E2A9" w14:textId="77777777" w:rsidR="004E343D" w:rsidRDefault="004E343D" w:rsidP="007E7021">
      <w:pPr>
        <w:pStyle w:val="EndnoteText"/>
      </w:pPr>
      <w:r>
        <w:rPr>
          <w:rStyle w:val="EndnoteReference"/>
        </w:rPr>
        <w:endnoteRef/>
      </w:r>
      <w:r>
        <w:t xml:space="preserve"> Productivity Commission (2016), </w:t>
      </w:r>
      <w:hyperlink r:id="rId130" w:history="1">
        <w:r>
          <w:rPr>
            <w:rStyle w:val="Hyperlink"/>
          </w:rPr>
          <w:t>Intellectual Property Arrangements</w:t>
        </w:r>
      </w:hyperlink>
      <w:r>
        <w:t>, Inquiry Report No. 78, 23 September, p. 160.</w:t>
      </w:r>
    </w:p>
  </w:endnote>
  <w:endnote w:id="190">
    <w:p w14:paraId="77F265E0" w14:textId="77777777" w:rsidR="004E343D" w:rsidRDefault="004E343D" w:rsidP="007E7021">
      <w:pPr>
        <w:pStyle w:val="EndnoteText"/>
      </w:pPr>
      <w:r>
        <w:rPr>
          <w:rStyle w:val="EndnoteReference"/>
        </w:rPr>
        <w:endnoteRef/>
      </w:r>
      <w:r>
        <w:t xml:space="preserve"> Consortium of International Federations and the World Intellectual Property Organization, </w:t>
      </w:r>
      <w:hyperlink r:id="rId131" w:history="1">
        <w:r w:rsidRPr="005A7B33">
          <w:rPr>
            <w:rStyle w:val="Hyperlink"/>
            <w:i/>
          </w:rPr>
          <w:t>TAG Compendium of Good Practices Concerning the Collective Management of Copyright and Related Rights</w:t>
        </w:r>
      </w:hyperlink>
      <w:r>
        <w:rPr>
          <w:i/>
        </w:rPr>
        <w:t>,</w:t>
      </w:r>
      <w:r>
        <w:t xml:space="preserve"> Working Document of the Consortium of Federations and the World Intellectual Property Organization (WIPO) within the Framework of the TAG of Excellence Project.</w:t>
      </w:r>
    </w:p>
  </w:endnote>
  <w:endnote w:id="191">
    <w:p w14:paraId="6337DE7D" w14:textId="596BDF72" w:rsidR="004E343D" w:rsidRDefault="004E343D">
      <w:pPr>
        <w:pStyle w:val="EndnoteText"/>
      </w:pPr>
      <w:r>
        <w:rPr>
          <w:rStyle w:val="EndnoteReference"/>
        </w:rPr>
        <w:endnoteRef/>
      </w:r>
      <w:r>
        <w:t xml:space="preserve"> World Intellectual Property Organization circular C.L. 1982: Good Practice Toolkit for Collective Management Organizations </w:t>
      </w:r>
    </w:p>
  </w:endnote>
  <w:endnote w:id="192">
    <w:p w14:paraId="293B4593" w14:textId="77777777" w:rsidR="004E343D" w:rsidRDefault="004E343D" w:rsidP="007E7021">
      <w:pPr>
        <w:pStyle w:val="EndnoteText"/>
      </w:pPr>
      <w:r>
        <w:rPr>
          <w:rStyle w:val="EndnoteReference"/>
        </w:rPr>
        <w:endnoteRef/>
      </w:r>
      <w:r>
        <w:t xml:space="preserve"> </w:t>
      </w:r>
      <w:hyperlink r:id="rId132" w:history="1">
        <w:r w:rsidRPr="00AC6939">
          <w:rPr>
            <w:rStyle w:val="Hyperlink"/>
          </w:rPr>
          <w:t>Directive 2014/26/EU of the European Parliament and of the Council</w:t>
        </w:r>
      </w:hyperlink>
      <w:r>
        <w:t>, art 22 and Annex.</w:t>
      </w:r>
    </w:p>
  </w:endnote>
  <w:endnote w:id="193">
    <w:p w14:paraId="61E8F456" w14:textId="77777777" w:rsidR="004E343D" w:rsidRDefault="004E343D" w:rsidP="007E7021">
      <w:pPr>
        <w:pStyle w:val="EndnoteText"/>
      </w:pPr>
      <w:r>
        <w:rPr>
          <w:rStyle w:val="EndnoteReference"/>
        </w:rPr>
        <w:endnoteRef/>
      </w:r>
      <w:r>
        <w:t xml:space="preserve"> </w:t>
      </w:r>
      <w:hyperlink r:id="rId133" w:history="1">
        <w:r w:rsidRPr="00AC6939">
          <w:rPr>
            <w:rStyle w:val="Hyperlink"/>
          </w:rPr>
          <w:t>Directive 2014/26/EU of the European Parliament and of the Council</w:t>
        </w:r>
      </w:hyperlink>
      <w:r>
        <w:t>, article 36.</w:t>
      </w:r>
    </w:p>
  </w:endnote>
  <w:endnote w:id="194">
    <w:p w14:paraId="40F28293" w14:textId="77777777" w:rsidR="004E343D" w:rsidRDefault="004E343D" w:rsidP="007E7021">
      <w:pPr>
        <w:pStyle w:val="EndnoteText"/>
      </w:pPr>
      <w:r>
        <w:rPr>
          <w:rStyle w:val="EndnoteReference"/>
        </w:rPr>
        <w:endnoteRef/>
      </w:r>
      <w:r>
        <w:t xml:space="preserve"> </w:t>
      </w:r>
      <w:hyperlink r:id="rId134" w:history="1">
        <w:r>
          <w:rPr>
            <w:rStyle w:val="Hyperlink"/>
          </w:rPr>
          <w:t>Copyright Act 1987 (Singapore), Part VII.</w:t>
        </w:r>
      </w:hyperlink>
    </w:p>
  </w:endnote>
  <w:endnote w:id="195">
    <w:p w14:paraId="32881A7E" w14:textId="77777777" w:rsidR="004E343D" w:rsidRDefault="004E343D" w:rsidP="007E7021">
      <w:pPr>
        <w:pStyle w:val="EndnoteText"/>
      </w:pPr>
      <w:r>
        <w:rPr>
          <w:rStyle w:val="EndnoteReference"/>
        </w:rPr>
        <w:endnoteRef/>
      </w:r>
      <w:r>
        <w:t xml:space="preserve"> </w:t>
      </w:r>
      <w:hyperlink r:id="rId135" w:history="1">
        <w:r>
          <w:rPr>
            <w:rStyle w:val="Hyperlink"/>
          </w:rPr>
          <w:t>Copyright Act 1994 (New Zealand), Part 10.</w:t>
        </w:r>
      </w:hyperlink>
    </w:p>
  </w:endnote>
  <w:endnote w:id="196">
    <w:p w14:paraId="2A6D2C7D" w14:textId="77777777" w:rsidR="004E343D" w:rsidRDefault="004E343D" w:rsidP="007E7021">
      <w:pPr>
        <w:pStyle w:val="EndnoteText"/>
      </w:pPr>
      <w:r>
        <w:rPr>
          <w:rStyle w:val="EndnoteReference"/>
        </w:rPr>
        <w:endnoteRef/>
      </w:r>
      <w:r>
        <w:t xml:space="preserve"> Ministry of Law, Singapore (2017), </w:t>
      </w:r>
      <w:hyperlink r:id="rId136" w:history="1">
        <w:r>
          <w:rPr>
            <w:rStyle w:val="Hyperlink"/>
          </w:rPr>
          <w:t>Public Consultation on the Copyright Collective Rights Management Ecosystem in Singapore</w:t>
        </w:r>
      </w:hyperlink>
      <w:r>
        <w:t xml:space="preserve">, 16 May 2017.  </w:t>
      </w:r>
    </w:p>
  </w:endnote>
  <w:endnote w:id="197">
    <w:p w14:paraId="597DFCC7" w14:textId="77777777" w:rsidR="004E343D" w:rsidRDefault="004E343D" w:rsidP="007E7021">
      <w:pPr>
        <w:pStyle w:val="EndnoteText"/>
      </w:pPr>
      <w:r>
        <w:rPr>
          <w:rStyle w:val="EndnoteReference"/>
        </w:rPr>
        <w:endnoteRef/>
      </w:r>
      <w:r>
        <w:t xml:space="preserve"> This is not something that has been relevant.  Where PPCA has the rights and potential licensee agrees to the standard (or mutually agreed varied) terms, a licence is always issued on request.</w:t>
      </w:r>
    </w:p>
  </w:endnote>
  <w:endnote w:id="198">
    <w:p w14:paraId="1E6C8FD9" w14:textId="77777777" w:rsidR="004E343D" w:rsidRDefault="004E343D" w:rsidP="007E7021">
      <w:pPr>
        <w:pStyle w:val="EndnoteText"/>
      </w:pPr>
      <w:r>
        <w:rPr>
          <w:rStyle w:val="EndnoteReference"/>
        </w:rPr>
        <w:endnoteRef/>
      </w:r>
      <w:r>
        <w:t xml:space="preserve"> A</w:t>
      </w:r>
      <w:r w:rsidRPr="00B81E48">
        <w:t>PRA never refuses to grant a licence (provided it has the rights to license)</w:t>
      </w:r>
    </w:p>
  </w:endnote>
  <w:endnote w:id="199">
    <w:p w14:paraId="6C6B72EF" w14:textId="77777777" w:rsidR="004E343D" w:rsidRDefault="004E343D" w:rsidP="007E7021">
      <w:pPr>
        <w:pStyle w:val="EndnoteText"/>
      </w:pPr>
      <w:r>
        <w:rPr>
          <w:rStyle w:val="EndnoteReference"/>
        </w:rPr>
        <w:endnoteRef/>
      </w:r>
      <w:r>
        <w:t xml:space="preserve"> Not relevant to statutory licences. For voluntary licensing, there are limited scenarios where Copyright Agency is unable to license because it does not have the mandate from members. </w:t>
      </w:r>
    </w:p>
  </w:endnote>
  <w:endnote w:id="200">
    <w:p w14:paraId="1F522266" w14:textId="77777777" w:rsidR="004E343D" w:rsidRDefault="004E343D" w:rsidP="007E7021">
      <w:pPr>
        <w:pStyle w:val="EndnoteText"/>
      </w:pPr>
      <w:r>
        <w:rPr>
          <w:rStyle w:val="EndnoteReference"/>
        </w:rPr>
        <w:endnoteRef/>
      </w:r>
      <w:r>
        <w:t xml:space="preserve"> Notes 7 and 18 of Notes to the Consolidated Financial Statements, </w:t>
      </w:r>
      <w:hyperlink r:id="rId137" w:history="1">
        <w:r w:rsidRPr="00284641">
          <w:rPr>
            <w:rStyle w:val="Hyperlink"/>
          </w:rPr>
          <w:t>https://www.screenrights.org/sites/default/files/publication/file/AVCS_4505_SCAR_4.10.17_FIN.pdf</w:t>
        </w:r>
      </w:hyperlink>
      <w:r>
        <w:t xml:space="preserve"> </w:t>
      </w:r>
    </w:p>
  </w:endnote>
  <w:endnote w:id="201">
    <w:p w14:paraId="791CBD69" w14:textId="77777777" w:rsidR="004E343D" w:rsidRPr="008037B3" w:rsidRDefault="004E343D" w:rsidP="007E7021">
      <w:pPr>
        <w:spacing w:after="0"/>
        <w:rPr>
          <w:sz w:val="20"/>
          <w:szCs w:val="20"/>
        </w:rPr>
      </w:pPr>
      <w:r>
        <w:rPr>
          <w:rStyle w:val="EndnoteReference"/>
        </w:rPr>
        <w:endnoteRef/>
      </w:r>
      <w:r>
        <w:t xml:space="preserve"> </w:t>
      </w:r>
      <w:r>
        <w:rPr>
          <w:sz w:val="20"/>
          <w:szCs w:val="20"/>
        </w:rPr>
        <w:t xml:space="preserve">Board directors’ payments are in the auditor’s report (page 10); Information about staff payments is at page 40 </w:t>
      </w:r>
      <w:hyperlink r:id="rId138" w:history="1">
        <w:r w:rsidRPr="00284641">
          <w:rPr>
            <w:rStyle w:val="Hyperlink"/>
            <w:sz w:val="20"/>
            <w:szCs w:val="20"/>
          </w:rPr>
          <w:t>https://static-copyright-com-au.s3.amazonaws.com/uploads/2017/01/Annual-Report-2016.pdf</w:t>
        </w:r>
      </w:hyperlink>
      <w:r>
        <w:rPr>
          <w:sz w:val="20"/>
          <w:szCs w:val="20"/>
        </w:rPr>
        <w:t xml:space="preserve">. </w:t>
      </w:r>
    </w:p>
  </w:endnote>
  <w:endnote w:id="202">
    <w:p w14:paraId="0835F3FB" w14:textId="77777777" w:rsidR="004E343D" w:rsidRDefault="004E343D" w:rsidP="007E7021">
      <w:pPr>
        <w:pStyle w:val="EndnoteText"/>
      </w:pPr>
      <w:r>
        <w:rPr>
          <w:rStyle w:val="EndnoteReference"/>
        </w:rPr>
        <w:endnoteRef/>
      </w:r>
      <w:r>
        <w:t xml:space="preserve"> Executive salaries shown in range</w:t>
      </w:r>
    </w:p>
  </w:endnote>
  <w:endnote w:id="203">
    <w:p w14:paraId="699CF2B9" w14:textId="77777777" w:rsidR="004E343D" w:rsidRPr="00AE0AAB" w:rsidRDefault="004E343D" w:rsidP="007E7021">
      <w:pPr>
        <w:spacing w:after="0"/>
        <w:rPr>
          <w:sz w:val="20"/>
          <w:szCs w:val="20"/>
        </w:rPr>
      </w:pPr>
      <w:r>
        <w:rPr>
          <w:rStyle w:val="EndnoteReference"/>
        </w:rPr>
        <w:endnoteRef/>
      </w:r>
      <w:r>
        <w:t xml:space="preserve"> </w:t>
      </w:r>
      <w:r>
        <w:rPr>
          <w:sz w:val="20"/>
          <w:szCs w:val="20"/>
        </w:rPr>
        <w:t>The amount of interest is shown on page 8 (and on p 20 for Viscopy)</w:t>
      </w:r>
      <w:r>
        <w:t xml:space="preserve">: </w:t>
      </w:r>
      <w:hyperlink r:id="rId139" w:history="1">
        <w:r w:rsidRPr="00284641">
          <w:rPr>
            <w:rStyle w:val="Hyperlink"/>
            <w:sz w:val="20"/>
            <w:szCs w:val="20"/>
          </w:rPr>
          <w:t>https://static-copyright-com-au.s3.amazonaws.com/uploads/2017/01/Annual-Report-2016.pdf</w:t>
        </w:r>
      </w:hyperlink>
      <w:r>
        <w:rPr>
          <w:sz w:val="20"/>
          <w:szCs w:val="20"/>
        </w:rPr>
        <w:t xml:space="preserve"> Interest is currently applied as an offset against the deduction operating costs. That’s in the distribution policy rather than the annual report: </w:t>
      </w:r>
      <w:hyperlink r:id="rId140" w:history="1">
        <w:r w:rsidRPr="00AE0AAB">
          <w:rPr>
            <w:rStyle w:val="Hyperlink"/>
            <w:sz w:val="20"/>
            <w:szCs w:val="20"/>
          </w:rPr>
          <w:t>Distribution policy</w:t>
        </w:r>
      </w:hyperlink>
    </w:p>
  </w:endnote>
  <w:endnote w:id="204">
    <w:p w14:paraId="3A3D01EB" w14:textId="77777777" w:rsidR="004E343D" w:rsidRDefault="004E343D" w:rsidP="007E7021">
      <w:pPr>
        <w:pStyle w:val="EndnoteText"/>
      </w:pPr>
      <w:r>
        <w:rPr>
          <w:rStyle w:val="EndnoteReference"/>
        </w:rPr>
        <w:endnoteRef/>
      </w:r>
      <w:r>
        <w:t xml:space="preserve"> </w:t>
      </w:r>
      <w:r w:rsidRPr="004A7F92">
        <w:t>Consolidated costs are shown in Annual Report.  Costs per category are shown in members distribution statements</w:t>
      </w:r>
    </w:p>
  </w:endnote>
  <w:endnote w:id="205">
    <w:p w14:paraId="66B5D5FB" w14:textId="77777777" w:rsidR="004E343D" w:rsidRDefault="004E343D" w:rsidP="007E7021">
      <w:pPr>
        <w:pStyle w:val="EndnoteText"/>
      </w:pPr>
      <w:r>
        <w:rPr>
          <w:rStyle w:val="EndnoteReference"/>
        </w:rPr>
        <w:endnoteRef/>
      </w:r>
      <w:r>
        <w:t xml:space="preserve"> Copyright Agency publishes the deduction for each distribution, and advises that the deduction includes the 1.5% for the Cultural Fund: p29 </w:t>
      </w:r>
      <w:hyperlink r:id="rId141" w:history="1">
        <w:r w:rsidRPr="00284641">
          <w:rPr>
            <w:rStyle w:val="Hyperlink"/>
          </w:rPr>
          <w:t>https://static-copyright-com-au.s3.amazonaws.com/uploads/2017/01/Annual-Report-2016.pdf</w:t>
        </w:r>
      </w:hyperlink>
      <w:r>
        <w:t xml:space="preserve"> </w:t>
      </w:r>
    </w:p>
  </w:endnote>
  <w:endnote w:id="206">
    <w:p w14:paraId="4A6814F4" w14:textId="77777777" w:rsidR="004E343D" w:rsidRDefault="004E343D" w:rsidP="007E7021">
      <w:pPr>
        <w:pStyle w:val="EndnoteText"/>
      </w:pPr>
      <w:r>
        <w:rPr>
          <w:rStyle w:val="EndnoteReference"/>
        </w:rPr>
        <w:endnoteRef/>
      </w:r>
      <w:r>
        <w:t xml:space="preserve"> </w:t>
      </w:r>
      <w:r w:rsidRPr="004A7F92">
        <w:t>IBNR deduction is shown in total, not by category</w:t>
      </w:r>
    </w:p>
  </w:endnote>
  <w:endnote w:id="207">
    <w:p w14:paraId="5D9C1259" w14:textId="77777777" w:rsidR="004E343D" w:rsidRDefault="004E343D" w:rsidP="007E7021">
      <w:pPr>
        <w:pStyle w:val="EndnoteText"/>
      </w:pPr>
      <w:r>
        <w:rPr>
          <w:rStyle w:val="EndnoteReference"/>
        </w:rPr>
        <w:endnoteRef/>
      </w:r>
      <w:r>
        <w:t xml:space="preserve"> </w:t>
      </w:r>
      <w:hyperlink r:id="rId142" w:history="1">
        <w:r w:rsidRPr="0002213E">
          <w:rPr>
            <w:rStyle w:val="Hyperlink"/>
          </w:rPr>
          <w:t>http://www.ppca.com.au/IgnitionSuite/uploads/docs/2016%20PPCA%20ANNUAL%20REPORT.pdf</w:t>
        </w:r>
      </w:hyperlink>
      <w:r>
        <w:t xml:space="preserve"> Note that PPCA does not provide the actual %, but the two figures it is derived from are provided</w:t>
      </w:r>
    </w:p>
  </w:endnote>
  <w:endnote w:id="208">
    <w:p w14:paraId="7E07DBD8" w14:textId="77777777" w:rsidR="004E343D" w:rsidRDefault="004E343D" w:rsidP="007E7021">
      <w:pPr>
        <w:pStyle w:val="EndnoteText"/>
      </w:pPr>
      <w:r>
        <w:rPr>
          <w:rStyle w:val="EndnoteReference"/>
        </w:rPr>
        <w:endnoteRef/>
      </w:r>
      <w:r>
        <w:t xml:space="preserve"> All amounts are allocated during the annual distribution process.  The only variant is where there is a dual claim for a track, but the relevant amount is still allocated to the track and the interests of the competing claimants noted.  The funds are disbursed as soon as the competing claim is resolved.</w:t>
      </w:r>
    </w:p>
  </w:endnote>
  <w:endnote w:id="209">
    <w:p w14:paraId="5C3633D1" w14:textId="77777777" w:rsidR="004E343D" w:rsidRDefault="004E343D" w:rsidP="007E7021">
      <w:pPr>
        <w:pStyle w:val="EndnoteText"/>
      </w:pPr>
      <w:r>
        <w:rPr>
          <w:rStyle w:val="EndnoteReference"/>
        </w:rPr>
        <w:endnoteRef/>
      </w:r>
      <w:r>
        <w:t xml:space="preserve"> </w:t>
      </w:r>
      <w:hyperlink r:id="rId143" w:history="1">
        <w:r w:rsidRPr="00284641">
          <w:rPr>
            <w:rStyle w:val="Hyperlink"/>
          </w:rPr>
          <w:t>http://apraamcos.com.au/media/YIR/2017/APRA_Statutory-Accounts_2017_AU.pdf</w:t>
        </w:r>
      </w:hyperlink>
      <w:r>
        <w:t xml:space="preserve"> </w:t>
      </w:r>
    </w:p>
  </w:endnote>
  <w:endnote w:id="210">
    <w:p w14:paraId="27CB08F2" w14:textId="77777777" w:rsidR="004E343D" w:rsidRDefault="004E343D" w:rsidP="007E7021">
      <w:pPr>
        <w:pStyle w:val="EndnoteText"/>
      </w:pPr>
      <w:r>
        <w:rPr>
          <w:rStyle w:val="EndnoteReference"/>
        </w:rPr>
        <w:endnoteRef/>
      </w:r>
      <w:r>
        <w:t xml:space="preserve"> </w:t>
      </w:r>
      <w:r w:rsidRPr="004A7F92">
        <w:t>All collections are attributed to rightsholders (less expenses)</w:t>
      </w:r>
    </w:p>
  </w:endnote>
  <w:endnote w:id="211">
    <w:p w14:paraId="756DF502" w14:textId="77777777" w:rsidR="004E343D" w:rsidRDefault="004E343D" w:rsidP="007E7021">
      <w:pPr>
        <w:pStyle w:val="EndnoteText"/>
      </w:pPr>
      <w:r>
        <w:rPr>
          <w:rStyle w:val="EndnoteReference"/>
        </w:rPr>
        <w:endnoteRef/>
      </w:r>
      <w:r>
        <w:t xml:space="preserve"> Note 14 of Notes to the Consolidated Financial Statements, </w:t>
      </w:r>
      <w:hyperlink r:id="rId144" w:history="1">
        <w:r>
          <w:rPr>
            <w:rStyle w:val="Hyperlink"/>
          </w:rPr>
          <w:t>https://www.screenrights.org/sites/default/files/publication/file/AVCS_4505_SCAR_4.10.17_FIN.pdf</w:t>
        </w:r>
      </w:hyperlink>
      <w:r>
        <w:t xml:space="preserve"> </w:t>
      </w:r>
    </w:p>
  </w:endnote>
  <w:endnote w:id="212">
    <w:p w14:paraId="369A87A3" w14:textId="77777777" w:rsidR="004E343D" w:rsidRDefault="004E343D" w:rsidP="007E7021">
      <w:pPr>
        <w:pStyle w:val="EndnoteText"/>
      </w:pPr>
      <w:r>
        <w:rPr>
          <w:rStyle w:val="EndnoteReference"/>
        </w:rPr>
        <w:endnoteRef/>
      </w:r>
      <w:r>
        <w:t xml:space="preserve"> </w:t>
      </w:r>
      <w:hyperlink r:id="rId145" w:history="1">
        <w:r w:rsidRPr="00284641">
          <w:rPr>
            <w:rStyle w:val="Hyperlink"/>
          </w:rPr>
          <w:t>http://apraamcos.com.au/media/Distribution-Rules-and-Practices/APRADistributionPractices.pdf</w:t>
        </w:r>
      </w:hyperlink>
      <w:r>
        <w:t xml:space="preserve"> </w:t>
      </w:r>
    </w:p>
  </w:endnote>
  <w:endnote w:id="213">
    <w:p w14:paraId="5D065B5F" w14:textId="77777777" w:rsidR="004E343D" w:rsidRDefault="004E343D" w:rsidP="007E7021">
      <w:pPr>
        <w:pStyle w:val="EndnoteText"/>
      </w:pPr>
      <w:r>
        <w:rPr>
          <w:rStyle w:val="EndnoteReference"/>
        </w:rPr>
        <w:endnoteRef/>
      </w:r>
      <w:r>
        <w:t xml:space="preserve"> </w:t>
      </w:r>
      <w:r w:rsidRPr="004A7F92">
        <w:t>shown in total but not broken down by rights category</w:t>
      </w:r>
    </w:p>
  </w:endnote>
  <w:endnote w:id="214">
    <w:p w14:paraId="1F919F4C" w14:textId="2099ECFD" w:rsidR="004E343D" w:rsidRDefault="004E343D" w:rsidP="007E7021">
      <w:pPr>
        <w:pStyle w:val="EndnoteText"/>
      </w:pPr>
      <w:r>
        <w:rPr>
          <w:rStyle w:val="EndnoteReference"/>
        </w:rPr>
        <w:endnoteRef/>
      </w:r>
      <w:r>
        <w:t xml:space="preserve"> For the financial year ending June 2016 (consistent with other years) amounts received represented a mere 0.04% of total revenue.  In regard to payments to, PPCA treats CMOs like any other licensor providing a grant of rights for repertoire.</w:t>
      </w:r>
    </w:p>
  </w:endnote>
  <w:endnote w:id="215">
    <w:p w14:paraId="74F018C5" w14:textId="77777777" w:rsidR="004E343D" w:rsidRDefault="004E343D" w:rsidP="007E7021">
      <w:pPr>
        <w:pStyle w:val="EndnoteText"/>
      </w:pPr>
      <w:r>
        <w:rPr>
          <w:rStyle w:val="EndnoteReference"/>
        </w:rPr>
        <w:endnoteRef/>
      </w:r>
      <w:r>
        <w:t xml:space="preserve"> </w:t>
      </w:r>
      <w:hyperlink r:id="rId146" w:history="1">
        <w:r w:rsidRPr="00284641">
          <w:rPr>
            <w:rStyle w:val="Hyperlink"/>
          </w:rPr>
          <w:t>http://apraamcos.com.au/media/YIR/2017/APRA_Statutory-Accounts_2017_AU.pdf</w:t>
        </w:r>
      </w:hyperlink>
      <w:r>
        <w:t xml:space="preserve"> </w:t>
      </w:r>
    </w:p>
  </w:endnote>
  <w:endnote w:id="216">
    <w:p w14:paraId="43702212" w14:textId="3C258039" w:rsidR="004E343D" w:rsidRDefault="004E343D" w:rsidP="007E7021">
      <w:pPr>
        <w:pStyle w:val="EndnoteText"/>
      </w:pPr>
      <w:r>
        <w:rPr>
          <w:rStyle w:val="EndnoteReference"/>
        </w:rPr>
        <w:endnoteRef/>
      </w:r>
      <w:r>
        <w:t xml:space="preserve"> Copyright Agency advises that it does not receive money from non-foreign CMOs, except from Screenrights for Viscopy; Viscopy’s annual report bundles the payments it receives from Copyright Agency and from Screenrights, however it is close to merging with Copyright Agency. The only non-foreign CMOs that Copyright Agency makes payments to are Viscopy (with whom they are about to merge) and APRA AMCOS, these payments are not currently reported. </w:t>
      </w:r>
    </w:p>
  </w:endnote>
  <w:endnote w:id="217">
    <w:p w14:paraId="573B1998" w14:textId="34F77B94" w:rsidR="004E343D" w:rsidRDefault="004E343D" w:rsidP="007E7021">
      <w:pPr>
        <w:pStyle w:val="EndnoteText"/>
      </w:pPr>
      <w:r>
        <w:rPr>
          <w:rStyle w:val="EndnoteReference"/>
        </w:rPr>
        <w:endnoteRef/>
      </w:r>
      <w:r>
        <w:t xml:space="preserve"> </w:t>
      </w:r>
      <w:r w:rsidRPr="004A7F92">
        <w:t>show</w:t>
      </w:r>
      <w:r>
        <w:t>s</w:t>
      </w:r>
      <w:r w:rsidRPr="004A7F92">
        <w:t xml:space="preserve"> royalties received from International CMOs (figure 11 “ICS”).  Payments to other CMO’s not shown</w:t>
      </w:r>
    </w:p>
  </w:endnote>
  <w:endnote w:id="218">
    <w:p w14:paraId="40D1C1E0" w14:textId="77777777" w:rsidR="004E343D" w:rsidRDefault="004E343D" w:rsidP="007E7021">
      <w:pPr>
        <w:pStyle w:val="EndnoteText"/>
      </w:pPr>
      <w:r>
        <w:rPr>
          <w:rStyle w:val="EndnoteReference"/>
        </w:rPr>
        <w:endnoteRef/>
      </w:r>
      <w:r>
        <w:t xml:space="preserve"> </w:t>
      </w:r>
      <w:hyperlink r:id="rId147" w:history="1">
        <w:r w:rsidRPr="00284641">
          <w:rPr>
            <w:rStyle w:val="Hyperlink"/>
          </w:rPr>
          <w:t>http://apraamcos.com.au/media/YIR/2017/APRA_Statutory-Accounts_2017_AU.pdf</w:t>
        </w:r>
      </w:hyperlink>
      <w:r>
        <w:t xml:space="preserve"> </w:t>
      </w:r>
    </w:p>
  </w:endnote>
  <w:endnote w:id="219">
    <w:p w14:paraId="1D57DF49" w14:textId="77777777" w:rsidR="004E343D" w:rsidRDefault="004E343D" w:rsidP="007E7021">
      <w:pPr>
        <w:pStyle w:val="EndnoteText"/>
      </w:pPr>
      <w:r>
        <w:rPr>
          <w:rStyle w:val="EndnoteReference"/>
        </w:rPr>
        <w:endnoteRef/>
      </w:r>
      <w:r>
        <w:t xml:space="preserve"> Copyright Agency applies the same deductions to amounts from, and due to, other CMOs: i.e. it don’t have special deductions for them</w:t>
      </w:r>
    </w:p>
  </w:endnote>
  <w:endnote w:id="220">
    <w:p w14:paraId="417C60B6" w14:textId="77777777" w:rsidR="004E343D" w:rsidRDefault="004E343D" w:rsidP="007E7021">
      <w:pPr>
        <w:pStyle w:val="EndnoteText"/>
      </w:pPr>
      <w:r>
        <w:rPr>
          <w:rStyle w:val="EndnoteReference"/>
        </w:rPr>
        <w:endnoteRef/>
      </w:r>
      <w:r>
        <w:t xml:space="preserve"> </w:t>
      </w:r>
      <w:r w:rsidRPr="004A7F92">
        <w:t>Consolidated shown not by category or organisation</w:t>
      </w:r>
    </w:p>
  </w:endnote>
  <w:endnote w:id="221">
    <w:p w14:paraId="5D7A7874" w14:textId="77777777" w:rsidR="004E343D" w:rsidRDefault="004E343D" w:rsidP="007E7021">
      <w:pPr>
        <w:pStyle w:val="EndnoteText"/>
      </w:pPr>
      <w:r>
        <w:rPr>
          <w:rStyle w:val="EndnoteReference"/>
        </w:rPr>
        <w:endnoteRef/>
      </w:r>
      <w:r>
        <w:t xml:space="preserve"> </w:t>
      </w:r>
      <w:hyperlink r:id="rId148" w:history="1">
        <w:r w:rsidRPr="00284641">
          <w:rPr>
            <w:rStyle w:val="Hyperlink"/>
          </w:rPr>
          <w:t>http://apraamcos.com.au/media/YIR/2017/APRA_AMCOS_Year_in_Review_2017_AU.pdf</w:t>
        </w:r>
      </w:hyperlink>
      <w:r>
        <w:t xml:space="preserve"> </w:t>
      </w:r>
    </w:p>
  </w:endnote>
  <w:endnote w:id="222">
    <w:p w14:paraId="08D8DB09" w14:textId="77777777" w:rsidR="004E343D" w:rsidRDefault="004E343D" w:rsidP="007E7021">
      <w:pPr>
        <w:pStyle w:val="EndnoteText"/>
      </w:pPr>
      <w:r>
        <w:rPr>
          <w:rStyle w:val="EndnoteReference"/>
        </w:rPr>
        <w:endnoteRef/>
      </w:r>
      <w:r>
        <w:t xml:space="preserve"> </w:t>
      </w:r>
      <w:r w:rsidRPr="004A7F92">
        <w:t>Consolidated shown not by category or organisation</w:t>
      </w:r>
    </w:p>
  </w:endnote>
  <w:endnote w:id="223">
    <w:p w14:paraId="6203025F" w14:textId="77777777" w:rsidR="004E343D" w:rsidRDefault="004E343D" w:rsidP="007E7021">
      <w:pPr>
        <w:pStyle w:val="EndnoteText"/>
      </w:pPr>
      <w:r>
        <w:rPr>
          <w:rStyle w:val="EndnoteReference"/>
        </w:rPr>
        <w:endnoteRef/>
      </w:r>
      <w:r>
        <w:t xml:space="preserve"> These are not treated as an expense deduction, but are part of the annual distribution and are dealt with in the distribution policy.</w:t>
      </w:r>
    </w:p>
  </w:endnote>
  <w:endnote w:id="224">
    <w:p w14:paraId="26E8DD64" w14:textId="77777777" w:rsidR="004E343D" w:rsidRDefault="004E343D" w:rsidP="007E7021">
      <w:pPr>
        <w:pStyle w:val="EndnoteText"/>
      </w:pPr>
      <w:r>
        <w:rPr>
          <w:rStyle w:val="EndnoteReference"/>
        </w:rPr>
        <w:endnoteRef/>
      </w:r>
      <w:r>
        <w:t xml:space="preserve"> </w:t>
      </w:r>
      <w:hyperlink r:id="rId149" w:history="1">
        <w:r w:rsidRPr="00284641">
          <w:rPr>
            <w:rStyle w:val="Hyperlink"/>
          </w:rPr>
          <w:t>http://apraamcos.com.au/media/corporate/2016/apra_sustainability_report_2016.pdf</w:t>
        </w:r>
      </w:hyperlink>
      <w:r>
        <w:t xml:space="preserve"> </w:t>
      </w:r>
    </w:p>
  </w:endnote>
  <w:endnote w:id="225">
    <w:p w14:paraId="78272544" w14:textId="77777777" w:rsidR="004E343D" w:rsidRDefault="004E343D" w:rsidP="007E7021">
      <w:pPr>
        <w:pStyle w:val="EndnoteText"/>
      </w:pPr>
      <w:r>
        <w:rPr>
          <w:rStyle w:val="EndnoteReference"/>
        </w:rPr>
        <w:endnoteRef/>
      </w:r>
      <w:r>
        <w:t xml:space="preserve"> </w:t>
      </w:r>
      <w:r w:rsidRPr="009D7D99">
        <w:t>Will become relevant for FY 2018 accounts due to introduction of Cultural Fund</w:t>
      </w:r>
    </w:p>
  </w:endnote>
  <w:endnote w:id="226">
    <w:p w14:paraId="06CFFDD6" w14:textId="77777777" w:rsidR="004E343D" w:rsidRDefault="004E343D" w:rsidP="007E7021">
      <w:pPr>
        <w:pStyle w:val="EndnoteText"/>
      </w:pPr>
      <w:r>
        <w:rPr>
          <w:rStyle w:val="EndnoteReference"/>
        </w:rPr>
        <w:endnoteRef/>
      </w:r>
      <w:r>
        <w:t xml:space="preserve"> </w:t>
      </w:r>
      <w:hyperlink r:id="rId150" w:history="1">
        <w:r>
          <w:rPr>
            <w:rStyle w:val="Hyperlink"/>
          </w:rPr>
          <w:t>http://www.ppca.com.au/IgnitionSuite/uploads/docs/2016%20PPCA%20ANNUAL%20REPORT.pdf</w:t>
        </w:r>
      </w:hyperlink>
    </w:p>
  </w:endnote>
  <w:endnote w:id="227">
    <w:p w14:paraId="076F3381" w14:textId="77777777" w:rsidR="004E343D" w:rsidRDefault="004E343D" w:rsidP="007E7021">
      <w:pPr>
        <w:pStyle w:val="EndnoteText"/>
      </w:pPr>
      <w:r>
        <w:rPr>
          <w:rStyle w:val="EndnoteReference"/>
        </w:rPr>
        <w:endnoteRef/>
      </w:r>
      <w:r>
        <w:t xml:space="preserve"> Copyright Agency provides a detailed list of allocations from the Cultural Fund, but it doesn’t currently report separately on the management costs for the fund.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 w:name="Gafata">
    <w:altName w:val="Malgun Gothic"/>
    <w:charset w:val="00"/>
    <w:family w:val="auto"/>
    <w:pitch w:val="variable"/>
    <w:sig w:usb0="8000002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9D687" w14:textId="77777777" w:rsidR="004E343D" w:rsidRDefault="004E343D" w:rsidP="00FA1359">
    <w:pPr>
      <w:pStyle w:val="Footer"/>
      <w:tabs>
        <w:tab w:val="clear" w:pos="9072"/>
        <w:tab w:val="right" w:pos="9026"/>
      </w:tabs>
      <w:ind w:left="-1418"/>
    </w:pPr>
    <w:r>
      <w:rPr>
        <w:noProof/>
        <w:lang w:eastAsia="en-AU" w:bidi="ar-SA"/>
      </w:rPr>
      <w:drawing>
        <wp:inline distT="0" distB="0" distL="0" distR="0" wp14:anchorId="4C79D68B" wp14:editId="4C79D68C">
          <wp:extent cx="7554976" cy="762000"/>
          <wp:effectExtent l="0" t="0" r="8255" b="0"/>
          <wp:docPr id="24" name="Picture 24"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9854" cy="769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9D68A" w14:textId="77777777" w:rsidR="004E343D" w:rsidRPr="00A46DB1" w:rsidRDefault="004E343D" w:rsidP="00DE69D2">
    <w:pPr>
      <w:pStyle w:val="Footer"/>
      <w:rPr>
        <w:rFonts w:ascii="Roboto" w:hAnsi="Roboto"/>
        <w:sz w:val="16"/>
        <w:szCs w:val="16"/>
      </w:rPr>
    </w:pPr>
    <w:r w:rsidRPr="00A46DB1">
      <w:rPr>
        <w:rFonts w:ascii="Roboto" w:hAnsi="Roboto"/>
        <w:sz w:val="16"/>
        <w:szCs w:val="16"/>
      </w:rPr>
      <w:t xml:space="preserve">Bureau of Communications and Arts Research, Department of Communications and the Arts </w:t>
    </w:r>
    <w:sdt>
      <w:sdtPr>
        <w:rPr>
          <w:rFonts w:ascii="Roboto" w:hAnsi="Roboto"/>
          <w:sz w:val="16"/>
          <w:szCs w:val="16"/>
        </w:rPr>
        <w:id w:val="1681088629"/>
        <w:docPartObj>
          <w:docPartGallery w:val="Page Numbers (Bottom of Page)"/>
          <w:docPartUnique/>
        </w:docPartObj>
      </w:sdtPr>
      <w:sdtEndPr>
        <w:rPr>
          <w:noProof/>
        </w:rPr>
      </w:sdtEndPr>
      <w:sdtContent>
        <w:r w:rsidRPr="00A46DB1">
          <w:rPr>
            <w:rFonts w:ascii="Roboto" w:hAnsi="Roboto"/>
            <w:sz w:val="16"/>
            <w:szCs w:val="16"/>
          </w:rPr>
          <w:tab/>
        </w:r>
        <w:r w:rsidRPr="00A46DB1">
          <w:rPr>
            <w:rFonts w:ascii="Roboto" w:hAnsi="Roboto"/>
            <w:sz w:val="16"/>
            <w:szCs w:val="16"/>
          </w:rPr>
          <w:fldChar w:fldCharType="begin"/>
        </w:r>
        <w:r w:rsidRPr="00A46DB1">
          <w:rPr>
            <w:rFonts w:ascii="Roboto" w:hAnsi="Roboto"/>
            <w:sz w:val="16"/>
            <w:szCs w:val="16"/>
          </w:rPr>
          <w:instrText xml:space="preserve"> PAGE   \* MERGEFORMAT </w:instrText>
        </w:r>
        <w:r w:rsidRPr="00A46DB1">
          <w:rPr>
            <w:rFonts w:ascii="Roboto" w:hAnsi="Roboto"/>
            <w:sz w:val="16"/>
            <w:szCs w:val="16"/>
          </w:rPr>
          <w:fldChar w:fldCharType="separate"/>
        </w:r>
        <w:r w:rsidR="001540BA">
          <w:rPr>
            <w:rFonts w:ascii="Roboto" w:hAnsi="Roboto"/>
            <w:noProof/>
            <w:sz w:val="16"/>
            <w:szCs w:val="16"/>
          </w:rPr>
          <w:t>53</w:t>
        </w:r>
        <w:r w:rsidRPr="00A46DB1">
          <w:rPr>
            <w:rFonts w:ascii="Roboto" w:hAnsi="Roboto"/>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5BDAF" w14:textId="77777777" w:rsidR="004E343D" w:rsidRDefault="004E343D" w:rsidP="00FA1359">
      <w:pPr>
        <w:spacing w:after="0"/>
      </w:pPr>
      <w:r>
        <w:separator/>
      </w:r>
    </w:p>
  </w:footnote>
  <w:footnote w:type="continuationSeparator" w:id="0">
    <w:p w14:paraId="4E2F7361" w14:textId="77777777" w:rsidR="004E343D" w:rsidRDefault="004E343D" w:rsidP="00FA1359">
      <w:pPr>
        <w:spacing w:after="0"/>
      </w:pPr>
      <w:r>
        <w:continuationSeparator/>
      </w:r>
    </w:p>
  </w:footnote>
  <w:footnote w:type="continuationNotice" w:id="1">
    <w:p w14:paraId="3AF468EC" w14:textId="77777777" w:rsidR="004E343D" w:rsidRDefault="004E343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9D688" w14:textId="77777777" w:rsidR="004E343D" w:rsidRDefault="004E343D" w:rsidP="00DE69D2">
    <w:pPr>
      <w:pStyle w:val="Header"/>
      <w:tabs>
        <w:tab w:val="right" w:pos="8789"/>
      </w:tabs>
      <w:ind w:left="-1418" w:right="-1440"/>
    </w:pPr>
    <w:r>
      <w:rPr>
        <w:noProof/>
        <w:lang w:eastAsia="en-AU" w:bidi="ar-SA"/>
      </w:rPr>
      <w:drawing>
        <wp:inline distT="0" distB="0" distL="0" distR="0" wp14:anchorId="4C79D68D" wp14:editId="4C79D68E">
          <wp:extent cx="7534275" cy="255427"/>
          <wp:effectExtent l="0" t="0" r="0" b="0"/>
          <wp:docPr id="5" name="Picture 5" descr="Decoration" title="Dec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r-page2-onwards-header-b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10646" cy="271577"/>
                  </a:xfrm>
                  <a:prstGeom prst="rect">
                    <a:avLst/>
                  </a:prstGeom>
                </pic:spPr>
              </pic:pic>
            </a:graphicData>
          </a:graphic>
        </wp:inline>
      </w:drawing>
    </w:r>
  </w:p>
  <w:p w14:paraId="4C79D689" w14:textId="2110AD9F" w:rsidR="004E343D" w:rsidRPr="00A96536" w:rsidRDefault="004E343D" w:rsidP="00DE69D2">
    <w:pPr>
      <w:pStyle w:val="Header"/>
      <w:tabs>
        <w:tab w:val="clear" w:pos="4536"/>
        <w:tab w:val="right" w:pos="9333"/>
      </w:tabs>
    </w:pPr>
    <w:r w:rsidRPr="004B4BEB">
      <w:t>Review of Code of Conduct for Australian Copyright Collecting Societies</w:t>
    </w:r>
    <w:r w:rsidRPr="00A96536">
      <w:tab/>
    </w:r>
    <w:r>
      <w:t>February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66A98B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AC2F0C"/>
    <w:multiLevelType w:val="hybridMultilevel"/>
    <w:tmpl w:val="D74AE65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72516D"/>
    <w:multiLevelType w:val="hybridMultilevel"/>
    <w:tmpl w:val="F68850E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3793C63"/>
    <w:multiLevelType w:val="hybridMultilevel"/>
    <w:tmpl w:val="2D1E5650"/>
    <w:lvl w:ilvl="0" w:tplc="8D08E6A6">
      <w:start w:val="1"/>
      <w:numFmt w:val="bullet"/>
      <w:pStyle w:val="Bullet1"/>
      <w:lvlText w:val=""/>
      <w:lvlJc w:val="left"/>
      <w:pPr>
        <w:ind w:left="360" w:hanging="360"/>
      </w:pPr>
      <w:rPr>
        <w:rFonts w:ascii="Symbol" w:hAnsi="Symbol" w:cs="Calibri" w:hint="default"/>
        <w:bCs w:val="0"/>
        <w:iCs w:val="0"/>
        <w:caps w:val="0"/>
        <w:strike w:val="0"/>
        <w:dstrike w:val="0"/>
        <w:vanish w:val="0"/>
        <w:color w:val="auto"/>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2F2D20"/>
    <w:multiLevelType w:val="hybridMultilevel"/>
    <w:tmpl w:val="1AC69F2C"/>
    <w:lvl w:ilvl="0" w:tplc="8DEAB1F2">
      <w:start w:val="1"/>
      <w:numFmt w:val="bullet"/>
      <w:pStyle w:val="Bulletpoint"/>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240F41"/>
    <w:multiLevelType w:val="hybridMultilevel"/>
    <w:tmpl w:val="E8FEF78A"/>
    <w:lvl w:ilvl="0" w:tplc="28D4DAF2">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AB46FB6"/>
    <w:multiLevelType w:val="hybridMultilevel"/>
    <w:tmpl w:val="C3645DE0"/>
    <w:lvl w:ilvl="0" w:tplc="7D56C3A8">
      <w:start w:val="3"/>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2371A2"/>
    <w:multiLevelType w:val="hybridMultilevel"/>
    <w:tmpl w:val="4A4A49C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FD2DBD"/>
    <w:multiLevelType w:val="hybridMultilevel"/>
    <w:tmpl w:val="BCFA366C"/>
    <w:lvl w:ilvl="0" w:tplc="260CDDA4">
      <w:start w:val="1"/>
      <w:numFmt w:val="bullet"/>
      <w:pStyle w:val="Bullet-tables"/>
      <w:lvlText w:val=""/>
      <w:lvlJc w:val="left"/>
      <w:pPr>
        <w:ind w:left="360" w:hanging="360"/>
      </w:pPr>
      <w:rPr>
        <w:rFonts w:ascii="Symbol" w:hAnsi="Symbol" w:cs="Calibri" w:hint="default"/>
        <w:bCs w:val="0"/>
        <w:iCs w:val="0"/>
        <w:caps w:val="0"/>
        <w:strike w:val="0"/>
        <w:dstrike w:val="0"/>
        <w:vanish w:val="0"/>
        <w:color w:val="auto"/>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116E55"/>
    <w:multiLevelType w:val="hybridMultilevel"/>
    <w:tmpl w:val="A0F2F5F6"/>
    <w:lvl w:ilvl="0" w:tplc="740A413A">
      <w:start w:val="1"/>
      <w:numFmt w:val="bullet"/>
      <w:pStyle w:val="Bulletcheckbox"/>
      <w:lvlText w:val=""/>
      <w:lvlJc w:val="left"/>
      <w:pPr>
        <w:ind w:left="720" w:hanging="360"/>
      </w:pPr>
      <w:rPr>
        <w:rFonts w:ascii="Wingdings" w:hAnsi="Wingdings" w:cs="Calibri" w:hint="default"/>
        <w:bCs w:val="0"/>
        <w:iCs w:val="0"/>
        <w:caps w:val="0"/>
        <w:strike w:val="0"/>
        <w:dstrike w:val="0"/>
        <w:vanish w:val="0"/>
        <w:color w:val="auto"/>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3951A0"/>
    <w:multiLevelType w:val="hybridMultilevel"/>
    <w:tmpl w:val="F68850E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952699C"/>
    <w:multiLevelType w:val="hybridMultilevel"/>
    <w:tmpl w:val="AF803F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A15FB9"/>
    <w:multiLevelType w:val="hybridMultilevel"/>
    <w:tmpl w:val="43742D5E"/>
    <w:lvl w:ilvl="0" w:tplc="13F4C42C">
      <w:start w:val="1"/>
      <w:numFmt w:val="bullet"/>
      <w:lvlText w:val=""/>
      <w:lvlJc w:val="left"/>
      <w:pPr>
        <w:ind w:left="360" w:hanging="360"/>
      </w:pPr>
      <w:rPr>
        <w:rFonts w:ascii="Symbol" w:hAnsi="Symbol" w:cs="Calibri" w:hint="default"/>
        <w:caps w:val="0"/>
        <w:strike w:val="0"/>
        <w:dstrike w:val="0"/>
        <w:vanish w:val="0"/>
        <w:color w:val="auto"/>
        <w:vertAlign w:val="baseline"/>
      </w:rPr>
    </w:lvl>
    <w:lvl w:ilvl="1" w:tplc="F1ACFA4C">
      <w:start w:val="1"/>
      <w:numFmt w:val="bullet"/>
      <w:pStyle w:val="ListBullet"/>
      <w:lvlText w:val=""/>
      <w:lvlJc w:val="left"/>
      <w:pPr>
        <w:ind w:left="1440" w:hanging="360"/>
      </w:pPr>
      <w:rPr>
        <w:rFonts w:ascii="Symbol" w:hAnsi="Symbol" w:hint="default"/>
        <w:color w:val="897005"/>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4B7022"/>
    <w:multiLevelType w:val="hybridMultilevel"/>
    <w:tmpl w:val="93243EC2"/>
    <w:lvl w:ilvl="0" w:tplc="7D56C3A8">
      <w:start w:val="3"/>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DF778A0"/>
    <w:multiLevelType w:val="hybridMultilevel"/>
    <w:tmpl w:val="B4F48EA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5D52BFC"/>
    <w:multiLevelType w:val="hybridMultilevel"/>
    <w:tmpl w:val="F68850E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70B27F3"/>
    <w:multiLevelType w:val="hybridMultilevel"/>
    <w:tmpl w:val="F68850E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73D38F1"/>
    <w:multiLevelType w:val="hybridMultilevel"/>
    <w:tmpl w:val="1316B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D82033"/>
    <w:multiLevelType w:val="hybridMultilevel"/>
    <w:tmpl w:val="F68850E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E457CD9"/>
    <w:multiLevelType w:val="hybridMultilevel"/>
    <w:tmpl w:val="F68850E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FA7099A"/>
    <w:multiLevelType w:val="hybridMultilevel"/>
    <w:tmpl w:val="F68850E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3"/>
  </w:num>
  <w:num w:numId="3">
    <w:abstractNumId w:val="9"/>
  </w:num>
  <w:num w:numId="4">
    <w:abstractNumId w:val="0"/>
  </w:num>
  <w:num w:numId="5">
    <w:abstractNumId w:val="5"/>
  </w:num>
  <w:num w:numId="6">
    <w:abstractNumId w:val="11"/>
  </w:num>
  <w:num w:numId="7">
    <w:abstractNumId w:val="4"/>
  </w:num>
  <w:num w:numId="8">
    <w:abstractNumId w:val="16"/>
  </w:num>
  <w:num w:numId="9">
    <w:abstractNumId w:val="13"/>
  </w:num>
  <w:num w:numId="10">
    <w:abstractNumId w:val="2"/>
  </w:num>
  <w:num w:numId="11">
    <w:abstractNumId w:val="17"/>
  </w:num>
  <w:num w:numId="12">
    <w:abstractNumId w:val="10"/>
  </w:num>
  <w:num w:numId="13">
    <w:abstractNumId w:val="19"/>
  </w:num>
  <w:num w:numId="14">
    <w:abstractNumId w:val="12"/>
  </w:num>
  <w:num w:numId="15">
    <w:abstractNumId w:val="15"/>
  </w:num>
  <w:num w:numId="16">
    <w:abstractNumId w:val="14"/>
  </w:num>
  <w:num w:numId="17">
    <w:abstractNumId w:val="6"/>
  </w:num>
  <w:num w:numId="18">
    <w:abstractNumId w:val="20"/>
  </w:num>
  <w:num w:numId="19">
    <w:abstractNumId w:val="1"/>
  </w:num>
  <w:num w:numId="20">
    <w:abstractNumId w:val="21"/>
  </w:num>
  <w:num w:numId="21">
    <w:abstractNumId w:val="7"/>
  </w:num>
  <w:num w:numId="22">
    <w:abstractNumId w:val="18"/>
  </w:num>
  <w:num w:numId="2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D2"/>
    <w:rsid w:val="000022FC"/>
    <w:rsid w:val="0000781A"/>
    <w:rsid w:val="00017358"/>
    <w:rsid w:val="00027BB4"/>
    <w:rsid w:val="00044068"/>
    <w:rsid w:val="0007542C"/>
    <w:rsid w:val="00075ADD"/>
    <w:rsid w:val="00094271"/>
    <w:rsid w:val="000A0AFC"/>
    <w:rsid w:val="000B701D"/>
    <w:rsid w:val="000D4B57"/>
    <w:rsid w:val="000D7B52"/>
    <w:rsid w:val="000E50CF"/>
    <w:rsid w:val="000E64D9"/>
    <w:rsid w:val="00127DC5"/>
    <w:rsid w:val="001540BA"/>
    <w:rsid w:val="0016680C"/>
    <w:rsid w:val="001A2330"/>
    <w:rsid w:val="001B44E3"/>
    <w:rsid w:val="001B593C"/>
    <w:rsid w:val="001C3FB1"/>
    <w:rsid w:val="001F0B73"/>
    <w:rsid w:val="002113E5"/>
    <w:rsid w:val="00255ED3"/>
    <w:rsid w:val="00256BA7"/>
    <w:rsid w:val="0027000B"/>
    <w:rsid w:val="00283236"/>
    <w:rsid w:val="002854F7"/>
    <w:rsid w:val="00297099"/>
    <w:rsid w:val="002E7D11"/>
    <w:rsid w:val="003127E8"/>
    <w:rsid w:val="0032455B"/>
    <w:rsid w:val="00330B18"/>
    <w:rsid w:val="00337113"/>
    <w:rsid w:val="00394A2B"/>
    <w:rsid w:val="00397267"/>
    <w:rsid w:val="003B4884"/>
    <w:rsid w:val="003C5896"/>
    <w:rsid w:val="003D0E85"/>
    <w:rsid w:val="003E5257"/>
    <w:rsid w:val="004244A9"/>
    <w:rsid w:val="00425582"/>
    <w:rsid w:val="00433CDD"/>
    <w:rsid w:val="004659DD"/>
    <w:rsid w:val="00467A80"/>
    <w:rsid w:val="004A5AA6"/>
    <w:rsid w:val="004B4BEB"/>
    <w:rsid w:val="004D719C"/>
    <w:rsid w:val="004E23F9"/>
    <w:rsid w:val="004E343D"/>
    <w:rsid w:val="0050509B"/>
    <w:rsid w:val="0050785A"/>
    <w:rsid w:val="00520D9E"/>
    <w:rsid w:val="00521DA1"/>
    <w:rsid w:val="00525AC6"/>
    <w:rsid w:val="0053757F"/>
    <w:rsid w:val="00545377"/>
    <w:rsid w:val="005456E0"/>
    <w:rsid w:val="00553615"/>
    <w:rsid w:val="005763D3"/>
    <w:rsid w:val="005A4BEA"/>
    <w:rsid w:val="005C34E9"/>
    <w:rsid w:val="005D277D"/>
    <w:rsid w:val="005D45A8"/>
    <w:rsid w:val="005D7045"/>
    <w:rsid w:val="005E355D"/>
    <w:rsid w:val="005F15DB"/>
    <w:rsid w:val="00607B31"/>
    <w:rsid w:val="00634EEF"/>
    <w:rsid w:val="00644276"/>
    <w:rsid w:val="00645805"/>
    <w:rsid w:val="0064593A"/>
    <w:rsid w:val="006478E5"/>
    <w:rsid w:val="00651C9C"/>
    <w:rsid w:val="00670DE6"/>
    <w:rsid w:val="006828EA"/>
    <w:rsid w:val="00682F0C"/>
    <w:rsid w:val="006D60CC"/>
    <w:rsid w:val="006E687F"/>
    <w:rsid w:val="006F6F43"/>
    <w:rsid w:val="007250EB"/>
    <w:rsid w:val="0074486C"/>
    <w:rsid w:val="00761B63"/>
    <w:rsid w:val="007762BB"/>
    <w:rsid w:val="007864CC"/>
    <w:rsid w:val="00794AC5"/>
    <w:rsid w:val="007A2879"/>
    <w:rsid w:val="007A7292"/>
    <w:rsid w:val="007C61FB"/>
    <w:rsid w:val="007D7DD6"/>
    <w:rsid w:val="007E7021"/>
    <w:rsid w:val="007F211B"/>
    <w:rsid w:val="008219CD"/>
    <w:rsid w:val="00874AE7"/>
    <w:rsid w:val="00897FD5"/>
    <w:rsid w:val="008A5CC7"/>
    <w:rsid w:val="008F06E2"/>
    <w:rsid w:val="00914AE5"/>
    <w:rsid w:val="009877D3"/>
    <w:rsid w:val="009B018E"/>
    <w:rsid w:val="009D019D"/>
    <w:rsid w:val="009F708F"/>
    <w:rsid w:val="00A02224"/>
    <w:rsid w:val="00A0483F"/>
    <w:rsid w:val="00A27285"/>
    <w:rsid w:val="00A41699"/>
    <w:rsid w:val="00A47FED"/>
    <w:rsid w:val="00A558A1"/>
    <w:rsid w:val="00A73A74"/>
    <w:rsid w:val="00A87FA8"/>
    <w:rsid w:val="00A96809"/>
    <w:rsid w:val="00AB02E4"/>
    <w:rsid w:val="00AC1505"/>
    <w:rsid w:val="00AD62FC"/>
    <w:rsid w:val="00B13865"/>
    <w:rsid w:val="00B5016C"/>
    <w:rsid w:val="00BA2CAC"/>
    <w:rsid w:val="00BB413E"/>
    <w:rsid w:val="00BC2A5B"/>
    <w:rsid w:val="00C065E2"/>
    <w:rsid w:val="00C2093D"/>
    <w:rsid w:val="00C225BD"/>
    <w:rsid w:val="00C465C3"/>
    <w:rsid w:val="00C500DF"/>
    <w:rsid w:val="00C5196B"/>
    <w:rsid w:val="00C52276"/>
    <w:rsid w:val="00C75E89"/>
    <w:rsid w:val="00C83EAC"/>
    <w:rsid w:val="00C959FD"/>
    <w:rsid w:val="00CA07DA"/>
    <w:rsid w:val="00CB5959"/>
    <w:rsid w:val="00CC6845"/>
    <w:rsid w:val="00CD2E91"/>
    <w:rsid w:val="00CD4EF7"/>
    <w:rsid w:val="00CF4A0A"/>
    <w:rsid w:val="00CF6F53"/>
    <w:rsid w:val="00D44A06"/>
    <w:rsid w:val="00D51F48"/>
    <w:rsid w:val="00D72372"/>
    <w:rsid w:val="00D7701A"/>
    <w:rsid w:val="00D87B63"/>
    <w:rsid w:val="00DC47A1"/>
    <w:rsid w:val="00DD0702"/>
    <w:rsid w:val="00DD3800"/>
    <w:rsid w:val="00DE4CDC"/>
    <w:rsid w:val="00DE69D2"/>
    <w:rsid w:val="00E27DF7"/>
    <w:rsid w:val="00E46B7E"/>
    <w:rsid w:val="00E50813"/>
    <w:rsid w:val="00E72020"/>
    <w:rsid w:val="00EB6661"/>
    <w:rsid w:val="00EC3EC2"/>
    <w:rsid w:val="00ED731D"/>
    <w:rsid w:val="00EF6172"/>
    <w:rsid w:val="00EF64DB"/>
    <w:rsid w:val="00F03495"/>
    <w:rsid w:val="00F11163"/>
    <w:rsid w:val="00F33A28"/>
    <w:rsid w:val="00F510F4"/>
    <w:rsid w:val="00F74CA3"/>
    <w:rsid w:val="00F77DF0"/>
    <w:rsid w:val="00F94B0A"/>
    <w:rsid w:val="00FA1359"/>
    <w:rsid w:val="00FD56AA"/>
    <w:rsid w:val="00FE0539"/>
    <w:rsid w:val="00FF1A28"/>
    <w:rsid w:val="00FF2846"/>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D5A4"/>
  <w15:chartTrackingRefBased/>
  <w15:docId w15:val="{6D832597-44EE-4FA3-A390-A00C0560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865"/>
    <w:pPr>
      <w:spacing w:after="200" w:line="240" w:lineRule="auto"/>
    </w:pPr>
  </w:style>
  <w:style w:type="paragraph" w:styleId="Heading1">
    <w:name w:val="heading 1"/>
    <w:basedOn w:val="Normal"/>
    <w:next w:val="Normal"/>
    <w:link w:val="Heading1Char"/>
    <w:uiPriority w:val="9"/>
    <w:qFormat/>
    <w:rsid w:val="00DE69D2"/>
    <w:pPr>
      <w:keepNext/>
      <w:keepLines/>
      <w:spacing w:after="240"/>
      <w:outlineLvl w:val="0"/>
    </w:pPr>
    <w:rPr>
      <w:rFonts w:ascii="Roboto" w:eastAsiaTheme="majorEastAsia" w:hAnsi="Roboto" w:cstheme="majorBidi"/>
      <w:b/>
      <w:sz w:val="40"/>
      <w:szCs w:val="40"/>
    </w:rPr>
  </w:style>
  <w:style w:type="paragraph" w:styleId="Heading2">
    <w:name w:val="heading 2"/>
    <w:basedOn w:val="Normal"/>
    <w:next w:val="Normal"/>
    <w:link w:val="Heading2Char"/>
    <w:uiPriority w:val="9"/>
    <w:unhideWhenUsed/>
    <w:qFormat/>
    <w:rsid w:val="00DE69D2"/>
    <w:pPr>
      <w:keepNext/>
      <w:keepLines/>
      <w:outlineLvl w:val="1"/>
    </w:pPr>
    <w:rPr>
      <w:rFonts w:asciiTheme="majorHAnsi" w:eastAsiaTheme="majorEastAsia" w:hAnsiTheme="majorHAnsi" w:cstheme="majorBidi"/>
      <w:b/>
      <w:color w:val="AB0F14"/>
      <w:sz w:val="36"/>
      <w:szCs w:val="23"/>
    </w:rPr>
  </w:style>
  <w:style w:type="paragraph" w:styleId="Heading3">
    <w:name w:val="heading 3"/>
    <w:basedOn w:val="Normal"/>
    <w:next w:val="Normal"/>
    <w:link w:val="Heading3Char"/>
    <w:uiPriority w:val="9"/>
    <w:unhideWhenUsed/>
    <w:qFormat/>
    <w:rsid w:val="00DE69D2"/>
    <w:pPr>
      <w:keepNext/>
      <w:keepLines/>
      <w:outlineLvl w:val="2"/>
    </w:pPr>
    <w:rPr>
      <w:rFonts w:asciiTheme="majorHAnsi" w:eastAsiaTheme="majorEastAsia" w:hAnsiTheme="majorHAnsi" w:cstheme="majorBidi"/>
      <w:b/>
      <w:color w:val="113651"/>
      <w:sz w:val="30"/>
      <w:szCs w:val="21"/>
    </w:rPr>
  </w:style>
  <w:style w:type="paragraph" w:styleId="Heading4">
    <w:name w:val="heading 4"/>
    <w:basedOn w:val="Normal"/>
    <w:next w:val="Normal"/>
    <w:link w:val="Heading4Char"/>
    <w:uiPriority w:val="9"/>
    <w:unhideWhenUsed/>
    <w:qFormat/>
    <w:rsid w:val="00DE69D2"/>
    <w:pPr>
      <w:keepNext/>
      <w:keepLines/>
      <w:outlineLvl w:val="3"/>
    </w:pPr>
    <w:rPr>
      <w:rFonts w:asciiTheme="majorHAnsi" w:eastAsiaTheme="majorEastAsia" w:hAnsiTheme="majorHAnsi" w:cstheme="majorBidi"/>
      <w:b/>
      <w:iCs/>
      <w:color w:val="113651"/>
      <w:sz w:val="24"/>
      <w:szCs w:val="20"/>
    </w:rPr>
  </w:style>
  <w:style w:type="paragraph" w:styleId="Heading5">
    <w:name w:val="heading 5"/>
    <w:basedOn w:val="Normal"/>
    <w:next w:val="Normal"/>
    <w:link w:val="Heading5Char"/>
    <w:uiPriority w:val="9"/>
    <w:unhideWhenUsed/>
    <w:qFormat/>
    <w:rsid w:val="00FF2846"/>
    <w:pPr>
      <w:keepNext/>
      <w:keepLines/>
      <w:outlineLvl w:val="4"/>
    </w:pPr>
    <w:rPr>
      <w:rFonts w:asciiTheme="majorHAnsi" w:eastAsiaTheme="majorEastAsia" w:hAnsiTheme="majorHAnsi" w:cstheme="majorBidi"/>
      <w:color w:val="07478C"/>
      <w:sz w:val="24"/>
      <w:szCs w:val="20"/>
    </w:rPr>
  </w:style>
  <w:style w:type="paragraph" w:styleId="Heading6">
    <w:name w:val="heading 6"/>
    <w:basedOn w:val="Normal"/>
    <w:next w:val="Normal"/>
    <w:link w:val="Heading6Char"/>
    <w:uiPriority w:val="9"/>
    <w:unhideWhenUsed/>
    <w:qFormat/>
    <w:rsid w:val="00425582"/>
    <w:pPr>
      <w:keepNext/>
      <w:keepLines/>
      <w:outlineLvl w:val="5"/>
    </w:pPr>
    <w:rPr>
      <w:rFonts w:asciiTheme="majorHAnsi" w:eastAsiaTheme="majorEastAsia" w:hAnsiTheme="majorHAnsi" w:cstheme="majorBidi"/>
      <w:color w:val="07478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title">
    <w:name w:val="Table/figure heading title"/>
    <w:basedOn w:val="Normal"/>
    <w:next w:val="Normal"/>
    <w:qFormat/>
    <w:rsid w:val="00BC2A5B"/>
    <w:pPr>
      <w:keepNext/>
      <w:spacing w:after="0"/>
    </w:pPr>
    <w:rPr>
      <w:rFonts w:asciiTheme="majorHAnsi" w:eastAsiaTheme="minorHAnsi" w:hAnsiTheme="majorHAnsi"/>
      <w:b/>
      <w:color w:val="07478C"/>
      <w:lang w:eastAsia="en-US" w:bidi="ar-SA"/>
    </w:rPr>
  </w:style>
  <w:style w:type="paragraph" w:customStyle="1" w:styleId="Tablerowtextcentred">
    <w:name w:val="Table row text centred"/>
    <w:basedOn w:val="Tablerowtext"/>
    <w:qFormat/>
    <w:rsid w:val="00BC2A5B"/>
    <w:pPr>
      <w:jc w:val="center"/>
    </w:pPr>
  </w:style>
  <w:style w:type="paragraph" w:customStyle="1" w:styleId="Tablerowtext">
    <w:name w:val="Table row text"/>
    <w:basedOn w:val="Normal"/>
    <w:qFormat/>
    <w:rsid w:val="00BC2A5B"/>
    <w:pPr>
      <w:spacing w:after="0"/>
    </w:pPr>
    <w:rPr>
      <w:rFonts w:eastAsia="Times New Roman" w:cs="Times New Roman"/>
      <w:lang w:eastAsia="en-US" w:bidi="ar-SA"/>
    </w:rPr>
  </w:style>
  <w:style w:type="character" w:customStyle="1" w:styleId="Heading1Char">
    <w:name w:val="Heading 1 Char"/>
    <w:basedOn w:val="DefaultParagraphFont"/>
    <w:link w:val="Heading1"/>
    <w:uiPriority w:val="9"/>
    <w:rsid w:val="00DE69D2"/>
    <w:rPr>
      <w:rFonts w:ascii="Roboto" w:eastAsiaTheme="majorEastAsia" w:hAnsi="Roboto" w:cstheme="majorBidi"/>
      <w:b/>
      <w:sz w:val="40"/>
      <w:szCs w:val="40"/>
    </w:rPr>
  </w:style>
  <w:style w:type="paragraph" w:customStyle="1" w:styleId="Normalmonthyear">
    <w:name w:val="Normal—month/year"/>
    <w:basedOn w:val="Normal"/>
    <w:qFormat/>
    <w:rsid w:val="003E5257"/>
    <w:rPr>
      <w:color w:val="07478C"/>
    </w:rPr>
  </w:style>
  <w:style w:type="paragraph" w:styleId="ListParagraph">
    <w:name w:val="List Paragraph"/>
    <w:aliases w:val="List Paragraph1,Recommendation,bullet point list"/>
    <w:basedOn w:val="Normal"/>
    <w:link w:val="ListParagraphChar"/>
    <w:uiPriority w:val="34"/>
    <w:qFormat/>
    <w:rsid w:val="00C75E89"/>
    <w:pPr>
      <w:numPr>
        <w:numId w:val="5"/>
      </w:numPr>
      <w:tabs>
        <w:tab w:val="left" w:pos="567"/>
      </w:tabs>
      <w:ind w:left="567" w:hanging="567"/>
      <w:contextualSpacing/>
    </w:pPr>
  </w:style>
  <w:style w:type="paragraph" w:customStyle="1" w:styleId="Bullet-tables">
    <w:name w:val="Bullet - tables"/>
    <w:basedOn w:val="Normal"/>
    <w:qFormat/>
    <w:rsid w:val="00897FD5"/>
    <w:pPr>
      <w:numPr>
        <w:numId w:val="1"/>
      </w:numPr>
      <w:spacing w:after="0"/>
      <w:ind w:left="284" w:hanging="284"/>
      <w:contextualSpacing/>
    </w:pPr>
  </w:style>
  <w:style w:type="paragraph" w:customStyle="1" w:styleId="Bulletcheckbox">
    <w:name w:val="Bullet—check box"/>
    <w:basedOn w:val="Bullet-tables"/>
    <w:qFormat/>
    <w:rsid w:val="00DD0702"/>
    <w:pPr>
      <w:numPr>
        <w:numId w:val="3"/>
      </w:numPr>
      <w:ind w:left="567" w:hanging="567"/>
    </w:pPr>
  </w:style>
  <w:style w:type="paragraph" w:styleId="Footer">
    <w:name w:val="footer"/>
    <w:basedOn w:val="Normal"/>
    <w:link w:val="FooterChar"/>
    <w:uiPriority w:val="99"/>
    <w:unhideWhenUsed/>
    <w:rsid w:val="00094271"/>
    <w:pPr>
      <w:tabs>
        <w:tab w:val="center" w:pos="4536"/>
        <w:tab w:val="right" w:pos="9072"/>
      </w:tabs>
      <w:spacing w:after="0"/>
    </w:pPr>
    <w:rPr>
      <w:sz w:val="18"/>
      <w:szCs w:val="20"/>
    </w:rPr>
  </w:style>
  <w:style w:type="character" w:customStyle="1" w:styleId="FooterChar">
    <w:name w:val="Footer Char"/>
    <w:basedOn w:val="DefaultParagraphFont"/>
    <w:link w:val="Footer"/>
    <w:uiPriority w:val="99"/>
    <w:rsid w:val="00094271"/>
    <w:rPr>
      <w:sz w:val="18"/>
      <w:szCs w:val="20"/>
    </w:rPr>
  </w:style>
  <w:style w:type="paragraph" w:styleId="Header">
    <w:name w:val="header"/>
    <w:basedOn w:val="Normal"/>
    <w:link w:val="HeaderChar"/>
    <w:uiPriority w:val="99"/>
    <w:unhideWhenUsed/>
    <w:rsid w:val="00094271"/>
    <w:pPr>
      <w:tabs>
        <w:tab w:val="center" w:pos="4536"/>
        <w:tab w:val="right" w:pos="9072"/>
      </w:tabs>
      <w:spacing w:after="0"/>
    </w:pPr>
    <w:rPr>
      <w:szCs w:val="20"/>
    </w:rPr>
  </w:style>
  <w:style w:type="character" w:customStyle="1" w:styleId="HeaderChar">
    <w:name w:val="Header Char"/>
    <w:basedOn w:val="DefaultParagraphFont"/>
    <w:link w:val="Header"/>
    <w:uiPriority w:val="99"/>
    <w:rsid w:val="00094271"/>
    <w:rPr>
      <w:szCs w:val="20"/>
    </w:rPr>
  </w:style>
  <w:style w:type="character" w:customStyle="1" w:styleId="Heading2Char">
    <w:name w:val="Heading 2 Char"/>
    <w:basedOn w:val="DefaultParagraphFont"/>
    <w:link w:val="Heading2"/>
    <w:uiPriority w:val="9"/>
    <w:rsid w:val="00DE69D2"/>
    <w:rPr>
      <w:rFonts w:asciiTheme="majorHAnsi" w:eastAsiaTheme="majorEastAsia" w:hAnsiTheme="majorHAnsi" w:cstheme="majorBidi"/>
      <w:b/>
      <w:color w:val="AB0F14"/>
      <w:sz w:val="36"/>
      <w:szCs w:val="23"/>
    </w:rPr>
  </w:style>
  <w:style w:type="paragraph" w:customStyle="1" w:styleId="Heading2notshowingincontents">
    <w:name w:val="Heading 2—not showing in contents"/>
    <w:basedOn w:val="Heading2"/>
    <w:rsid w:val="00094271"/>
  </w:style>
  <w:style w:type="character" w:customStyle="1" w:styleId="Heading3Char">
    <w:name w:val="Heading 3 Char"/>
    <w:basedOn w:val="DefaultParagraphFont"/>
    <w:link w:val="Heading3"/>
    <w:uiPriority w:val="9"/>
    <w:rsid w:val="00DE69D2"/>
    <w:rPr>
      <w:rFonts w:asciiTheme="majorHAnsi" w:eastAsiaTheme="majorEastAsia" w:hAnsiTheme="majorHAnsi" w:cstheme="majorBidi"/>
      <w:b/>
      <w:color w:val="113651"/>
      <w:sz w:val="30"/>
      <w:szCs w:val="21"/>
    </w:rPr>
  </w:style>
  <w:style w:type="paragraph" w:customStyle="1" w:styleId="Heading3notshowingincontents">
    <w:name w:val="Heading 3—not showing in contents"/>
    <w:basedOn w:val="Heading3"/>
    <w:next w:val="Normal"/>
    <w:qFormat/>
    <w:rsid w:val="00425582"/>
  </w:style>
  <w:style w:type="character" w:customStyle="1" w:styleId="Heading4Char">
    <w:name w:val="Heading 4 Char"/>
    <w:basedOn w:val="DefaultParagraphFont"/>
    <w:link w:val="Heading4"/>
    <w:uiPriority w:val="9"/>
    <w:rsid w:val="00DE69D2"/>
    <w:rPr>
      <w:rFonts w:asciiTheme="majorHAnsi" w:eastAsiaTheme="majorEastAsia" w:hAnsiTheme="majorHAnsi" w:cstheme="majorBidi"/>
      <w:b/>
      <w:iCs/>
      <w:color w:val="113651"/>
      <w:sz w:val="24"/>
      <w:szCs w:val="20"/>
    </w:rPr>
  </w:style>
  <w:style w:type="character" w:customStyle="1" w:styleId="Heading5Char">
    <w:name w:val="Heading 5 Char"/>
    <w:basedOn w:val="DefaultParagraphFont"/>
    <w:link w:val="Heading5"/>
    <w:uiPriority w:val="9"/>
    <w:rsid w:val="00FF2846"/>
    <w:rPr>
      <w:rFonts w:asciiTheme="majorHAnsi" w:eastAsiaTheme="majorEastAsia" w:hAnsiTheme="majorHAnsi" w:cstheme="majorBidi"/>
      <w:color w:val="07478C"/>
      <w:sz w:val="24"/>
      <w:szCs w:val="20"/>
    </w:rPr>
  </w:style>
  <w:style w:type="character" w:customStyle="1" w:styleId="Heading6Char">
    <w:name w:val="Heading 6 Char"/>
    <w:basedOn w:val="DefaultParagraphFont"/>
    <w:link w:val="Heading6"/>
    <w:uiPriority w:val="9"/>
    <w:rsid w:val="00425582"/>
    <w:rPr>
      <w:rFonts w:asciiTheme="majorHAnsi" w:eastAsiaTheme="majorEastAsia" w:hAnsiTheme="majorHAnsi" w:cstheme="majorBidi"/>
      <w:color w:val="07478C"/>
      <w:sz w:val="20"/>
      <w:szCs w:val="20"/>
    </w:rPr>
  </w:style>
  <w:style w:type="character" w:styleId="Hyperlink">
    <w:name w:val="Hyperlink"/>
    <w:basedOn w:val="DefaultParagraphFont"/>
    <w:uiPriority w:val="99"/>
    <w:unhideWhenUsed/>
    <w:rsid w:val="00425582"/>
    <w:rPr>
      <w:color w:val="07478C"/>
      <w:u w:val="single"/>
    </w:rPr>
  </w:style>
  <w:style w:type="paragraph" w:styleId="Quote">
    <w:name w:val="Quote"/>
    <w:basedOn w:val="Normal"/>
    <w:next w:val="Normal"/>
    <w:link w:val="QuoteChar"/>
    <w:uiPriority w:val="29"/>
    <w:qFormat/>
    <w:rsid w:val="00BC2A5B"/>
    <w:pPr>
      <w:ind w:left="567" w:right="567"/>
    </w:pPr>
    <w:rPr>
      <w:i/>
      <w:iCs/>
      <w:color w:val="404040" w:themeColor="text1" w:themeTint="BF"/>
      <w:szCs w:val="20"/>
    </w:rPr>
  </w:style>
  <w:style w:type="character" w:customStyle="1" w:styleId="QuoteChar">
    <w:name w:val="Quote Char"/>
    <w:basedOn w:val="DefaultParagraphFont"/>
    <w:link w:val="Quote"/>
    <w:uiPriority w:val="29"/>
    <w:rsid w:val="00BC2A5B"/>
    <w:rPr>
      <w:i/>
      <w:iCs/>
      <w:color w:val="404040" w:themeColor="text1" w:themeTint="BF"/>
      <w:szCs w:val="20"/>
    </w:rPr>
  </w:style>
  <w:style w:type="paragraph" w:styleId="Subtitle">
    <w:name w:val="Subtitle"/>
    <w:basedOn w:val="Normal"/>
    <w:next w:val="Normal"/>
    <w:link w:val="SubtitleChar"/>
    <w:uiPriority w:val="11"/>
    <w:qFormat/>
    <w:rsid w:val="00BC2A5B"/>
    <w:pPr>
      <w:numPr>
        <w:ilvl w:val="1"/>
      </w:numPr>
      <w:spacing w:after="360"/>
    </w:pPr>
    <w:rPr>
      <w:rFonts w:ascii="Calibri Light" w:hAnsi="Calibri Light"/>
      <w:b/>
      <w:color w:val="07478C"/>
      <w:sz w:val="24"/>
      <w:szCs w:val="20"/>
    </w:rPr>
  </w:style>
  <w:style w:type="character" w:customStyle="1" w:styleId="SubtitleChar">
    <w:name w:val="Subtitle Char"/>
    <w:basedOn w:val="DefaultParagraphFont"/>
    <w:link w:val="Subtitle"/>
    <w:uiPriority w:val="11"/>
    <w:rsid w:val="00BC2A5B"/>
    <w:rPr>
      <w:rFonts w:ascii="Calibri Light" w:hAnsi="Calibri Light"/>
      <w:b/>
      <w:color w:val="07478C"/>
      <w:sz w:val="24"/>
      <w:szCs w:val="20"/>
    </w:rPr>
  </w:style>
  <w:style w:type="paragraph" w:customStyle="1" w:styleId="Sourcenotes">
    <w:name w:val="Source / notes"/>
    <w:basedOn w:val="Normal"/>
    <w:next w:val="Normal"/>
    <w:qFormat/>
    <w:rsid w:val="009877D3"/>
    <w:pPr>
      <w:spacing w:after="0"/>
    </w:pPr>
    <w:rPr>
      <w:sz w:val="20"/>
      <w:szCs w:val="20"/>
    </w:rPr>
  </w:style>
  <w:style w:type="paragraph" w:customStyle="1" w:styleId="Tablerowheading">
    <w:name w:val="Table row heading"/>
    <w:basedOn w:val="Normal"/>
    <w:qFormat/>
    <w:rsid w:val="00BC2A5B"/>
    <w:pPr>
      <w:spacing w:after="0"/>
    </w:pPr>
    <w:rPr>
      <w:b/>
    </w:rPr>
  </w:style>
  <w:style w:type="paragraph" w:customStyle="1" w:styleId="Tablerowheadingcentred">
    <w:name w:val="Table row heading centred"/>
    <w:basedOn w:val="Tablerowheading"/>
    <w:qFormat/>
    <w:rsid w:val="00BC2A5B"/>
    <w:pPr>
      <w:jc w:val="center"/>
    </w:pPr>
  </w:style>
  <w:style w:type="paragraph" w:customStyle="1" w:styleId="Textbox">
    <w:name w:val="Text box"/>
    <w:basedOn w:val="Normal"/>
    <w:next w:val="Normal"/>
    <w:qFormat/>
    <w:rsid w:val="00C2093D"/>
  </w:style>
  <w:style w:type="paragraph" w:styleId="TOC1">
    <w:name w:val="toc 1"/>
    <w:basedOn w:val="Normal"/>
    <w:next w:val="Normal"/>
    <w:autoRedefine/>
    <w:uiPriority w:val="39"/>
    <w:unhideWhenUsed/>
    <w:rsid w:val="004659DD"/>
    <w:pPr>
      <w:tabs>
        <w:tab w:val="right" w:leader="dot" w:pos="9323"/>
      </w:tabs>
      <w:spacing w:before="120" w:after="0"/>
    </w:pPr>
    <w:rPr>
      <w:rFonts w:eastAsiaTheme="minorHAnsi"/>
      <w:b/>
      <w:noProof/>
      <w:color w:val="07478C"/>
      <w:sz w:val="24"/>
      <w:lang w:eastAsia="en-US" w:bidi="ar-SA"/>
    </w:rPr>
  </w:style>
  <w:style w:type="paragraph" w:styleId="TOC2">
    <w:name w:val="toc 2"/>
    <w:basedOn w:val="Normal"/>
    <w:next w:val="Normal"/>
    <w:autoRedefine/>
    <w:uiPriority w:val="39"/>
    <w:unhideWhenUsed/>
    <w:rsid w:val="004659DD"/>
    <w:pPr>
      <w:tabs>
        <w:tab w:val="right" w:leader="dot" w:pos="9323"/>
      </w:tabs>
      <w:spacing w:after="0"/>
      <w:ind w:left="567"/>
    </w:pPr>
    <w:rPr>
      <w:rFonts w:eastAsiaTheme="minorHAnsi"/>
      <w:noProof/>
      <w:lang w:eastAsia="en-US" w:bidi="ar-SA"/>
    </w:rPr>
  </w:style>
  <w:style w:type="paragraph" w:styleId="TOC3">
    <w:name w:val="toc 3"/>
    <w:basedOn w:val="Normal"/>
    <w:next w:val="Normal"/>
    <w:autoRedefine/>
    <w:uiPriority w:val="39"/>
    <w:unhideWhenUsed/>
    <w:rsid w:val="004659DD"/>
    <w:pPr>
      <w:tabs>
        <w:tab w:val="right" w:leader="dot" w:pos="9323"/>
      </w:tabs>
      <w:spacing w:after="0"/>
      <w:ind w:left="1134"/>
    </w:pPr>
    <w:rPr>
      <w:rFonts w:eastAsiaTheme="minorHAnsi"/>
      <w:noProof/>
      <w:lang w:eastAsia="en-US" w:bidi="ar-SA"/>
    </w:rPr>
  </w:style>
  <w:style w:type="paragraph" w:styleId="EndnoteText">
    <w:name w:val="endnote text"/>
    <w:basedOn w:val="Normal"/>
    <w:link w:val="EndnoteTextChar"/>
    <w:uiPriority w:val="99"/>
    <w:unhideWhenUsed/>
    <w:rsid w:val="00B13865"/>
    <w:pPr>
      <w:spacing w:after="0"/>
    </w:pPr>
    <w:rPr>
      <w:sz w:val="20"/>
      <w:szCs w:val="18"/>
    </w:rPr>
  </w:style>
  <w:style w:type="character" w:customStyle="1" w:styleId="EndnoteTextChar">
    <w:name w:val="Endnote Text Char"/>
    <w:basedOn w:val="DefaultParagraphFont"/>
    <w:link w:val="EndnoteText"/>
    <w:uiPriority w:val="99"/>
    <w:rsid w:val="00B13865"/>
    <w:rPr>
      <w:sz w:val="20"/>
      <w:szCs w:val="18"/>
    </w:rPr>
  </w:style>
  <w:style w:type="paragraph" w:styleId="FootnoteText">
    <w:name w:val="footnote text"/>
    <w:basedOn w:val="Normal"/>
    <w:link w:val="FootnoteTextChar"/>
    <w:uiPriority w:val="99"/>
    <w:unhideWhenUsed/>
    <w:rsid w:val="00B13865"/>
    <w:pPr>
      <w:spacing w:after="0"/>
    </w:pPr>
    <w:rPr>
      <w:sz w:val="20"/>
      <w:szCs w:val="18"/>
    </w:rPr>
  </w:style>
  <w:style w:type="character" w:customStyle="1" w:styleId="FootnoteTextChar">
    <w:name w:val="Footnote Text Char"/>
    <w:basedOn w:val="DefaultParagraphFont"/>
    <w:link w:val="FootnoteText"/>
    <w:uiPriority w:val="99"/>
    <w:rsid w:val="00B13865"/>
    <w:rPr>
      <w:sz w:val="20"/>
      <w:szCs w:val="18"/>
    </w:rPr>
  </w:style>
  <w:style w:type="character" w:styleId="EndnoteReference">
    <w:name w:val="endnote reference"/>
    <w:basedOn w:val="DefaultParagraphFont"/>
    <w:uiPriority w:val="99"/>
    <w:unhideWhenUsed/>
    <w:rsid w:val="00B13865"/>
    <w:rPr>
      <w:vertAlign w:val="superscript"/>
    </w:rPr>
  </w:style>
  <w:style w:type="character" w:styleId="FootnoteReference">
    <w:name w:val="footnote reference"/>
    <w:basedOn w:val="DefaultParagraphFont"/>
    <w:uiPriority w:val="99"/>
    <w:unhideWhenUsed/>
    <w:rsid w:val="00B13865"/>
    <w:rPr>
      <w:vertAlign w:val="superscript"/>
    </w:rPr>
  </w:style>
  <w:style w:type="paragraph" w:customStyle="1" w:styleId="Normal-monthyearforcoverpage">
    <w:name w:val="Normal - month/year for cover page"/>
    <w:basedOn w:val="Normal"/>
    <w:next w:val="Normal"/>
    <w:rsid w:val="00FA1359"/>
    <w:pPr>
      <w:spacing w:before="1000"/>
    </w:pPr>
    <w:rPr>
      <w:rFonts w:eastAsiaTheme="minorHAnsi"/>
      <w:color w:val="07478C"/>
      <w:sz w:val="24"/>
      <w:szCs w:val="24"/>
      <w:lang w:eastAsia="en-US" w:bidi="ar-SA"/>
    </w:rPr>
  </w:style>
  <w:style w:type="paragraph" w:customStyle="1" w:styleId="subtitleofdocument">
    <w:name w:val="subtitle of document"/>
    <w:basedOn w:val="Normal"/>
    <w:next w:val="Normal"/>
    <w:rsid w:val="00DE69D2"/>
    <w:pPr>
      <w:spacing w:before="480"/>
      <w:outlineLvl w:val="1"/>
    </w:pPr>
    <w:rPr>
      <w:rFonts w:asciiTheme="majorHAnsi" w:eastAsia="Times New Roman" w:hAnsiTheme="majorHAnsi" w:cs="Times New Roman"/>
      <w:b/>
      <w:bCs/>
      <w:color w:val="AB0F14"/>
      <w:sz w:val="36"/>
      <w:szCs w:val="20"/>
      <w:lang w:eastAsia="en-US" w:bidi="ar-SA"/>
    </w:rPr>
  </w:style>
  <w:style w:type="paragraph" w:customStyle="1" w:styleId="Tickedboxbulletpoint">
    <w:name w:val="Ticked box bullet point"/>
    <w:basedOn w:val="Normal"/>
    <w:qFormat/>
    <w:rsid w:val="00FA1359"/>
    <w:pPr>
      <w:numPr>
        <w:numId w:val="6"/>
      </w:numPr>
      <w:spacing w:before="240" w:after="0"/>
      <w:ind w:left="567" w:hanging="567"/>
      <w:contextualSpacing/>
    </w:pPr>
    <w:rPr>
      <w:rFonts w:eastAsiaTheme="minorHAnsi"/>
      <w:lang w:eastAsia="en-US" w:bidi="ar-SA"/>
    </w:rPr>
  </w:style>
  <w:style w:type="paragraph" w:customStyle="1" w:styleId="Bulletpoint">
    <w:name w:val="Bullet point"/>
    <w:basedOn w:val="Normal"/>
    <w:rsid w:val="00FA1359"/>
    <w:pPr>
      <w:numPr>
        <w:numId w:val="7"/>
      </w:numPr>
      <w:ind w:left="567" w:hanging="567"/>
      <w:contextualSpacing/>
    </w:pPr>
    <w:rPr>
      <w:rFonts w:eastAsiaTheme="minorHAnsi"/>
      <w:lang w:eastAsia="en-US" w:bidi="ar-SA"/>
    </w:rPr>
  </w:style>
  <w:style w:type="paragraph" w:customStyle="1" w:styleId="Tablefigureheading">
    <w:name w:val="Table/figure heading"/>
    <w:basedOn w:val="Normal"/>
    <w:next w:val="Normal"/>
    <w:qFormat/>
    <w:rsid w:val="00DE69D2"/>
    <w:pPr>
      <w:keepNext/>
      <w:spacing w:after="0"/>
    </w:pPr>
    <w:rPr>
      <w:rFonts w:asciiTheme="majorHAnsi" w:eastAsiaTheme="minorHAnsi" w:hAnsiTheme="majorHAnsi"/>
      <w:b/>
      <w:color w:val="113651"/>
      <w:lang w:eastAsia="en-US" w:bidi="ar-SA"/>
    </w:rPr>
  </w:style>
  <w:style w:type="paragraph" w:customStyle="1" w:styleId="Tablerowcolumnheading">
    <w:name w:val="Table row/column heading"/>
    <w:basedOn w:val="Normal"/>
    <w:next w:val="Normal"/>
    <w:rsid w:val="00FA1359"/>
    <w:pPr>
      <w:spacing w:after="0"/>
    </w:pPr>
    <w:rPr>
      <w:rFonts w:eastAsia="Times New Roman" w:cs="Times New Roman"/>
      <w:b/>
      <w:bCs/>
      <w:szCs w:val="20"/>
      <w:lang w:eastAsia="en-US" w:bidi="ar-SA"/>
    </w:rPr>
  </w:style>
  <w:style w:type="paragraph" w:customStyle="1" w:styleId="Tabletextcentred">
    <w:name w:val="Table text centred"/>
    <w:basedOn w:val="Normal"/>
    <w:next w:val="NoSpacing"/>
    <w:rsid w:val="00FA1359"/>
    <w:pPr>
      <w:spacing w:after="0"/>
      <w:jc w:val="center"/>
    </w:pPr>
    <w:rPr>
      <w:rFonts w:eastAsia="Times New Roman" w:cs="Times New Roman"/>
      <w:szCs w:val="20"/>
      <w:lang w:eastAsia="en-US" w:bidi="ar-SA"/>
    </w:rPr>
  </w:style>
  <w:style w:type="paragraph" w:customStyle="1" w:styleId="Heading2-notshowingincontentsindocument">
    <w:name w:val="Heading 2 - not showing in contents in document"/>
    <w:basedOn w:val="Normal"/>
    <w:next w:val="Normal"/>
    <w:rsid w:val="004B4BEB"/>
    <w:pPr>
      <w:keepNext/>
      <w:spacing w:after="120"/>
      <w:outlineLvl w:val="1"/>
    </w:pPr>
    <w:rPr>
      <w:rFonts w:asciiTheme="majorHAnsi" w:eastAsiaTheme="minorHAnsi" w:hAnsiTheme="majorHAnsi"/>
      <w:b/>
      <w:sz w:val="36"/>
      <w:szCs w:val="36"/>
      <w:lang w:eastAsia="en-US" w:bidi="ar-SA"/>
    </w:rPr>
  </w:style>
  <w:style w:type="paragraph" w:customStyle="1" w:styleId="Heading3-notshowingincontentsindocument">
    <w:name w:val="Heading 3 - not showing in contents in document"/>
    <w:basedOn w:val="Normal"/>
    <w:next w:val="Normal"/>
    <w:rsid w:val="00DE69D2"/>
    <w:pPr>
      <w:keepNext/>
      <w:spacing w:after="60"/>
      <w:outlineLvl w:val="2"/>
    </w:pPr>
    <w:rPr>
      <w:rFonts w:eastAsiaTheme="minorHAnsi"/>
      <w:sz w:val="26"/>
      <w:szCs w:val="26"/>
      <w:lang w:eastAsia="en-US" w:bidi="ar-SA"/>
    </w:rPr>
  </w:style>
  <w:style w:type="paragraph" w:customStyle="1" w:styleId="Checkboxemptybulletpoint">
    <w:name w:val="Check box empty bullet point"/>
    <w:basedOn w:val="Bulletpoint"/>
    <w:qFormat/>
    <w:rsid w:val="00FA1359"/>
    <w:pPr>
      <w:numPr>
        <w:numId w:val="8"/>
      </w:numPr>
      <w:spacing w:after="0"/>
      <w:ind w:left="567" w:hanging="567"/>
    </w:pPr>
  </w:style>
  <w:style w:type="paragraph" w:customStyle="1" w:styleId="Tableheading">
    <w:name w:val="Table heading"/>
    <w:basedOn w:val="Normal"/>
    <w:next w:val="Normal"/>
    <w:rsid w:val="00FA1359"/>
    <w:pPr>
      <w:spacing w:after="0"/>
    </w:pPr>
    <w:rPr>
      <w:rFonts w:eastAsia="Times New Roman" w:cs="Times New Roman"/>
      <w:b/>
      <w:bCs/>
      <w:szCs w:val="20"/>
      <w:lang w:eastAsia="en-US" w:bidi="ar-SA"/>
    </w:rPr>
  </w:style>
  <w:style w:type="paragraph" w:customStyle="1" w:styleId="Tableheadingcentred">
    <w:name w:val="Table heading centred"/>
    <w:basedOn w:val="Normal"/>
    <w:next w:val="Normal"/>
    <w:rsid w:val="00FA1359"/>
    <w:pPr>
      <w:spacing w:after="0"/>
      <w:jc w:val="center"/>
    </w:pPr>
    <w:rPr>
      <w:rFonts w:eastAsia="Times New Roman" w:cs="Times New Roman"/>
      <w:b/>
      <w:bCs/>
      <w:szCs w:val="20"/>
      <w:lang w:eastAsia="en-US" w:bidi="ar-SA"/>
    </w:rPr>
  </w:style>
  <w:style w:type="paragraph" w:customStyle="1" w:styleId="Tabletext">
    <w:name w:val="Table text"/>
    <w:basedOn w:val="Tabletextcentred"/>
    <w:qFormat/>
    <w:rsid w:val="00FA1359"/>
    <w:pPr>
      <w:jc w:val="left"/>
    </w:pPr>
  </w:style>
  <w:style w:type="paragraph" w:styleId="NoSpacing">
    <w:name w:val="No Spacing"/>
    <w:uiPriority w:val="1"/>
    <w:qFormat/>
    <w:rsid w:val="00FA1359"/>
    <w:pPr>
      <w:spacing w:after="0" w:line="240" w:lineRule="auto"/>
    </w:pPr>
    <w:rPr>
      <w:szCs w:val="20"/>
    </w:rPr>
  </w:style>
  <w:style w:type="paragraph" w:styleId="TableofFigures">
    <w:name w:val="table of figures"/>
    <w:basedOn w:val="Normal"/>
    <w:next w:val="Normal"/>
    <w:uiPriority w:val="99"/>
    <w:rsid w:val="00FA1359"/>
    <w:pPr>
      <w:spacing w:after="0" w:line="300" w:lineRule="exact"/>
    </w:pPr>
    <w:rPr>
      <w:rFonts w:ascii="Calibri" w:eastAsiaTheme="minorHAnsi" w:hAnsi="Calibri"/>
      <w:sz w:val="20"/>
      <w:lang w:eastAsia="en-US" w:bidi="ar-SA"/>
    </w:rPr>
  </w:style>
  <w:style w:type="paragraph" w:styleId="Title">
    <w:name w:val="Title"/>
    <w:basedOn w:val="Normal"/>
    <w:next w:val="Normal"/>
    <w:link w:val="TitleChar"/>
    <w:uiPriority w:val="10"/>
    <w:qFormat/>
    <w:rsid w:val="00DE69D2"/>
    <w:pPr>
      <w:spacing w:after="480"/>
      <w:contextualSpacing/>
    </w:pPr>
    <w:rPr>
      <w:rFonts w:ascii="Gafata" w:eastAsiaTheme="majorEastAsia" w:hAnsi="Gafata" w:cstheme="majorBidi"/>
      <w:spacing w:val="-10"/>
      <w:kern w:val="28"/>
      <w:sz w:val="48"/>
      <w:szCs w:val="48"/>
    </w:rPr>
  </w:style>
  <w:style w:type="character" w:customStyle="1" w:styleId="TitleChar">
    <w:name w:val="Title Char"/>
    <w:basedOn w:val="DefaultParagraphFont"/>
    <w:link w:val="Title"/>
    <w:uiPriority w:val="10"/>
    <w:rsid w:val="00DE69D2"/>
    <w:rPr>
      <w:rFonts w:ascii="Gafata" w:eastAsiaTheme="majorEastAsia" w:hAnsi="Gafata" w:cstheme="majorBidi"/>
      <w:spacing w:val="-10"/>
      <w:kern w:val="28"/>
      <w:sz w:val="48"/>
      <w:szCs w:val="48"/>
    </w:rPr>
  </w:style>
  <w:style w:type="paragraph" w:styleId="ListBullet2">
    <w:name w:val="List Bullet 2"/>
    <w:basedOn w:val="Normal"/>
    <w:uiPriority w:val="99"/>
    <w:semiHidden/>
    <w:unhideWhenUsed/>
    <w:rsid w:val="00DE69D2"/>
    <w:pPr>
      <w:tabs>
        <w:tab w:val="num" w:pos="643"/>
      </w:tabs>
      <w:ind w:left="643" w:hanging="360"/>
      <w:contextualSpacing/>
    </w:pPr>
    <w:rPr>
      <w:lang w:bidi="ar-SA"/>
    </w:rPr>
  </w:style>
  <w:style w:type="paragraph" w:styleId="ListBullet">
    <w:name w:val="List Bullet"/>
    <w:aliases w:val="List Bullet 1"/>
    <w:basedOn w:val="Normal"/>
    <w:uiPriority w:val="99"/>
    <w:unhideWhenUsed/>
    <w:rsid w:val="004B4BEB"/>
    <w:pPr>
      <w:numPr>
        <w:ilvl w:val="1"/>
        <w:numId w:val="9"/>
      </w:numPr>
      <w:spacing w:after="120"/>
      <w:contextualSpacing/>
    </w:pPr>
    <w:rPr>
      <w:rFonts w:ascii="Calibri" w:eastAsia="Calibri" w:hAnsi="Calibri" w:cs="Calibri"/>
      <w:w w:val="105"/>
      <w:kern w:val="40"/>
      <w:lang w:eastAsia="en-US" w:bidi="ar-SA"/>
    </w:rPr>
  </w:style>
  <w:style w:type="paragraph" w:customStyle="1" w:styleId="Bullet1">
    <w:name w:val="Bullet 1"/>
    <w:basedOn w:val="ListBullet2"/>
    <w:qFormat/>
    <w:rsid w:val="004B4BEB"/>
    <w:pPr>
      <w:numPr>
        <w:numId w:val="2"/>
      </w:numPr>
      <w:tabs>
        <w:tab w:val="num" w:pos="926"/>
      </w:tabs>
      <w:spacing w:after="240"/>
      <w:ind w:left="567" w:hanging="567"/>
    </w:pPr>
    <w:rPr>
      <w:rFonts w:ascii="Calibri" w:eastAsia="Calibri" w:hAnsi="Calibri" w:cs="Calibri"/>
      <w:w w:val="105"/>
      <w:kern w:val="40"/>
      <w:lang w:eastAsia="en-US"/>
    </w:rPr>
  </w:style>
  <w:style w:type="character" w:customStyle="1" w:styleId="ListParagraphChar">
    <w:name w:val="List Paragraph Char"/>
    <w:aliases w:val="List Paragraph1 Char,Recommendation Char,bullet point list Char"/>
    <w:basedOn w:val="DefaultParagraphFont"/>
    <w:link w:val="ListParagraph"/>
    <w:uiPriority w:val="34"/>
    <w:locked/>
    <w:rsid w:val="004B4BEB"/>
  </w:style>
  <w:style w:type="paragraph" w:customStyle="1" w:styleId="Tableheadingrow">
    <w:name w:val="Table heading row"/>
    <w:basedOn w:val="Normal"/>
    <w:qFormat/>
    <w:rsid w:val="007E7021"/>
    <w:pPr>
      <w:spacing w:after="0"/>
    </w:pPr>
    <w:rPr>
      <w:rFonts w:eastAsia="Times New Roman" w:cs="Times New Roman"/>
      <w:b/>
      <w:bCs/>
      <w:szCs w:val="20"/>
      <w:lang w:eastAsia="en-US" w:bidi="ar-SA"/>
    </w:rPr>
  </w:style>
  <w:style w:type="paragraph" w:customStyle="1" w:styleId="BCARtitle">
    <w:name w:val="BCAR title"/>
    <w:basedOn w:val="Normal"/>
    <w:qFormat/>
    <w:rsid w:val="007E7021"/>
    <w:pPr>
      <w:spacing w:after="0"/>
    </w:pPr>
    <w:rPr>
      <w:rFonts w:ascii="Gafata" w:eastAsiaTheme="minorHAnsi" w:hAnsi="Gafata"/>
      <w:sz w:val="48"/>
      <w:szCs w:val="48"/>
      <w:lang w:eastAsia="en-US" w:bidi="ar-SA"/>
    </w:rPr>
  </w:style>
  <w:style w:type="paragraph" w:styleId="Caption">
    <w:name w:val="caption"/>
    <w:basedOn w:val="Normal"/>
    <w:next w:val="Normal"/>
    <w:link w:val="CaptionChar"/>
    <w:uiPriority w:val="35"/>
    <w:unhideWhenUsed/>
    <w:qFormat/>
    <w:rsid w:val="007E7021"/>
    <w:rPr>
      <w:rFonts w:eastAsiaTheme="minorHAnsi"/>
      <w:i/>
      <w:iCs/>
      <w:color w:val="44546A" w:themeColor="text2"/>
      <w:sz w:val="18"/>
      <w:szCs w:val="18"/>
      <w:lang w:eastAsia="en-AU" w:bidi="ar-SA"/>
    </w:rPr>
  </w:style>
  <w:style w:type="character" w:customStyle="1" w:styleId="CaptionChar">
    <w:name w:val="Caption Char"/>
    <w:basedOn w:val="DefaultParagraphFont"/>
    <w:link w:val="Caption"/>
    <w:uiPriority w:val="35"/>
    <w:rsid w:val="007E7021"/>
    <w:rPr>
      <w:rFonts w:eastAsiaTheme="minorHAnsi"/>
      <w:i/>
      <w:iCs/>
      <w:color w:val="44546A" w:themeColor="text2"/>
      <w:sz w:val="18"/>
      <w:szCs w:val="18"/>
      <w:lang w:eastAsia="en-AU" w:bidi="ar-SA"/>
    </w:rPr>
  </w:style>
  <w:style w:type="character" w:styleId="CommentReference">
    <w:name w:val="annotation reference"/>
    <w:basedOn w:val="DefaultParagraphFont"/>
    <w:uiPriority w:val="99"/>
    <w:semiHidden/>
    <w:unhideWhenUsed/>
    <w:rsid w:val="007E7021"/>
    <w:rPr>
      <w:sz w:val="16"/>
      <w:szCs w:val="16"/>
    </w:rPr>
  </w:style>
  <w:style w:type="paragraph" w:styleId="CommentText">
    <w:name w:val="annotation text"/>
    <w:basedOn w:val="Normal"/>
    <w:link w:val="CommentTextChar"/>
    <w:uiPriority w:val="99"/>
    <w:unhideWhenUsed/>
    <w:rsid w:val="007E7021"/>
    <w:pPr>
      <w:spacing w:after="240"/>
    </w:pPr>
    <w:rPr>
      <w:sz w:val="20"/>
      <w:szCs w:val="20"/>
      <w:lang w:bidi="ar-SA"/>
    </w:rPr>
  </w:style>
  <w:style w:type="character" w:customStyle="1" w:styleId="CommentTextChar">
    <w:name w:val="Comment Text Char"/>
    <w:basedOn w:val="DefaultParagraphFont"/>
    <w:link w:val="CommentText"/>
    <w:uiPriority w:val="99"/>
    <w:rsid w:val="007E7021"/>
    <w:rPr>
      <w:sz w:val="20"/>
      <w:szCs w:val="20"/>
      <w:lang w:bidi="ar-SA"/>
    </w:rPr>
  </w:style>
  <w:style w:type="paragraph" w:styleId="CommentSubject">
    <w:name w:val="annotation subject"/>
    <w:basedOn w:val="CommentText"/>
    <w:next w:val="CommentText"/>
    <w:link w:val="CommentSubjectChar"/>
    <w:uiPriority w:val="99"/>
    <w:semiHidden/>
    <w:unhideWhenUsed/>
    <w:rsid w:val="007E7021"/>
    <w:rPr>
      <w:b/>
      <w:bCs/>
    </w:rPr>
  </w:style>
  <w:style w:type="character" w:customStyle="1" w:styleId="CommentSubjectChar">
    <w:name w:val="Comment Subject Char"/>
    <w:basedOn w:val="CommentTextChar"/>
    <w:link w:val="CommentSubject"/>
    <w:uiPriority w:val="99"/>
    <w:semiHidden/>
    <w:rsid w:val="007E7021"/>
    <w:rPr>
      <w:b/>
      <w:bCs/>
      <w:sz w:val="20"/>
      <w:szCs w:val="20"/>
      <w:lang w:bidi="ar-SA"/>
    </w:rPr>
  </w:style>
  <w:style w:type="paragraph" w:styleId="BalloonText">
    <w:name w:val="Balloon Text"/>
    <w:basedOn w:val="Normal"/>
    <w:link w:val="BalloonTextChar"/>
    <w:uiPriority w:val="99"/>
    <w:semiHidden/>
    <w:unhideWhenUsed/>
    <w:rsid w:val="007E7021"/>
    <w:pPr>
      <w:spacing w:after="0"/>
    </w:pPr>
    <w:rPr>
      <w:rFonts w:ascii="Segoe UI" w:hAnsi="Segoe UI" w:cs="Segoe UI"/>
      <w:sz w:val="18"/>
      <w:szCs w:val="18"/>
      <w:lang w:bidi="ar-SA"/>
    </w:rPr>
  </w:style>
  <w:style w:type="character" w:customStyle="1" w:styleId="BalloonTextChar">
    <w:name w:val="Balloon Text Char"/>
    <w:basedOn w:val="DefaultParagraphFont"/>
    <w:link w:val="BalloonText"/>
    <w:uiPriority w:val="99"/>
    <w:semiHidden/>
    <w:rsid w:val="007E7021"/>
    <w:rPr>
      <w:rFonts w:ascii="Segoe UI" w:hAnsi="Segoe UI" w:cs="Segoe UI"/>
      <w:sz w:val="18"/>
      <w:szCs w:val="18"/>
      <w:lang w:bidi="ar-SA"/>
    </w:rPr>
  </w:style>
  <w:style w:type="character" w:styleId="SubtleEmphasis">
    <w:name w:val="Subtle Emphasis"/>
    <w:basedOn w:val="DefaultParagraphFont"/>
    <w:uiPriority w:val="19"/>
    <w:qFormat/>
    <w:rsid w:val="007E7021"/>
    <w:rPr>
      <w:i/>
      <w:iCs/>
      <w:color w:val="404040" w:themeColor="text1" w:themeTint="BF"/>
    </w:rPr>
  </w:style>
  <w:style w:type="character" w:styleId="FollowedHyperlink">
    <w:name w:val="FollowedHyperlink"/>
    <w:basedOn w:val="DefaultParagraphFont"/>
    <w:uiPriority w:val="99"/>
    <w:semiHidden/>
    <w:unhideWhenUsed/>
    <w:rsid w:val="007E7021"/>
    <w:rPr>
      <w:color w:val="954F72" w:themeColor="followedHyperlink"/>
      <w:u w:val="single"/>
    </w:rPr>
  </w:style>
  <w:style w:type="paragraph" w:styleId="NormalWeb">
    <w:name w:val="Normal (Web)"/>
    <w:basedOn w:val="Normal"/>
    <w:uiPriority w:val="99"/>
    <w:semiHidden/>
    <w:unhideWhenUsed/>
    <w:rsid w:val="007E7021"/>
    <w:pPr>
      <w:spacing w:before="100" w:beforeAutospacing="1" w:after="100" w:afterAutospacing="1"/>
    </w:pPr>
    <w:rPr>
      <w:rFonts w:ascii="Times New Roman" w:eastAsiaTheme="minorHAnsi" w:hAnsi="Times New Roman" w:cs="Times New Roman"/>
      <w:sz w:val="24"/>
      <w:szCs w:val="24"/>
      <w:lang w:eastAsia="en-AU" w:bidi="ar-SA"/>
    </w:rPr>
  </w:style>
  <w:style w:type="paragraph" w:styleId="BodyText">
    <w:name w:val="Body Text"/>
    <w:basedOn w:val="Normal"/>
    <w:link w:val="BodyTextChar"/>
    <w:rsid w:val="007E7021"/>
    <w:pPr>
      <w:spacing w:after="340" w:line="340" w:lineRule="exact"/>
      <w:jc w:val="both"/>
    </w:pPr>
    <w:rPr>
      <w:rFonts w:ascii="Times New Roman" w:eastAsia="Times New Roman" w:hAnsi="Times New Roman" w:cs="Times New Roman"/>
      <w:noProof/>
      <w:sz w:val="23"/>
      <w:szCs w:val="20"/>
      <w:lang w:eastAsia="en-US" w:bidi="ar-SA"/>
    </w:rPr>
  </w:style>
  <w:style w:type="character" w:customStyle="1" w:styleId="BodyTextChar">
    <w:name w:val="Body Text Char"/>
    <w:basedOn w:val="DefaultParagraphFont"/>
    <w:link w:val="BodyText"/>
    <w:rsid w:val="007E7021"/>
    <w:rPr>
      <w:rFonts w:ascii="Times New Roman" w:eastAsia="Times New Roman" w:hAnsi="Times New Roman" w:cs="Times New Roman"/>
      <w:noProof/>
      <w:sz w:val="23"/>
      <w:szCs w:val="20"/>
      <w:lang w:eastAsia="en-US" w:bidi="ar-SA"/>
    </w:rPr>
  </w:style>
  <w:style w:type="paragraph" w:styleId="Revision">
    <w:name w:val="Revision"/>
    <w:hidden/>
    <w:uiPriority w:val="99"/>
    <w:semiHidden/>
    <w:rsid w:val="007E7021"/>
    <w:pPr>
      <w:spacing w:after="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codereview@communications.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communications.gov.au/codereview"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1.jpg@01CF53E2.F599DED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dereview@communication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26" Type="http://schemas.openxmlformats.org/officeDocument/2006/relationships/hyperlink" Target="https://www.communications.gov.au/have-your-say/review-code-conduct-copyright-collecting-societies" TargetMode="External"/><Relationship Id="rId117" Type="http://schemas.openxmlformats.org/officeDocument/2006/relationships/hyperlink" Target="http://apraamcos.com.au/feedback-centre/alternative-dispute-resolution/" TargetMode="External"/><Relationship Id="rId21" Type="http://schemas.openxmlformats.org/officeDocument/2006/relationships/hyperlink" Target="http://www.ppca.com.au/IgnitionSuite/uploads/docs/Collecting%20Societies%20Triennial%20Review%20Report%202017.pdf" TargetMode="External"/><Relationship Id="rId42" Type="http://schemas.openxmlformats.org/officeDocument/2006/relationships/hyperlink" Target="http://www.uil-sipo.si/uploads/media/WIPO_TAG_Compendium.pdf" TargetMode="External"/><Relationship Id="rId47" Type="http://schemas.openxmlformats.org/officeDocument/2006/relationships/hyperlink" Target="https://www.pls.org.uk/media/369214/PLS-ATR-2017-FINAL-050717.pdf" TargetMode="External"/><Relationship Id="rId63" Type="http://schemas.openxmlformats.org/officeDocument/2006/relationships/hyperlink" Target="http://www.ppca.com.au/IgnitionSuite/uploads/docs/Collecting%20Societies%20Triennial%20Review%202014.pdf" TargetMode="External"/><Relationship Id="rId68" Type="http://schemas.openxmlformats.org/officeDocument/2006/relationships/hyperlink" Target="https://www.screenrights.org/sites/default/files/uploads/report2003-4.pdf" TargetMode="External"/><Relationship Id="rId84" Type="http://schemas.openxmlformats.org/officeDocument/2006/relationships/hyperlink" Target="https://www.communications.gov.au/sites/g/files/net301/f/submissions/10781-copyright-advisory-group.pdf" TargetMode="External"/><Relationship Id="rId89" Type="http://schemas.openxmlformats.org/officeDocument/2006/relationships/hyperlink" Target="https://www.communications.gov.au/sites/g/files/net301/f/submissions/10781-australian-digital-alliance.pdf" TargetMode="External"/><Relationship Id="rId112" Type="http://schemas.openxmlformats.org/officeDocument/2006/relationships/hyperlink" Target="https://www.pc.gov.au/inquiries/completed/intellectual-property/report" TargetMode="External"/><Relationship Id="rId133" Type="http://schemas.openxmlformats.org/officeDocument/2006/relationships/hyperlink" Target="http://eur-lex.europa.eu/legal-content/EN/TXT/?uri=celex%3A32014L0026" TargetMode="External"/><Relationship Id="rId138" Type="http://schemas.openxmlformats.org/officeDocument/2006/relationships/hyperlink" Target="https://static-copyright-com-au.s3.amazonaws.com/uploads/2017/01/Annual-Report-2016.pdf" TargetMode="External"/><Relationship Id="rId16" Type="http://schemas.openxmlformats.org/officeDocument/2006/relationships/hyperlink" Target="https://www.alrc.gov.au/sites/default/files/pdfs/publications/final_report_alrc_122_2nd_december_2013_.pdf" TargetMode="External"/><Relationship Id="rId107" Type="http://schemas.openxmlformats.org/officeDocument/2006/relationships/hyperlink" Target="http://eur-lex.europa.eu/legal-content/EN/TXT/?uri=celex%3A32014L0026" TargetMode="External"/><Relationship Id="rId11" Type="http://schemas.openxmlformats.org/officeDocument/2006/relationships/hyperlink" Target="https://www.communications.gov.au/sites/g/files/net301/f/submissions/10781-isentia.pdf" TargetMode="External"/><Relationship Id="rId32" Type="http://schemas.openxmlformats.org/officeDocument/2006/relationships/hyperlink" Target="http://www.austlii.edu.au/au/legis/cth/consol_reg/cr1969242/s23l.html" TargetMode="External"/><Relationship Id="rId37" Type="http://schemas.openxmlformats.org/officeDocument/2006/relationships/hyperlink" Target="https://static-copyright-com-au.s3.amazonaws.com/uploads/2015/04/Code-amendment-proposal-2014-11-13.pdf" TargetMode="External"/><Relationship Id="rId53" Type="http://schemas.openxmlformats.org/officeDocument/2006/relationships/hyperlink" Target="https://www.communications.gov.au/sites/g/files/net301/f/submissions/10781-screenrights.pdf" TargetMode="External"/><Relationship Id="rId58" Type="http://schemas.openxmlformats.org/officeDocument/2006/relationships/hyperlink" Target="http://www.austlii.edu.au/au/cases/cth/ACopyT/2002/1.html" TargetMode="External"/><Relationship Id="rId74" Type="http://schemas.openxmlformats.org/officeDocument/2006/relationships/hyperlink" Target="https://www.communications.gov.au/sites/g/files/net301/f/submissions/10781-free-tv-australia.pdf" TargetMode="External"/><Relationship Id="rId79" Type="http://schemas.openxmlformats.org/officeDocument/2006/relationships/hyperlink" Target="http://www.ppca.com.au/IgnitionSuite/uploads/docs/Collecting%20Societies%20Triennial%20Review%202014.pdf" TargetMode="External"/><Relationship Id="rId102" Type="http://schemas.openxmlformats.org/officeDocument/2006/relationships/hyperlink" Target="http://www.smh.com.au/federal-politics/political-news/copyright-agency-diverts-funds-meant-for-authors-to-15m-fighting-fund-20170420-gvol0w.html" TargetMode="External"/><Relationship Id="rId123" Type="http://schemas.openxmlformats.org/officeDocument/2006/relationships/hyperlink" Target="https://resolution.screenrights.org/express-resolution/" TargetMode="External"/><Relationship Id="rId128" Type="http://schemas.openxmlformats.org/officeDocument/2006/relationships/hyperlink" Target="https://static-copyright-com-au.s3.amazonaws.com/uploads/2016/10/R01766-Code-Reviewers-Compliance-Report-2016-Final.pdf" TargetMode="External"/><Relationship Id="rId144" Type="http://schemas.openxmlformats.org/officeDocument/2006/relationships/hyperlink" Target="https://www.screenrights.org/sites/default/files/publication/file/AVCS_4505_SCAR_4.10.17_FIN.pdf" TargetMode="External"/><Relationship Id="rId149" Type="http://schemas.openxmlformats.org/officeDocument/2006/relationships/hyperlink" Target="http://apraamcos.com.au/media/corporate/2016/apra_sustainability_report_2016.pdf" TargetMode="External"/><Relationship Id="rId5" Type="http://schemas.openxmlformats.org/officeDocument/2006/relationships/hyperlink" Target="https://www.communications.gov.au/sites/g/files/net301/f/submissions/10781-copyright-agency.pdf" TargetMode="External"/><Relationship Id="rId90" Type="http://schemas.openxmlformats.org/officeDocument/2006/relationships/hyperlink" Target="https://www.communications.gov.au/sites/g/files/net301/f/submissions/10781-free-tv-australia.pdf" TargetMode="External"/><Relationship Id="rId95" Type="http://schemas.openxmlformats.org/officeDocument/2006/relationships/hyperlink" Target="https://www.accc.gov.au/system/files/Guidelines%20for%20developing%20effective%20voluntary%20industry%20codes%20of%20conduct.pdf" TargetMode="External"/><Relationship Id="rId22" Type="http://schemas.openxmlformats.org/officeDocument/2006/relationships/hyperlink" Target="https://www.communications.gov.au/sites/g/files/net301/f/submissions/10781-universities-australia.pdf" TargetMode="External"/><Relationship Id="rId27" Type="http://schemas.openxmlformats.org/officeDocument/2006/relationships/hyperlink" Target="https://www.communications.gov.au/sites/g/files/net301/f/submissions/10781-copyright-agency.pdf" TargetMode="External"/><Relationship Id="rId43" Type="http://schemas.openxmlformats.org/officeDocument/2006/relationships/hyperlink" Target="http://www.uil-sipo.si/uploads/media/WIPO_TAG_Compendium.pdf" TargetMode="External"/><Relationship Id="rId48" Type="http://schemas.openxmlformats.org/officeDocument/2006/relationships/hyperlink" Target="https://www.communications.gov.au/sites/g/files/net301/f/submissions/10781-queensland-university-of-technology-school-of-law.pdf" TargetMode="External"/><Relationship Id="rId64" Type="http://schemas.openxmlformats.org/officeDocument/2006/relationships/hyperlink" Target="http://apraamcos.com.au/media/3438/2014finaldetermination.pdf" TargetMode="External"/><Relationship Id="rId69" Type="http://schemas.openxmlformats.org/officeDocument/2006/relationships/hyperlink" Target="https://www.screenrights.org/sites/default/files/uploads/report2003-4.pdf" TargetMode="External"/><Relationship Id="rId113" Type="http://schemas.openxmlformats.org/officeDocument/2006/relationships/hyperlink" Target="https://www.industry.gov.au/innovation/Intellectual-Property/Documents/Government-Response-to-PC-Inquiry-into-IP.pdf" TargetMode="External"/><Relationship Id="rId118" Type="http://schemas.openxmlformats.org/officeDocument/2006/relationships/hyperlink" Target="https://static-copyright-com-au.s3.amazonaws.com/uploads/2015/04/R01457-Code-Reviewers-Compliance-Report-2015-Final-23-Dec-15.pdf" TargetMode="External"/><Relationship Id="rId134" Type="http://schemas.openxmlformats.org/officeDocument/2006/relationships/hyperlink" Target="http://statutes.agc.gov.sg/aol/search/display/view.w3p;page=0;query=DocId%3A%22e20124e1-6616-4dc5-865f-c83553293ed3%22%20Status%3Ainforce%20Depth%3A0;rec=0" TargetMode="External"/><Relationship Id="rId139" Type="http://schemas.openxmlformats.org/officeDocument/2006/relationships/hyperlink" Target="https://static-copyright-com-au.s3.amazonaws.com/uploads/2017/01/Annual-Report-2016.pdf" TargetMode="External"/><Relationship Id="rId80" Type="http://schemas.openxmlformats.org/officeDocument/2006/relationships/hyperlink" Target="https://www.communications.gov.au/sites/g/files/net301/f/submissions/10781-copyright-advisory-group.pdf" TargetMode="External"/><Relationship Id="rId85" Type="http://schemas.openxmlformats.org/officeDocument/2006/relationships/hyperlink" Target="https://www.communications.gov.au/sites/g/files/net301/f/submissions/10781-copyright-advisory-group.pdf" TargetMode="External"/><Relationship Id="rId150" Type="http://schemas.openxmlformats.org/officeDocument/2006/relationships/hyperlink" Target="http://www.ppca.com.au/IgnitionSuite/uploads/docs/2016%20PPCA%20ANNUAL%20REPORT.pdf" TargetMode="External"/><Relationship Id="rId3" Type="http://schemas.openxmlformats.org/officeDocument/2006/relationships/hyperlink" Target="https://www.industry.gov.au/innovation/Intellectual-Property/Documents/Government-Response-to-PC-Inquiry-into-IP.pdf" TargetMode="External"/><Relationship Id="rId12" Type="http://schemas.openxmlformats.org/officeDocument/2006/relationships/hyperlink" Target="https://www.communications.gov.au/sites/g/files/net301/f/submissions/10781-free-tv-australia.pdf" TargetMode="External"/><Relationship Id="rId17" Type="http://schemas.openxmlformats.org/officeDocument/2006/relationships/hyperlink" Target="https://www.pc.gov.au/__data/assets/pdf_file/0010/194860/sub101-intellectual-property.pdf" TargetMode="External"/><Relationship Id="rId25" Type="http://schemas.openxmlformats.org/officeDocument/2006/relationships/hyperlink" Target="http://www.pc.gov.au/__data/assets/pdf_file/0020/204572/subdr610-intellectual-property.pdf" TargetMode="External"/><Relationship Id="rId33" Type="http://schemas.openxmlformats.org/officeDocument/2006/relationships/hyperlink" Target="http://www.austlii.edu.au/au/legis/cth/consol_reg/cr1969242/s23l.html" TargetMode="External"/><Relationship Id="rId38" Type="http://schemas.openxmlformats.org/officeDocument/2006/relationships/hyperlink" Target="https://www.communications.gov.au/have-your-say/review-code-conduct-copyright-collecting-societies" TargetMode="External"/><Relationship Id="rId46" Type="http://schemas.openxmlformats.org/officeDocument/2006/relationships/hyperlink" Target="http://www.legislation.gov.uk/uksi/2016/221/pdfs/uksi_20160221_en.pdf" TargetMode="External"/><Relationship Id="rId59" Type="http://schemas.openxmlformats.org/officeDocument/2006/relationships/hyperlink" Target="https://www.communications.gov.au/sites/g/files/net301/f/submissions/10781-universities-australia.pdf" TargetMode="External"/><Relationship Id="rId67" Type="http://schemas.openxmlformats.org/officeDocument/2006/relationships/hyperlink" Target="https://www.accc.gov.au/system/files/Guidelines%20for%20developing%20effective%20voluntary%20industry%20codes%20of%20conduct.pdf" TargetMode="External"/><Relationship Id="rId103" Type="http://schemas.openxmlformats.org/officeDocument/2006/relationships/hyperlink" Target="https://static-copyright-com-au.s3.amazonaws.com/uploads/2016/06/Copyright-Agency-Limited-30-June-2017.pdf" TargetMode="External"/><Relationship Id="rId108" Type="http://schemas.openxmlformats.org/officeDocument/2006/relationships/hyperlink" Target="https://www.communications.gov.au/sites/g/files/net301/f/submissions/10781-queensland-university-of-technology-school-of-law.pdf" TargetMode="External"/><Relationship Id="rId116" Type="http://schemas.openxmlformats.org/officeDocument/2006/relationships/hyperlink" Target="http://apraamcos.com.au/media/3438/2014finaldetermination.pdf" TargetMode="External"/><Relationship Id="rId124" Type="http://schemas.openxmlformats.org/officeDocument/2006/relationships/hyperlink" Target="https://www.screenrights.org/sites/default/files/uploads/ADR_Policy.pdf" TargetMode="External"/><Relationship Id="rId129" Type="http://schemas.openxmlformats.org/officeDocument/2006/relationships/hyperlink" Target="http://eur-lex.europa.eu/legal-content/EN/TXT/?uri=celex%3A32014L0026" TargetMode="External"/><Relationship Id="rId137" Type="http://schemas.openxmlformats.org/officeDocument/2006/relationships/hyperlink" Target="https://www.screenrights.org/sites/default/files/publication/file/AVCS_4505_SCAR_4.10.17_FIN.pdf" TargetMode="External"/><Relationship Id="rId20" Type="http://schemas.openxmlformats.org/officeDocument/2006/relationships/hyperlink" Target="https://www.communications.gov.au/sites/g/files/net301/f/submissions/10781-copyright-agency.pdf" TargetMode="External"/><Relationship Id="rId41" Type="http://schemas.openxmlformats.org/officeDocument/2006/relationships/hyperlink" Target="https://www.communications.gov.au/have-your-say/review-code-conduct-copyright-collecting-societies" TargetMode="External"/><Relationship Id="rId54" Type="http://schemas.openxmlformats.org/officeDocument/2006/relationships/hyperlink" Target="https://www.communications.gov.au/sites/g/files/net301/f/submissions/10781-live-performance-australia.pdf" TargetMode="External"/><Relationship Id="rId62" Type="http://schemas.openxmlformats.org/officeDocument/2006/relationships/hyperlink" Target="http://www.copyrighttribunal.gov.au/practice-direction" TargetMode="External"/><Relationship Id="rId70" Type="http://schemas.openxmlformats.org/officeDocument/2006/relationships/hyperlink" Target="https://www.screenrights.org/sites/default/files/uploads/CollectingSocietiesCodeReviewersReport2013Final.pdf" TargetMode="External"/><Relationship Id="rId75" Type="http://schemas.openxmlformats.org/officeDocument/2006/relationships/hyperlink" Target="https://www.communications.gov.au/have-your-say/review-code-conduct-copyright-collecting-societies" TargetMode="External"/><Relationship Id="rId83" Type="http://schemas.openxmlformats.org/officeDocument/2006/relationships/hyperlink" Target="https://www.screenrights.org/sites/default/files/uploads/Triennial_Supplementary_Report_-_Oct_15.pdf" TargetMode="External"/><Relationship Id="rId88" Type="http://schemas.openxmlformats.org/officeDocument/2006/relationships/hyperlink" Target="https://www.communications.gov.au/sites/g/files/net301/f/submissions/10781-screenrights.pdf" TargetMode="External"/><Relationship Id="rId91" Type="http://schemas.openxmlformats.org/officeDocument/2006/relationships/hyperlink" Target="https://www.communications.gov.au/sites/g/files/net301/f/submissions/10781-screenrights.pdf" TargetMode="External"/><Relationship Id="rId96" Type="http://schemas.openxmlformats.org/officeDocument/2006/relationships/hyperlink" Target="https://www.accc.gov.au/system/files/Guidelines%20for%20developing%20effective%20voluntary%20industry%20codes%20of%20conduct.pdf" TargetMode="External"/><Relationship Id="rId111" Type="http://schemas.openxmlformats.org/officeDocument/2006/relationships/hyperlink" Target="http://www.pc.gov.au/inquiries/completed/intellectual-property/report/intellectual-property.pdf" TargetMode="External"/><Relationship Id="rId132" Type="http://schemas.openxmlformats.org/officeDocument/2006/relationships/hyperlink" Target="http://eur-lex.europa.eu/legal-content/EN/TXT/?uri=celex%3A32014L0026" TargetMode="External"/><Relationship Id="rId140" Type="http://schemas.openxmlformats.org/officeDocument/2006/relationships/hyperlink" Target="https://www.copyright.com.au/membership/payments/distribution-policy/" TargetMode="External"/><Relationship Id="rId145" Type="http://schemas.openxmlformats.org/officeDocument/2006/relationships/hyperlink" Target="http://apraamcos.com.au/media/Distribution-Rules-and-Practices/APRADistributionPractices.pdf" TargetMode="External"/><Relationship Id="rId1" Type="http://schemas.openxmlformats.org/officeDocument/2006/relationships/hyperlink" Target="https://www.accc.gov.au/system/files/Guidelines%20for%20developing%20effective%20voluntary%20industry%20codes%20of%20conduct.pdf" TargetMode="External"/><Relationship Id="rId6" Type="http://schemas.openxmlformats.org/officeDocument/2006/relationships/hyperlink" Target="https://www.communications.gov.au/have-your-say/review-code-conduct-copyright-collecting-societies" TargetMode="External"/><Relationship Id="rId15" Type="http://schemas.openxmlformats.org/officeDocument/2006/relationships/hyperlink" Target="https://www.communications.gov.au/sites/g/files/net301/f/submissions/10781-screenrights.pdf" TargetMode="External"/><Relationship Id="rId23" Type="http://schemas.openxmlformats.org/officeDocument/2006/relationships/hyperlink" Target="https://www.communications.gov.au/sites/g/files/net301/f/submissions/10781-live-performance-australia.pdf" TargetMode="External"/><Relationship Id="rId28" Type="http://schemas.openxmlformats.org/officeDocument/2006/relationships/hyperlink" Target="https://www.communications.gov.au/sites/g/files/net301/f/submissions/10781-copyright-agency.pdf" TargetMode="External"/><Relationship Id="rId36" Type="http://schemas.openxmlformats.org/officeDocument/2006/relationships/hyperlink" Target="https://www.communications.gov.au/sites/g/files/net301/f/submissions/10781-council-of-australian-university-librarians.pdf" TargetMode="External"/><Relationship Id="rId49" Type="http://schemas.openxmlformats.org/officeDocument/2006/relationships/hyperlink" Target="https://www.communications.gov.au/sites/g/files/net301/f/submissions/10781-live-performance-australia.pdf" TargetMode="External"/><Relationship Id="rId57" Type="http://schemas.openxmlformats.org/officeDocument/2006/relationships/hyperlink" Target="http://www.ppca.com.au/IgnitionSuite/uploads/docs/Collecting%20Societies%20Triennial%20Review%202014.pdf" TargetMode="External"/><Relationship Id="rId106" Type="http://schemas.openxmlformats.org/officeDocument/2006/relationships/hyperlink" Target="https://www.communications.gov.au/sites/g/files/net301/f/submissions/10781-universities-australia.pdf" TargetMode="External"/><Relationship Id="rId114" Type="http://schemas.openxmlformats.org/officeDocument/2006/relationships/hyperlink" Target="https://www.legislation.gov.au/Details/F2010L00791" TargetMode="External"/><Relationship Id="rId119" Type="http://schemas.openxmlformats.org/officeDocument/2006/relationships/hyperlink" Target="http://www.resolutionpathways.com.au/Costs" TargetMode="External"/><Relationship Id="rId127" Type="http://schemas.openxmlformats.org/officeDocument/2006/relationships/hyperlink" Target="http://awgau.s3-ap-southeast-2.amazonaws.com/wordpress/wp-content/uploads/2016/04/18200446/AWGACS-Complaints-and-Disputes-Procedures-03.16-FINAL.pdf" TargetMode="External"/><Relationship Id="rId10" Type="http://schemas.openxmlformats.org/officeDocument/2006/relationships/hyperlink" Target="http://apraamcos.com.au/media/Customers/State_LG_Consultation_Doc.pdf" TargetMode="External"/><Relationship Id="rId31" Type="http://schemas.openxmlformats.org/officeDocument/2006/relationships/hyperlink" Target="https://static-copyright-com-au.s3.amazonaws.com/uploads/2015/04/R00561-Guidelines-for-declaring-Collecting-Societies-2001-1.pdf" TargetMode="External"/><Relationship Id="rId44" Type="http://schemas.openxmlformats.org/officeDocument/2006/relationships/hyperlink" Target="http://www.wipo.int/edocs/mdocs/copyright/en/wipo_ccm_ge_18/wipo_ccm_ge_18_toolkit.pdf" TargetMode="External"/><Relationship Id="rId52" Type="http://schemas.openxmlformats.org/officeDocument/2006/relationships/hyperlink" Target="https://www.communications.gov.au/have-your-say/review-code-conduct-copyright-collecting-societies" TargetMode="External"/><Relationship Id="rId60" Type="http://schemas.openxmlformats.org/officeDocument/2006/relationships/hyperlink" Target="https://www.communications.gov.au/sites/g/files/net301/f/submissions/10781-live-performance-australia.pdf" TargetMode="External"/><Relationship Id="rId65" Type="http://schemas.openxmlformats.org/officeDocument/2006/relationships/hyperlink" Target="http://archive.treasury.gov.au/documents/2035/PDF/Policy%20Guidelines%20on%20Prescribing%20Industry%20Codes.pdf" TargetMode="External"/><Relationship Id="rId73" Type="http://schemas.openxmlformats.org/officeDocument/2006/relationships/hyperlink" Target="https://www.accc.gov.au/system/files/Guidelines%20for%20developing%20effective%20voluntary%20industry%20codes%20of%20conduct.pdf" TargetMode="External"/><Relationship Id="rId78" Type="http://schemas.openxmlformats.org/officeDocument/2006/relationships/hyperlink" Target="https://www.accc.gov.au/system/files/Guidelines%20for%20developing%20effective%20voluntary%20industry%20codes%20of%20conduct.pdf" TargetMode="External"/><Relationship Id="rId81" Type="http://schemas.openxmlformats.org/officeDocument/2006/relationships/hyperlink" Target="https://www.screenrights.org/sites/default/files/uploads/Triennial_Supplementary_Report_-_Oct_15.pdf" TargetMode="External"/><Relationship Id="rId86" Type="http://schemas.openxmlformats.org/officeDocument/2006/relationships/hyperlink" Target="https://www.communications.gov.au/sites/g/files/net301/f/submissions/10781-copyright-advisory-group.pdf" TargetMode="External"/><Relationship Id="rId94" Type="http://schemas.openxmlformats.org/officeDocument/2006/relationships/hyperlink" Target="http://www.pc.gov.au/inquiries/completed/intellectual-property/report" TargetMode="External"/><Relationship Id="rId99" Type="http://schemas.openxmlformats.org/officeDocument/2006/relationships/hyperlink" Target="https://www.communications.gov.au/sites/g/files/net301/f/submissions/10781-free-tv-australia.pdf" TargetMode="External"/><Relationship Id="rId101" Type="http://schemas.openxmlformats.org/officeDocument/2006/relationships/hyperlink" Target="https://www.communications.gov.au/sites/g/files/net301/f/submissions/10781-australian-publishers-association-limited.pdf" TargetMode="External"/><Relationship Id="rId122" Type="http://schemas.openxmlformats.org/officeDocument/2006/relationships/hyperlink" Target="https://www.communications.gov.au/sites/g/files/net301/f/submissions/10781-copyright-agency.pdf" TargetMode="External"/><Relationship Id="rId130" Type="http://schemas.openxmlformats.org/officeDocument/2006/relationships/hyperlink" Target="http://www.pc.gov.au/inquiries/completed/intellectual-property/report/intellectual-property.pdf" TargetMode="External"/><Relationship Id="rId135" Type="http://schemas.openxmlformats.org/officeDocument/2006/relationships/hyperlink" Target="http://legislation.govt.nz/act/public/1994/0143/105.0/DLM345634.html" TargetMode="External"/><Relationship Id="rId143" Type="http://schemas.openxmlformats.org/officeDocument/2006/relationships/hyperlink" Target="http://apraamcos.com.au/media/YIR/2017/APRA_Statutory-Accounts_2017_AU.pdf" TargetMode="External"/><Relationship Id="rId148" Type="http://schemas.openxmlformats.org/officeDocument/2006/relationships/hyperlink" Target="http://apraamcos.com.au/media/YIR/2017/APRA_AMCOS_Year_in_Review_2017_AU.pdf" TargetMode="External"/><Relationship Id="rId4" Type="http://schemas.openxmlformats.org/officeDocument/2006/relationships/hyperlink" Target="https://www.communications.gov.au/sites/g/files/net301/f/submissions/10781-australian-copyright-council.pdf" TargetMode="External"/><Relationship Id="rId9" Type="http://schemas.openxmlformats.org/officeDocument/2006/relationships/hyperlink" Target="https://www.communications.gov.au/have-your-say/review-code-conduct-copyright-collecting-societies" TargetMode="External"/><Relationship Id="rId13" Type="http://schemas.openxmlformats.org/officeDocument/2006/relationships/hyperlink" Target="http://www.pc.gov.au/__data/assets/pdf_file/0006/198645/subdr154-intellectual-property.pdf" TargetMode="External"/><Relationship Id="rId18" Type="http://schemas.openxmlformats.org/officeDocument/2006/relationships/hyperlink" Target="https://www.communications.gov.au/sites/g/files/net301/f/submissions/10781-live-performance-australia.pdf" TargetMode="External"/><Relationship Id="rId39" Type="http://schemas.openxmlformats.org/officeDocument/2006/relationships/hyperlink" Target="https://static-copyright-com-au.s3.amazonaws.com/uploads/2016/12/R01818-distribution-policy-Nov-2016.pdf" TargetMode="External"/><Relationship Id="rId109" Type="http://schemas.openxmlformats.org/officeDocument/2006/relationships/hyperlink" Target="https://www.communications.gov.au/have-your-say/review-code-conduct-copyright-collecting-societies" TargetMode="External"/><Relationship Id="rId34" Type="http://schemas.openxmlformats.org/officeDocument/2006/relationships/hyperlink" Target="https://static-copyright-com-au.s3.amazonaws.com/uploads/2017/01/Annual-Report-2016.pdf" TargetMode="External"/><Relationship Id="rId50" Type="http://schemas.openxmlformats.org/officeDocument/2006/relationships/hyperlink" Target="https://www.accc.gov.au/system/files/Guidelines%20for%20developing%20effective%20voluntary%20industry%20codes%20of%20conduct.pdf" TargetMode="External"/><Relationship Id="rId55" Type="http://schemas.openxmlformats.org/officeDocument/2006/relationships/hyperlink" Target="http://apraamcos.com.au/media/1484/code-of-conduct-report-2011-triennial.pdf" TargetMode="External"/><Relationship Id="rId76" Type="http://schemas.openxmlformats.org/officeDocument/2006/relationships/hyperlink" Target="https://www.communications.gov.au/have-your-say/review-code-conduct-copyright-collecting-societies" TargetMode="External"/><Relationship Id="rId97" Type="http://schemas.openxmlformats.org/officeDocument/2006/relationships/hyperlink" Target="https://www.accc.gov.au/system/files/Guidelines%20for%20developing%20effective%20voluntary%20industry%20codes%20of%20conduct.pdf" TargetMode="External"/><Relationship Id="rId104" Type="http://schemas.openxmlformats.org/officeDocument/2006/relationships/hyperlink" Target="https://static-copyright-com-au.s3.amazonaws.com/uploads/2015/04/CA-financials-2015-FinalLR.pdf" TargetMode="External"/><Relationship Id="rId120" Type="http://schemas.openxmlformats.org/officeDocument/2006/relationships/hyperlink" Target="http://apraamcos.com.au/news/2016/august/apra-amcos-wins-australian-dispute-centre-award/" TargetMode="External"/><Relationship Id="rId125" Type="http://schemas.openxmlformats.org/officeDocument/2006/relationships/hyperlink" Target="https://www.screenrights.org/sites/default/files/uploads/ISUADRL0413.pdf" TargetMode="External"/><Relationship Id="rId141" Type="http://schemas.openxmlformats.org/officeDocument/2006/relationships/hyperlink" Target="https://static-copyright-com-au.s3.amazonaws.com/uploads/2017/01/Annual-Report-2016.pdf" TargetMode="External"/><Relationship Id="rId146" Type="http://schemas.openxmlformats.org/officeDocument/2006/relationships/hyperlink" Target="http://apraamcos.com.au/media/YIR/2017/APRA_Statutory-Accounts_2017_AU.pdf" TargetMode="External"/><Relationship Id="rId7" Type="http://schemas.openxmlformats.org/officeDocument/2006/relationships/hyperlink" Target="http://copyright.com.au/wp-content/uploads/2015/04/CopyrightAgency-CodeofConduct.pdf" TargetMode="External"/><Relationship Id="rId71" Type="http://schemas.openxmlformats.org/officeDocument/2006/relationships/hyperlink" Target="https://www.screenrights.org/sites/default/files/uploads/CollectingSocietiesCodeReviewersReport2013Final.pdf" TargetMode="External"/><Relationship Id="rId92" Type="http://schemas.openxmlformats.org/officeDocument/2006/relationships/hyperlink" Target="http://archive.treasury.gov.au/documents/2035/PDF/Policy%20Guidelines%20on%20Prescribing%20Industry%20Codes.pdf" TargetMode="External"/><Relationship Id="rId2" Type="http://schemas.openxmlformats.org/officeDocument/2006/relationships/hyperlink" Target="http://www.pc.gov.au/inquiries/completed/intellectual-property/report/intellectual-property.pdf" TargetMode="External"/><Relationship Id="rId29" Type="http://schemas.openxmlformats.org/officeDocument/2006/relationships/hyperlink" Target="https://www.communications.gov.au/have-your-say/review-code-conduct-copyright-collecting-societies" TargetMode="External"/><Relationship Id="rId24" Type="http://schemas.openxmlformats.org/officeDocument/2006/relationships/hyperlink" Target="https://www.communications.gov.au/sites/g/files/net301/f/submissions/10781-copyright-advisory-group.pdf" TargetMode="External"/><Relationship Id="rId40" Type="http://schemas.openxmlformats.org/officeDocument/2006/relationships/hyperlink" Target="http://www.wipo.int/edocs/lexdocs/laws/en/gb/gb326en.pdf" TargetMode="External"/><Relationship Id="rId45" Type="http://schemas.openxmlformats.org/officeDocument/2006/relationships/hyperlink" Target="http://www.legislation.gov.uk/uksi/2016/221/pdfs/uksi_20160221_en.pdf" TargetMode="External"/><Relationship Id="rId66" Type="http://schemas.openxmlformats.org/officeDocument/2006/relationships/hyperlink" Target="http://archive.treasury.gov.au/documents/2035/PDF/Policy%20Guidelines%20on%20Prescribing%20Industry%20Codes.pdf" TargetMode="External"/><Relationship Id="rId87" Type="http://schemas.openxmlformats.org/officeDocument/2006/relationships/hyperlink" Target="https://www.communications.gov.au/sites/g/files/net301/f/submissions/10781-copyright-advisory-group.pdf" TargetMode="External"/><Relationship Id="rId110" Type="http://schemas.openxmlformats.org/officeDocument/2006/relationships/hyperlink" Target="https://www.industry.gov.au/innovation/Intellectual-Property/Documents/Government-Response-to-PC-Inquiry-into-IP.pdf" TargetMode="External"/><Relationship Id="rId115" Type="http://schemas.openxmlformats.org/officeDocument/2006/relationships/hyperlink" Target="http://registers.accc.gov.au/content/trimFile.phtml?trimFileTitle=D17+44265.pdf&amp;trimFileFromVersionId=1201742&amp;trimFileName=D17+44265.pdf" TargetMode="External"/><Relationship Id="rId131" Type="http://schemas.openxmlformats.org/officeDocument/2006/relationships/hyperlink" Target="http://www.uil-sipo.si/uploads/media/WIPO_TAG_Compendium.pdf" TargetMode="External"/><Relationship Id="rId136" Type="http://schemas.openxmlformats.org/officeDocument/2006/relationships/hyperlink" Target="https://www.mlaw.gov.sg/CopyrightReview" TargetMode="External"/><Relationship Id="rId61" Type="http://schemas.openxmlformats.org/officeDocument/2006/relationships/hyperlink" Target="https://www.communications.gov.au/sites/g/files/net301/f/submissions/10781-phonographic-performance-company-of-australia.pdf" TargetMode="External"/><Relationship Id="rId82" Type="http://schemas.openxmlformats.org/officeDocument/2006/relationships/hyperlink" Target="https://www.communications.gov.au/sites/g/files/net301/f/submissions/10781-universities-australia.pdf" TargetMode="External"/><Relationship Id="rId19" Type="http://schemas.openxmlformats.org/officeDocument/2006/relationships/hyperlink" Target="https://static-copyright-com-au.s3.amazonaws.com/uploads/2015/04/Code-amendment-proposal-2014-11-13.pdf" TargetMode="External"/><Relationship Id="rId14" Type="http://schemas.openxmlformats.org/officeDocument/2006/relationships/hyperlink" Target="https://www.communications.gov.au/have-your-say/review-code-conduct-copyright-collecting-societies" TargetMode="External"/><Relationship Id="rId30" Type="http://schemas.openxmlformats.org/officeDocument/2006/relationships/hyperlink" Target="https://www.communications.gov.au/sites/g/files/net301/f/submissions/10781-copyright-agency.pdf" TargetMode="External"/><Relationship Id="rId35" Type="http://schemas.openxmlformats.org/officeDocument/2006/relationships/hyperlink" Target="https://www.screenrights.org/sites/default/files/publication/file/AVCS_4505_SCAR_4.10.17_FIN.pdf" TargetMode="External"/><Relationship Id="rId56" Type="http://schemas.openxmlformats.org/officeDocument/2006/relationships/hyperlink" Target="https://www.screenrights.org/sites/default/files/uploads/report2003-4.pdf" TargetMode="External"/><Relationship Id="rId77" Type="http://schemas.openxmlformats.org/officeDocument/2006/relationships/hyperlink" Target="https://www.accc.gov.au/system/files/Guidelines%20for%20developing%20effective%20voluntary%20industry%20codes%20of%20conduct.pdf" TargetMode="External"/><Relationship Id="rId100" Type="http://schemas.openxmlformats.org/officeDocument/2006/relationships/hyperlink" Target="https://www.communications.gov.au/sites/g/files/net301/f/submissions/10781-universities-australia.pdf" TargetMode="External"/><Relationship Id="rId105" Type="http://schemas.openxmlformats.org/officeDocument/2006/relationships/hyperlink" Target="https://static-copyright-com-au.s3.amazonaws.com/uploads/2016/06/Copyright-Agency-Limited-30-June-2017.pdf" TargetMode="External"/><Relationship Id="rId126" Type="http://schemas.openxmlformats.org/officeDocument/2006/relationships/hyperlink" Target="http://www.ppca.com.au/IgnitionSuite/uploads/docs/PPCAComplaintsandDisputesPolicyApril2008.pdf" TargetMode="External"/><Relationship Id="rId147" Type="http://schemas.openxmlformats.org/officeDocument/2006/relationships/hyperlink" Target="http://apraamcos.com.au/media/YIR/2017/APRA_Statutory-Accounts_2017_AU.pdf" TargetMode="External"/><Relationship Id="rId8" Type="http://schemas.openxmlformats.org/officeDocument/2006/relationships/hyperlink" Target="http://www.pc.gov.au/inquiries/completed/intellectual-property/report/intellectual-property.pdf" TargetMode="External"/><Relationship Id="rId51" Type="http://schemas.openxmlformats.org/officeDocument/2006/relationships/hyperlink" Target="https://www.accc.gov.au/system/files/Guidelines%20for%20developing%20effective%20voluntary%20industry%20codes%20of%20conduct.pdf" TargetMode="External"/><Relationship Id="rId72" Type="http://schemas.openxmlformats.org/officeDocument/2006/relationships/hyperlink" Target="https://www.communications.gov.au/have-your-say/review-code-conduct-copyright-collecting-societies" TargetMode="External"/><Relationship Id="rId93" Type="http://schemas.openxmlformats.org/officeDocument/2006/relationships/hyperlink" Target="https://www.business.gov.au/info/run/fair-trading/codes-of-practice" TargetMode="External"/><Relationship Id="rId98" Type="http://schemas.openxmlformats.org/officeDocument/2006/relationships/hyperlink" Target="https://www.communications.gov.au/sites/g/files/net301/f/submissions/10781-screenrights.pdf" TargetMode="External"/><Relationship Id="rId121" Type="http://schemas.openxmlformats.org/officeDocument/2006/relationships/hyperlink" Target="https://www.copyright.com.au/about-us/governance/compliments-complaints/dispute-resolution/" TargetMode="External"/><Relationship Id="rId142" Type="http://schemas.openxmlformats.org/officeDocument/2006/relationships/hyperlink" Target="http://www.ppca.com.au/IgnitionSuite/uploads/docs/2016%20PPCA%20ANNUAL%20REPOR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85A364BC6364298AF17771C802905" ma:contentTypeVersion="0" ma:contentTypeDescription="Create a new document." ma:contentTypeScope="" ma:versionID="4cb215e04dc10a655e0a04c4b60120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93383-8911-462C-834E-C06E4C155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B99409-7918-4752-9550-AE72491327D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50B4561-60EE-43FD-BAAB-60B1E24DF8E8}">
  <ds:schemaRefs>
    <ds:schemaRef ds:uri="http://schemas.microsoft.com/sharepoint/v3/contenttype/forms"/>
  </ds:schemaRefs>
</ds:datastoreItem>
</file>

<file path=customXml/itemProps4.xml><?xml version="1.0" encoding="utf-8"?>
<ds:datastoreItem xmlns:ds="http://schemas.openxmlformats.org/officeDocument/2006/customXml" ds:itemID="{902CEFA9-5178-464A-906B-C1C757FD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B975FBEA.dotm</Template>
  <TotalTime>0</TotalTime>
  <Pages>67</Pages>
  <Words>26709</Words>
  <Characters>152247</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Draft report - review-of-code-of-conduct-for-australian-copyright-collecting-societies.docx</vt:lpstr>
    </vt:vector>
  </TitlesOfParts>
  <Company>Department of Communications</Company>
  <LinksUpToDate>false</LinksUpToDate>
  <CharactersWithSpaces>178599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 review-of-code-of-conduct-for-australian-copyright-collecting-societies.docx</dc:title>
  <dc:subject/>
  <dc:creator>Department of Communications and the Arts</dc:creator>
  <cp:keywords/>
  <dc:description/>
  <cp:lastModifiedBy>Owers, Cameron</cp:lastModifiedBy>
  <cp:revision>2</cp:revision>
  <dcterms:created xsi:type="dcterms:W3CDTF">2018-02-14T03:16:00Z</dcterms:created>
  <dcterms:modified xsi:type="dcterms:W3CDTF">2018-02-14T03:16:00Z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0x010100FA385A364BC6364298AF17771C802905</vt:lpwstr>
  </property>
  <property fmtid="{D5CDD505-2E9C-101B-9397-08002B2CF9AE}" pid="3" name="TrimRevisionNumber">
    <vt:i4>4</vt:i4>
  </property>
</Properties>
</file>