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94124E" w:rsidP="0094124E">
      <w:pPr>
        <w:ind w:left="-1418"/>
        <w:sectPr w:rsidR="0094124E" w:rsidSect="0094124E">
          <w:headerReference w:type="default" r:id="rId11"/>
          <w:footerReference w:type="default" r:id="rId12"/>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4CD1870B" wp14:editId="4CD1870C">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2117E6" w:rsidRDefault="00285D09" w:rsidP="002117E6">
      <w:pPr>
        <w:pStyle w:val="Heading1"/>
      </w:pPr>
      <w:r>
        <w:t xml:space="preserve">Review </w:t>
      </w:r>
      <w:r w:rsidRPr="00285D09">
        <w:t>of Copyright Online Infringement Amendment</w:t>
      </w:r>
    </w:p>
    <w:p w:rsidR="00400E77" w:rsidRDefault="00285D09" w:rsidP="00EB40A5">
      <w:pPr>
        <w:rPr>
          <w:lang w:eastAsia="en-US"/>
        </w:rPr>
      </w:pPr>
      <w:r>
        <w:t>February 2018</w:t>
      </w:r>
    </w:p>
    <w:p w:rsidR="00400E77" w:rsidRDefault="00400E77" w:rsidP="00625397">
      <w:pPr>
        <w:rPr>
          <w:lang w:eastAsia="en-US"/>
        </w:rPr>
      </w:pPr>
      <w:r>
        <w:rPr>
          <w:lang w:eastAsia="en-US"/>
        </w:rPr>
        <w:br w:type="page"/>
      </w:r>
    </w:p>
    <w:p w:rsidR="00625397" w:rsidRPr="00BE07A7" w:rsidRDefault="00625397" w:rsidP="00625397">
      <w:pPr>
        <w:pStyle w:val="Heading2-notshowing"/>
      </w:pPr>
      <w:r w:rsidRPr="00BE07A7">
        <w:lastRenderedPageBreak/>
        <w:t>Disclaimer</w:t>
      </w:r>
    </w:p>
    <w:p w:rsidR="00285D09" w:rsidRPr="00285D09" w:rsidRDefault="00625397" w:rsidP="00285D09">
      <w:pPr>
        <w:spacing w:after="120"/>
      </w:pPr>
      <w:r w:rsidRPr="00BE07A7">
        <w:t xml:space="preserve">The </w:t>
      </w:r>
      <w:r w:rsidR="00285D09" w:rsidRPr="00285D09">
        <w:t>material in this paper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rsidR="00285D09" w:rsidRPr="00285D09" w:rsidRDefault="00285D09" w:rsidP="00285D09">
      <w:pPr>
        <w:spacing w:after="120"/>
      </w:pPr>
      <w:r w:rsidRPr="00285D09">
        <w:t xml:space="preserve">The Commonwealth accepts no responsibility or liability for any damage, loss or expense incurred as a result of relying on information in this </w:t>
      </w:r>
      <w:r w:rsidR="00DF5B3D">
        <w:t>consultation</w:t>
      </w:r>
      <w:r w:rsidRPr="00285D09">
        <w:t xml:space="preserve"> paper.</w:t>
      </w:r>
    </w:p>
    <w:p w:rsidR="00285D09" w:rsidRPr="00285D09" w:rsidRDefault="00285D09" w:rsidP="00285D09">
      <w:pPr>
        <w:spacing w:after="120"/>
      </w:pPr>
      <w:r w:rsidRPr="00285D09">
        <w:t xml:space="preserve">This paper has been prepared for consultation purposes only and does not indicate the Commonwealth’s commitment to a particular course of action. Additionally, any third party views or recommendations included in this </w:t>
      </w:r>
      <w:r w:rsidR="00DF5B3D">
        <w:t>consultation</w:t>
      </w:r>
      <w:r w:rsidRPr="00285D09">
        <w:t xml:space="preserve"> paper do not reflect the views of the Commonwealth, or indicate its commitment to a particular course of action.</w:t>
      </w:r>
    </w:p>
    <w:p w:rsidR="00625397" w:rsidRPr="00BE07A7" w:rsidRDefault="00625397" w:rsidP="00625397">
      <w:pPr>
        <w:pStyle w:val="Heading2-notshowing"/>
      </w:pPr>
      <w:r w:rsidRPr="00BE07A7">
        <w:t>Copyright</w:t>
      </w:r>
    </w:p>
    <w:p w:rsidR="00625397" w:rsidRPr="00BE07A7" w:rsidRDefault="006154FA" w:rsidP="00625397">
      <w:pPr>
        <w:spacing w:after="120"/>
      </w:pPr>
      <w:r>
        <w:t>© Commonwealth of Australia 2018</w:t>
      </w:r>
    </w:p>
    <w:p w:rsidR="00625397" w:rsidRPr="00BE07A7" w:rsidRDefault="00625397" w:rsidP="00625397">
      <w:pPr>
        <w:spacing w:after="120"/>
      </w:pPr>
      <w:r w:rsidRPr="00BE07A7">
        <w:rPr>
          <w:noProof/>
          <w:lang w:eastAsia="en-AU"/>
        </w:rPr>
        <w:drawing>
          <wp:inline distT="0" distB="0" distL="0" distR="0" wp14:anchorId="4CD1870D" wp14:editId="4CD1870E">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BE07A7">
        <w:t xml:space="preserve">  The material in </w:t>
      </w:r>
      <w:r w:rsidR="006154FA">
        <w:t xml:space="preserve">this paper is </w:t>
      </w:r>
      <w:r w:rsidRPr="00BE07A7">
        <w:t>licensed under a Creative Commons Attribution—4.0 International licen</w:t>
      </w:r>
      <w:r w:rsidR="005D00A9">
        <w:t>c</w:t>
      </w:r>
      <w:r w:rsidRPr="00BE07A7">
        <w:t>e, with the exception of:</w:t>
      </w:r>
    </w:p>
    <w:p w:rsidR="00625397" w:rsidRPr="00BE07A7" w:rsidRDefault="00625397" w:rsidP="00625397">
      <w:pPr>
        <w:pStyle w:val="Bulletlevel1"/>
      </w:pPr>
      <w:r w:rsidRPr="00BE07A7">
        <w:t>the Commonwealth Coat of Arms</w:t>
      </w:r>
    </w:p>
    <w:p w:rsidR="00625397" w:rsidRPr="00BE07A7" w:rsidRDefault="00625397" w:rsidP="00625397">
      <w:pPr>
        <w:pStyle w:val="Bulletlevel1"/>
      </w:pPr>
      <w:r w:rsidRPr="00BE07A7">
        <w:t>this Department’s logo</w:t>
      </w:r>
    </w:p>
    <w:p w:rsidR="00625397" w:rsidRPr="00BE07A7" w:rsidRDefault="00625397" w:rsidP="00625397">
      <w:pPr>
        <w:pStyle w:val="Bulletlevel1"/>
      </w:pPr>
      <w:r w:rsidRPr="00BE07A7">
        <w:t>any third party material</w:t>
      </w:r>
    </w:p>
    <w:p w:rsidR="00625397" w:rsidRPr="00BE07A7" w:rsidRDefault="00625397" w:rsidP="00625397">
      <w:pPr>
        <w:pStyle w:val="Bulletlevel1"/>
      </w:pPr>
      <w:r w:rsidRPr="00BE07A7">
        <w:t>any material protected by a trademark, and</w:t>
      </w:r>
    </w:p>
    <w:p w:rsidR="00625397" w:rsidRPr="00BE07A7" w:rsidRDefault="00625397" w:rsidP="00625397">
      <w:pPr>
        <w:pStyle w:val="Bulletlevel1"/>
      </w:pPr>
      <w:r w:rsidRPr="00BE07A7">
        <w:t>any images and/or photographs.</w:t>
      </w:r>
    </w:p>
    <w:p w:rsidR="00625397" w:rsidRPr="00BE07A7" w:rsidRDefault="00625397" w:rsidP="00625397">
      <w:pPr>
        <w:spacing w:after="120"/>
      </w:pPr>
      <w:r w:rsidRPr="00BE07A7">
        <w:t>More information on this CC BY licen</w:t>
      </w:r>
      <w:r w:rsidR="00902E19">
        <w:t>c</w:t>
      </w:r>
      <w:r w:rsidRPr="00BE07A7">
        <w:t>e is set out as follows:</w:t>
      </w:r>
    </w:p>
    <w:p w:rsidR="00625397" w:rsidRPr="00BE07A7" w:rsidRDefault="00625397" w:rsidP="00625397">
      <w:pPr>
        <w:pStyle w:val="Bulletlevel1"/>
      </w:pPr>
      <w:r w:rsidRPr="00BE07A7">
        <w:t>Creative Commons website—</w:t>
      </w:r>
      <w:hyperlink r:id="rId16" w:history="1">
        <w:r w:rsidRPr="00BE07A7">
          <w:rPr>
            <w:rStyle w:val="Hyperlink"/>
          </w:rPr>
          <w:t>www.creativecommons.org</w:t>
        </w:r>
      </w:hyperlink>
    </w:p>
    <w:p w:rsidR="00625397" w:rsidRPr="00BE07A7" w:rsidRDefault="00625397" w:rsidP="00625397">
      <w:pPr>
        <w:pStyle w:val="Bulletlevel1"/>
        <w:spacing w:after="120"/>
      </w:pPr>
      <w:r w:rsidRPr="00BE07A7">
        <w:t>Attribution 4.0 international (CC by 4.0)—</w:t>
      </w:r>
      <w:hyperlink r:id="rId17" w:history="1">
        <w:r w:rsidR="002F3895" w:rsidRPr="005C73E4">
          <w:rPr>
            <w:rStyle w:val="Hyperlink"/>
          </w:rPr>
          <w:t>www.creativecommons.org/licenses/by/4.0</w:t>
        </w:r>
      </w:hyperlink>
      <w:r w:rsidRPr="00BE07A7">
        <w:t>.</w:t>
      </w:r>
    </w:p>
    <w:p w:rsidR="00625397" w:rsidRPr="00BE07A7" w:rsidRDefault="00625397" w:rsidP="00625397">
      <w:pPr>
        <w:spacing w:after="120"/>
      </w:pPr>
      <w:r w:rsidRPr="00BE07A7">
        <w:t>Enquiries about this licen</w:t>
      </w:r>
      <w:r w:rsidR="00CE1050">
        <w:t>c</w:t>
      </w:r>
      <w:r w:rsidRPr="00BE07A7">
        <w:t xml:space="preserve">e and any use of this </w:t>
      </w:r>
      <w:r w:rsidR="00DF5B3D">
        <w:t>consultation</w:t>
      </w:r>
      <w:r w:rsidRPr="00BE07A7">
        <w:t xml:space="preserve"> paper can be sent to: </w:t>
      </w:r>
      <w:hyperlink r:id="rId18" w:history="1">
        <w:r w:rsidR="005D00A9" w:rsidRPr="005D00A9">
          <w:rPr>
            <w:rStyle w:val="Hyperlink"/>
          </w:rPr>
          <w:t>copyright.consultation@communications.gov.au</w:t>
        </w:r>
      </w:hyperlink>
      <w:r w:rsidRPr="00BE07A7">
        <w:t>.</w:t>
      </w:r>
    </w:p>
    <w:p w:rsidR="00625397" w:rsidRPr="00BE07A7" w:rsidRDefault="00625397" w:rsidP="00625397">
      <w:pPr>
        <w:pStyle w:val="Heading3-notshowing"/>
      </w:pPr>
      <w:bookmarkStart w:id="0" w:name="_Toc490666776"/>
      <w:bookmarkStart w:id="1" w:name="_Toc490744403"/>
      <w:r w:rsidRPr="00BE07A7">
        <w:t>Third party copyright</w:t>
      </w:r>
    </w:p>
    <w:p w:rsidR="00625397" w:rsidRPr="00BE07A7" w:rsidRDefault="00625397" w:rsidP="00625397">
      <w:pPr>
        <w:spacing w:after="120"/>
      </w:pPr>
      <w:r w:rsidRPr="00BE07A7">
        <w:t>The Department has made all reasonable efforts to clearly identify material where the copyright is owned by a third party. Permission may need to be obtained from third parties to re-use their material.</w:t>
      </w:r>
    </w:p>
    <w:p w:rsidR="00625397" w:rsidRPr="00BE07A7" w:rsidRDefault="00625397" w:rsidP="00625397">
      <w:pPr>
        <w:pStyle w:val="Heading3-notshowing"/>
      </w:pPr>
      <w:r w:rsidRPr="00BE07A7">
        <w:t>Attribution</w:t>
      </w:r>
      <w:bookmarkEnd w:id="0"/>
      <w:bookmarkEnd w:id="1"/>
    </w:p>
    <w:p w:rsidR="00625397" w:rsidRPr="00BE07A7" w:rsidRDefault="00625397" w:rsidP="00625397">
      <w:pPr>
        <w:spacing w:after="120"/>
      </w:pPr>
      <w:bookmarkStart w:id="2" w:name="_Toc356292522"/>
      <w:r w:rsidRPr="00BE07A7">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2"/>
    <w:p w:rsidR="00625397" w:rsidRPr="00BE07A7" w:rsidRDefault="00625397" w:rsidP="00625397">
      <w:pPr>
        <w:spacing w:after="120"/>
        <w:ind w:left="567"/>
      </w:pPr>
      <w:r w:rsidRPr="00BE07A7">
        <w:lastRenderedPageBreak/>
        <w:t>Licensed from the Commonwealth of Australia under a Creative Commons Attribution 4.0 International licence.</w:t>
      </w:r>
    </w:p>
    <w:p w:rsidR="00625397" w:rsidRPr="00BE07A7" w:rsidRDefault="00625397" w:rsidP="00625397">
      <w:pPr>
        <w:spacing w:after="120"/>
      </w:pPr>
      <w:r w:rsidRPr="00BE07A7">
        <w:t>Enquiries about the use of any material in this publication can be sent to</w:t>
      </w:r>
      <w:r>
        <w:t>:</w:t>
      </w:r>
      <w:r w:rsidRPr="00BE07A7">
        <w:t xml:space="preserve"> </w:t>
      </w:r>
      <w:hyperlink r:id="rId19" w:history="1">
        <w:r w:rsidR="005D00A9" w:rsidRPr="005D00A9">
          <w:rPr>
            <w:rStyle w:val="Hyperlink"/>
          </w:rPr>
          <w:t>copyright.consultation@communications.gov.au</w:t>
        </w:r>
      </w:hyperlink>
      <w:r w:rsidRPr="00BE07A7">
        <w:t>.</w:t>
      </w:r>
    </w:p>
    <w:p w:rsidR="00625397" w:rsidRPr="00BE07A7" w:rsidRDefault="00625397" w:rsidP="00625397">
      <w:pPr>
        <w:pStyle w:val="Heading2-notshowing"/>
      </w:pPr>
      <w:r w:rsidRPr="00BE07A7">
        <w:t>Using the Commonwealth Coat of Arms</w:t>
      </w:r>
    </w:p>
    <w:p w:rsidR="00597F9B" w:rsidRDefault="00625397" w:rsidP="00625397">
      <w:pPr>
        <w:spacing w:after="120"/>
        <w:rPr>
          <w:lang w:eastAsia="en-US"/>
        </w:rPr>
      </w:pPr>
      <w:r w:rsidRPr="00BE07A7">
        <w:t>Guidelines for using the Commonwealth Coat of Arms are available from the Department of Prime Minister and Cabinet website at</w:t>
      </w:r>
      <w:r w:rsidR="002F3895" w:rsidRPr="002F3895">
        <w:t xml:space="preserve"> </w:t>
      </w:r>
      <w:hyperlink r:id="rId20" w:history="1">
        <w:r w:rsidR="002F3895" w:rsidRPr="005C73E4">
          <w:rPr>
            <w:rStyle w:val="Hyperlink"/>
          </w:rPr>
          <w:t>www.pmc.gov.au/government/its-honour</w:t>
        </w:r>
      </w:hyperlink>
      <w:r w:rsidRPr="00BE07A7">
        <w:t>.</w:t>
      </w:r>
      <w:r w:rsidR="00597F9B">
        <w:rPr>
          <w:lang w:eastAsia="en-US"/>
        </w:rPr>
        <w:br w:type="page"/>
      </w:r>
    </w:p>
    <w:p w:rsidR="008A2CD9" w:rsidRDefault="008A2CD9" w:rsidP="008A2CD9">
      <w:pPr>
        <w:pStyle w:val="Heading2"/>
      </w:pPr>
      <w:r>
        <w:lastRenderedPageBreak/>
        <w:t>Consultation process</w:t>
      </w:r>
    </w:p>
    <w:p w:rsidR="008A2CD9" w:rsidRDefault="00F86CCE" w:rsidP="008A2CD9">
      <w:pPr>
        <w:rPr>
          <w:lang w:eastAsia="en-US"/>
        </w:rPr>
      </w:pPr>
      <w:r w:rsidRPr="0015194F">
        <w:t xml:space="preserve">The Department </w:t>
      </w:r>
      <w:r>
        <w:t>of Communications and the Arts</w:t>
      </w:r>
      <w:r w:rsidR="00CE1050">
        <w:t xml:space="preserve"> (the Department)</w:t>
      </w:r>
      <w:r w:rsidR="008A2CD9" w:rsidRPr="008A2CD9">
        <w:rPr>
          <w:lang w:eastAsia="en-US"/>
        </w:rPr>
        <w:t xml:space="preserve"> is seeking views from stakeholders on the questions put forward in this paper. The Department welcomes single, consolidated submissions from organisations or parties, capturing all views on the </w:t>
      </w:r>
      <w:r w:rsidR="00C567FB" w:rsidRPr="0015194F">
        <w:rPr>
          <w:i/>
        </w:rPr>
        <w:t xml:space="preserve">Copyright Amendment (Online Infringement) Act 2015 </w:t>
      </w:r>
      <w:r w:rsidR="00C567FB" w:rsidRPr="0015194F">
        <w:t>(</w:t>
      </w:r>
      <w:r w:rsidR="008A2CD9" w:rsidRPr="008A2CD9">
        <w:rPr>
          <w:lang w:eastAsia="en-US"/>
        </w:rPr>
        <w:t>Online Infringement Amendment</w:t>
      </w:r>
      <w:r w:rsidR="00C567FB">
        <w:rPr>
          <w:lang w:eastAsia="en-US"/>
        </w:rPr>
        <w:t>)</w:t>
      </w:r>
      <w:r w:rsidR="008A2CD9" w:rsidRPr="008A2CD9">
        <w:rPr>
          <w:lang w:eastAsia="en-US"/>
        </w:rPr>
        <w:t>.</w:t>
      </w:r>
    </w:p>
    <w:p w:rsidR="00C567FB" w:rsidRDefault="00C567FB" w:rsidP="00C567FB">
      <w:pPr>
        <w:rPr>
          <w:lang w:eastAsia="en-US"/>
        </w:rPr>
      </w:pPr>
      <w:r>
        <w:rPr>
          <w:lang w:eastAsia="en-US"/>
        </w:rPr>
        <w:t>T</w:t>
      </w:r>
      <w:r w:rsidRPr="003050A9">
        <w:rPr>
          <w:lang w:eastAsia="en-US"/>
        </w:rPr>
        <w:t>he Department intends to meet with stakeholder groups</w:t>
      </w:r>
      <w:r>
        <w:rPr>
          <w:lang w:eastAsia="en-US"/>
        </w:rPr>
        <w:t xml:space="preserve"> affected by </w:t>
      </w:r>
      <w:r w:rsidR="008511EE">
        <w:rPr>
          <w:lang w:eastAsia="en-US"/>
        </w:rPr>
        <w:t xml:space="preserve">the </w:t>
      </w:r>
      <w:r>
        <w:rPr>
          <w:lang w:eastAsia="en-US"/>
        </w:rPr>
        <w:t>Online Infringement Amendment</w:t>
      </w:r>
      <w:r w:rsidRPr="003050A9">
        <w:rPr>
          <w:lang w:eastAsia="en-US"/>
        </w:rPr>
        <w:t xml:space="preserve">, such as peak bodies and their members, </w:t>
      </w:r>
      <w:r>
        <w:rPr>
          <w:lang w:eastAsia="en-US"/>
        </w:rPr>
        <w:t>by the middle of March</w:t>
      </w:r>
      <w:r w:rsidR="008511EE">
        <w:rPr>
          <w:lang w:eastAsia="en-US"/>
        </w:rPr>
        <w:t>, and</w:t>
      </w:r>
      <w:r>
        <w:rPr>
          <w:lang w:eastAsia="en-US"/>
        </w:rPr>
        <w:t xml:space="preserve"> </w:t>
      </w:r>
      <w:r w:rsidRPr="003050A9">
        <w:rPr>
          <w:lang w:eastAsia="en-US"/>
        </w:rPr>
        <w:t>will arrange these meetings shortly.</w:t>
      </w:r>
      <w:r>
        <w:rPr>
          <w:lang w:eastAsia="en-US"/>
        </w:rPr>
        <w:t xml:space="preserve"> After </w:t>
      </w:r>
      <w:r w:rsidRPr="003050A9">
        <w:rPr>
          <w:lang w:eastAsia="en-US"/>
        </w:rPr>
        <w:t xml:space="preserve">consultation, the Department will advise the </w:t>
      </w:r>
      <w:r w:rsidR="00CE1050">
        <w:rPr>
          <w:lang w:eastAsia="en-US"/>
        </w:rPr>
        <w:t>g</w:t>
      </w:r>
      <w:r w:rsidRPr="003050A9">
        <w:rPr>
          <w:lang w:eastAsia="en-US"/>
        </w:rPr>
        <w:t>overnment on the issues covered in this paper.</w:t>
      </w:r>
    </w:p>
    <w:p w:rsidR="00C567FB" w:rsidRDefault="00C567FB" w:rsidP="00902E19">
      <w:pPr>
        <w:pStyle w:val="Heading2"/>
      </w:pPr>
      <w:r>
        <w:t>How to make a submission</w:t>
      </w:r>
    </w:p>
    <w:p w:rsidR="008A2CD9" w:rsidRPr="00902E19" w:rsidRDefault="008A2CD9" w:rsidP="008A2CD9">
      <w:pPr>
        <w:rPr>
          <w:lang w:eastAsia="en-US"/>
        </w:rPr>
      </w:pPr>
      <w:r>
        <w:rPr>
          <w:lang w:eastAsia="en-US"/>
        </w:rPr>
        <w:t xml:space="preserve">Please </w:t>
      </w:r>
      <w:r w:rsidRPr="008A2CD9">
        <w:rPr>
          <w:lang w:eastAsia="en-US"/>
        </w:rPr>
        <w:t xml:space="preserve">send questions about the submission process to: </w:t>
      </w:r>
      <w:hyperlink r:id="rId21" w:history="1">
        <w:r w:rsidR="00863001" w:rsidRPr="00902E19">
          <w:rPr>
            <w:rStyle w:val="Hyperlink"/>
            <w:lang w:eastAsia="en-US"/>
          </w:rPr>
          <w:t>copyright.consultation@communications.gov.au</w:t>
        </w:r>
      </w:hyperlink>
      <w:r w:rsidRPr="00902E19">
        <w:rPr>
          <w:lang w:eastAsia="en-US"/>
        </w:rPr>
        <w:t>.</w:t>
      </w:r>
    </w:p>
    <w:p w:rsidR="008A2CD9" w:rsidRPr="00902E19" w:rsidRDefault="008A2CD9" w:rsidP="008A2CD9">
      <w:r w:rsidRPr="00902E19">
        <w:t xml:space="preserve">The Department invites submissions by </w:t>
      </w:r>
      <w:r w:rsidRPr="00902E19">
        <w:rPr>
          <w:b/>
        </w:rPr>
        <w:t xml:space="preserve">5.00 pm AEST on Friday </w:t>
      </w:r>
      <w:r w:rsidR="00BD78E3" w:rsidRPr="00902E19">
        <w:rPr>
          <w:b/>
        </w:rPr>
        <w:t>16</w:t>
      </w:r>
      <w:r w:rsidRPr="00902E19">
        <w:rPr>
          <w:b/>
        </w:rPr>
        <w:t xml:space="preserve"> </w:t>
      </w:r>
      <w:r w:rsidR="00BD78E3" w:rsidRPr="00902E19">
        <w:rPr>
          <w:b/>
        </w:rPr>
        <w:t xml:space="preserve">March </w:t>
      </w:r>
      <w:r w:rsidRPr="00902E19">
        <w:rPr>
          <w:b/>
        </w:rPr>
        <w:t>2018</w:t>
      </w:r>
      <w:r w:rsidRPr="00902E19">
        <w:t>.</w:t>
      </w:r>
      <w:r w:rsidRPr="00902E19">
        <w:rPr>
          <w:b/>
        </w:rPr>
        <w:t xml:space="preserve"> </w:t>
      </w:r>
      <w:r w:rsidRPr="00902E19">
        <w:t>Submissions</w:t>
      </w:r>
      <w:r w:rsidRPr="00902E19">
        <w:rPr>
          <w:b/>
        </w:rPr>
        <w:t xml:space="preserve"> </w:t>
      </w:r>
      <w:r w:rsidRPr="00902E19">
        <w:t>may be lodged in the following ways:</w:t>
      </w:r>
    </w:p>
    <w:p w:rsidR="003050A9" w:rsidRPr="00902E19" w:rsidRDefault="003050A9" w:rsidP="003050A9">
      <w:pPr>
        <w:spacing w:before="240"/>
        <w:ind w:left="2138" w:hanging="1418"/>
        <w:rPr>
          <w:rFonts w:ascii="Calibri" w:eastAsia="Calibri" w:hAnsi="Calibri" w:cs="Times New Roman"/>
          <w:lang w:eastAsia="en-US"/>
        </w:rPr>
      </w:pPr>
      <w:r w:rsidRPr="00902E19">
        <w:rPr>
          <w:rFonts w:ascii="Calibri" w:eastAsia="Calibri" w:hAnsi="Calibri" w:cs="Times New Roman"/>
          <w:lang w:eastAsia="en-US"/>
        </w:rPr>
        <w:t>Website</w:t>
      </w:r>
      <w:r w:rsidRPr="00902E19">
        <w:rPr>
          <w:rFonts w:ascii="Calibri" w:eastAsia="Calibri" w:hAnsi="Calibri" w:cs="Times New Roman"/>
          <w:lang w:eastAsia="en-US"/>
        </w:rPr>
        <w:tab/>
      </w:r>
      <w:hyperlink r:id="rId22" w:history="1">
        <w:r w:rsidRPr="00902E19">
          <w:rPr>
            <w:rFonts w:ascii="Calibri" w:eastAsia="Calibri" w:hAnsi="Calibri" w:cs="Times New Roman"/>
            <w:color w:val="1177AD"/>
            <w:u w:val="single"/>
            <w:lang w:eastAsia="en-US"/>
          </w:rPr>
          <w:t>www.communications.gov.au/have-your-say</w:t>
        </w:r>
      </w:hyperlink>
    </w:p>
    <w:p w:rsidR="003050A9" w:rsidRDefault="003050A9" w:rsidP="003050A9">
      <w:pPr>
        <w:spacing w:after="0"/>
        <w:ind w:left="2138" w:hanging="1418"/>
        <w:rPr>
          <w:rFonts w:ascii="Calibri" w:eastAsia="Calibri" w:hAnsi="Calibri" w:cs="Times New Roman"/>
          <w:color w:val="1177AD"/>
          <w:u w:val="single"/>
          <w:lang w:eastAsia="en-US"/>
        </w:rPr>
      </w:pPr>
      <w:r w:rsidRPr="00902E19">
        <w:rPr>
          <w:rFonts w:ascii="Calibri" w:eastAsia="Calibri" w:hAnsi="Calibri" w:cs="Times New Roman"/>
          <w:lang w:eastAsia="en-US"/>
        </w:rPr>
        <w:t>Email</w:t>
      </w:r>
      <w:r w:rsidRPr="00902E19">
        <w:rPr>
          <w:rFonts w:ascii="Calibri" w:eastAsia="Calibri" w:hAnsi="Calibri" w:cs="Times New Roman"/>
          <w:lang w:eastAsia="en-US"/>
        </w:rPr>
        <w:tab/>
      </w:r>
      <w:hyperlink r:id="rId23" w:history="1">
        <w:r w:rsidR="00D01A33" w:rsidRPr="00902E19">
          <w:rPr>
            <w:rStyle w:val="Hyperlink"/>
            <w:lang w:eastAsia="en-US"/>
          </w:rPr>
          <w:t>copyright.consultation@communications.gov.au</w:t>
        </w:r>
      </w:hyperlink>
    </w:p>
    <w:p w:rsidR="003050A9" w:rsidRDefault="003050A9" w:rsidP="003050A9">
      <w:pPr>
        <w:spacing w:after="0"/>
        <w:ind w:left="2138" w:hanging="1418"/>
        <w:rPr>
          <w:rFonts w:ascii="Calibri" w:eastAsia="Calibri" w:hAnsi="Calibri" w:cs="Times New Roman"/>
          <w:color w:val="1177AD"/>
          <w:u w:val="single"/>
          <w:lang w:eastAsia="en-US"/>
        </w:rPr>
      </w:pPr>
    </w:p>
    <w:p w:rsidR="003050A9" w:rsidRDefault="003050A9" w:rsidP="003050A9">
      <w:pPr>
        <w:pStyle w:val="BodyText"/>
        <w:spacing w:after="0"/>
        <w:ind w:left="2138" w:hanging="1418"/>
      </w:pPr>
      <w:r>
        <w:t>Post</w:t>
      </w:r>
      <w:r>
        <w:tab/>
      </w:r>
      <w:proofErr w:type="gramStart"/>
      <w:r>
        <w:t>The</w:t>
      </w:r>
      <w:proofErr w:type="gramEnd"/>
      <w:r>
        <w:t xml:space="preserve"> Director, Copyright Law Section</w:t>
      </w:r>
      <w:r>
        <w:br/>
        <w:t>Department of Communications and the Arts</w:t>
      </w:r>
      <w:r>
        <w:br/>
        <w:t>GPO Box 2154</w:t>
      </w:r>
      <w:r>
        <w:br/>
        <w:t>Canberra ACT 2601</w:t>
      </w:r>
    </w:p>
    <w:p w:rsidR="003050A9" w:rsidRDefault="003050A9" w:rsidP="003050A9">
      <w:pPr>
        <w:pStyle w:val="BodyText"/>
        <w:spacing w:after="0"/>
      </w:pPr>
    </w:p>
    <w:p w:rsidR="003050A9" w:rsidRDefault="003050A9" w:rsidP="003050A9">
      <w:pPr>
        <w:pStyle w:val="BodyText"/>
        <w:spacing w:after="0"/>
      </w:pPr>
      <w:r>
        <w:t xml:space="preserve">Submissions </w:t>
      </w:r>
      <w:r w:rsidRPr="003050A9">
        <w:t>should include your name, organisation (if rele</w:t>
      </w:r>
      <w:r w:rsidR="00D01A33">
        <w:t xml:space="preserve">vant) and contact details. The </w:t>
      </w:r>
      <w:r w:rsidR="007B5F47">
        <w:t>D</w:t>
      </w:r>
      <w:r w:rsidRPr="003050A9">
        <w:t>epartment will not consider submissions without verifiable contact details.</w:t>
      </w:r>
    </w:p>
    <w:p w:rsidR="003050A9" w:rsidRDefault="003050A9" w:rsidP="003050A9">
      <w:pPr>
        <w:pStyle w:val="BodyText"/>
        <w:spacing w:after="0"/>
      </w:pPr>
    </w:p>
    <w:p w:rsidR="003050A9" w:rsidRDefault="003050A9" w:rsidP="003050A9">
      <w:pPr>
        <w:pStyle w:val="BodyText"/>
        <w:spacing w:after="0"/>
      </w:pPr>
      <w:r>
        <w:t xml:space="preserve">Submissions </w:t>
      </w:r>
      <w:r w:rsidRPr="003050A9">
        <w:t xml:space="preserve">will be treated as non-confidential information, and can be </w:t>
      </w:r>
      <w:r w:rsidR="00D01A33">
        <w:t xml:space="preserve">made publicly available on the </w:t>
      </w:r>
      <w:r w:rsidR="007B5F47">
        <w:t>D</w:t>
      </w:r>
      <w:r w:rsidRPr="003050A9">
        <w:t>epartment’s website, unless a respondent specifically requests its submission, or a part of its submission, is kept confidential, and provides acceptable reasons. An email disclaimer asserting confidentiality is not sufficient.</w:t>
      </w:r>
    </w:p>
    <w:p w:rsidR="003050A9" w:rsidRDefault="003050A9" w:rsidP="003050A9">
      <w:pPr>
        <w:pStyle w:val="BodyText"/>
        <w:spacing w:after="0"/>
      </w:pPr>
    </w:p>
    <w:p w:rsidR="003050A9" w:rsidRDefault="003050A9" w:rsidP="003050A9">
      <w:pPr>
        <w:pStyle w:val="BodyText"/>
        <w:spacing w:after="0"/>
      </w:pPr>
      <w:r>
        <w:t xml:space="preserve">The </w:t>
      </w:r>
      <w:r w:rsidR="007B5F47">
        <w:t>D</w:t>
      </w:r>
      <w:r w:rsidRPr="003050A9">
        <w:t>epartment reserves the right not to publish a submission, or any part of a submission, at its absolute discretio</w:t>
      </w:r>
      <w:r w:rsidR="007B5F47">
        <w:t>n. The D</w:t>
      </w:r>
      <w:r w:rsidRPr="003050A9">
        <w:t>epartment will not enter into any correspondence with respondents in relation to any decisions not to publish a submission in whole or in part.</w:t>
      </w:r>
    </w:p>
    <w:p w:rsidR="003050A9" w:rsidRDefault="003050A9" w:rsidP="003050A9">
      <w:pPr>
        <w:pStyle w:val="BodyText"/>
        <w:spacing w:after="0"/>
      </w:pPr>
    </w:p>
    <w:p w:rsidR="003050A9" w:rsidRDefault="003050A9" w:rsidP="003050A9">
      <w:pPr>
        <w:pStyle w:val="BodyText"/>
        <w:spacing w:after="0"/>
      </w:pPr>
      <w:r>
        <w:t xml:space="preserve">The </w:t>
      </w:r>
      <w:r w:rsidR="007B5F47">
        <w:t>D</w:t>
      </w:r>
      <w:r w:rsidRPr="003050A9">
        <w:t xml:space="preserve">epartment is subject to the </w:t>
      </w:r>
      <w:r w:rsidRPr="003050A9">
        <w:rPr>
          <w:i/>
          <w:iCs/>
        </w:rPr>
        <w:t xml:space="preserve">Freedom of Information Act 1982 </w:t>
      </w:r>
      <w:r w:rsidRPr="003050A9">
        <w:t>and may be required to disclose submissions in response to requests made under that Act.</w:t>
      </w:r>
    </w:p>
    <w:p w:rsidR="003050A9" w:rsidRDefault="003050A9" w:rsidP="003050A9">
      <w:pPr>
        <w:pStyle w:val="BodyText"/>
        <w:spacing w:after="0"/>
      </w:pPr>
    </w:p>
    <w:p w:rsidR="00BD78E3" w:rsidRDefault="003050A9" w:rsidP="00902E19">
      <w:pPr>
        <w:pStyle w:val="BodyText"/>
        <w:spacing w:after="0"/>
        <w:rPr>
          <w:rFonts w:asciiTheme="majorHAnsi" w:eastAsiaTheme="majorEastAsia" w:hAnsiTheme="majorHAnsi" w:cstheme="majorBidi"/>
          <w:color w:val="001C40" w:themeColor="text2"/>
          <w:sz w:val="36"/>
          <w:szCs w:val="26"/>
        </w:rPr>
      </w:pPr>
      <w:r>
        <w:lastRenderedPageBreak/>
        <w:t xml:space="preserve">The </w:t>
      </w:r>
      <w:r w:rsidRPr="003050A9">
        <w:rPr>
          <w:i/>
          <w:iCs/>
        </w:rPr>
        <w:t xml:space="preserve">Privacy Act 1988 </w:t>
      </w:r>
      <w:r w:rsidRPr="003050A9">
        <w:t>establishes certain principles regarding the collection, use and disclosure of information about individuals. Any personal informat</w:t>
      </w:r>
      <w:r w:rsidR="00D01A33">
        <w:t xml:space="preserve">ion respondents provide to the </w:t>
      </w:r>
      <w:r w:rsidR="007B5F47">
        <w:t>D</w:t>
      </w:r>
      <w:r w:rsidRPr="003050A9">
        <w:t>epartment through submissions will be used for purposes related to considering issues raised in this paper, in accordanc</w:t>
      </w:r>
      <w:r w:rsidR="00D01A33">
        <w:t xml:space="preserve">e with the Privacy Act. If the </w:t>
      </w:r>
      <w:r w:rsidR="007B5F47">
        <w:t>D</w:t>
      </w:r>
      <w:r w:rsidRPr="003050A9">
        <w:t>epartment makes a submission, or part of a submission, publicly available the name of the respondent will be included. Respondents should clearly indicate in their submissions if they do not wish their name to be included in any publication relatin</w:t>
      </w:r>
      <w:r w:rsidR="00D01A33">
        <w:t xml:space="preserve">g to the consultation that the </w:t>
      </w:r>
      <w:r w:rsidR="00E84691">
        <w:t>D</w:t>
      </w:r>
      <w:r w:rsidRPr="003050A9">
        <w:t>epartment may publish.</w:t>
      </w:r>
      <w:r w:rsidR="00BD78E3">
        <w:br w:type="page"/>
      </w:r>
    </w:p>
    <w:p w:rsidR="00092A7E" w:rsidRDefault="00C567FB" w:rsidP="00092A7E">
      <w:pPr>
        <w:pStyle w:val="Heading2"/>
      </w:pPr>
      <w:r>
        <w:lastRenderedPageBreak/>
        <w:t>About this r</w:t>
      </w:r>
      <w:r w:rsidR="008404DE">
        <w:t>eview</w:t>
      </w:r>
    </w:p>
    <w:p w:rsidR="00C567FB" w:rsidRPr="002117E6" w:rsidRDefault="00C567FB" w:rsidP="00C567FB">
      <w:pPr>
        <w:pStyle w:val="Heading3"/>
      </w:pPr>
      <w:r>
        <w:t>Context for this review</w:t>
      </w:r>
    </w:p>
    <w:p w:rsidR="00C567FB" w:rsidRDefault="005E3A23" w:rsidP="00C567FB">
      <w:r>
        <w:t>This review supports the Australian G</w:t>
      </w:r>
      <w:r w:rsidRPr="00434021">
        <w:t>overnment</w:t>
      </w:r>
      <w:r>
        <w:t xml:space="preserve">’s commitment </w:t>
      </w:r>
      <w:r w:rsidRPr="00434021">
        <w:t xml:space="preserve">to review the operation of the </w:t>
      </w:r>
      <w:r w:rsidRPr="00DC40ED">
        <w:t>Online</w:t>
      </w:r>
      <w:r>
        <w:rPr>
          <w:i/>
        </w:rPr>
        <w:t xml:space="preserve"> </w:t>
      </w:r>
      <w:r>
        <w:t>Infringement Amendment 18 months after it commence</w:t>
      </w:r>
      <w:r w:rsidR="008C6445">
        <w:t>d on 27 June 2015</w:t>
      </w:r>
      <w:r>
        <w:t xml:space="preserve">. </w:t>
      </w:r>
      <w:r w:rsidR="00F86CCE">
        <w:t>T</w:t>
      </w:r>
      <w:r w:rsidR="007B5F47">
        <w:t>he D</w:t>
      </w:r>
      <w:r w:rsidR="00C567FB" w:rsidRPr="0015194F">
        <w:t xml:space="preserve">epartment </w:t>
      </w:r>
      <w:r w:rsidR="008404DE">
        <w:t xml:space="preserve">has </w:t>
      </w:r>
      <w:r w:rsidR="00C567FB" w:rsidRPr="0015194F">
        <w:t>defer</w:t>
      </w:r>
      <w:r w:rsidR="008404DE">
        <w:t>red</w:t>
      </w:r>
      <w:r w:rsidR="00C567FB" w:rsidRPr="0015194F">
        <w:t xml:space="preserve"> the review </w:t>
      </w:r>
      <w:r w:rsidR="00EB366D">
        <w:t xml:space="preserve">until now </w:t>
      </w:r>
      <w:r w:rsidR="008404DE">
        <w:t>to provide time for evidence to emerge</w:t>
      </w:r>
      <w:r w:rsidR="00C567FB" w:rsidRPr="0015194F">
        <w:t>.</w:t>
      </w:r>
    </w:p>
    <w:p w:rsidR="00C567FB" w:rsidRPr="008511EE" w:rsidRDefault="00C567FB" w:rsidP="00902E19">
      <w:pPr>
        <w:pStyle w:val="Heading3"/>
      </w:pPr>
      <w:r w:rsidRPr="008511EE">
        <w:t>What is the Online Infringement Amendment?</w:t>
      </w:r>
    </w:p>
    <w:p w:rsidR="005E3A23" w:rsidRDefault="004E2DF5" w:rsidP="00902E19">
      <w:pPr>
        <w:pBdr>
          <w:top w:val="single" w:sz="4" w:space="1" w:color="auto"/>
          <w:left w:val="single" w:sz="4" w:space="4" w:color="auto"/>
          <w:bottom w:val="single" w:sz="4" w:space="1" w:color="auto"/>
          <w:right w:val="single" w:sz="4" w:space="4" w:color="auto"/>
        </w:pBdr>
        <w:shd w:val="clear" w:color="auto" w:fill="E4E4E4"/>
      </w:pPr>
      <w:r>
        <w:t xml:space="preserve">The </w:t>
      </w:r>
      <w:r w:rsidR="00C567FB">
        <w:t>Online Infringement Amendment</w:t>
      </w:r>
      <w:r w:rsidRPr="004E2DF5">
        <w:t xml:space="preserve"> </w:t>
      </w:r>
      <w:r w:rsidR="00C567FB">
        <w:t xml:space="preserve">provides </w:t>
      </w:r>
      <w:r w:rsidRPr="004E2DF5">
        <w:t>a targeted mechanism to help reduce online copyright infringement.</w:t>
      </w:r>
      <w:r w:rsidR="008F4830">
        <w:rPr>
          <w:rStyle w:val="FootnoteReference"/>
        </w:rPr>
        <w:footnoteReference w:id="1"/>
      </w:r>
      <w:r w:rsidR="008404DE">
        <w:t xml:space="preserve"> </w:t>
      </w:r>
      <w:r w:rsidR="005E3A23">
        <w:t>The mechanism is intended to disrupt large-scale online copyright infringement by websites that operate outside Australia and distribute (or facilitate the distribution of) infringing material to Australian consumers. It enables copyright owners to apply to the Federal Court of Australia (the Federal Court) to block access to an online location meeting certain conditions. The location must be operated outside Australia and have the primary purpose of infringing (or facilitating infringement of) copyright content.</w:t>
      </w:r>
    </w:p>
    <w:p w:rsidR="005E3A23" w:rsidRDefault="005E3A23" w:rsidP="00902E19">
      <w:pPr>
        <w:pBdr>
          <w:top w:val="single" w:sz="4" w:space="1" w:color="auto"/>
          <w:left w:val="single" w:sz="4" w:space="4" w:color="auto"/>
          <w:bottom w:val="single" w:sz="4" w:space="1" w:color="auto"/>
          <w:right w:val="single" w:sz="4" w:space="4" w:color="auto"/>
        </w:pBdr>
        <w:shd w:val="clear" w:color="auto" w:fill="E4E4E4"/>
      </w:pPr>
      <w:r>
        <w:t xml:space="preserve">After considering several factors, the Federal Court may grant an injunction to require a carriage service provider </w:t>
      </w:r>
      <w:r w:rsidR="007B5F47">
        <w:t xml:space="preserve">(CSP) </w:t>
      </w:r>
      <w:r>
        <w:t xml:space="preserve">to take reasonable steps to disable access to such an online location. The factors help to target only </w:t>
      </w:r>
      <w:r w:rsidR="008511EE">
        <w:t xml:space="preserve">those </w:t>
      </w:r>
      <w:r>
        <w:t>online locations t</w:t>
      </w:r>
      <w:bookmarkStart w:id="3" w:name="_GoBack"/>
      <w:bookmarkEnd w:id="3"/>
      <w:r>
        <w:t>hat flagrantly disregard the rights of copyright owners by facilitating access to infringing copyright content. The factors the Federal Court considers are:</w:t>
      </w:r>
    </w:p>
    <w:p w:rsidR="005E3A23" w:rsidRDefault="005E3A23" w:rsidP="00902E19">
      <w:pPr>
        <w:pStyle w:val="Bulletlevel1"/>
        <w:pBdr>
          <w:top w:val="single" w:sz="4" w:space="1" w:color="auto"/>
          <w:left w:val="single" w:sz="4" w:space="4" w:color="auto"/>
          <w:bottom w:val="single" w:sz="4" w:space="1" w:color="auto"/>
          <w:right w:val="single" w:sz="4" w:space="4" w:color="auto"/>
        </w:pBdr>
        <w:shd w:val="clear" w:color="auto" w:fill="E4E4E4"/>
      </w:pPr>
      <w:r>
        <w:t>the flagrancy of infringement or its facilitation</w:t>
      </w:r>
    </w:p>
    <w:p w:rsidR="005E3A23" w:rsidRDefault="005E3A23" w:rsidP="00902E19">
      <w:pPr>
        <w:pStyle w:val="Bulletlevel1"/>
        <w:pBdr>
          <w:top w:val="single" w:sz="4" w:space="1" w:color="auto"/>
          <w:left w:val="single" w:sz="4" w:space="4" w:color="auto"/>
          <w:bottom w:val="single" w:sz="4" w:space="1" w:color="auto"/>
          <w:right w:val="single" w:sz="4" w:space="4" w:color="auto"/>
        </w:pBdr>
        <w:shd w:val="clear" w:color="auto" w:fill="E4E4E4"/>
      </w:pPr>
      <w:r>
        <w:t>whether disabling access is a proportionate response</w:t>
      </w:r>
    </w:p>
    <w:p w:rsidR="005E3A23" w:rsidRDefault="005E3A23" w:rsidP="00902E19">
      <w:pPr>
        <w:pStyle w:val="Bulletlevel1"/>
        <w:pBdr>
          <w:top w:val="single" w:sz="4" w:space="1" w:color="auto"/>
          <w:left w:val="single" w:sz="4" w:space="4" w:color="auto"/>
          <w:bottom w:val="single" w:sz="4" w:space="1" w:color="auto"/>
          <w:right w:val="single" w:sz="4" w:space="4" w:color="auto"/>
        </w:pBdr>
        <w:shd w:val="clear" w:color="auto" w:fill="E4E4E4"/>
      </w:pPr>
      <w:r>
        <w:t>the impact of the injunction on any person likely to be affected by the injunction</w:t>
      </w:r>
    </w:p>
    <w:p w:rsidR="005473F6" w:rsidRDefault="005E3A23" w:rsidP="00902E19">
      <w:pPr>
        <w:pStyle w:val="Bulletlevel1"/>
        <w:pBdr>
          <w:top w:val="single" w:sz="4" w:space="1" w:color="auto"/>
          <w:left w:val="single" w:sz="4" w:space="4" w:color="auto"/>
          <w:bottom w:val="single" w:sz="4" w:space="1" w:color="auto"/>
          <w:right w:val="single" w:sz="4" w:space="4" w:color="auto"/>
        </w:pBdr>
        <w:shd w:val="clear" w:color="auto" w:fill="E4E4E4"/>
      </w:pPr>
      <w:proofErr w:type="gramStart"/>
      <w:r>
        <w:t>whether</w:t>
      </w:r>
      <w:proofErr w:type="gramEnd"/>
      <w:r>
        <w:t xml:space="preserve"> it is in the public interest to disable access.</w:t>
      </w:r>
    </w:p>
    <w:p w:rsidR="008404DE" w:rsidRDefault="008404DE" w:rsidP="00902E19">
      <w:pPr>
        <w:pStyle w:val="Heading3"/>
      </w:pPr>
      <w:r>
        <w:t>What are the known impacts?</w:t>
      </w:r>
    </w:p>
    <w:p w:rsidR="005E3A23" w:rsidRPr="00434021" w:rsidRDefault="005E3A23" w:rsidP="005E3A23">
      <w:r>
        <w:t>The Productivity Commission had noted a variety of stakeholder experiences with blocking websites.</w:t>
      </w:r>
      <w:r w:rsidR="00F86CCE">
        <w:rPr>
          <w:rStyle w:val="FootnoteReference"/>
        </w:rPr>
        <w:footnoteReference w:id="2"/>
      </w:r>
      <w:r w:rsidR="00F86CCE">
        <w:t xml:space="preserve"> </w:t>
      </w:r>
      <w:r>
        <w:t>One stakeholder pointed to the UK experience with blocking orders as an example of successful blocking. However, some concerns were raised that some parts of the scheme were not sufficiently defined, creating uncertain impacts (for example, the lack of statutory definitions for ‘primary purpose’ of an online location and whether infringement is ‘flagrant’). There were also concerns that website blocking might be ineffective where the block was avoided by changing the online location. Other concerns already raised included the potential impact on access to legal content and bypassing of blocks implemented by carriage service providers</w:t>
      </w:r>
      <w:r w:rsidR="007B5F47">
        <w:t xml:space="preserve"> (CSPs)</w:t>
      </w:r>
      <w:r>
        <w:t>.</w:t>
      </w:r>
    </w:p>
    <w:p w:rsidR="008404DE" w:rsidRDefault="008404DE" w:rsidP="0020148D">
      <w:pPr>
        <w:rPr>
          <w:lang w:eastAsia="en-US"/>
        </w:rPr>
      </w:pPr>
      <w:r>
        <w:rPr>
          <w:lang w:eastAsia="en-US"/>
        </w:rPr>
        <w:lastRenderedPageBreak/>
        <w:t xml:space="preserve">Case </w:t>
      </w:r>
      <w:r w:rsidRPr="0020148D">
        <w:rPr>
          <w:lang w:eastAsia="en-US"/>
        </w:rPr>
        <w:t>law and survey data suggests the Online Infringement Amendment has enable</w:t>
      </w:r>
      <w:r w:rsidR="00F86CCE">
        <w:rPr>
          <w:lang w:eastAsia="en-US"/>
        </w:rPr>
        <w:t>d</w:t>
      </w:r>
      <w:r w:rsidRPr="0020148D">
        <w:rPr>
          <w:lang w:eastAsia="en-US"/>
        </w:rPr>
        <w:t xml:space="preserve"> copyright owners to work with</w:t>
      </w:r>
      <w:r w:rsidR="008C6445">
        <w:rPr>
          <w:lang w:eastAsia="en-US"/>
        </w:rPr>
        <w:t xml:space="preserve"> </w:t>
      </w:r>
      <w:r>
        <w:rPr>
          <w:lang w:eastAsia="en-US"/>
        </w:rPr>
        <w:t>CSPs</w:t>
      </w:r>
      <w:r w:rsidRPr="0020148D">
        <w:rPr>
          <w:lang w:eastAsia="en-US"/>
        </w:rPr>
        <w:t xml:space="preserve"> to reduce large-scale online copyright infringement</w:t>
      </w:r>
      <w:r>
        <w:rPr>
          <w:lang w:eastAsia="en-US"/>
        </w:rPr>
        <w:t xml:space="preserve">. So </w:t>
      </w:r>
      <w:r w:rsidRPr="0020148D">
        <w:rPr>
          <w:lang w:eastAsia="en-US"/>
        </w:rPr>
        <w:t xml:space="preserve">far, it appears that copyright owners and </w:t>
      </w:r>
      <w:r>
        <w:rPr>
          <w:lang w:eastAsia="en-US"/>
        </w:rPr>
        <w:t>CSPs</w:t>
      </w:r>
      <w:r w:rsidRPr="0020148D">
        <w:rPr>
          <w:lang w:eastAsia="en-US"/>
        </w:rPr>
        <w:t xml:space="preserve"> find the current arrangement acceptable</w:t>
      </w:r>
      <w:r w:rsidR="00F86CCE">
        <w:rPr>
          <w:lang w:eastAsia="en-US"/>
        </w:rPr>
        <w:t>, clear and effective</w:t>
      </w:r>
      <w:r w:rsidRPr="0020148D">
        <w:rPr>
          <w:lang w:eastAsia="en-US"/>
        </w:rPr>
        <w:t xml:space="preserve">. At the time of writing this paper, </w:t>
      </w:r>
      <w:r w:rsidRPr="00CA50CE">
        <w:rPr>
          <w:lang w:eastAsia="en-US"/>
        </w:rPr>
        <w:t xml:space="preserve">there have been four applications for </w:t>
      </w:r>
      <w:r w:rsidRPr="008F4830">
        <w:rPr>
          <w:lang w:eastAsia="en-US"/>
        </w:rPr>
        <w:t xml:space="preserve">injunctions through the Federal Court, </w:t>
      </w:r>
      <w:r w:rsidRPr="00902E19">
        <w:rPr>
          <w:lang w:eastAsia="en-US"/>
        </w:rPr>
        <w:t>with more applications expected to reach the Federal Court shortly.</w:t>
      </w:r>
      <w:r w:rsidR="007B5F47">
        <w:rPr>
          <w:lang w:eastAsia="en-US"/>
        </w:rPr>
        <w:t xml:space="preserve"> The D</w:t>
      </w:r>
      <w:r w:rsidRPr="008F4830">
        <w:rPr>
          <w:lang w:eastAsia="en-US"/>
        </w:rPr>
        <w:t>epartme</w:t>
      </w:r>
      <w:r w:rsidRPr="0020148D">
        <w:rPr>
          <w:lang w:eastAsia="en-US"/>
        </w:rPr>
        <w:t>nt will monitor applications to see whether the current arrangements are refined as more applications are made.</w:t>
      </w:r>
    </w:p>
    <w:p w:rsidR="008404DE" w:rsidRDefault="008404DE" w:rsidP="0020148D">
      <w:pPr>
        <w:rPr>
          <w:lang w:eastAsia="en-US"/>
        </w:rPr>
      </w:pPr>
      <w:r>
        <w:t xml:space="preserve">Since </w:t>
      </w:r>
      <w:r w:rsidRPr="008066AC">
        <w:t xml:space="preserve">December 2016, the Federal Court </w:t>
      </w:r>
      <w:r>
        <w:t xml:space="preserve">has </w:t>
      </w:r>
      <w:r w:rsidRPr="008066AC">
        <w:t xml:space="preserve">handed down </w:t>
      </w:r>
      <w:r>
        <w:t xml:space="preserve">several </w:t>
      </w:r>
      <w:r w:rsidRPr="008066AC">
        <w:t xml:space="preserve">decisions requiring </w:t>
      </w:r>
      <w:r w:rsidR="00AA29C7">
        <w:t>C</w:t>
      </w:r>
      <w:r>
        <w:t>SPs</w:t>
      </w:r>
      <w:r w:rsidRPr="008066AC">
        <w:t xml:space="preserve"> to begin blocking specific infringing websites.</w:t>
      </w:r>
    </w:p>
    <w:p w:rsidR="008404DE" w:rsidRDefault="008404DE" w:rsidP="0020148D">
      <w:pPr>
        <w:rPr>
          <w:lang w:eastAsia="en-US"/>
        </w:rPr>
      </w:pPr>
      <w:r>
        <w:rPr>
          <w:lang w:eastAsia="en-US"/>
        </w:rPr>
        <w:t xml:space="preserve">Early </w:t>
      </w:r>
      <w:r w:rsidRPr="0020148D">
        <w:rPr>
          <w:lang w:eastAsia="en-US"/>
        </w:rPr>
        <w:t>cases have established some initial precedents for these arrangements.</w:t>
      </w:r>
      <w:r w:rsidRPr="0020148D">
        <w:rPr>
          <w:vertAlign w:val="superscript"/>
          <w:lang w:eastAsia="en-US"/>
        </w:rPr>
        <w:footnoteReference w:id="3"/>
      </w:r>
      <w:r w:rsidRPr="0020148D">
        <w:rPr>
          <w:lang w:eastAsia="en-US"/>
        </w:rPr>
        <w:t xml:space="preserve"> One precedent establishes the use of a landing page to inform internet users of a court order and the costs of a </w:t>
      </w:r>
      <w:r>
        <w:rPr>
          <w:lang w:eastAsia="en-US"/>
        </w:rPr>
        <w:t>CSP</w:t>
      </w:r>
      <w:r w:rsidRPr="0020148D">
        <w:rPr>
          <w:lang w:eastAsia="en-US"/>
        </w:rPr>
        <w:t xml:space="preserve"> complying with a court order. Either a copyright owner or </w:t>
      </w:r>
      <w:r w:rsidR="007B5F47">
        <w:rPr>
          <w:lang w:eastAsia="en-US"/>
        </w:rPr>
        <w:t xml:space="preserve">a </w:t>
      </w:r>
      <w:r>
        <w:rPr>
          <w:lang w:eastAsia="en-US"/>
        </w:rPr>
        <w:t>CSP</w:t>
      </w:r>
      <w:r w:rsidRPr="0020148D">
        <w:rPr>
          <w:lang w:eastAsia="en-US"/>
        </w:rPr>
        <w:t xml:space="preserve"> can establish a landing page. If a </w:t>
      </w:r>
      <w:r>
        <w:rPr>
          <w:lang w:eastAsia="en-US"/>
        </w:rPr>
        <w:t>CSP</w:t>
      </w:r>
      <w:r w:rsidRPr="0020148D">
        <w:rPr>
          <w:lang w:eastAsia="en-US"/>
        </w:rPr>
        <w:t xml:space="preserve"> wishes to avoid the cost of its own landing page, it can redirect customers to one that the copyright owner would provide.</w:t>
      </w:r>
      <w:r>
        <w:rPr>
          <w:lang w:eastAsia="en-US"/>
        </w:rPr>
        <w:t xml:space="preserve"> Another </w:t>
      </w:r>
      <w:r w:rsidRPr="0020148D">
        <w:rPr>
          <w:lang w:eastAsia="en-US"/>
        </w:rPr>
        <w:t>precedent allocates responsibility for compliance costs. Cases to date have required copyright owners to pay all or a significant proportion of compliance costs. They have also calculated costs proportionate to the number of domain names.</w:t>
      </w:r>
    </w:p>
    <w:p w:rsidR="005E3A23" w:rsidRDefault="008404DE" w:rsidP="005E3A23">
      <w:pPr>
        <w:rPr>
          <w:lang w:eastAsia="en-US"/>
        </w:rPr>
      </w:pPr>
      <w:r>
        <w:rPr>
          <w:lang w:eastAsia="en-US"/>
        </w:rPr>
        <w:t xml:space="preserve">The </w:t>
      </w:r>
      <w:r w:rsidRPr="0020148D">
        <w:rPr>
          <w:lang w:eastAsia="en-US"/>
        </w:rPr>
        <w:t xml:space="preserve">Department is aware of evidence correlating a reduction in copyright infringement in Australia with the introduction of the Online Infringement Amendment. Kantar Public </w:t>
      </w:r>
      <w:r w:rsidR="008511EE" w:rsidRPr="0020148D">
        <w:rPr>
          <w:lang w:eastAsia="en-US"/>
        </w:rPr>
        <w:t xml:space="preserve">conducted </w:t>
      </w:r>
      <w:r w:rsidRPr="0020148D">
        <w:rPr>
          <w:lang w:eastAsia="en-US"/>
        </w:rPr>
        <w:t>research for the Department showed that downloading fell slightly from 2015 to 2017.</w:t>
      </w:r>
      <w:r w:rsidRPr="0020148D">
        <w:rPr>
          <w:vertAlign w:val="superscript"/>
          <w:lang w:eastAsia="en-US"/>
        </w:rPr>
        <w:footnoteReference w:id="4"/>
      </w:r>
      <w:r w:rsidRPr="0020148D">
        <w:rPr>
          <w:lang w:eastAsia="en-US"/>
        </w:rPr>
        <w:t xml:space="preserve"> The same research showed a five to 10 per cent decrease from 2015 to 2017 in individuals consuming any unlawful content across movies, music and television, although there was a slight increase for video games.</w:t>
      </w:r>
      <w:r w:rsidRPr="0020148D">
        <w:rPr>
          <w:vertAlign w:val="superscript"/>
          <w:lang w:eastAsia="en-US"/>
        </w:rPr>
        <w:footnoteReference w:id="5"/>
      </w:r>
    </w:p>
    <w:p w:rsidR="008404DE" w:rsidRDefault="008404DE" w:rsidP="0020148D">
      <w:pPr>
        <w:rPr>
          <w:lang w:eastAsia="en-US"/>
        </w:rPr>
      </w:pPr>
      <w:r>
        <w:rPr>
          <w:lang w:eastAsia="en-US"/>
        </w:rPr>
        <w:t xml:space="preserve">The </w:t>
      </w:r>
      <w:r w:rsidRPr="0020148D">
        <w:rPr>
          <w:lang w:eastAsia="en-US"/>
        </w:rPr>
        <w:t xml:space="preserve">Department is aware that other factors—such as the increasing availability of television, music and film streaming services and of subscription gaming services—may also contribute to falling </w:t>
      </w:r>
      <w:r w:rsidR="008511EE">
        <w:rPr>
          <w:lang w:eastAsia="en-US"/>
        </w:rPr>
        <w:t xml:space="preserve">levels of </w:t>
      </w:r>
      <w:r w:rsidRPr="0020148D">
        <w:rPr>
          <w:lang w:eastAsia="en-US"/>
        </w:rPr>
        <w:t>copyright infringement. The Kantar Public research showed consumption of digital content by streaming is rising across all categories, particularly in television and film.</w:t>
      </w:r>
      <w:r w:rsidRPr="0020148D">
        <w:rPr>
          <w:vertAlign w:val="superscript"/>
          <w:lang w:eastAsia="en-US"/>
        </w:rPr>
        <w:footnoteReference w:id="6"/>
      </w:r>
      <w:r w:rsidRPr="0020148D">
        <w:rPr>
          <w:lang w:eastAsia="en-US"/>
        </w:rPr>
        <w:t xml:space="preserve"> The findings of the Kantar Public report are broadly consistent with other research into this area.</w:t>
      </w:r>
      <w:r w:rsidRPr="0020148D">
        <w:rPr>
          <w:vertAlign w:val="superscript"/>
          <w:lang w:eastAsia="en-US"/>
        </w:rPr>
        <w:footnoteReference w:id="7"/>
      </w:r>
    </w:p>
    <w:p w:rsidR="003050A9" w:rsidRDefault="008404DE" w:rsidP="00C258EA">
      <w:pPr>
        <w:pStyle w:val="Heading2"/>
      </w:pPr>
      <w:r>
        <w:lastRenderedPageBreak/>
        <w:t>Q</w:t>
      </w:r>
      <w:r w:rsidR="00C258EA">
        <w:t xml:space="preserve">uestions </w:t>
      </w:r>
    </w:p>
    <w:p w:rsidR="00C258EA" w:rsidRDefault="00C258EA" w:rsidP="00C258EA">
      <w:pPr>
        <w:rPr>
          <w:lang w:eastAsia="en-US"/>
        </w:rPr>
      </w:pPr>
      <w:r>
        <w:rPr>
          <w:lang w:eastAsia="en-US"/>
        </w:rPr>
        <w:t>The following questions are provided for consultation.</w:t>
      </w:r>
    </w:p>
    <w:p w:rsidR="00C258EA" w:rsidRPr="00DC40ED" w:rsidRDefault="00C258EA" w:rsidP="00C258EA">
      <w:pPr>
        <w:keepNext/>
        <w:pBdr>
          <w:top w:val="single" w:sz="6" w:space="1" w:color="auto"/>
          <w:left w:val="single" w:sz="6" w:space="4" w:color="auto"/>
          <w:bottom w:val="single" w:sz="6" w:space="1" w:color="auto"/>
          <w:right w:val="single" w:sz="6" w:space="4" w:color="auto"/>
        </w:pBdr>
        <w:shd w:val="clear" w:color="auto" w:fill="E4E4E4"/>
      </w:pPr>
      <w:r w:rsidRPr="001D0637">
        <w:rPr>
          <w:b/>
        </w:rPr>
        <w:t xml:space="preserve">Question </w:t>
      </w:r>
      <w:r>
        <w:rPr>
          <w:b/>
        </w:rPr>
        <w:t>1</w:t>
      </w:r>
    </w:p>
    <w:p w:rsidR="00C258EA" w:rsidRDefault="00C258EA" w:rsidP="00C258EA">
      <w:pPr>
        <w:keepNext/>
        <w:pBdr>
          <w:top w:val="single" w:sz="6" w:space="1" w:color="auto"/>
          <w:left w:val="single" w:sz="6" w:space="4" w:color="auto"/>
          <w:bottom w:val="single" w:sz="6" w:space="1" w:color="auto"/>
          <w:right w:val="single" w:sz="6" w:space="4" w:color="auto"/>
        </w:pBdr>
        <w:shd w:val="clear" w:color="auto" w:fill="E4E4E4"/>
      </w:pPr>
      <w:r w:rsidRPr="00796599">
        <w:t xml:space="preserve">How effective and efficient is the mechanism introduced by </w:t>
      </w:r>
      <w:r>
        <w:t xml:space="preserve">the </w:t>
      </w:r>
      <w:r w:rsidRPr="00796599">
        <w:t>Online Infringement Amendment?</w:t>
      </w:r>
    </w:p>
    <w:p w:rsidR="00C258EA" w:rsidRPr="00F86CCE" w:rsidRDefault="00C258EA" w:rsidP="00902E19">
      <w:pPr>
        <w:pStyle w:val="NoSpacing"/>
      </w:pPr>
    </w:p>
    <w:p w:rsidR="00C258EA" w:rsidRPr="00DC40ED" w:rsidRDefault="00C258EA" w:rsidP="00C258EA">
      <w:pPr>
        <w:keepNext/>
        <w:pBdr>
          <w:top w:val="single" w:sz="6" w:space="1" w:color="auto"/>
          <w:left w:val="single" w:sz="6" w:space="4" w:color="auto"/>
          <w:bottom w:val="single" w:sz="6" w:space="1" w:color="auto"/>
          <w:right w:val="single" w:sz="6" w:space="4" w:color="auto"/>
        </w:pBdr>
        <w:shd w:val="clear" w:color="auto" w:fill="E4E4E4"/>
      </w:pPr>
      <w:r w:rsidRPr="001D0637">
        <w:rPr>
          <w:b/>
        </w:rPr>
        <w:t xml:space="preserve">Question </w:t>
      </w:r>
      <w:r>
        <w:rPr>
          <w:b/>
        </w:rPr>
        <w:t>2</w:t>
      </w:r>
    </w:p>
    <w:p w:rsidR="00C258EA" w:rsidRDefault="008C6445" w:rsidP="00C258EA">
      <w:pPr>
        <w:keepNext/>
        <w:pBdr>
          <w:top w:val="single" w:sz="6" w:space="1" w:color="auto"/>
          <w:left w:val="single" w:sz="6" w:space="4" w:color="auto"/>
          <w:bottom w:val="single" w:sz="6" w:space="1" w:color="auto"/>
          <w:right w:val="single" w:sz="6" w:space="4" w:color="auto"/>
        </w:pBdr>
        <w:shd w:val="clear" w:color="auto" w:fill="E4E4E4"/>
      </w:pPr>
      <w:r>
        <w:t>I</w:t>
      </w:r>
      <w:r w:rsidR="00C258EA" w:rsidRPr="00622553">
        <w:t>s the application process working well for parties and are injunctions operating well, once granted?</w:t>
      </w:r>
    </w:p>
    <w:p w:rsidR="00C258EA" w:rsidRDefault="00C258EA" w:rsidP="00902E19">
      <w:pPr>
        <w:pStyle w:val="NoSpacing"/>
      </w:pPr>
    </w:p>
    <w:p w:rsidR="00C258EA" w:rsidRPr="00DC40ED" w:rsidRDefault="00C258EA" w:rsidP="00C258EA">
      <w:pPr>
        <w:keepNext/>
        <w:pBdr>
          <w:top w:val="single" w:sz="6" w:space="1" w:color="auto"/>
          <w:left w:val="single" w:sz="6" w:space="4" w:color="auto"/>
          <w:bottom w:val="single" w:sz="6" w:space="1" w:color="auto"/>
          <w:right w:val="single" w:sz="6" w:space="4" w:color="auto"/>
        </w:pBdr>
        <w:shd w:val="clear" w:color="auto" w:fill="E4E4E4"/>
      </w:pPr>
      <w:r w:rsidRPr="001D0637">
        <w:rPr>
          <w:b/>
        </w:rPr>
        <w:t xml:space="preserve">Question </w:t>
      </w:r>
      <w:r>
        <w:rPr>
          <w:b/>
        </w:rPr>
        <w:t>3</w:t>
      </w:r>
    </w:p>
    <w:p w:rsidR="003050A9" w:rsidRPr="008A2CD9" w:rsidRDefault="00C258EA" w:rsidP="00902E19">
      <w:pPr>
        <w:keepNext/>
        <w:pBdr>
          <w:top w:val="single" w:sz="6" w:space="1" w:color="auto"/>
          <w:left w:val="single" w:sz="6" w:space="4" w:color="auto"/>
          <w:bottom w:val="single" w:sz="6" w:space="1" w:color="auto"/>
          <w:right w:val="single" w:sz="6" w:space="4" w:color="auto"/>
        </w:pBdr>
        <w:shd w:val="clear" w:color="auto" w:fill="E4E4E4"/>
        <w:rPr>
          <w:lang w:eastAsia="en-US"/>
        </w:rPr>
      </w:pPr>
      <w:r>
        <w:t>Are any amendments required to improve the operation of the Online Infringement Amendment?</w:t>
      </w:r>
    </w:p>
    <w:sectPr w:rsidR="003050A9" w:rsidRPr="008A2CD9" w:rsidSect="00895736">
      <w:footerReference w:type="default" r:id="rId24"/>
      <w:type w:val="continuous"/>
      <w:pgSz w:w="11906" w:h="16838"/>
      <w:pgMar w:top="1418" w:right="1133" w:bottom="1440" w:left="1440" w:header="51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46B" w:rsidRDefault="005D446B" w:rsidP="002117E6">
      <w:pPr>
        <w:spacing w:after="0"/>
      </w:pPr>
      <w:r>
        <w:separator/>
      </w:r>
    </w:p>
  </w:endnote>
  <w:endnote w:type="continuationSeparator" w:id="0">
    <w:p w:rsidR="005D446B" w:rsidRDefault="005D446B"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0E" w:rsidRDefault="001D7905" w:rsidP="001D7905">
    <w:pPr>
      <w:pStyle w:val="Footer"/>
      <w:tabs>
        <w:tab w:val="clear" w:pos="4513"/>
        <w:tab w:val="clear" w:pos="9026"/>
        <w:tab w:val="center" w:pos="4536"/>
        <w:tab w:val="right" w:pos="9498"/>
      </w:tabs>
      <w:ind w:left="-1440" w:right="-613"/>
    </w:pPr>
    <w:r>
      <w:rPr>
        <w:noProof/>
        <w:lang w:eastAsia="en-AU"/>
      </w:rPr>
      <w:drawing>
        <wp:inline distT="0" distB="0" distL="0" distR="0" wp14:anchorId="4CD1871C" wp14:editId="4CD1871D">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rsidR="002117E6" w:rsidRPr="0037566A" w:rsidRDefault="009313D2" w:rsidP="006A2F0E">
    <w:pPr>
      <w:pStyle w:val="Footer"/>
      <w:tabs>
        <w:tab w:val="clear" w:pos="4513"/>
        <w:tab w:val="clear" w:pos="9026"/>
        <w:tab w:val="center" w:pos="4536"/>
        <w:tab w:val="right" w:pos="9498"/>
      </w:tabs>
      <w:ind w:right="-613"/>
      <w:rPr>
        <w:sz w:val="18"/>
        <w:szCs w:val="18"/>
      </w:rPr>
    </w:pPr>
    <w:r>
      <w:tab/>
    </w:r>
    <w:hyperlink r:id="rId2" w:history="1">
      <w:r w:rsidR="002117E6" w:rsidRPr="0037566A">
        <w:rPr>
          <w:rStyle w:val="Hyperlink"/>
          <w:sz w:val="18"/>
          <w:szCs w:val="18"/>
        </w:rPr>
        <w:t>www.communications.gov.au</w:t>
      </w:r>
    </w:hyperlink>
  </w:p>
  <w:p w:rsidR="002117E6" w:rsidRPr="001D7905" w:rsidRDefault="0015194F" w:rsidP="001D7905">
    <w:pPr>
      <w:pStyle w:val="Footer"/>
      <w:tabs>
        <w:tab w:val="clear" w:pos="4513"/>
        <w:tab w:val="clear" w:pos="9026"/>
        <w:tab w:val="center" w:pos="4536"/>
        <w:tab w:val="right" w:pos="9498"/>
      </w:tabs>
      <w:ind w:right="-46"/>
      <w:rPr>
        <w:rStyle w:val="Hyperlink"/>
        <w:color w:val="001C40" w:themeColor="text2"/>
        <w:sz w:val="18"/>
        <w:szCs w:val="18"/>
      </w:rPr>
    </w:pPr>
    <w:r>
      <w:rPr>
        <w:color w:val="001C40" w:themeColor="text2"/>
        <w:sz w:val="18"/>
        <w:szCs w:val="18"/>
      </w:rPr>
      <w:t>Review of Online Infringement Amendment</w:t>
    </w:r>
    <w:r w:rsidR="0064138E" w:rsidRPr="001D7905">
      <w:rPr>
        <w:color w:val="001C40" w:themeColor="text2"/>
        <w:sz w:val="18"/>
        <w:szCs w:val="18"/>
      </w:rPr>
      <w:tab/>
    </w:r>
    <w:hyperlink r:id="rId3" w:history="1">
      <w:r w:rsidR="002117E6" w:rsidRPr="001D7905">
        <w:rPr>
          <w:rStyle w:val="Hyperlink"/>
          <w:sz w:val="18"/>
          <w:szCs w:val="18"/>
        </w:rPr>
        <w:t>www.arts.gov.au</w:t>
      </w:r>
    </w:hyperlink>
    <w:r w:rsidR="002117E6" w:rsidRPr="001D7905">
      <w:rPr>
        <w:color w:val="001C40" w:themeColor="text2"/>
        <w:sz w:val="18"/>
        <w:szCs w:val="18"/>
      </w:rPr>
      <w:tab/>
    </w:r>
    <w:sdt>
      <w:sdtPr>
        <w:rPr>
          <w:color w:val="001C40" w:themeColor="text2"/>
          <w:sz w:val="18"/>
          <w:szCs w:val="18"/>
        </w:rPr>
        <w:id w:val="38782915"/>
        <w:docPartObj>
          <w:docPartGallery w:val="Page Numbers (Top of Page)"/>
          <w:docPartUnique/>
        </w:docPartObj>
      </w:sdtPr>
      <w:sdtEndPr/>
      <w:sdtContent>
        <w:r w:rsidR="002117E6" w:rsidRPr="001D7905">
          <w:rPr>
            <w:color w:val="001C40" w:themeColor="text2"/>
            <w:sz w:val="18"/>
            <w:szCs w:val="18"/>
          </w:rPr>
          <w:t xml:space="preserve">Page </w:t>
        </w:r>
        <w:r w:rsidR="002117E6" w:rsidRPr="001D7905">
          <w:rPr>
            <w:bCs/>
            <w:color w:val="001C40" w:themeColor="text2"/>
            <w:sz w:val="18"/>
            <w:szCs w:val="18"/>
          </w:rPr>
          <w:fldChar w:fldCharType="begin"/>
        </w:r>
        <w:r w:rsidR="002117E6" w:rsidRPr="001D7905">
          <w:rPr>
            <w:bCs/>
            <w:color w:val="001C40" w:themeColor="text2"/>
            <w:sz w:val="18"/>
            <w:szCs w:val="18"/>
          </w:rPr>
          <w:instrText xml:space="preserve"> PAGE </w:instrText>
        </w:r>
        <w:r w:rsidR="002117E6" w:rsidRPr="001D7905">
          <w:rPr>
            <w:bCs/>
            <w:color w:val="001C40" w:themeColor="text2"/>
            <w:sz w:val="18"/>
            <w:szCs w:val="18"/>
          </w:rPr>
          <w:fldChar w:fldCharType="separate"/>
        </w:r>
        <w:r w:rsidR="00895736">
          <w:rPr>
            <w:bCs/>
            <w:noProof/>
            <w:color w:val="001C40" w:themeColor="text2"/>
            <w:sz w:val="18"/>
            <w:szCs w:val="18"/>
          </w:rPr>
          <w:t>2</w:t>
        </w:r>
        <w:r w:rsidR="002117E6" w:rsidRPr="001D7905">
          <w:rPr>
            <w:bCs/>
            <w:color w:val="001C40" w:themeColor="text2"/>
            <w:sz w:val="18"/>
            <w:szCs w:val="18"/>
          </w:rPr>
          <w:fldChar w:fldCharType="end"/>
        </w:r>
        <w:r w:rsidR="002117E6" w:rsidRPr="001D7905">
          <w:rPr>
            <w:color w:val="001C40" w:themeColor="text2"/>
            <w:sz w:val="18"/>
            <w:szCs w:val="18"/>
          </w:rPr>
          <w:t xml:space="preserve"> of </w:t>
        </w:r>
        <w:r w:rsidR="002117E6" w:rsidRPr="001D7905">
          <w:rPr>
            <w:bCs/>
            <w:color w:val="001C40" w:themeColor="text2"/>
            <w:sz w:val="18"/>
            <w:szCs w:val="18"/>
          </w:rPr>
          <w:fldChar w:fldCharType="begin"/>
        </w:r>
        <w:r w:rsidR="002117E6" w:rsidRPr="001D7905">
          <w:rPr>
            <w:bCs/>
            <w:color w:val="001C40" w:themeColor="text2"/>
            <w:sz w:val="18"/>
            <w:szCs w:val="18"/>
          </w:rPr>
          <w:instrText xml:space="preserve"> NUMPAGES  </w:instrText>
        </w:r>
        <w:r w:rsidR="002117E6" w:rsidRPr="001D7905">
          <w:rPr>
            <w:bCs/>
            <w:color w:val="001C40" w:themeColor="text2"/>
            <w:sz w:val="18"/>
            <w:szCs w:val="18"/>
          </w:rPr>
          <w:fldChar w:fldCharType="separate"/>
        </w:r>
        <w:r w:rsidR="00895736">
          <w:rPr>
            <w:bCs/>
            <w:noProof/>
            <w:color w:val="001C40" w:themeColor="text2"/>
            <w:sz w:val="18"/>
            <w:szCs w:val="18"/>
          </w:rPr>
          <w:t>5</w:t>
        </w:r>
        <w:r w:rsidR="002117E6" w:rsidRPr="001D7905">
          <w:rPr>
            <w:bCs/>
            <w:color w:val="001C40" w:themeColor="text2"/>
            <w:sz w:val="18"/>
            <w:szCs w:val="18"/>
          </w:rPr>
          <w:fldChar w:fldCharType="end"/>
        </w:r>
      </w:sdtContent>
    </w:sdt>
  </w:p>
  <w:p w:rsidR="002117E6" w:rsidRPr="002117E6" w:rsidRDefault="009313D2"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002117E6"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736" w:rsidRDefault="00895736" w:rsidP="001D7905">
    <w:pPr>
      <w:pStyle w:val="Footer"/>
      <w:tabs>
        <w:tab w:val="clear" w:pos="4513"/>
        <w:tab w:val="clear" w:pos="9026"/>
        <w:tab w:val="center" w:pos="4536"/>
        <w:tab w:val="right" w:pos="9498"/>
      </w:tabs>
      <w:ind w:left="-1440" w:right="-613"/>
    </w:pPr>
    <w:r>
      <w:rPr>
        <w:noProof/>
        <w:lang w:eastAsia="en-AU"/>
      </w:rPr>
      <w:drawing>
        <wp:inline distT="0" distB="0" distL="0" distR="0" wp14:anchorId="291F4AC5" wp14:editId="3084403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rsidR="00895736" w:rsidRPr="0037566A" w:rsidRDefault="00895736" w:rsidP="006A2F0E">
    <w:pPr>
      <w:pStyle w:val="Footer"/>
      <w:tabs>
        <w:tab w:val="clear" w:pos="4513"/>
        <w:tab w:val="clear" w:pos="9026"/>
        <w:tab w:val="center" w:pos="4536"/>
        <w:tab w:val="right" w:pos="9498"/>
      </w:tabs>
      <w:ind w:right="-613"/>
      <w:rPr>
        <w:sz w:val="18"/>
        <w:szCs w:val="18"/>
      </w:rPr>
    </w:pPr>
    <w:r>
      <w:tab/>
    </w:r>
    <w:hyperlink r:id="rId2" w:history="1">
      <w:r w:rsidRPr="0037566A">
        <w:rPr>
          <w:rStyle w:val="Hyperlink"/>
          <w:sz w:val="18"/>
          <w:szCs w:val="18"/>
        </w:rPr>
        <w:t>www.communications.gov.au</w:t>
      </w:r>
    </w:hyperlink>
  </w:p>
  <w:p w:rsidR="00895736" w:rsidRPr="001D7905" w:rsidRDefault="00895736" w:rsidP="001D7905">
    <w:pPr>
      <w:pStyle w:val="Footer"/>
      <w:tabs>
        <w:tab w:val="clear" w:pos="4513"/>
        <w:tab w:val="clear" w:pos="9026"/>
        <w:tab w:val="center" w:pos="4536"/>
        <w:tab w:val="right" w:pos="9498"/>
      </w:tabs>
      <w:ind w:right="-46"/>
      <w:rPr>
        <w:rStyle w:val="Hyperlink"/>
        <w:color w:val="001C40" w:themeColor="text2"/>
        <w:sz w:val="18"/>
        <w:szCs w:val="18"/>
      </w:rPr>
    </w:pPr>
    <w:r>
      <w:rPr>
        <w:color w:val="001C40" w:themeColor="text2"/>
        <w:sz w:val="18"/>
        <w:szCs w:val="18"/>
      </w:rPr>
      <w:t>Review of Online Infringement Amendment</w:t>
    </w:r>
    <w:r w:rsidRPr="001D7905">
      <w:rPr>
        <w:color w:val="001C40" w:themeColor="text2"/>
        <w:sz w:val="18"/>
        <w:szCs w:val="18"/>
      </w:rPr>
      <w:tab/>
    </w:r>
    <w:hyperlink r:id="rId3" w:history="1">
      <w:r w:rsidRPr="001D7905">
        <w:rPr>
          <w:rStyle w:val="Hyperlink"/>
          <w:sz w:val="18"/>
          <w:szCs w:val="18"/>
        </w:rPr>
        <w:t>www.arts.gov.au</w:t>
      </w:r>
    </w:hyperlink>
    <w:r w:rsidRPr="001D7905">
      <w:rPr>
        <w:color w:val="001C40" w:themeColor="text2"/>
        <w:sz w:val="18"/>
        <w:szCs w:val="18"/>
      </w:rPr>
      <w:tab/>
    </w:r>
    <w:sdt>
      <w:sdtPr>
        <w:rPr>
          <w:color w:val="001C40" w:themeColor="text2"/>
          <w:sz w:val="18"/>
          <w:szCs w:val="18"/>
        </w:rPr>
        <w:id w:val="-1927108858"/>
        <w:docPartObj>
          <w:docPartGallery w:val="Page Numbers (Top of Page)"/>
          <w:docPartUnique/>
        </w:docPartObj>
      </w:sdtPr>
      <w:sdtEndPr/>
      <w:sdtContent>
        <w:r w:rsidRPr="001D7905">
          <w:rPr>
            <w:color w:val="001C40" w:themeColor="text2"/>
            <w:sz w:val="18"/>
            <w:szCs w:val="18"/>
          </w:rPr>
          <w:t xml:space="preserve">Page </w:t>
        </w:r>
        <w:r w:rsidRPr="001D7905">
          <w:rPr>
            <w:bCs/>
            <w:color w:val="001C40" w:themeColor="text2"/>
            <w:sz w:val="18"/>
            <w:szCs w:val="18"/>
          </w:rPr>
          <w:fldChar w:fldCharType="begin"/>
        </w:r>
        <w:r w:rsidRPr="001D7905">
          <w:rPr>
            <w:bCs/>
            <w:color w:val="001C40" w:themeColor="text2"/>
            <w:sz w:val="18"/>
            <w:szCs w:val="18"/>
          </w:rPr>
          <w:instrText xml:space="preserve"> PAGE </w:instrText>
        </w:r>
        <w:r w:rsidRPr="001D7905">
          <w:rPr>
            <w:bCs/>
            <w:color w:val="001C40" w:themeColor="text2"/>
            <w:sz w:val="18"/>
            <w:szCs w:val="18"/>
          </w:rPr>
          <w:fldChar w:fldCharType="separate"/>
        </w:r>
        <w:r w:rsidR="0057724A">
          <w:rPr>
            <w:bCs/>
            <w:noProof/>
            <w:color w:val="001C40" w:themeColor="text2"/>
            <w:sz w:val="18"/>
            <w:szCs w:val="18"/>
          </w:rPr>
          <w:t>2</w:t>
        </w:r>
        <w:r w:rsidRPr="001D7905">
          <w:rPr>
            <w:bCs/>
            <w:color w:val="001C40" w:themeColor="text2"/>
            <w:sz w:val="18"/>
            <w:szCs w:val="18"/>
          </w:rPr>
          <w:fldChar w:fldCharType="end"/>
        </w:r>
        <w:r w:rsidRPr="001D7905">
          <w:rPr>
            <w:color w:val="001C40" w:themeColor="text2"/>
            <w:sz w:val="18"/>
            <w:szCs w:val="18"/>
          </w:rPr>
          <w:t xml:space="preserve"> of </w:t>
        </w:r>
        <w:r w:rsidRPr="001D7905">
          <w:rPr>
            <w:bCs/>
            <w:color w:val="001C40" w:themeColor="text2"/>
            <w:sz w:val="18"/>
            <w:szCs w:val="18"/>
          </w:rPr>
          <w:fldChar w:fldCharType="begin"/>
        </w:r>
        <w:r w:rsidRPr="001D7905">
          <w:rPr>
            <w:bCs/>
            <w:color w:val="001C40" w:themeColor="text2"/>
            <w:sz w:val="18"/>
            <w:szCs w:val="18"/>
          </w:rPr>
          <w:instrText xml:space="preserve"> NUMPAGES  </w:instrText>
        </w:r>
        <w:r w:rsidRPr="001D7905">
          <w:rPr>
            <w:bCs/>
            <w:color w:val="001C40" w:themeColor="text2"/>
            <w:sz w:val="18"/>
            <w:szCs w:val="18"/>
          </w:rPr>
          <w:fldChar w:fldCharType="separate"/>
        </w:r>
        <w:r w:rsidR="0057724A">
          <w:rPr>
            <w:bCs/>
            <w:noProof/>
            <w:color w:val="001C40" w:themeColor="text2"/>
            <w:sz w:val="18"/>
            <w:szCs w:val="18"/>
          </w:rPr>
          <w:t>5</w:t>
        </w:r>
        <w:r w:rsidRPr="001D7905">
          <w:rPr>
            <w:bCs/>
            <w:color w:val="001C40" w:themeColor="text2"/>
            <w:sz w:val="18"/>
            <w:szCs w:val="18"/>
          </w:rPr>
          <w:fldChar w:fldCharType="end"/>
        </w:r>
      </w:sdtContent>
    </w:sdt>
  </w:p>
  <w:p w:rsidR="00895736" w:rsidRPr="002117E6" w:rsidRDefault="00895736"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46B" w:rsidRDefault="005D446B" w:rsidP="002117E6">
      <w:pPr>
        <w:spacing w:after="0"/>
      </w:pPr>
      <w:r>
        <w:separator/>
      </w:r>
    </w:p>
  </w:footnote>
  <w:footnote w:type="continuationSeparator" w:id="0">
    <w:p w:rsidR="005D446B" w:rsidRDefault="005D446B" w:rsidP="002117E6">
      <w:pPr>
        <w:spacing w:after="0"/>
      </w:pPr>
      <w:r>
        <w:continuationSeparator/>
      </w:r>
    </w:p>
  </w:footnote>
  <w:footnote w:id="1">
    <w:p w:rsidR="008F4830" w:rsidRPr="008F4830" w:rsidRDefault="008F4830">
      <w:pPr>
        <w:pStyle w:val="FootnoteText"/>
      </w:pPr>
      <w:r>
        <w:rPr>
          <w:rStyle w:val="FootnoteReference"/>
        </w:rPr>
        <w:footnoteRef/>
      </w:r>
      <w:r>
        <w:t xml:space="preserve"> </w:t>
      </w:r>
      <w:r>
        <w:rPr>
          <w:i/>
        </w:rPr>
        <w:t xml:space="preserve">Copyright Act 1968 </w:t>
      </w:r>
      <w:r>
        <w:t>(Cth), s 115A</w:t>
      </w:r>
    </w:p>
  </w:footnote>
  <w:footnote w:id="2">
    <w:p w:rsidR="00F86CCE" w:rsidRPr="00CC588E" w:rsidRDefault="00F86CCE" w:rsidP="005E3A23">
      <w:pPr>
        <w:pStyle w:val="FootnoteText"/>
        <w:contextualSpacing/>
      </w:pPr>
      <w:r w:rsidRPr="00CC588E">
        <w:rPr>
          <w:rStyle w:val="FootnoteReference"/>
        </w:rPr>
        <w:footnoteRef/>
      </w:r>
      <w:r w:rsidRPr="00CC588E">
        <w:t xml:space="preserve"> P</w:t>
      </w:r>
      <w:r>
        <w:t xml:space="preserve">roductivity </w:t>
      </w:r>
      <w:r w:rsidRPr="00CC588E">
        <w:t>C</w:t>
      </w:r>
      <w:r>
        <w:t>ommission</w:t>
      </w:r>
      <w:r w:rsidRPr="00CC588E">
        <w:t xml:space="preserve"> (2016), </w:t>
      </w:r>
      <w:hyperlink r:id="rId1" w:history="1">
        <w:r w:rsidRPr="004821CD">
          <w:rPr>
            <w:rStyle w:val="Hyperlink"/>
            <w:i/>
          </w:rPr>
          <w:t>Intellectual Property Arrangements</w:t>
        </w:r>
      </w:hyperlink>
      <w:r w:rsidRPr="00CC588E">
        <w:t>, pg.567</w:t>
      </w:r>
      <w:r>
        <w:t>–</w:t>
      </w:r>
      <w:r w:rsidRPr="00CC588E">
        <w:t>568</w:t>
      </w:r>
    </w:p>
  </w:footnote>
  <w:footnote w:id="3">
    <w:p w:rsidR="008404DE" w:rsidRPr="00CC588E" w:rsidRDefault="008404DE" w:rsidP="0020148D">
      <w:pPr>
        <w:pStyle w:val="FootnoteText"/>
        <w:contextualSpacing/>
      </w:pPr>
      <w:r w:rsidRPr="00CC588E">
        <w:rPr>
          <w:rStyle w:val="FootnoteReference"/>
        </w:rPr>
        <w:footnoteRef/>
      </w:r>
      <w:r w:rsidRPr="00CC588E">
        <w:t xml:space="preserve"> </w:t>
      </w:r>
      <w:hyperlink r:id="rId2" w:history="1">
        <w:r w:rsidRPr="00CC588E">
          <w:rPr>
            <w:rStyle w:val="Hyperlink"/>
            <w:i/>
          </w:rPr>
          <w:t>Roadshow Films Pty Ltd v Telstra Corporation Ltd</w:t>
        </w:r>
        <w:r w:rsidRPr="00CC588E">
          <w:rPr>
            <w:rStyle w:val="Hyperlink"/>
          </w:rPr>
          <w:t xml:space="preserve"> [2016] FCA 1503</w:t>
        </w:r>
      </w:hyperlink>
      <w:r w:rsidRPr="00CC588E">
        <w:t xml:space="preserve">, </w:t>
      </w:r>
      <w:hyperlink r:id="rId3" w:history="1">
        <w:r w:rsidRPr="00CC588E">
          <w:rPr>
            <w:rStyle w:val="Hyperlink"/>
            <w:i/>
          </w:rPr>
          <w:t>Universal Music Australia Pty Limited v TPG</w:t>
        </w:r>
        <w:r>
          <w:rPr>
            <w:rStyle w:val="Hyperlink"/>
            <w:i/>
          </w:rPr>
          <w:t xml:space="preserve"> </w:t>
        </w:r>
        <w:r w:rsidRPr="00CC588E">
          <w:rPr>
            <w:rStyle w:val="Hyperlink"/>
            <w:i/>
          </w:rPr>
          <w:t>Internet Pty Ltd</w:t>
        </w:r>
        <w:r w:rsidRPr="00CC588E">
          <w:rPr>
            <w:rStyle w:val="Hyperlink"/>
          </w:rPr>
          <w:t xml:space="preserve"> [2017] FCA 435</w:t>
        </w:r>
      </w:hyperlink>
      <w:r w:rsidRPr="00CC588E">
        <w:t xml:space="preserve">, </w:t>
      </w:r>
      <w:hyperlink r:id="rId4" w:history="1">
        <w:r w:rsidRPr="00CC588E">
          <w:rPr>
            <w:rStyle w:val="Hyperlink"/>
            <w:i/>
          </w:rPr>
          <w:t>Roadshow Films Pty Ltd v Telstra Corporation Limited</w:t>
        </w:r>
        <w:r w:rsidRPr="00CC588E">
          <w:rPr>
            <w:rStyle w:val="Hyperlink"/>
          </w:rPr>
          <w:t xml:space="preserve"> [2017] FCA 965</w:t>
        </w:r>
      </w:hyperlink>
      <w:r w:rsidRPr="00CC588E">
        <w:t xml:space="preserve">, </w:t>
      </w:r>
      <w:hyperlink r:id="rId5" w:history="1">
        <w:r w:rsidRPr="00CC588E">
          <w:rPr>
            <w:rStyle w:val="Hyperlink"/>
            <w:i/>
          </w:rPr>
          <w:t>Foxtel Management Pty Limited v TPG</w:t>
        </w:r>
        <w:r>
          <w:rPr>
            <w:rStyle w:val="Hyperlink"/>
            <w:i/>
          </w:rPr>
          <w:t xml:space="preserve"> </w:t>
        </w:r>
        <w:r w:rsidRPr="00CC588E">
          <w:rPr>
            <w:rStyle w:val="Hyperlink"/>
            <w:i/>
          </w:rPr>
          <w:t>Internet Pty Ltd</w:t>
        </w:r>
        <w:r w:rsidRPr="00CC588E">
          <w:rPr>
            <w:rStyle w:val="Hyperlink"/>
          </w:rPr>
          <w:t xml:space="preserve"> [2017] FCA 1041</w:t>
        </w:r>
      </w:hyperlink>
      <w:r w:rsidRPr="00CC588E">
        <w:t xml:space="preserve"> </w:t>
      </w:r>
    </w:p>
  </w:footnote>
  <w:footnote w:id="4">
    <w:p w:rsidR="008404DE" w:rsidRPr="00CC588E" w:rsidRDefault="008404DE" w:rsidP="0020148D">
      <w:pPr>
        <w:pStyle w:val="FootnoteText"/>
        <w:contextualSpacing/>
      </w:pPr>
      <w:r w:rsidRPr="00CC588E">
        <w:rPr>
          <w:rStyle w:val="FootnoteReference"/>
        </w:rPr>
        <w:footnoteRef/>
      </w:r>
      <w:r w:rsidRPr="00CC588E">
        <w:t xml:space="preserve"> Kantar Public (2017, for Department of Communications and the Arts), </w:t>
      </w:r>
      <w:hyperlink r:id="rId6" w:history="1">
        <w:r w:rsidRPr="004821CD">
          <w:rPr>
            <w:rStyle w:val="Hyperlink"/>
            <w:i/>
          </w:rPr>
          <w:t>Consumer Survey on Online Copyright Infringement 2017</w:t>
        </w:r>
      </w:hyperlink>
      <w:r w:rsidRPr="00CC588E">
        <w:t>, pg.4</w:t>
      </w:r>
    </w:p>
  </w:footnote>
  <w:footnote w:id="5">
    <w:p w:rsidR="008404DE" w:rsidRPr="00CC588E" w:rsidRDefault="008404DE" w:rsidP="0020148D">
      <w:pPr>
        <w:pStyle w:val="FootnoteText"/>
        <w:contextualSpacing/>
      </w:pPr>
      <w:r w:rsidRPr="00CC588E">
        <w:rPr>
          <w:rStyle w:val="FootnoteReference"/>
        </w:rPr>
        <w:footnoteRef/>
      </w:r>
      <w:r w:rsidRPr="00CC588E">
        <w:t xml:space="preserve"> </w:t>
      </w:r>
      <w:hyperlink r:id="rId7" w:history="1">
        <w:r w:rsidRPr="003C110C">
          <w:rPr>
            <w:rStyle w:val="Hyperlink"/>
          </w:rPr>
          <w:t>Ibid</w:t>
        </w:r>
      </w:hyperlink>
      <w:r w:rsidRPr="00CC588E">
        <w:t>, pg.5</w:t>
      </w:r>
    </w:p>
  </w:footnote>
  <w:footnote w:id="6">
    <w:p w:rsidR="008404DE" w:rsidRPr="00CC588E" w:rsidRDefault="008404DE" w:rsidP="0020148D">
      <w:pPr>
        <w:pStyle w:val="FootnoteText"/>
        <w:contextualSpacing/>
      </w:pPr>
      <w:r w:rsidRPr="00CC588E">
        <w:rPr>
          <w:rStyle w:val="FootnoteReference"/>
        </w:rPr>
        <w:footnoteRef/>
      </w:r>
      <w:r w:rsidRPr="00CC588E">
        <w:t xml:space="preserve"> </w:t>
      </w:r>
      <w:hyperlink r:id="rId8" w:history="1">
        <w:r w:rsidRPr="00583DDF">
          <w:rPr>
            <w:rStyle w:val="Hyperlink"/>
          </w:rPr>
          <w:t>Ibid</w:t>
        </w:r>
      </w:hyperlink>
      <w:r w:rsidRPr="00CC588E">
        <w:t>, pg.5</w:t>
      </w:r>
    </w:p>
  </w:footnote>
  <w:footnote w:id="7">
    <w:p w:rsidR="008404DE" w:rsidRPr="00224223" w:rsidRDefault="008404DE" w:rsidP="0020148D">
      <w:pPr>
        <w:pStyle w:val="FootnoteText"/>
        <w:contextualSpacing/>
      </w:pPr>
      <w:r w:rsidRPr="00CC588E">
        <w:rPr>
          <w:rStyle w:val="FootnoteReference"/>
        </w:rPr>
        <w:footnoteRef/>
      </w:r>
      <w:r w:rsidRPr="00CC588E">
        <w:t xml:space="preserve"> See Sycamore (2017, for Creative Content Australia), </w:t>
      </w:r>
      <w:hyperlink r:id="rId9" w:history="1">
        <w:r w:rsidRPr="004821CD">
          <w:rPr>
            <w:rStyle w:val="Hyperlink"/>
            <w:i/>
          </w:rPr>
          <w:t>Project Harrison: Australian Piracy Behaviours and Attitudes</w:t>
        </w:r>
      </w:hyperlink>
      <w:r w:rsidRPr="00CC588E">
        <w:t xml:space="preserve">. See also CHOICE (2015), </w:t>
      </w:r>
      <w:hyperlink r:id="rId10" w:history="1">
        <w:r w:rsidRPr="004821CD">
          <w:rPr>
            <w:rStyle w:val="Hyperlink"/>
            <w:i/>
          </w:rPr>
          <w:t>Research update: CHOICE Digital Consumers Paying for Content Behaviour &amp; Attitudes</w:t>
        </w:r>
      </w:hyperlink>
      <w:r w:rsidRPr="004821CD">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Pr="001D7905" w:rsidRDefault="002117E6" w:rsidP="001D7905">
    <w:pPr>
      <w:pStyle w:val="Header"/>
      <w:tabs>
        <w:tab w:val="clear" w:pos="9026"/>
        <w:tab w:val="right" w:pos="9333"/>
      </w:tabs>
      <w:ind w:right="-46"/>
      <w:rPr>
        <w:color w:val="001C40" w:themeColor="text2"/>
      </w:rPr>
    </w:pPr>
    <w:r w:rsidRPr="001D7905">
      <w:rPr>
        <w:color w:val="001C40" w:themeColor="text2"/>
      </w:rPr>
      <w:t>Department of Communications and the Arts</w:t>
    </w:r>
    <w:r w:rsidRPr="001D7905">
      <w:rPr>
        <w:color w:val="001C40" w:themeColor="text2"/>
      </w:rPr>
      <w:tab/>
    </w:r>
    <w:r w:rsidRPr="001D7905">
      <w:rPr>
        <w:color w:val="001C40" w:themeColor="text2"/>
      </w:rPr>
      <w:tab/>
    </w:r>
    <w:r w:rsidR="0015194F">
      <w:rPr>
        <w:color w:val="001C40" w:themeColor="text2"/>
      </w:rPr>
      <w:t>Februar</w:t>
    </w:r>
    <w:r w:rsidR="008A2CD9">
      <w:rPr>
        <w:color w:val="001C40" w:themeColor="text2"/>
      </w:rPr>
      <w:t>y</w:t>
    </w:r>
    <w:r w:rsidR="00EB40A5">
      <w:rPr>
        <w:color w:val="001C40" w:themeColor="text2"/>
      </w:rPr>
      <w:t xml:space="preserve"> </w:t>
    </w:r>
    <w:r w:rsidR="008A2CD9">
      <w:rPr>
        <w:color w:val="001C40" w:themeColor="text2"/>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2004BE"/>
    <w:multiLevelType w:val="hybridMultilevel"/>
    <w:tmpl w:val="4C9C7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09"/>
    <w:rsid w:val="00092A7E"/>
    <w:rsid w:val="000953E1"/>
    <w:rsid w:val="000E3BAE"/>
    <w:rsid w:val="001078A8"/>
    <w:rsid w:val="001471EA"/>
    <w:rsid w:val="001472FC"/>
    <w:rsid w:val="0015194F"/>
    <w:rsid w:val="00170845"/>
    <w:rsid w:val="00185E9F"/>
    <w:rsid w:val="00186C53"/>
    <w:rsid w:val="0019701B"/>
    <w:rsid w:val="001D7905"/>
    <w:rsid w:val="0020148D"/>
    <w:rsid w:val="002117E6"/>
    <w:rsid w:val="00225B0D"/>
    <w:rsid w:val="00285D09"/>
    <w:rsid w:val="00293DD6"/>
    <w:rsid w:val="002B0EC2"/>
    <w:rsid w:val="002F3895"/>
    <w:rsid w:val="0030077A"/>
    <w:rsid w:val="00301AF7"/>
    <w:rsid w:val="003050A9"/>
    <w:rsid w:val="00335334"/>
    <w:rsid w:val="00336DDD"/>
    <w:rsid w:val="00374E87"/>
    <w:rsid w:val="00381364"/>
    <w:rsid w:val="003C42D5"/>
    <w:rsid w:val="003D06EC"/>
    <w:rsid w:val="003F495D"/>
    <w:rsid w:val="00400E77"/>
    <w:rsid w:val="00450D6E"/>
    <w:rsid w:val="004E2DF5"/>
    <w:rsid w:val="00540BD7"/>
    <w:rsid w:val="00544465"/>
    <w:rsid w:val="005473F6"/>
    <w:rsid w:val="0054785E"/>
    <w:rsid w:val="00565B47"/>
    <w:rsid w:val="00575A5A"/>
    <w:rsid w:val="0057724A"/>
    <w:rsid w:val="005932D0"/>
    <w:rsid w:val="00597F9B"/>
    <w:rsid w:val="005D00A9"/>
    <w:rsid w:val="005D446B"/>
    <w:rsid w:val="005E3A23"/>
    <w:rsid w:val="005F72F3"/>
    <w:rsid w:val="0061446D"/>
    <w:rsid w:val="006154FA"/>
    <w:rsid w:val="00625397"/>
    <w:rsid w:val="0064138E"/>
    <w:rsid w:val="006422C1"/>
    <w:rsid w:val="00656FA3"/>
    <w:rsid w:val="006A2F0E"/>
    <w:rsid w:val="006F06FD"/>
    <w:rsid w:val="00705B86"/>
    <w:rsid w:val="007155A3"/>
    <w:rsid w:val="0074698A"/>
    <w:rsid w:val="00753BB6"/>
    <w:rsid w:val="00763BEA"/>
    <w:rsid w:val="007B5F47"/>
    <w:rsid w:val="008066AC"/>
    <w:rsid w:val="008404DE"/>
    <w:rsid w:val="008511EE"/>
    <w:rsid w:val="00863001"/>
    <w:rsid w:val="00895736"/>
    <w:rsid w:val="008A2CD9"/>
    <w:rsid w:val="008A4B1F"/>
    <w:rsid w:val="008C6445"/>
    <w:rsid w:val="008F4830"/>
    <w:rsid w:val="00902E19"/>
    <w:rsid w:val="009170B5"/>
    <w:rsid w:val="009313D2"/>
    <w:rsid w:val="0094124E"/>
    <w:rsid w:val="00944178"/>
    <w:rsid w:val="0094789D"/>
    <w:rsid w:val="00972DD2"/>
    <w:rsid w:val="009B7EF0"/>
    <w:rsid w:val="009E12E4"/>
    <w:rsid w:val="00A241FE"/>
    <w:rsid w:val="00A606B1"/>
    <w:rsid w:val="00AA29C7"/>
    <w:rsid w:val="00AA46E6"/>
    <w:rsid w:val="00AE4F02"/>
    <w:rsid w:val="00B049A4"/>
    <w:rsid w:val="00B22783"/>
    <w:rsid w:val="00B23565"/>
    <w:rsid w:val="00B55747"/>
    <w:rsid w:val="00B569DC"/>
    <w:rsid w:val="00BC329E"/>
    <w:rsid w:val="00BC7D72"/>
    <w:rsid w:val="00BD78E3"/>
    <w:rsid w:val="00BE251F"/>
    <w:rsid w:val="00BE7E66"/>
    <w:rsid w:val="00C16794"/>
    <w:rsid w:val="00C258EA"/>
    <w:rsid w:val="00C567FB"/>
    <w:rsid w:val="00CA50CE"/>
    <w:rsid w:val="00CE084B"/>
    <w:rsid w:val="00CE1050"/>
    <w:rsid w:val="00D00FFC"/>
    <w:rsid w:val="00D01A33"/>
    <w:rsid w:val="00D62492"/>
    <w:rsid w:val="00D87CD5"/>
    <w:rsid w:val="00D87E51"/>
    <w:rsid w:val="00DC2804"/>
    <w:rsid w:val="00DC2DFA"/>
    <w:rsid w:val="00DD5D52"/>
    <w:rsid w:val="00DF5B3D"/>
    <w:rsid w:val="00E36C65"/>
    <w:rsid w:val="00E84691"/>
    <w:rsid w:val="00E8589E"/>
    <w:rsid w:val="00EA6D34"/>
    <w:rsid w:val="00EB366D"/>
    <w:rsid w:val="00EB40A5"/>
    <w:rsid w:val="00EC1C9F"/>
    <w:rsid w:val="00EF2BE9"/>
    <w:rsid w:val="00F2305B"/>
    <w:rsid w:val="00F3567E"/>
    <w:rsid w:val="00F408EE"/>
    <w:rsid w:val="00F7051B"/>
    <w:rsid w:val="00F86CCE"/>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A30730E-017D-43CD-9017-497CA199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4E"/>
    <w:pPr>
      <w:spacing w:after="200" w:line="240" w:lineRule="auto"/>
    </w:pPr>
  </w:style>
  <w:style w:type="paragraph" w:styleId="Heading1">
    <w:name w:val="heading 1"/>
    <w:basedOn w:val="Normal"/>
    <w:next w:val="Normal"/>
    <w:link w:val="Heading1Char"/>
    <w:uiPriority w:val="9"/>
    <w:qFormat/>
    <w:rsid w:val="00400E77"/>
    <w:pPr>
      <w:keepNext/>
      <w:spacing w:before="4080" w:after="1080"/>
      <w:outlineLvl w:val="0"/>
    </w:pPr>
    <w:rPr>
      <w:rFonts w:asciiTheme="majorHAnsi" w:eastAsiaTheme="majorEastAsia" w:hAnsiTheme="majorHAnsi" w:cstheme="majorBidi"/>
      <w:b/>
      <w:color w:val="001C40" w:themeColor="text2"/>
      <w:sz w:val="48"/>
      <w:szCs w:val="32"/>
      <w:lang w:eastAsia="en-US"/>
    </w:rPr>
  </w:style>
  <w:style w:type="paragraph" w:styleId="Heading2">
    <w:name w:val="heading 2"/>
    <w:basedOn w:val="Normal"/>
    <w:next w:val="Normal"/>
    <w:link w:val="Heading2Char"/>
    <w:uiPriority w:val="9"/>
    <w:unhideWhenUsed/>
    <w:qFormat/>
    <w:rsid w:val="003F495D"/>
    <w:pPr>
      <w:keepNext/>
      <w:outlineLvl w:val="1"/>
    </w:pPr>
    <w:rPr>
      <w:rFonts w:asciiTheme="majorHAnsi" w:eastAsiaTheme="majorEastAsia" w:hAnsiTheme="majorHAnsi" w:cstheme="majorBidi"/>
      <w:b/>
      <w:color w:val="001C40" w:themeColor="text2"/>
      <w:sz w:val="36"/>
      <w:szCs w:val="26"/>
      <w:lang w:eastAsia="en-US"/>
    </w:rPr>
  </w:style>
  <w:style w:type="paragraph" w:styleId="Heading3">
    <w:name w:val="heading 3"/>
    <w:basedOn w:val="Normal"/>
    <w:next w:val="Normal"/>
    <w:link w:val="Heading3Char"/>
    <w:uiPriority w:val="9"/>
    <w:unhideWhenUsed/>
    <w:qFormat/>
    <w:rsid w:val="003F495D"/>
    <w:pPr>
      <w:keepNext/>
      <w:spacing w:after="120"/>
      <w:outlineLvl w:val="2"/>
    </w:pPr>
    <w:rPr>
      <w:rFonts w:asciiTheme="majorHAnsi" w:eastAsiaTheme="majorEastAsia" w:hAnsiTheme="majorHAnsi" w:cstheme="majorBidi"/>
      <w:b/>
      <w:color w:val="001C40" w:themeColor="text2"/>
      <w:sz w:val="30"/>
      <w:szCs w:val="24"/>
      <w:lang w:eastAsia="en-US"/>
    </w:rPr>
  </w:style>
  <w:style w:type="paragraph" w:styleId="Heading4">
    <w:name w:val="heading 4"/>
    <w:basedOn w:val="Normal"/>
    <w:next w:val="Normal"/>
    <w:link w:val="Heading4Char"/>
    <w:uiPriority w:val="9"/>
    <w:unhideWhenUsed/>
    <w:qFormat/>
    <w:rsid w:val="003F495D"/>
    <w:pPr>
      <w:keepNext/>
      <w:keepLines/>
      <w:spacing w:after="120"/>
      <w:outlineLvl w:val="3"/>
    </w:pPr>
    <w:rPr>
      <w:rFonts w:asciiTheme="majorHAnsi" w:eastAsiaTheme="majorEastAsia" w:hAnsiTheme="majorHAnsi" w:cstheme="majorBidi"/>
      <w:b/>
      <w:bCs/>
      <w:color w:val="001C40" w:themeColor="text2"/>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E77"/>
    <w:rPr>
      <w:rFonts w:asciiTheme="majorHAnsi" w:eastAsiaTheme="majorEastAsia" w:hAnsiTheme="majorHAnsi" w:cstheme="majorBidi"/>
      <w:b/>
      <w:color w:val="001C40" w:themeColor="text2"/>
      <w:sz w:val="48"/>
      <w:szCs w:val="32"/>
      <w:lang w:eastAsia="en-US"/>
    </w:rPr>
  </w:style>
  <w:style w:type="character" w:customStyle="1" w:styleId="Heading2Char">
    <w:name w:val="Heading 2 Char"/>
    <w:basedOn w:val="DefaultParagraphFont"/>
    <w:link w:val="Heading2"/>
    <w:uiPriority w:val="9"/>
    <w:rsid w:val="003F495D"/>
    <w:rPr>
      <w:rFonts w:asciiTheme="majorHAnsi" w:eastAsiaTheme="majorEastAsia" w:hAnsiTheme="majorHAnsi" w:cstheme="majorBidi"/>
      <w:b/>
      <w:color w:val="001C40" w:themeColor="text2"/>
      <w:sz w:val="36"/>
      <w:szCs w:val="26"/>
      <w:lang w:eastAsia="en-US"/>
    </w:rPr>
  </w:style>
  <w:style w:type="character" w:customStyle="1" w:styleId="Heading3Char">
    <w:name w:val="Heading 3 Char"/>
    <w:basedOn w:val="DefaultParagraphFont"/>
    <w:link w:val="Heading3"/>
    <w:uiPriority w:val="9"/>
    <w:rsid w:val="003F495D"/>
    <w:rPr>
      <w:rFonts w:asciiTheme="majorHAnsi" w:eastAsiaTheme="majorEastAsia" w:hAnsiTheme="majorHAnsi" w:cstheme="majorBidi"/>
      <w:b/>
      <w:color w:val="001C40" w:themeColor="text2"/>
      <w:sz w:val="30"/>
      <w:szCs w:val="24"/>
      <w:lang w:eastAsia="en-US"/>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3F495D"/>
    <w:rPr>
      <w:rFonts w:asciiTheme="majorHAnsi" w:eastAsiaTheme="majorEastAsia" w:hAnsiTheme="majorHAnsi" w:cstheme="majorBidi"/>
      <w:b/>
      <w:bCs/>
      <w:color w:val="001C40" w:themeColor="text2"/>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BodyText">
    <w:name w:val="Body Text"/>
    <w:basedOn w:val="Normal"/>
    <w:link w:val="BodyTextChar"/>
    <w:uiPriority w:val="99"/>
    <w:unhideWhenUsed/>
    <w:rsid w:val="003050A9"/>
    <w:pPr>
      <w:spacing w:after="120"/>
    </w:pPr>
    <w:rPr>
      <w:rFonts w:eastAsiaTheme="minorHAnsi"/>
      <w:lang w:eastAsia="en-US"/>
    </w:rPr>
  </w:style>
  <w:style w:type="character" w:customStyle="1" w:styleId="BodyTextChar">
    <w:name w:val="Body Text Char"/>
    <w:basedOn w:val="DefaultParagraphFont"/>
    <w:link w:val="BodyText"/>
    <w:uiPriority w:val="99"/>
    <w:rsid w:val="003050A9"/>
    <w:rPr>
      <w:rFonts w:eastAsiaTheme="minorHAnsi"/>
      <w:lang w:eastAsia="en-US"/>
    </w:rPr>
  </w:style>
  <w:style w:type="paragraph" w:styleId="EndnoteText">
    <w:name w:val="endnote text"/>
    <w:basedOn w:val="Normal"/>
    <w:link w:val="EndnoteTextChar"/>
    <w:uiPriority w:val="99"/>
    <w:unhideWhenUsed/>
    <w:rsid w:val="004E2DF5"/>
    <w:pPr>
      <w:spacing w:after="0"/>
    </w:pPr>
    <w:rPr>
      <w:rFonts w:eastAsiaTheme="minorHAnsi"/>
      <w:sz w:val="20"/>
      <w:szCs w:val="20"/>
      <w:lang w:eastAsia="en-US"/>
    </w:rPr>
  </w:style>
  <w:style w:type="character" w:customStyle="1" w:styleId="EndnoteTextChar">
    <w:name w:val="Endnote Text Char"/>
    <w:basedOn w:val="DefaultParagraphFont"/>
    <w:link w:val="EndnoteText"/>
    <w:uiPriority w:val="99"/>
    <w:rsid w:val="004E2DF5"/>
    <w:rPr>
      <w:rFonts w:eastAsiaTheme="minorHAnsi"/>
      <w:sz w:val="20"/>
      <w:szCs w:val="20"/>
      <w:lang w:eastAsia="en-US"/>
    </w:rPr>
  </w:style>
  <w:style w:type="character" w:styleId="EndnoteReference">
    <w:name w:val="endnote reference"/>
    <w:basedOn w:val="DefaultParagraphFont"/>
    <w:uiPriority w:val="99"/>
    <w:semiHidden/>
    <w:unhideWhenUsed/>
    <w:rsid w:val="004E2DF5"/>
    <w:rPr>
      <w:vertAlign w:val="superscript"/>
    </w:rPr>
  </w:style>
  <w:style w:type="character" w:styleId="CommentReference">
    <w:name w:val="annotation reference"/>
    <w:basedOn w:val="DefaultParagraphFont"/>
    <w:uiPriority w:val="99"/>
    <w:semiHidden/>
    <w:unhideWhenUsed/>
    <w:rsid w:val="00B22783"/>
    <w:rPr>
      <w:sz w:val="16"/>
      <w:szCs w:val="16"/>
    </w:rPr>
  </w:style>
  <w:style w:type="paragraph" w:styleId="CommentText">
    <w:name w:val="annotation text"/>
    <w:basedOn w:val="Normal"/>
    <w:link w:val="CommentTextChar"/>
    <w:uiPriority w:val="99"/>
    <w:semiHidden/>
    <w:unhideWhenUsed/>
    <w:rsid w:val="00B22783"/>
    <w:rPr>
      <w:sz w:val="20"/>
      <w:szCs w:val="20"/>
    </w:rPr>
  </w:style>
  <w:style w:type="character" w:customStyle="1" w:styleId="CommentTextChar">
    <w:name w:val="Comment Text Char"/>
    <w:basedOn w:val="DefaultParagraphFont"/>
    <w:link w:val="CommentText"/>
    <w:uiPriority w:val="99"/>
    <w:semiHidden/>
    <w:rsid w:val="00B22783"/>
    <w:rPr>
      <w:sz w:val="20"/>
      <w:szCs w:val="20"/>
    </w:rPr>
  </w:style>
  <w:style w:type="paragraph" w:styleId="CommentSubject">
    <w:name w:val="annotation subject"/>
    <w:basedOn w:val="CommentText"/>
    <w:next w:val="CommentText"/>
    <w:link w:val="CommentSubjectChar"/>
    <w:uiPriority w:val="99"/>
    <w:semiHidden/>
    <w:unhideWhenUsed/>
    <w:rsid w:val="00B22783"/>
    <w:rPr>
      <w:b/>
      <w:bCs/>
    </w:rPr>
  </w:style>
  <w:style w:type="character" w:customStyle="1" w:styleId="CommentSubjectChar">
    <w:name w:val="Comment Subject Char"/>
    <w:basedOn w:val="CommentTextChar"/>
    <w:link w:val="CommentSubject"/>
    <w:uiPriority w:val="99"/>
    <w:semiHidden/>
    <w:rsid w:val="00B22783"/>
    <w:rPr>
      <w:b/>
      <w:bCs/>
      <w:sz w:val="20"/>
      <w:szCs w:val="20"/>
    </w:rPr>
  </w:style>
  <w:style w:type="paragraph" w:styleId="BalloonText">
    <w:name w:val="Balloon Text"/>
    <w:basedOn w:val="Normal"/>
    <w:link w:val="BalloonTextChar"/>
    <w:uiPriority w:val="99"/>
    <w:semiHidden/>
    <w:unhideWhenUsed/>
    <w:rsid w:val="00B2278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783"/>
    <w:rPr>
      <w:rFonts w:ascii="Segoe UI" w:hAnsi="Segoe UI" w:cs="Segoe UI"/>
      <w:sz w:val="18"/>
      <w:szCs w:val="18"/>
    </w:rPr>
  </w:style>
  <w:style w:type="paragraph" w:styleId="FootnoteText">
    <w:name w:val="footnote text"/>
    <w:basedOn w:val="Normal"/>
    <w:link w:val="FootnoteTextChar"/>
    <w:uiPriority w:val="99"/>
    <w:semiHidden/>
    <w:unhideWhenUsed/>
    <w:rsid w:val="008404DE"/>
    <w:pPr>
      <w:spacing w:after="0"/>
    </w:pPr>
    <w:rPr>
      <w:sz w:val="20"/>
      <w:szCs w:val="20"/>
    </w:rPr>
  </w:style>
  <w:style w:type="character" w:customStyle="1" w:styleId="FootnoteTextChar">
    <w:name w:val="Footnote Text Char"/>
    <w:basedOn w:val="DefaultParagraphFont"/>
    <w:link w:val="FootnoteText"/>
    <w:uiPriority w:val="99"/>
    <w:semiHidden/>
    <w:rsid w:val="008404DE"/>
    <w:rPr>
      <w:sz w:val="20"/>
      <w:szCs w:val="20"/>
    </w:rPr>
  </w:style>
  <w:style w:type="character" w:styleId="FootnoteReference">
    <w:name w:val="footnote reference"/>
    <w:basedOn w:val="DefaultParagraphFont"/>
    <w:uiPriority w:val="99"/>
    <w:semiHidden/>
    <w:unhideWhenUsed/>
    <w:rsid w:val="008404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copyright.consultation@communications.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pyright.consultation@communications.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reativecommons.org/licenses/by/4.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ativecommons.org" TargetMode="External"/><Relationship Id="rId20" Type="http://schemas.openxmlformats.org/officeDocument/2006/relationships/hyperlink" Target="https://www.pmc.gov.au/government/its-honou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cid:image001.jpg@01CF53E2.F599DED0" TargetMode="External"/><Relationship Id="rId23" Type="http://schemas.openxmlformats.org/officeDocument/2006/relationships/hyperlink" Target="mailto:copyright.consultation@communications.gov.au" TargetMode="External"/><Relationship Id="rId10" Type="http://schemas.openxmlformats.org/officeDocument/2006/relationships/endnotes" Target="endnotes.xml"/><Relationship Id="rId19" Type="http://schemas.openxmlformats.org/officeDocument/2006/relationships/hyperlink" Target="mailto:copyright.consultation@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www.communications.gov.au/have-your-sa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ommunications.gov.au/sites/g/files/net301/f/2017-online-copyright-infringement-summary-of-research-findings.pdf" TargetMode="External"/><Relationship Id="rId3" Type="http://schemas.openxmlformats.org/officeDocument/2006/relationships/hyperlink" Target="http://www.austlii.edu.au/cgi-bin/viewdoc/au/cases/cth/FCA/2017/435.html" TargetMode="External"/><Relationship Id="rId7" Type="http://schemas.openxmlformats.org/officeDocument/2006/relationships/hyperlink" Target="https://www.communications.gov.au/sites/g/files/net301/f/2017-online-copyright-infringement-summary-of-research-findings.pdf" TargetMode="External"/><Relationship Id="rId2" Type="http://schemas.openxmlformats.org/officeDocument/2006/relationships/hyperlink" Target="http://www.austlii.edu.au/cgi-bin/viewdoc/au/cases/cth/FCA/2016/1503.html?context=1;query=%22roadshow%20films%22;mask_path=" TargetMode="External"/><Relationship Id="rId1" Type="http://schemas.openxmlformats.org/officeDocument/2006/relationships/hyperlink" Target="https://www.pc.gov.au/inquiries/completed/intellectual-property/report/intellectual-property.pdf" TargetMode="External"/><Relationship Id="rId6" Type="http://schemas.openxmlformats.org/officeDocument/2006/relationships/hyperlink" Target="https://www.communications.gov.au/sites/g/files/net301/f/2017-online-copyright-infringement-summary-of-research-findings.pdf" TargetMode="External"/><Relationship Id="rId5" Type="http://schemas.openxmlformats.org/officeDocument/2006/relationships/hyperlink" Target="http://www.austlii.edu.au/cgi-bin/viewdoc/au/cases/cth/FCA/2017/1041.html" TargetMode="External"/><Relationship Id="rId10" Type="http://schemas.openxmlformats.org/officeDocument/2006/relationships/hyperlink" Target="https://www.choice.com.au/~/media/e7132464fa2b4609809f26e1b13bf113.ashx" TargetMode="External"/><Relationship Id="rId4" Type="http://schemas.openxmlformats.org/officeDocument/2006/relationships/hyperlink" Target="http://www.austlii.edu.au/cgi-bin/viewdoc/au/cases/cth/FCA/2017/965.html" TargetMode="External"/><Relationship Id="rId9" Type="http://schemas.openxmlformats.org/officeDocument/2006/relationships/hyperlink" Target="https://www.creativecontentaustralia.org.au/media-release/new-piracy-research-shows-most-pirates-have-encountered-site-blocks-contracted-a-virus-or-malw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BA1D07FB34547B1CB41DECD234726" ma:contentTypeVersion="0" ma:contentTypeDescription="Create a new document." ma:contentTypeScope="" ma:versionID="5b855f94cf58c667d396fdb9013b67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2EAEFFD-8465-4425-A07A-8DB27FFA8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4.xml><?xml version="1.0" encoding="utf-8"?>
<ds:datastoreItem xmlns:ds="http://schemas.openxmlformats.org/officeDocument/2006/customXml" ds:itemID="{15D21673-C025-4F78-AF30-268AD362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1</TotalTime>
  <Pages>5</Pages>
  <Words>1621</Words>
  <Characters>9246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10846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 Review of Copyright Online Infringement Amendment</dc:title>
  <dc:subject/>
  <dc:creator>Sundaresan, Hariharan</dc:creator>
  <cp:keywords/>
  <dc:description>January 2018</dc:description>
  <cp:lastModifiedBy>Owers, Cameron</cp:lastModifiedBy>
  <cp:revision>2</cp:revision>
  <dcterms:created xsi:type="dcterms:W3CDTF">2018-02-13T00:26:00Z</dcterms:created>
  <dcterms:modified xsi:type="dcterms:W3CDTF">2018-02-13T00:26:00Z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0x010100A6ABA1D07FB34547B1CB41DECD234726</vt:lpwstr>
  </property>
  <property fmtid="{D5CDD505-2E9C-101B-9397-08002B2CF9AE}" pid="3" name="TrimRevisionNumber">
    <vt:i4>6</vt:i4>
  </property>
</Properties>
</file>