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FAF" w:rsidRDefault="00297528" w:rsidP="00297528">
      <w:pPr>
        <w:ind w:left="-1418"/>
        <w:sectPr w:rsidR="00567FAF" w:rsidSect="0084603E">
          <w:footerReference w:type="default" r:id="rId8"/>
          <w:pgSz w:w="11906" w:h="16838"/>
          <w:pgMar w:top="0" w:right="1440" w:bottom="1440" w:left="1440" w:header="0" w:footer="0" w:gutter="0"/>
          <w:cols w:space="708"/>
          <w:docGrid w:linePitch="360"/>
        </w:sect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0DDD8AF5" wp14:editId="07287ED9">
            <wp:extent cx="7537757" cy="1349375"/>
            <wp:effectExtent l="0" t="0" r="6350" b="3175"/>
            <wp:docPr id="1" name="Picture 1" descr="Logo: Australian Government, Department of Communications and the Arts.&#10;http://www.communications.gov.au&#10;http://arts.gov.au&#10;&#10;GPO Box 2154, Canberra ACT 2601 Australia.&#10;Telephone 02 6271 1000" title="Logo banner for the Australian Government's Department of Communictions and the Ar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comms &amp; Arts head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339" cy="1354313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:rsidR="00660BB9" w:rsidRPr="008A312B" w:rsidRDefault="001A1621" w:rsidP="00660BB9">
      <w:pPr>
        <w:pStyle w:val="Heading1"/>
      </w:pPr>
      <w:r>
        <w:t>Additional information—700 MHz spectrum</w:t>
      </w:r>
    </w:p>
    <w:p w:rsidR="001A1621" w:rsidRDefault="001A1621" w:rsidP="001A1621">
      <w:pPr>
        <w:rPr>
          <w:color w:val="1F497D"/>
        </w:rPr>
      </w:pPr>
      <w:r>
        <w:t xml:space="preserve">The ACMA has a publicly-available model that it uses for adjusting prices for shorter licence terms. This model is available in the </w:t>
      </w:r>
      <w:hyperlink r:id="rId10" w:history="1">
        <w:r>
          <w:rPr>
            <w:rStyle w:val="Hyperlink"/>
          </w:rPr>
          <w:t>Explanatory Statement to the Radiocommunications (Spectrum Access Charges - 1800 MHz Band) Determination 2014)</w:t>
        </w:r>
      </w:hyperlink>
      <w:r>
        <w:rPr>
          <w:color w:val="1F497D"/>
        </w:rPr>
        <w:t>.</w:t>
      </w:r>
    </w:p>
    <w:p w:rsidR="001A1621" w:rsidRDefault="001A1621" w:rsidP="001A1621">
      <w:r>
        <w:t>Calculations in the draft Ministerial direction are based on this model and value an 11.75 year licence of the spectrum at between $527.9 million and $572 million, with a mid-point of $549.9 million.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Table showing truncation approach, approach A and approach B."/>
      </w:tblPr>
      <w:tblGrid>
        <w:gridCol w:w="4820"/>
        <w:gridCol w:w="2410"/>
        <w:gridCol w:w="1842"/>
      </w:tblGrid>
      <w:tr w:rsidR="001A1621" w:rsidRPr="00D24D05" w:rsidTr="001A1621">
        <w:trPr>
          <w:cantSplit/>
          <w:tblHeader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D6F2FA"/>
            <w:vAlign w:val="center"/>
          </w:tcPr>
          <w:p w:rsidR="001A1621" w:rsidRPr="001A1621" w:rsidRDefault="001A1621" w:rsidP="001A1621">
            <w:pPr>
              <w:spacing w:after="0"/>
              <w:rPr>
                <w:b/>
              </w:rPr>
            </w:pPr>
            <w:r w:rsidRPr="001A1621">
              <w:rPr>
                <w:b/>
              </w:rPr>
              <w:t>Truncation approach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6F2FA"/>
            <w:vAlign w:val="center"/>
          </w:tcPr>
          <w:p w:rsidR="001A1621" w:rsidRPr="001A1621" w:rsidRDefault="001A1621" w:rsidP="001A1621">
            <w:pPr>
              <w:spacing w:after="0"/>
              <w:rPr>
                <w:b/>
              </w:rPr>
            </w:pPr>
            <w:r w:rsidRPr="001A1621">
              <w:rPr>
                <w:b/>
              </w:rPr>
              <w:t>Approach 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6F2FA"/>
            <w:vAlign w:val="center"/>
          </w:tcPr>
          <w:p w:rsidR="001A1621" w:rsidRPr="001A1621" w:rsidRDefault="001A1621" w:rsidP="001A1621">
            <w:pPr>
              <w:spacing w:after="0"/>
              <w:rPr>
                <w:b/>
              </w:rPr>
            </w:pPr>
            <w:r w:rsidRPr="001A1621">
              <w:rPr>
                <w:b/>
              </w:rPr>
              <w:t>Approach B</w:t>
            </w:r>
          </w:p>
        </w:tc>
      </w:tr>
      <w:tr w:rsidR="001A1621" w:rsidTr="001A1621">
        <w:trPr>
          <w:cantSplit/>
        </w:trPr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1A1621" w:rsidRPr="00FE28BD" w:rsidRDefault="001A1621" w:rsidP="001A1621">
            <w:pPr>
              <w:spacing w:after="0"/>
            </w:pPr>
            <w:r w:rsidRPr="00FE28BD">
              <w:t>15-year valuation (=FPV)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1A1621" w:rsidRPr="00FE28BD" w:rsidRDefault="001A1621" w:rsidP="001A1621">
            <w:pPr>
              <w:spacing w:after="0"/>
            </w:pPr>
            <w:r w:rsidRPr="00FE28BD">
              <w:t>$1.36/MHz/pop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1A1621" w:rsidRPr="00FE28BD" w:rsidRDefault="001A1621" w:rsidP="001A1621">
            <w:pPr>
              <w:spacing w:after="0"/>
            </w:pPr>
            <w:r w:rsidRPr="00FE28BD">
              <w:t>$1.36/MHz/pop</w:t>
            </w:r>
          </w:p>
        </w:tc>
      </w:tr>
      <w:tr w:rsidR="001A1621" w:rsidTr="001A1621">
        <w:trPr>
          <w:cantSplit/>
        </w:trPr>
        <w:tc>
          <w:tcPr>
            <w:tcW w:w="4820" w:type="dxa"/>
            <w:vAlign w:val="center"/>
          </w:tcPr>
          <w:p w:rsidR="001A1621" w:rsidRPr="00FE28BD" w:rsidRDefault="001A1621" w:rsidP="001A1621">
            <w:pPr>
              <w:spacing w:after="0"/>
            </w:pPr>
            <w:r w:rsidRPr="00FE28BD">
              <w:t>“</w:t>
            </w:r>
            <w:proofErr w:type="spellStart"/>
            <w:r w:rsidRPr="00FE28BD">
              <w:t>Cashflow</w:t>
            </w:r>
            <w:proofErr w:type="spellEnd"/>
            <w:r w:rsidRPr="00FE28BD">
              <w:t xml:space="preserve"> tilt” (z)</w:t>
            </w:r>
          </w:p>
        </w:tc>
        <w:tc>
          <w:tcPr>
            <w:tcW w:w="2410" w:type="dxa"/>
            <w:vAlign w:val="center"/>
          </w:tcPr>
          <w:p w:rsidR="001A1621" w:rsidRPr="00FE28BD" w:rsidRDefault="001A1621" w:rsidP="001A1621">
            <w:pPr>
              <w:spacing w:after="0"/>
            </w:pPr>
            <w:r w:rsidRPr="00FE28BD">
              <w:t>2.5%</w:t>
            </w:r>
          </w:p>
        </w:tc>
        <w:tc>
          <w:tcPr>
            <w:tcW w:w="1842" w:type="dxa"/>
            <w:vAlign w:val="center"/>
          </w:tcPr>
          <w:p w:rsidR="001A1621" w:rsidRPr="00FE28BD" w:rsidRDefault="001A1621" w:rsidP="001A1621">
            <w:pPr>
              <w:spacing w:after="0"/>
            </w:pPr>
            <w:r w:rsidRPr="00FE28BD">
              <w:t>2.5%</w:t>
            </w:r>
          </w:p>
        </w:tc>
      </w:tr>
      <w:tr w:rsidR="001A1621" w:rsidTr="001A1621">
        <w:trPr>
          <w:cantSplit/>
        </w:trPr>
        <w:tc>
          <w:tcPr>
            <w:tcW w:w="4820" w:type="dxa"/>
            <w:vAlign w:val="center"/>
          </w:tcPr>
          <w:p w:rsidR="001A1621" w:rsidRPr="00FE28BD" w:rsidRDefault="001A1621" w:rsidP="001A1621">
            <w:pPr>
              <w:spacing w:after="0"/>
            </w:pPr>
            <w:r w:rsidRPr="00FE28BD">
              <w:t>Post-tax WACC (r)</w:t>
            </w:r>
          </w:p>
        </w:tc>
        <w:tc>
          <w:tcPr>
            <w:tcW w:w="2410" w:type="dxa"/>
            <w:vAlign w:val="center"/>
          </w:tcPr>
          <w:p w:rsidR="001A1621" w:rsidRPr="00FE28BD" w:rsidRDefault="001A1621" w:rsidP="001A1621">
            <w:pPr>
              <w:spacing w:after="0"/>
            </w:pPr>
            <w:r w:rsidRPr="00FE28BD">
              <w:t>8.4%</w:t>
            </w:r>
          </w:p>
        </w:tc>
        <w:tc>
          <w:tcPr>
            <w:tcW w:w="1842" w:type="dxa"/>
            <w:vAlign w:val="center"/>
          </w:tcPr>
          <w:p w:rsidR="001A1621" w:rsidRPr="00FE28BD" w:rsidRDefault="001A1621" w:rsidP="001A1621">
            <w:pPr>
              <w:spacing w:after="0"/>
            </w:pPr>
            <w:r w:rsidRPr="00FE28BD">
              <w:t>8.4%</w:t>
            </w:r>
          </w:p>
        </w:tc>
      </w:tr>
      <w:tr w:rsidR="001A1621" w:rsidTr="001A1621">
        <w:trPr>
          <w:cantSplit/>
        </w:trPr>
        <w:tc>
          <w:tcPr>
            <w:tcW w:w="4820" w:type="dxa"/>
            <w:vAlign w:val="center"/>
          </w:tcPr>
          <w:p w:rsidR="001A1621" w:rsidRPr="00FE28BD" w:rsidRDefault="001A1621" w:rsidP="001A1621">
            <w:pPr>
              <w:spacing w:after="0"/>
            </w:pPr>
            <w:r w:rsidRPr="00FE28BD">
              <w:t>Length of first part-period</w:t>
            </w:r>
          </w:p>
        </w:tc>
        <w:tc>
          <w:tcPr>
            <w:tcW w:w="2410" w:type="dxa"/>
            <w:vAlign w:val="center"/>
          </w:tcPr>
          <w:p w:rsidR="001A1621" w:rsidRPr="00FE28BD" w:rsidRDefault="001A1621" w:rsidP="001A1621">
            <w:pPr>
              <w:spacing w:after="0"/>
            </w:pPr>
            <w:r w:rsidRPr="00FE28BD">
              <w:t>11.75421 years</w:t>
            </w:r>
          </w:p>
        </w:tc>
        <w:tc>
          <w:tcPr>
            <w:tcW w:w="1842" w:type="dxa"/>
            <w:vAlign w:val="center"/>
          </w:tcPr>
          <w:p w:rsidR="001A1621" w:rsidRPr="00FE28BD" w:rsidRDefault="001A1621" w:rsidP="001A1621">
            <w:pPr>
              <w:spacing w:after="0"/>
            </w:pPr>
            <w:r w:rsidRPr="00FE28BD">
              <w:t>3.24579 years</w:t>
            </w:r>
          </w:p>
        </w:tc>
      </w:tr>
      <w:tr w:rsidR="001A1621" w:rsidTr="001A1621">
        <w:trPr>
          <w:cantSplit/>
        </w:trPr>
        <w:tc>
          <w:tcPr>
            <w:tcW w:w="4820" w:type="dxa"/>
            <w:vAlign w:val="center"/>
          </w:tcPr>
          <w:p w:rsidR="001A1621" w:rsidRPr="00FE28BD" w:rsidRDefault="001A1621" w:rsidP="001A1621">
            <w:pPr>
              <w:spacing w:after="0"/>
            </w:pPr>
            <w:r w:rsidRPr="00FE28BD">
              <w:t>Length of second part-period</w:t>
            </w:r>
          </w:p>
        </w:tc>
        <w:tc>
          <w:tcPr>
            <w:tcW w:w="2410" w:type="dxa"/>
            <w:vAlign w:val="center"/>
          </w:tcPr>
          <w:p w:rsidR="001A1621" w:rsidRPr="00FE28BD" w:rsidRDefault="001A1621" w:rsidP="001A1621">
            <w:pPr>
              <w:spacing w:after="0"/>
            </w:pPr>
            <w:r w:rsidRPr="00FE28BD">
              <w:t>3.24579 years</w:t>
            </w:r>
          </w:p>
        </w:tc>
        <w:tc>
          <w:tcPr>
            <w:tcW w:w="1842" w:type="dxa"/>
            <w:vAlign w:val="center"/>
          </w:tcPr>
          <w:p w:rsidR="001A1621" w:rsidRPr="00FE28BD" w:rsidRDefault="001A1621" w:rsidP="001A1621">
            <w:pPr>
              <w:spacing w:after="0"/>
            </w:pPr>
            <w:r w:rsidRPr="00FE28BD">
              <w:t>11.75421 years</w:t>
            </w:r>
          </w:p>
        </w:tc>
      </w:tr>
      <w:tr w:rsidR="001A1621" w:rsidTr="001A1621">
        <w:trPr>
          <w:cantSplit/>
        </w:trPr>
        <w:tc>
          <w:tcPr>
            <w:tcW w:w="4820" w:type="dxa"/>
            <w:vAlign w:val="center"/>
          </w:tcPr>
          <w:p w:rsidR="001A1621" w:rsidRPr="00FE28BD" w:rsidRDefault="001A1621" w:rsidP="001A1621">
            <w:pPr>
              <w:spacing w:after="0"/>
            </w:pPr>
            <w:r w:rsidRPr="00FE28BD">
              <w:t>Unit valuations ($/MHz/pop)</w:t>
            </w:r>
          </w:p>
        </w:tc>
        <w:tc>
          <w:tcPr>
            <w:tcW w:w="2410" w:type="dxa"/>
            <w:vAlign w:val="center"/>
          </w:tcPr>
          <w:p w:rsidR="001A1621" w:rsidRPr="00FE28BD" w:rsidRDefault="001A1621" w:rsidP="001A1621">
            <w:pPr>
              <w:spacing w:after="0"/>
            </w:pPr>
            <w:r w:rsidRPr="00FE28BD">
              <w:t>$1.15</w:t>
            </w:r>
          </w:p>
        </w:tc>
        <w:tc>
          <w:tcPr>
            <w:tcW w:w="1842" w:type="dxa"/>
            <w:vAlign w:val="center"/>
          </w:tcPr>
          <w:p w:rsidR="001A1621" w:rsidRPr="00FE28BD" w:rsidRDefault="001A1621" w:rsidP="001A1621">
            <w:pPr>
              <w:spacing w:after="0"/>
            </w:pPr>
            <w:r w:rsidRPr="00FE28BD">
              <w:t>$1.25</w:t>
            </w:r>
          </w:p>
        </w:tc>
      </w:tr>
      <w:tr w:rsidR="001A1621" w:rsidTr="001A1621">
        <w:trPr>
          <w:cantSplit/>
        </w:trPr>
        <w:tc>
          <w:tcPr>
            <w:tcW w:w="4820" w:type="dxa"/>
            <w:vAlign w:val="center"/>
          </w:tcPr>
          <w:p w:rsidR="001A1621" w:rsidRPr="00FE28BD" w:rsidRDefault="001A1621" w:rsidP="001A1621">
            <w:pPr>
              <w:spacing w:after="0"/>
            </w:pPr>
            <w:r w:rsidRPr="00FE28BD">
              <w:t>Population (as per Digital Dividend Auction)</w:t>
            </w:r>
          </w:p>
        </w:tc>
        <w:tc>
          <w:tcPr>
            <w:tcW w:w="2410" w:type="dxa"/>
            <w:vAlign w:val="center"/>
          </w:tcPr>
          <w:p w:rsidR="001A1621" w:rsidRPr="00FE28BD" w:rsidRDefault="001A1621" w:rsidP="001A1621">
            <w:pPr>
              <w:spacing w:after="0"/>
            </w:pPr>
            <w:r w:rsidRPr="00FE28BD">
              <w:t>22,872,578</w:t>
            </w:r>
          </w:p>
        </w:tc>
        <w:tc>
          <w:tcPr>
            <w:tcW w:w="1842" w:type="dxa"/>
            <w:vAlign w:val="center"/>
          </w:tcPr>
          <w:p w:rsidR="001A1621" w:rsidRPr="00FE28BD" w:rsidRDefault="001A1621" w:rsidP="001A1621">
            <w:pPr>
              <w:spacing w:after="0"/>
            </w:pPr>
            <w:r w:rsidRPr="00FE28BD">
              <w:t>22,872,578</w:t>
            </w:r>
          </w:p>
        </w:tc>
      </w:tr>
      <w:tr w:rsidR="001A1621" w:rsidTr="001A1621">
        <w:trPr>
          <w:cantSplit/>
        </w:trPr>
        <w:tc>
          <w:tcPr>
            <w:tcW w:w="4820" w:type="dxa"/>
            <w:vAlign w:val="center"/>
          </w:tcPr>
          <w:p w:rsidR="001A1621" w:rsidRDefault="001A1621" w:rsidP="001A1621">
            <w:pPr>
              <w:spacing w:after="0"/>
            </w:pPr>
            <w:r w:rsidRPr="00FE28BD">
              <w:t>Aggregate valuations ($m)</w:t>
            </w:r>
          </w:p>
        </w:tc>
        <w:tc>
          <w:tcPr>
            <w:tcW w:w="2410" w:type="dxa"/>
            <w:vAlign w:val="center"/>
          </w:tcPr>
          <w:p w:rsidR="001A1621" w:rsidRDefault="001A1621" w:rsidP="001A1621">
            <w:pPr>
              <w:spacing w:after="0"/>
            </w:pPr>
            <w:r w:rsidRPr="00FE28BD">
              <w:t>$527.9</w:t>
            </w:r>
          </w:p>
        </w:tc>
        <w:tc>
          <w:tcPr>
            <w:tcW w:w="1842" w:type="dxa"/>
            <w:vAlign w:val="center"/>
          </w:tcPr>
          <w:p w:rsidR="001A1621" w:rsidRDefault="001A1621" w:rsidP="001A1621">
            <w:pPr>
              <w:pStyle w:val="Tabletextcentred"/>
              <w:jc w:val="left"/>
            </w:pPr>
            <w:r w:rsidRPr="00FE28BD">
              <w:t>$572.0</w:t>
            </w:r>
          </w:p>
        </w:tc>
      </w:tr>
    </w:tbl>
    <w:p w:rsidR="001A1621" w:rsidRPr="00FE28BD" w:rsidRDefault="001A1621" w:rsidP="001A1621">
      <w:pPr>
        <w:pStyle w:val="Heading2"/>
      </w:pPr>
      <w:r w:rsidRPr="00FE28BD">
        <w:t>Valuation of shorter licence periods</w:t>
      </w:r>
    </w:p>
    <w:p w:rsidR="001A1621" w:rsidRPr="00FE28BD" w:rsidRDefault="001A1621" w:rsidP="001A1621">
      <w:r w:rsidRPr="00FE28BD">
        <w:t xml:space="preserve">The licences are re-valued for shorter licence periods to reflect how underlying </w:t>
      </w:r>
      <w:proofErr w:type="spellStart"/>
      <w:r w:rsidRPr="00FE28BD">
        <w:t>cashflows</w:t>
      </w:r>
      <w:proofErr w:type="spellEnd"/>
      <w:r w:rsidRPr="00FE28BD">
        <w:t xml:space="preserve"> might evolve across the full (15 year) licence period. Relevant </w:t>
      </w:r>
      <w:proofErr w:type="spellStart"/>
      <w:r w:rsidRPr="00FE28BD">
        <w:t>cashflows</w:t>
      </w:r>
      <w:proofErr w:type="spellEnd"/>
      <w:r w:rsidRPr="00FE28BD">
        <w:t xml:space="preserve"> are then discounted over the shorter licence period (using an indicative post-tax WACC).</w:t>
      </w:r>
    </w:p>
    <w:p w:rsidR="001A1621" w:rsidRPr="00FE28BD" w:rsidRDefault="001A1621" w:rsidP="001A1621">
      <w:r w:rsidRPr="00FE28BD">
        <w:t xml:space="preserve">The ACMA has previously used the logic of tilted annuities to construct indicative </w:t>
      </w:r>
      <w:proofErr w:type="spellStart"/>
      <w:r w:rsidRPr="00FE28BD">
        <w:t>cashflows</w:t>
      </w:r>
      <w:proofErr w:type="spellEnd"/>
      <w:r w:rsidRPr="00FE28BD">
        <w:t xml:space="preserve"> over the entire licence period (i.e. 15 years) that reflect the NPV of the full licence period valuation ($1.36/MHz/pop in this context).  The </w:t>
      </w:r>
      <w:proofErr w:type="spellStart"/>
      <w:r w:rsidRPr="00FE28BD">
        <w:t>cashflows</w:t>
      </w:r>
      <w:proofErr w:type="spellEnd"/>
      <w:r w:rsidRPr="00FE28BD">
        <w:t xml:space="preserve"> relating to years outside the shortened licence period are then excluded in the re-valuation to create indicative </w:t>
      </w:r>
      <w:proofErr w:type="spellStart"/>
      <w:r w:rsidRPr="00FE28BD">
        <w:t>cashflows</w:t>
      </w:r>
      <w:proofErr w:type="spellEnd"/>
      <w:r w:rsidRPr="00FE28BD">
        <w:t>.</w:t>
      </w:r>
    </w:p>
    <w:p w:rsidR="001A1621" w:rsidRPr="00FE28BD" w:rsidRDefault="001A1621" w:rsidP="001A1621">
      <w:pPr>
        <w:pStyle w:val="Heading2"/>
      </w:pPr>
      <w:r w:rsidRPr="00FE28BD">
        <w:t>Rationale for the relevant values of the component parameters</w:t>
      </w:r>
    </w:p>
    <w:p w:rsidR="001A1621" w:rsidRPr="00FE28BD" w:rsidRDefault="001A1621" w:rsidP="001A1621">
      <w:pPr>
        <w:pStyle w:val="Bulletlevel1"/>
      </w:pPr>
      <w:r w:rsidRPr="00FE28BD">
        <w:t>The post-tax WACC applied in these estimates is based on that applied by the ACCC in its 2007 mobile terminating access service (MTAS) decision.  This should be viewed as a representative WACC estimate consistent with the highest value use for relevant spectrum in the provision of</w:t>
      </w:r>
      <w:r>
        <w:t xml:space="preserve"> mobile voice and data services.</w:t>
      </w:r>
    </w:p>
    <w:p w:rsidR="001A1621" w:rsidRPr="00FE28BD" w:rsidRDefault="001A1621" w:rsidP="001A1621">
      <w:pPr>
        <w:pStyle w:val="Bulletlevel1"/>
      </w:pPr>
      <w:r>
        <w:t>T</w:t>
      </w:r>
      <w:r w:rsidRPr="00FE28BD">
        <w:t xml:space="preserve">he </w:t>
      </w:r>
      <w:proofErr w:type="spellStart"/>
      <w:r w:rsidRPr="00FE28BD">
        <w:t>cashflow</w:t>
      </w:r>
      <w:proofErr w:type="spellEnd"/>
      <w:r w:rsidRPr="00FE28BD">
        <w:t xml:space="preserve"> tilt is based on expected long-term population growth; expected mobile penetration; expected growth in the average revenue per user (ARPU); and expected growth in mobile data applications</w:t>
      </w:r>
      <w:r>
        <w:t>.</w:t>
      </w:r>
    </w:p>
    <w:p w:rsidR="001A1621" w:rsidRPr="00FE28BD" w:rsidRDefault="001A1621" w:rsidP="001A1621">
      <w:pPr>
        <w:pStyle w:val="Bulletlevel1"/>
      </w:pPr>
      <w:r>
        <w:t>T</w:t>
      </w:r>
      <w:r w:rsidRPr="00FE28BD">
        <w:t>he part-period durations are based on a licence start-date of 1 April 2018 and an expiry date of 31</w:t>
      </w:r>
      <w:r>
        <w:t> </w:t>
      </w:r>
      <w:r w:rsidRPr="00FE28BD">
        <w:t>December 2029 (the same expiry date as those licences auction in the 2013 digital dividend auction).</w:t>
      </w:r>
    </w:p>
    <w:sectPr w:rsidR="001A1621" w:rsidRPr="00FE28BD" w:rsidSect="0084603E">
      <w:headerReference w:type="default" r:id="rId11"/>
      <w:footerReference w:type="default" r:id="rId12"/>
      <w:type w:val="continuous"/>
      <w:pgSz w:w="11906" w:h="16838"/>
      <w:pgMar w:top="1702" w:right="1133" w:bottom="1276" w:left="144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621" w:rsidRDefault="001A1621" w:rsidP="003F0A2D">
      <w:pPr>
        <w:spacing w:after="0"/>
      </w:pPr>
      <w:r>
        <w:separator/>
      </w:r>
    </w:p>
  </w:endnote>
  <w:endnote w:type="continuationSeparator" w:id="0">
    <w:p w:rsidR="001A1621" w:rsidRDefault="001A1621" w:rsidP="003F0A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B60" w:rsidRDefault="00A70B60" w:rsidP="00297528">
    <w:pPr>
      <w:pStyle w:val="Footer"/>
      <w:ind w:left="-1418"/>
    </w:pPr>
    <w:r>
      <w:rPr>
        <w:noProof/>
        <w:lang w:eastAsia="en-AU"/>
      </w:rPr>
      <w:drawing>
        <wp:inline distT="0" distB="0" distL="0" distR="0" wp14:anchorId="5CD80D19" wp14:editId="677B5EF5">
          <wp:extent cx="7550988" cy="721970"/>
          <wp:effectExtent l="0" t="0" r="0" b="2540"/>
          <wp:docPr id="2" name="Picture 2" descr="GPO Box 2154, Canberra ACT 2601 Australia.&#10;Telephone: 02 6271 1000&#10;Web: www.communications.gov.au." title="Address for Department of Communications and the Ar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ocument-footer-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2051" cy="738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B60" w:rsidRPr="000249BC" w:rsidRDefault="00A70B60" w:rsidP="009A56D0">
    <w:pPr>
      <w:pStyle w:val="Footer"/>
      <w:tabs>
        <w:tab w:val="clear" w:pos="9026"/>
        <w:tab w:val="right" w:pos="9333"/>
      </w:tabs>
      <w:ind w:left="-567"/>
      <w:jc w:val="right"/>
      <w:rPr>
        <w:sz w:val="18"/>
        <w:szCs w:val="18"/>
      </w:rPr>
    </w:pPr>
    <w:r>
      <w:rPr>
        <w:sz w:val="18"/>
        <w:szCs w:val="18"/>
      </w:rPr>
      <w:t>&lt;</w:t>
    </w:r>
    <w:proofErr w:type="gramStart"/>
    <w:r w:rsidR="00442D65">
      <w:rPr>
        <w:sz w:val="18"/>
        <w:szCs w:val="18"/>
      </w:rPr>
      <w:t>document</w:t>
    </w:r>
    <w:proofErr w:type="gramEnd"/>
    <w:r>
      <w:rPr>
        <w:sz w:val="18"/>
        <w:szCs w:val="18"/>
      </w:rPr>
      <w:t xml:space="preserve"> title&gt;</w:t>
    </w:r>
    <w:r>
      <w:rPr>
        <w:sz w:val="18"/>
        <w:szCs w:val="18"/>
      </w:rPr>
      <w:tab/>
    </w:r>
    <w:r w:rsidRPr="009A56D0">
      <w:rPr>
        <w:color w:val="07478C"/>
        <w:sz w:val="18"/>
        <w:szCs w:val="18"/>
      </w:rPr>
      <w:t>www.communications.gov.au</w:t>
    </w:r>
    <w:r>
      <w:rPr>
        <w:sz w:val="18"/>
        <w:szCs w:val="18"/>
      </w:rPr>
      <w:tab/>
    </w:r>
    <w:sdt>
      <w:sdtPr>
        <w:rPr>
          <w:sz w:val="18"/>
          <w:szCs w:val="18"/>
        </w:rPr>
        <w:id w:val="-984167973"/>
        <w:docPartObj>
          <w:docPartGallery w:val="Page Numbers (Top of Page)"/>
          <w:docPartUnique/>
        </w:docPartObj>
      </w:sdtPr>
      <w:sdtEndPr/>
      <w:sdtContent>
        <w:r w:rsidRPr="000249BC">
          <w:rPr>
            <w:sz w:val="18"/>
            <w:szCs w:val="18"/>
          </w:rPr>
          <w:t xml:space="preserve">Page </w:t>
        </w:r>
        <w:r w:rsidRPr="000249BC">
          <w:rPr>
            <w:bCs/>
            <w:sz w:val="18"/>
            <w:szCs w:val="18"/>
          </w:rPr>
          <w:fldChar w:fldCharType="begin"/>
        </w:r>
        <w:r w:rsidRPr="000249BC">
          <w:rPr>
            <w:bCs/>
            <w:sz w:val="18"/>
            <w:szCs w:val="18"/>
          </w:rPr>
          <w:instrText xml:space="preserve"> PAGE </w:instrText>
        </w:r>
        <w:r w:rsidRPr="000249BC">
          <w:rPr>
            <w:bCs/>
            <w:sz w:val="18"/>
            <w:szCs w:val="18"/>
          </w:rPr>
          <w:fldChar w:fldCharType="separate"/>
        </w:r>
        <w:r w:rsidR="001A1621">
          <w:rPr>
            <w:bCs/>
            <w:noProof/>
            <w:sz w:val="18"/>
            <w:szCs w:val="18"/>
          </w:rPr>
          <w:t>3</w:t>
        </w:r>
        <w:r w:rsidRPr="000249BC">
          <w:rPr>
            <w:bCs/>
            <w:sz w:val="18"/>
            <w:szCs w:val="18"/>
          </w:rPr>
          <w:fldChar w:fldCharType="end"/>
        </w:r>
        <w:r w:rsidRPr="000249BC">
          <w:rPr>
            <w:sz w:val="18"/>
            <w:szCs w:val="18"/>
          </w:rPr>
          <w:t xml:space="preserve"> of </w:t>
        </w:r>
        <w:r w:rsidRPr="000249BC">
          <w:rPr>
            <w:bCs/>
            <w:sz w:val="18"/>
            <w:szCs w:val="18"/>
          </w:rPr>
          <w:fldChar w:fldCharType="begin"/>
        </w:r>
        <w:r w:rsidRPr="000249BC">
          <w:rPr>
            <w:bCs/>
            <w:sz w:val="18"/>
            <w:szCs w:val="18"/>
          </w:rPr>
          <w:instrText xml:space="preserve"> NUMPAGES  </w:instrText>
        </w:r>
        <w:r w:rsidRPr="000249BC">
          <w:rPr>
            <w:bCs/>
            <w:sz w:val="18"/>
            <w:szCs w:val="18"/>
          </w:rPr>
          <w:fldChar w:fldCharType="separate"/>
        </w:r>
        <w:r w:rsidR="004F1204">
          <w:rPr>
            <w:bCs/>
            <w:noProof/>
            <w:sz w:val="18"/>
            <w:szCs w:val="18"/>
          </w:rPr>
          <w:t>1</w:t>
        </w:r>
        <w:r w:rsidRPr="000249BC">
          <w:rPr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621" w:rsidRDefault="001A1621" w:rsidP="003F0A2D">
      <w:pPr>
        <w:spacing w:after="0"/>
      </w:pPr>
      <w:r>
        <w:separator/>
      </w:r>
    </w:p>
  </w:footnote>
  <w:footnote w:type="continuationSeparator" w:id="0">
    <w:p w:rsidR="001A1621" w:rsidRDefault="001A1621" w:rsidP="003F0A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B60" w:rsidRDefault="00A70B60" w:rsidP="003F0A2D">
    <w:pPr>
      <w:pStyle w:val="Header"/>
      <w:ind w:left="-1418"/>
    </w:pPr>
    <w:r>
      <w:rPr>
        <w:noProof/>
        <w:lang w:eastAsia="en-AU"/>
      </w:rPr>
      <w:drawing>
        <wp:inline distT="0" distB="0" distL="0" distR="0">
          <wp:extent cx="7634630" cy="406359"/>
          <wp:effectExtent l="0" t="0" r="0" b="0"/>
          <wp:docPr id="9" name="Picture 9" descr="Background image for decoration only." title="backgroun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t of Comms A4 Header2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4630" cy="40635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  <w:p w:rsidR="00A70B60" w:rsidRPr="009A56D0" w:rsidRDefault="00A70B60" w:rsidP="00535ADA">
    <w:pPr>
      <w:pStyle w:val="Header"/>
      <w:tabs>
        <w:tab w:val="clear" w:pos="9026"/>
        <w:tab w:val="right" w:pos="9333"/>
      </w:tabs>
      <w:rPr>
        <w:color w:val="07478C"/>
      </w:rPr>
    </w:pPr>
    <w:r w:rsidRPr="009A56D0">
      <w:rPr>
        <w:color w:val="07478C"/>
      </w:rPr>
      <w:t>Department of Communications and the Arts</w:t>
    </w:r>
    <w:r w:rsidRPr="009A56D0">
      <w:rPr>
        <w:color w:val="07478C"/>
      </w:rPr>
      <w:tab/>
    </w:r>
    <w:r w:rsidRPr="009A56D0">
      <w:rPr>
        <w:color w:val="07478C"/>
      </w:rPr>
      <w:tab/>
      <w:t>&lt;month year&gt;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E9C6D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CE22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C0C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A2D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DA41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084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26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A421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F25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88E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2F2D20"/>
    <w:multiLevelType w:val="hybridMultilevel"/>
    <w:tmpl w:val="CA689DC2"/>
    <w:lvl w:ilvl="0" w:tplc="C286136A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5391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26CBD"/>
    <w:multiLevelType w:val="hybridMultilevel"/>
    <w:tmpl w:val="5F6875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A468F"/>
    <w:multiLevelType w:val="hybridMultilevel"/>
    <w:tmpl w:val="43B299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F4896"/>
    <w:multiLevelType w:val="hybridMultilevel"/>
    <w:tmpl w:val="DE446150"/>
    <w:lvl w:ilvl="0" w:tplc="FCEA5AF4">
      <w:start w:val="1"/>
      <w:numFmt w:val="bullet"/>
      <w:pStyle w:val="Tickedboxbulletpoint"/>
      <w:lvlText w:val="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05391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054F7"/>
    <w:multiLevelType w:val="multilevel"/>
    <w:tmpl w:val="09F8E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5B504F0"/>
    <w:multiLevelType w:val="hybridMultilevel"/>
    <w:tmpl w:val="EFD0BD80"/>
    <w:lvl w:ilvl="0" w:tplc="9776F6D6">
      <w:start w:val="1"/>
      <w:numFmt w:val="bullet"/>
      <w:pStyle w:val="Checkboxemptybulletpoint"/>
      <w:lvlText w:val=""/>
      <w:lvlJc w:val="left"/>
      <w:pPr>
        <w:ind w:left="927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05391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attachedTemplate r:id="rId1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1"/>
    <w:rsid w:val="00010C8C"/>
    <w:rsid w:val="000249BC"/>
    <w:rsid w:val="000E1A93"/>
    <w:rsid w:val="0012570D"/>
    <w:rsid w:val="001A1621"/>
    <w:rsid w:val="001F3924"/>
    <w:rsid w:val="002506AF"/>
    <w:rsid w:val="00285881"/>
    <w:rsid w:val="00297528"/>
    <w:rsid w:val="003509FE"/>
    <w:rsid w:val="003F0A2D"/>
    <w:rsid w:val="0040012A"/>
    <w:rsid w:val="004048E1"/>
    <w:rsid w:val="0040622C"/>
    <w:rsid w:val="0043221A"/>
    <w:rsid w:val="00442D65"/>
    <w:rsid w:val="0047530F"/>
    <w:rsid w:val="004F1204"/>
    <w:rsid w:val="00507E41"/>
    <w:rsid w:val="00535ADA"/>
    <w:rsid w:val="00567FAF"/>
    <w:rsid w:val="005F08D5"/>
    <w:rsid w:val="0064771D"/>
    <w:rsid w:val="00660BB9"/>
    <w:rsid w:val="006A19A2"/>
    <w:rsid w:val="006D014F"/>
    <w:rsid w:val="006F5CF8"/>
    <w:rsid w:val="00704775"/>
    <w:rsid w:val="007D02EC"/>
    <w:rsid w:val="00813016"/>
    <w:rsid w:val="00832492"/>
    <w:rsid w:val="0084603E"/>
    <w:rsid w:val="00852E5C"/>
    <w:rsid w:val="00853419"/>
    <w:rsid w:val="00876729"/>
    <w:rsid w:val="008A312B"/>
    <w:rsid w:val="008C6C53"/>
    <w:rsid w:val="00933ABA"/>
    <w:rsid w:val="009A56D0"/>
    <w:rsid w:val="00A625B3"/>
    <w:rsid w:val="00A669A1"/>
    <w:rsid w:val="00A70B60"/>
    <w:rsid w:val="00A7176A"/>
    <w:rsid w:val="00AD66A7"/>
    <w:rsid w:val="00AF277C"/>
    <w:rsid w:val="00B370BC"/>
    <w:rsid w:val="00B82933"/>
    <w:rsid w:val="00BA2E1F"/>
    <w:rsid w:val="00C61D2E"/>
    <w:rsid w:val="00D24D05"/>
    <w:rsid w:val="00DB095A"/>
    <w:rsid w:val="00DD4718"/>
    <w:rsid w:val="00E240F8"/>
    <w:rsid w:val="00F41896"/>
    <w:rsid w:val="00F977DF"/>
    <w:rsid w:val="00FA414F"/>
    <w:rsid w:val="00FB4064"/>
    <w:rsid w:val="00F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5AA8CEA-08F8-45EF-BA43-220491F4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419"/>
    <w:pPr>
      <w:spacing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60BB9"/>
    <w:pPr>
      <w:keepNext/>
      <w:spacing w:before="400"/>
      <w:outlineLvl w:val="0"/>
    </w:pPr>
    <w:rPr>
      <w:rFonts w:asciiTheme="majorHAnsi" w:eastAsiaTheme="majorEastAsia" w:hAnsiTheme="majorHAnsi" w:cstheme="majorBidi"/>
      <w:b/>
      <w:color w:val="07478C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6D0"/>
    <w:pPr>
      <w:keepNext/>
      <w:spacing w:before="120"/>
      <w:outlineLvl w:val="1"/>
    </w:pPr>
    <w:rPr>
      <w:rFonts w:asciiTheme="majorHAnsi" w:eastAsiaTheme="majorEastAsia" w:hAnsiTheme="majorHAnsi" w:cstheme="majorBidi"/>
      <w:b/>
      <w:color w:val="07478C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221A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07478C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6D0"/>
    <w:pPr>
      <w:keepNext/>
      <w:spacing w:after="60"/>
      <w:outlineLvl w:val="3"/>
    </w:pPr>
    <w:rPr>
      <w:rFonts w:asciiTheme="majorHAnsi" w:eastAsiaTheme="majorEastAsia" w:hAnsiTheme="majorHAnsi" w:cstheme="majorBidi"/>
      <w:b/>
      <w:iCs/>
      <w:color w:val="07478C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6D0"/>
    <w:pPr>
      <w:keepNext/>
      <w:spacing w:after="60"/>
      <w:outlineLvl w:val="4"/>
    </w:pPr>
    <w:rPr>
      <w:rFonts w:asciiTheme="majorHAnsi" w:eastAsiaTheme="majorEastAsia" w:hAnsiTheme="majorHAnsi" w:cstheme="majorBidi"/>
      <w:color w:val="07478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BB9"/>
    <w:rPr>
      <w:rFonts w:asciiTheme="majorHAnsi" w:eastAsiaTheme="majorEastAsia" w:hAnsiTheme="majorHAnsi" w:cstheme="majorBidi"/>
      <w:b/>
      <w:color w:val="07478C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56D0"/>
    <w:rPr>
      <w:rFonts w:asciiTheme="majorHAnsi" w:eastAsiaTheme="majorEastAsia" w:hAnsiTheme="majorHAnsi" w:cstheme="majorBidi"/>
      <w:b/>
      <w:color w:val="07478C"/>
      <w:sz w:val="3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71D"/>
    <w:pPr>
      <w:numPr>
        <w:ilvl w:val="1"/>
      </w:numPr>
      <w:spacing w:before="240"/>
    </w:pPr>
    <w:rPr>
      <w:rFonts w:asciiTheme="majorHAnsi" w:eastAsiaTheme="minorEastAsia" w:hAnsiTheme="majorHAnsi"/>
      <w:b/>
      <w:color w:val="07478C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4771D"/>
    <w:rPr>
      <w:rFonts w:asciiTheme="majorHAnsi" w:eastAsiaTheme="minorEastAsia" w:hAnsiTheme="majorHAnsi"/>
      <w:b/>
      <w:color w:val="07478C"/>
      <w:spacing w:val="15"/>
      <w:sz w:val="36"/>
    </w:rPr>
  </w:style>
  <w:style w:type="character" w:styleId="Hyperlink">
    <w:name w:val="Hyperlink"/>
    <w:basedOn w:val="DefaultParagraphFont"/>
    <w:uiPriority w:val="99"/>
    <w:unhideWhenUsed/>
    <w:rsid w:val="0064771D"/>
    <w:rPr>
      <w:color w:val="095EBB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3221A"/>
    <w:rPr>
      <w:rFonts w:asciiTheme="majorHAnsi" w:eastAsiaTheme="majorEastAsia" w:hAnsiTheme="majorHAnsi" w:cstheme="majorBidi"/>
      <w:b/>
      <w:color w:val="07478C"/>
      <w:sz w:val="28"/>
      <w:szCs w:val="24"/>
    </w:rPr>
  </w:style>
  <w:style w:type="paragraph" w:customStyle="1" w:styleId="Bulletlevel1">
    <w:name w:val="Bullet level 1"/>
    <w:basedOn w:val="Normal"/>
    <w:qFormat/>
    <w:rsid w:val="003F0A2D"/>
    <w:pPr>
      <w:numPr>
        <w:numId w:val="1"/>
      </w:numPr>
      <w:ind w:left="567" w:hanging="567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0A2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F0A2D"/>
  </w:style>
  <w:style w:type="paragraph" w:styleId="Footer">
    <w:name w:val="footer"/>
    <w:basedOn w:val="Normal"/>
    <w:link w:val="FooterChar"/>
    <w:uiPriority w:val="99"/>
    <w:unhideWhenUsed/>
    <w:rsid w:val="003F0A2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F0A2D"/>
  </w:style>
  <w:style w:type="character" w:customStyle="1" w:styleId="Heading4Char">
    <w:name w:val="Heading 4 Char"/>
    <w:basedOn w:val="DefaultParagraphFont"/>
    <w:link w:val="Heading4"/>
    <w:uiPriority w:val="9"/>
    <w:rsid w:val="009A56D0"/>
    <w:rPr>
      <w:rFonts w:asciiTheme="majorHAnsi" w:eastAsiaTheme="majorEastAsia" w:hAnsiTheme="majorHAnsi" w:cstheme="majorBidi"/>
      <w:b/>
      <w:iCs/>
      <w:color w:val="07478C"/>
      <w:sz w:val="24"/>
    </w:rPr>
  </w:style>
  <w:style w:type="table" w:styleId="TableGrid">
    <w:name w:val="Table Grid"/>
    <w:basedOn w:val="TableNormal"/>
    <w:uiPriority w:val="39"/>
    <w:rsid w:val="0002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813016"/>
    <w:pPr>
      <w:keepNext/>
      <w:spacing w:before="40" w:after="0"/>
    </w:pPr>
    <w:rPr>
      <w:rFonts w:asciiTheme="majorHAnsi" w:hAnsiTheme="majorHAnsi"/>
      <w:b/>
      <w:color w:val="07478C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49B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49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49BC"/>
    <w:rPr>
      <w:vertAlign w:val="superscript"/>
    </w:rPr>
  </w:style>
  <w:style w:type="paragraph" w:styleId="ListParagraph">
    <w:name w:val="List Paragraph"/>
    <w:basedOn w:val="Normal"/>
    <w:uiPriority w:val="34"/>
    <w:qFormat/>
    <w:rsid w:val="0064771D"/>
    <w:pPr>
      <w:ind w:left="1134" w:hanging="567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A414F"/>
    <w:pPr>
      <w:spacing w:before="120" w:after="0"/>
    </w:pPr>
    <w:rPr>
      <w:b/>
      <w:color w:val="07478C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A414F"/>
    <w:pPr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FA414F"/>
    <w:pPr>
      <w:spacing w:after="0"/>
      <w:ind w:left="1134"/>
    </w:pPr>
  </w:style>
  <w:style w:type="paragraph" w:customStyle="1" w:styleId="Tableheading">
    <w:name w:val="Table heading"/>
    <w:basedOn w:val="Normal"/>
    <w:next w:val="Normal"/>
    <w:rsid w:val="00B370BC"/>
    <w:pPr>
      <w:spacing w:after="0"/>
    </w:pPr>
    <w:rPr>
      <w:rFonts w:eastAsia="Times New Roman" w:cs="Times New Roman"/>
      <w:b/>
      <w:bCs/>
      <w:szCs w:val="20"/>
    </w:rPr>
  </w:style>
  <w:style w:type="paragraph" w:customStyle="1" w:styleId="Tableheadingcentred">
    <w:name w:val="Table heading centred"/>
    <w:basedOn w:val="Normal"/>
    <w:next w:val="Normal"/>
    <w:rsid w:val="00B370BC"/>
    <w:pPr>
      <w:spacing w:after="0"/>
      <w:jc w:val="center"/>
    </w:pPr>
    <w:rPr>
      <w:rFonts w:eastAsia="Times New Roman" w:cs="Times New Roman"/>
      <w:b/>
      <w:bCs/>
      <w:szCs w:val="20"/>
    </w:rPr>
  </w:style>
  <w:style w:type="paragraph" w:customStyle="1" w:styleId="Tabletextcentred">
    <w:name w:val="Table text centred"/>
    <w:basedOn w:val="Normal"/>
    <w:next w:val="NoSpacing"/>
    <w:rsid w:val="00B370BC"/>
    <w:pPr>
      <w:spacing w:after="0"/>
      <w:jc w:val="center"/>
    </w:pPr>
    <w:rPr>
      <w:rFonts w:eastAsia="Times New Roman" w:cs="Times New Roman"/>
      <w:szCs w:val="20"/>
    </w:rPr>
  </w:style>
  <w:style w:type="paragraph" w:styleId="NoSpacing">
    <w:name w:val="No Spacing"/>
    <w:uiPriority w:val="1"/>
    <w:qFormat/>
    <w:rsid w:val="00B370BC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9A56D0"/>
    <w:rPr>
      <w:rFonts w:asciiTheme="majorHAnsi" w:eastAsiaTheme="majorEastAsia" w:hAnsiTheme="majorHAnsi" w:cstheme="majorBidi"/>
      <w:color w:val="07478C"/>
    </w:rPr>
  </w:style>
  <w:style w:type="character" w:styleId="IntenseEmphasis">
    <w:name w:val="Intense Emphasis"/>
    <w:basedOn w:val="DefaultParagraphFont"/>
    <w:uiPriority w:val="21"/>
    <w:qFormat/>
    <w:rsid w:val="0064771D"/>
    <w:rPr>
      <w:rFonts w:asciiTheme="minorHAnsi" w:hAnsiTheme="minorHAnsi"/>
      <w:i/>
      <w:iCs/>
      <w:color w:val="07478C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71D"/>
    <w:pPr>
      <w:pBdr>
        <w:top w:val="single" w:sz="4" w:space="10" w:color="5B9BD5" w:themeColor="accent1"/>
        <w:bottom w:val="single" w:sz="4" w:space="10" w:color="5B9BD5" w:themeColor="accent1"/>
      </w:pBdr>
      <w:ind w:left="567" w:right="567"/>
    </w:pPr>
    <w:rPr>
      <w:i/>
      <w:iCs/>
      <w:color w:val="0747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71D"/>
    <w:rPr>
      <w:i/>
      <w:iCs/>
      <w:color w:val="07478C"/>
    </w:rPr>
  </w:style>
  <w:style w:type="character" w:styleId="IntenseReference">
    <w:name w:val="Intense Reference"/>
    <w:basedOn w:val="DefaultParagraphFont"/>
    <w:uiPriority w:val="32"/>
    <w:qFormat/>
    <w:rsid w:val="0064771D"/>
    <w:rPr>
      <w:rFonts w:asciiTheme="minorHAnsi" w:hAnsiTheme="minorHAnsi"/>
      <w:b/>
      <w:bCs/>
      <w:smallCaps/>
      <w:color w:val="07478C"/>
      <w:spacing w:val="5"/>
      <w:sz w:val="22"/>
    </w:rPr>
  </w:style>
  <w:style w:type="character" w:styleId="BookTitle">
    <w:name w:val="Book Title"/>
    <w:basedOn w:val="DefaultParagraphFont"/>
    <w:uiPriority w:val="33"/>
    <w:qFormat/>
    <w:rsid w:val="0064771D"/>
    <w:rPr>
      <w:rFonts w:asciiTheme="minorHAnsi" w:hAnsiTheme="minorHAnsi"/>
      <w:b/>
      <w:bCs/>
      <w:i/>
      <w:iCs/>
      <w:spacing w:val="5"/>
      <w:sz w:val="22"/>
    </w:rPr>
  </w:style>
  <w:style w:type="character" w:styleId="SubtleReference">
    <w:name w:val="Subtle Reference"/>
    <w:basedOn w:val="DefaultParagraphFont"/>
    <w:uiPriority w:val="31"/>
    <w:qFormat/>
    <w:rsid w:val="0064771D"/>
    <w:rPr>
      <w:rFonts w:asciiTheme="minorHAnsi" w:hAnsiTheme="minorHAnsi"/>
      <w:smallCaps/>
      <w:color w:val="5A5A5A" w:themeColor="text1" w:themeTint="A5"/>
      <w:sz w:val="22"/>
    </w:rPr>
  </w:style>
  <w:style w:type="paragraph" w:customStyle="1" w:styleId="Heading2-notshowingincontentsindocument">
    <w:name w:val="Heading 2 - not showing in contents in document"/>
    <w:basedOn w:val="Normal"/>
    <w:next w:val="Normal"/>
    <w:rsid w:val="00A7176A"/>
    <w:pPr>
      <w:outlineLvl w:val="1"/>
    </w:pPr>
    <w:rPr>
      <w:rFonts w:asciiTheme="majorHAnsi" w:hAnsiTheme="majorHAnsi"/>
      <w:b/>
      <w:color w:val="07478C"/>
      <w:sz w:val="36"/>
      <w:szCs w:val="36"/>
    </w:rPr>
  </w:style>
  <w:style w:type="paragraph" w:customStyle="1" w:styleId="Normal-monthyearforcoverpage">
    <w:name w:val="Normal - month/year for cover page"/>
    <w:basedOn w:val="Normal"/>
    <w:next w:val="Normal"/>
    <w:rsid w:val="00A7176A"/>
    <w:rPr>
      <w:color w:val="07478C"/>
      <w:sz w:val="24"/>
      <w:szCs w:val="24"/>
    </w:rPr>
  </w:style>
  <w:style w:type="paragraph" w:customStyle="1" w:styleId="Heading3-notshowingincontentsindocument">
    <w:name w:val="Heading 3 - not showing in contents in document"/>
    <w:basedOn w:val="Normal"/>
    <w:next w:val="Normal"/>
    <w:rsid w:val="00A7176A"/>
    <w:pPr>
      <w:outlineLvl w:val="2"/>
    </w:pPr>
    <w:rPr>
      <w:color w:val="07478C"/>
      <w:sz w:val="26"/>
      <w:szCs w:val="26"/>
    </w:rPr>
  </w:style>
  <w:style w:type="paragraph" w:customStyle="1" w:styleId="subtitleofdocument">
    <w:name w:val="subtitle of document"/>
    <w:basedOn w:val="Normal"/>
    <w:next w:val="Normal"/>
    <w:rsid w:val="00A7176A"/>
    <w:pPr>
      <w:spacing w:before="1000" w:after="1000"/>
      <w:outlineLvl w:val="1"/>
    </w:pPr>
    <w:rPr>
      <w:rFonts w:asciiTheme="majorHAnsi" w:eastAsia="Times New Roman" w:hAnsiTheme="majorHAnsi" w:cs="Times New Roman"/>
      <w:b/>
      <w:bCs/>
      <w:color w:val="07478C"/>
      <w:sz w:val="36"/>
      <w:szCs w:val="20"/>
    </w:rPr>
  </w:style>
  <w:style w:type="paragraph" w:customStyle="1" w:styleId="Tickedboxbulletpoint">
    <w:name w:val="Ticked box bullet point"/>
    <w:basedOn w:val="Bulletlevel1"/>
    <w:qFormat/>
    <w:rsid w:val="0047530F"/>
    <w:pPr>
      <w:numPr>
        <w:numId w:val="16"/>
      </w:numPr>
      <w:spacing w:before="240" w:after="0"/>
      <w:ind w:left="567" w:hanging="567"/>
    </w:pPr>
  </w:style>
  <w:style w:type="paragraph" w:customStyle="1" w:styleId="Checkboxemptybulletpoint">
    <w:name w:val="Check box empty bullet point"/>
    <w:basedOn w:val="Bulletlevel1"/>
    <w:qFormat/>
    <w:rsid w:val="0047530F"/>
    <w:pPr>
      <w:numPr>
        <w:numId w:val="17"/>
      </w:numPr>
      <w:spacing w:after="0"/>
      <w:ind w:left="397" w:hanging="397"/>
    </w:pPr>
  </w:style>
  <w:style w:type="character" w:styleId="FollowedHyperlink">
    <w:name w:val="FollowedHyperlink"/>
    <w:basedOn w:val="DefaultParagraphFont"/>
    <w:uiPriority w:val="99"/>
    <w:semiHidden/>
    <w:unhideWhenUsed/>
    <w:rsid w:val="0087672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B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3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3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legislation.gov.au/Details/F2014L00182/Explanatory%20Statement/Tex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pt.gov.au\DFS\Home\ThHall\My%20Documents\Custom%20Office%20Templates\department-document-accessible-wor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E4E13-D133-4010-9D80-2A73B8FF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department-document-accessible-word-template.dotx</Template>
  <TotalTime>11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Additional information—700 MHz spectrum</vt:lpstr>
    </vt:vector>
  </TitlesOfParts>
  <Company>Department of Communications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information—700 MHz spectrum</dc:title>
  <dc:subject/>
  <dc:creator>Theresa Hall</dc:creator>
  <cp:keywords/>
  <dc:description/>
  <cp:lastModifiedBy>Theresa Hall</cp:lastModifiedBy>
  <cp:revision>2</cp:revision>
  <cp:lastPrinted>2016-05-25T07:27:00Z</cp:lastPrinted>
  <dcterms:created xsi:type="dcterms:W3CDTF">2016-05-25T07:15:00Z</dcterms:created>
  <dcterms:modified xsi:type="dcterms:W3CDTF">2016-05-25T07:28:00Z</dcterms:modified>
</cp:coreProperties>
</file>