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394D3" w14:textId="77777777" w:rsidR="00F06E14" w:rsidRPr="00A51D1A" w:rsidRDefault="00B14FA4" w:rsidP="00A51D1A">
      <w:pPr>
        <w:pStyle w:val="ACMAReportTitle"/>
      </w:pPr>
      <w:bookmarkStart w:id="0" w:name="_GoBack"/>
      <w:bookmarkEnd w:id="0"/>
      <w:r>
        <w:t>The l</w:t>
      </w:r>
      <w:r w:rsidRPr="00B14FA4">
        <w:t xml:space="preserve">icensing </w:t>
      </w:r>
      <w:r>
        <w:t>s</w:t>
      </w:r>
      <w:r w:rsidRPr="00B14FA4">
        <w:t>ystem</w:t>
      </w:r>
    </w:p>
    <w:p w14:paraId="77814BA0" w14:textId="2697453F" w:rsidR="00F06E14" w:rsidRDefault="00B14FA4" w:rsidP="00F06E14">
      <w:pPr>
        <w:pStyle w:val="ACMAReportSubTitle"/>
      </w:pPr>
      <w:r>
        <w:t>S</w:t>
      </w:r>
      <w:r w:rsidRPr="00B14FA4">
        <w:t xml:space="preserve">upporting material for </w:t>
      </w:r>
      <w:r w:rsidR="00F22122">
        <w:t xml:space="preserve">the </w:t>
      </w:r>
      <w:r w:rsidR="00B214AF" w:rsidRPr="00B14FA4">
        <w:t xml:space="preserve">Exposure Draft </w:t>
      </w:r>
      <w:r w:rsidR="00B214AF">
        <w:t xml:space="preserve">of the </w:t>
      </w:r>
      <w:r w:rsidRPr="00B14FA4">
        <w:t xml:space="preserve">Radiocommunications Bill </w:t>
      </w:r>
      <w:r w:rsidR="00B214AF">
        <w:t>2017</w:t>
      </w:r>
    </w:p>
    <w:p w14:paraId="01072306" w14:textId="219D8086" w:rsidR="00C97736" w:rsidRPr="00CE3B2D" w:rsidRDefault="00B77FC7" w:rsidP="00CE3B2D">
      <w:pPr>
        <w:pStyle w:val="ACMAReportDate"/>
        <w:spacing w:after="720"/>
        <w:sectPr w:rsidR="00C97736" w:rsidRPr="00CE3B2D" w:rsidSect="004F556E">
          <w:headerReference w:type="even" r:id="rId12"/>
          <w:headerReference w:type="default" r:id="rId13"/>
          <w:footerReference w:type="default" r:id="rId14"/>
          <w:headerReference w:type="first" r:id="rId15"/>
          <w:pgSz w:w="11906" w:h="16838" w:code="9"/>
          <w:pgMar w:top="3924" w:right="1797" w:bottom="1440" w:left="1134" w:header="709" w:footer="454" w:gutter="0"/>
          <w:cols w:space="708"/>
          <w:docGrid w:linePitch="360"/>
        </w:sectPr>
      </w:pPr>
      <w:r>
        <w:t>MAY</w:t>
      </w:r>
      <w:r w:rsidR="00EF4815">
        <w:t xml:space="preserve"> </w:t>
      </w:r>
      <w:r w:rsidR="00522E74">
        <w:t>2017</w:t>
      </w:r>
    </w:p>
    <w:p w14:paraId="09D7541B" w14:textId="77777777" w:rsidR="0005011A" w:rsidRPr="00F44F3A" w:rsidRDefault="0005011A" w:rsidP="00FC07B9">
      <w:pPr>
        <w:pStyle w:val="ACMACorporateAddressHeader"/>
      </w:pPr>
      <w:r w:rsidRPr="00F44F3A">
        <w:lastRenderedPageBreak/>
        <w:t>Canberra</w:t>
      </w:r>
    </w:p>
    <w:p w14:paraId="24C248C2"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4C6DFB40" w14:textId="77777777" w:rsidR="0005011A" w:rsidRPr="00FC07B9" w:rsidRDefault="0005011A" w:rsidP="00FC07B9">
      <w:pPr>
        <w:pStyle w:val="ACMACorporateAddresses"/>
      </w:pPr>
      <w:r w:rsidRPr="00FC07B9">
        <w:t>PO Box 78</w:t>
      </w:r>
      <w:r w:rsidRPr="00FC07B9">
        <w:br/>
        <w:t>Belconnen ACT 2616</w:t>
      </w:r>
    </w:p>
    <w:p w14:paraId="324CB45C"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43AFF102" w14:textId="77777777" w:rsidR="0005011A" w:rsidRPr="00F44F3A" w:rsidRDefault="0005011A" w:rsidP="00FC07B9">
      <w:pPr>
        <w:pStyle w:val="ACMACorporateAddressHeader"/>
      </w:pPr>
      <w:r w:rsidRPr="00F44F3A">
        <w:t>Melbourne</w:t>
      </w:r>
    </w:p>
    <w:p w14:paraId="4FBDAD6C"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3AB2DDF4"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7AF9ABAF"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573C54CE" w14:textId="77777777" w:rsidR="0005011A" w:rsidRPr="00F44F3A" w:rsidRDefault="0005011A" w:rsidP="00FC07B9">
      <w:pPr>
        <w:pStyle w:val="ACMACorporateAddressHeader"/>
      </w:pPr>
      <w:r w:rsidRPr="00F44F3A">
        <w:t>Sydney</w:t>
      </w:r>
    </w:p>
    <w:p w14:paraId="408E42F8"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2CABFFA8"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5D7BA885"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6BFCE402" w14:textId="77777777" w:rsidR="00140318" w:rsidRPr="006D46E5" w:rsidRDefault="00140318" w:rsidP="00FC07B9">
      <w:pPr>
        <w:pStyle w:val="ACMACopyrightHeader"/>
      </w:pPr>
      <w:r w:rsidRPr="00140318">
        <w:t>Copyright notice</w:t>
      </w:r>
    </w:p>
    <w:p w14:paraId="5FC41DEE" w14:textId="77777777" w:rsidR="00140318" w:rsidRPr="006D46E5" w:rsidRDefault="00623FF9" w:rsidP="00623FF9">
      <w:pPr>
        <w:pStyle w:val="ACMACClogo"/>
      </w:pPr>
      <w:r w:rsidRPr="00623FF9">
        <w:rPr>
          <w:noProof/>
        </w:rPr>
        <w:drawing>
          <wp:inline distT="0" distB="0" distL="0" distR="0" wp14:anchorId="48F75512" wp14:editId="53877B04">
            <wp:extent cx="838200" cy="295275"/>
            <wp:effectExtent l="0" t="0" r="0" b="0"/>
            <wp:docPr id="1" name="Picture 1" title="Creative Commons log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6"/>
                    </pic:cNvPr>
                    <pic:cNvPicPr>
                      <a:picLocks noChangeAspect="1" noChangeArrowheads="1"/>
                    </pic:cNvPicPr>
                  </pic:nvPicPr>
                  <pic:blipFill>
                    <a:blip r:embed="rId17" cstate="print"/>
                    <a:srcRect/>
                    <a:stretch>
                      <a:fillRect/>
                    </a:stretch>
                  </pic:blipFill>
                  <pic:spPr bwMode="auto">
                    <a:xfrm>
                      <a:off x="0" y="0"/>
                      <a:ext cx="838200" cy="295275"/>
                    </a:xfrm>
                    <a:prstGeom prst="rect">
                      <a:avLst/>
                    </a:prstGeom>
                    <a:noFill/>
                  </pic:spPr>
                </pic:pic>
              </a:graphicData>
            </a:graphic>
          </wp:inline>
        </w:drawing>
      </w:r>
    </w:p>
    <w:p w14:paraId="01BD2163" w14:textId="77777777" w:rsidR="00140318" w:rsidRPr="00431792" w:rsidRDefault="00D65BFA" w:rsidP="00FC07B9">
      <w:pPr>
        <w:pStyle w:val="ACMACorporateAddresses"/>
        <w:rPr>
          <w:rStyle w:val="Hyperlink"/>
        </w:rPr>
      </w:pPr>
      <w:hyperlink r:id="rId18" w:tooltip="Creative Commons Licenses" w:history="1">
        <w:r w:rsidR="00140318" w:rsidRPr="00431792">
          <w:rPr>
            <w:rStyle w:val="Hyperlink"/>
          </w:rPr>
          <w:t>http://creativecommons.org/licenses/by/3.0/au/</w:t>
        </w:r>
      </w:hyperlink>
    </w:p>
    <w:p w14:paraId="4FB671FC" w14:textId="77777777" w:rsidR="00140318" w:rsidRPr="006D46E5" w:rsidRDefault="00140318" w:rsidP="00FC07B9">
      <w:pPr>
        <w:pStyle w:val="ACMACorporateAddresses"/>
      </w:pPr>
      <w:r w:rsidRPr="006D46E5">
        <w:t xml:space="preserve">With the exception of coats of arms, logos, emblems, images, other third-party material or devices protected by a trademark, this content is licensed under the Creative Commons Australia Attribution 3.0 Licence. </w:t>
      </w:r>
    </w:p>
    <w:p w14:paraId="253FB208" w14:textId="73B0ECA5" w:rsidR="00140318" w:rsidRPr="006D46E5" w:rsidRDefault="00C34A05" w:rsidP="00FC07B9">
      <w:pPr>
        <w:pStyle w:val="ACMACorporateAddresses"/>
      </w:pPr>
      <w:r>
        <w:t>We request attribution as</w:t>
      </w:r>
      <w:r w:rsidR="00140318" w:rsidRPr="006D46E5">
        <w:t xml:space="preserve"> © Commonwealth of Australia (Australian Communic</w:t>
      </w:r>
      <w:r w:rsidR="00B6003C">
        <w:t>ations and Media Authority) 201</w:t>
      </w:r>
      <w:r w:rsidR="004D5D58">
        <w:t>7</w:t>
      </w:r>
      <w:r w:rsidR="00140318" w:rsidRPr="006D46E5">
        <w:t>.</w:t>
      </w:r>
    </w:p>
    <w:p w14:paraId="179DB374" w14:textId="77777777" w:rsidR="00140318" w:rsidRPr="006D46E5" w:rsidRDefault="00140318" w:rsidP="00FC07B9">
      <w:pPr>
        <w:pStyle w:val="ACMACorporateAddresses"/>
      </w:pPr>
      <w:r>
        <w:t>All other rights are reserved.</w:t>
      </w:r>
    </w:p>
    <w:p w14:paraId="17FA14C0" w14:textId="77777777" w:rsidR="00140318" w:rsidRPr="006D46E5" w:rsidRDefault="00140318" w:rsidP="00FC07B9">
      <w:pPr>
        <w:pStyle w:val="ACMACorporateAddresses"/>
      </w:pPr>
      <w:r w:rsidRPr="006D46E5">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6FFAD8A6" w14:textId="77777777" w:rsidR="00140318" w:rsidRPr="006D46E5" w:rsidRDefault="00140318" w:rsidP="00FC07B9">
      <w:pPr>
        <w:pStyle w:val="ACMACorporateAddresses"/>
      </w:pPr>
      <w:r w:rsidRPr="006D46E5">
        <w:t>Written enquiries may be sent to:</w:t>
      </w:r>
    </w:p>
    <w:p w14:paraId="05563C6A" w14:textId="77777777" w:rsidR="00D16FE3" w:rsidRDefault="00140318" w:rsidP="00D16FE3">
      <w:pPr>
        <w:pStyle w:val="ACMACorporateAddresses"/>
        <w:rPr>
          <w:rStyle w:val="Hyperlink"/>
        </w:rPr>
      </w:pPr>
      <w:r w:rsidRPr="006D46E5">
        <w:t>Manager, Editorial and Design</w:t>
      </w:r>
      <w:r w:rsidR="00623FF9">
        <w:br/>
      </w:r>
      <w:r w:rsidRPr="006D46E5">
        <w:t>PO Box 13112</w:t>
      </w:r>
      <w:r w:rsidR="00623FF9">
        <w:br/>
      </w:r>
      <w:r w:rsidRPr="006D46E5">
        <w:t>Law Courts</w:t>
      </w:r>
      <w:r w:rsidR="00623FF9">
        <w:br/>
      </w:r>
      <w:r w:rsidRPr="006D46E5">
        <w:t>Melbourne VIC 8010</w:t>
      </w:r>
      <w:r w:rsidR="00623FF9">
        <w:br/>
      </w:r>
      <w:r w:rsidRPr="006D46E5">
        <w:t xml:space="preserve">Email: </w:t>
      </w:r>
      <w:hyperlink r:id="rId19" w:history="1">
        <w:r w:rsidRPr="00431792">
          <w:rPr>
            <w:rStyle w:val="Hyperlink"/>
          </w:rPr>
          <w:t>candinfo@acma.gov.au</w:t>
        </w:r>
      </w:hyperlink>
    </w:p>
    <w:p w14:paraId="58585565" w14:textId="77777777" w:rsidR="00D16FE3" w:rsidRDefault="00D16FE3" w:rsidP="00D16FE3">
      <w:pPr>
        <w:pStyle w:val="ACMACorporateAddresses"/>
        <w:rPr>
          <w:rStyle w:val="Hyperlink"/>
        </w:rPr>
      </w:pPr>
    </w:p>
    <w:p w14:paraId="4FD0E7F2" w14:textId="77777777" w:rsidR="00D16FE3" w:rsidRPr="00D16FE3" w:rsidRDefault="00D16FE3" w:rsidP="00D16FE3">
      <w:pPr>
        <w:pStyle w:val="ACMACorporateAddresses"/>
        <w:sectPr w:rsidR="00D16FE3" w:rsidRPr="00D16FE3">
          <w:headerReference w:type="even" r:id="rId20"/>
          <w:headerReference w:type="default" r:id="rId21"/>
          <w:footerReference w:type="even" r:id="rId22"/>
          <w:footerReference w:type="default" r:id="rId23"/>
          <w:headerReference w:type="first" r:id="rId24"/>
          <w:pgSz w:w="11906" w:h="16838" w:code="9"/>
          <w:pgMar w:top="3924" w:right="1797" w:bottom="697" w:left="1134" w:header="709" w:footer="119" w:gutter="0"/>
          <w:cols w:space="708"/>
          <w:docGrid w:linePitch="360"/>
        </w:sectPr>
      </w:pPr>
    </w:p>
    <w:p w14:paraId="28DA6424" w14:textId="77777777" w:rsidR="007416B2" w:rsidRDefault="007416B2">
      <w:pPr>
        <w:pStyle w:val="TOC1"/>
        <w:rPr>
          <w:rFonts w:asciiTheme="minorHAnsi" w:eastAsiaTheme="minorEastAsia" w:hAnsiTheme="minorHAnsi" w:cstheme="minorBidi"/>
          <w:b w:val="0"/>
          <w:spacing w:val="0"/>
          <w:sz w:val="22"/>
          <w:szCs w:val="22"/>
        </w:rPr>
      </w:pPr>
      <w:r>
        <w:rPr>
          <w:rFonts w:cs="Arial"/>
          <w:b w:val="0"/>
        </w:rPr>
        <w:lastRenderedPageBreak/>
        <w:fldChar w:fldCharType="begin"/>
      </w:r>
      <w:r>
        <w:rPr>
          <w:rFonts w:cs="Arial"/>
          <w:b w:val="0"/>
        </w:rPr>
        <w:instrText xml:space="preserve"> TOC \o "1-2" \t "ACMA_ExecSummaryHeading,1" </w:instrText>
      </w:r>
      <w:r>
        <w:rPr>
          <w:rFonts w:cs="Arial"/>
          <w:b w:val="0"/>
        </w:rPr>
        <w:fldChar w:fldCharType="separate"/>
      </w:r>
      <w:r>
        <w:t>Purpose of the ACMA supporting material</w:t>
      </w:r>
      <w:r>
        <w:tab/>
      </w:r>
      <w:r>
        <w:fldChar w:fldCharType="begin"/>
      </w:r>
      <w:r>
        <w:instrText xml:space="preserve"> PAGEREF _Toc481057123 \h </w:instrText>
      </w:r>
      <w:r>
        <w:fldChar w:fldCharType="separate"/>
      </w:r>
      <w:r w:rsidR="0070302C">
        <w:t>1</w:t>
      </w:r>
      <w:r>
        <w:fldChar w:fldCharType="end"/>
      </w:r>
    </w:p>
    <w:p w14:paraId="5D409158" w14:textId="77777777" w:rsidR="007416B2" w:rsidRDefault="007416B2">
      <w:pPr>
        <w:pStyle w:val="TOC1"/>
        <w:rPr>
          <w:rFonts w:asciiTheme="minorHAnsi" w:eastAsiaTheme="minorEastAsia" w:hAnsiTheme="minorHAnsi" w:cstheme="minorBidi"/>
          <w:b w:val="0"/>
          <w:spacing w:val="0"/>
          <w:sz w:val="22"/>
          <w:szCs w:val="22"/>
        </w:rPr>
      </w:pPr>
      <w:r>
        <w:t>Existing arrangements</w:t>
      </w:r>
      <w:r>
        <w:tab/>
      </w:r>
      <w:r>
        <w:fldChar w:fldCharType="begin"/>
      </w:r>
      <w:r>
        <w:instrText xml:space="preserve"> PAGEREF _Toc481057124 \h </w:instrText>
      </w:r>
      <w:r>
        <w:fldChar w:fldCharType="separate"/>
      </w:r>
      <w:r w:rsidR="0070302C">
        <w:t>2</w:t>
      </w:r>
      <w:r>
        <w:fldChar w:fldCharType="end"/>
      </w:r>
    </w:p>
    <w:p w14:paraId="1114B5C3" w14:textId="77777777" w:rsidR="007416B2" w:rsidRDefault="007416B2">
      <w:pPr>
        <w:pStyle w:val="TOC1"/>
        <w:rPr>
          <w:rFonts w:asciiTheme="minorHAnsi" w:eastAsiaTheme="minorEastAsia" w:hAnsiTheme="minorHAnsi" w:cstheme="minorBidi"/>
          <w:b w:val="0"/>
          <w:spacing w:val="0"/>
          <w:sz w:val="22"/>
          <w:szCs w:val="22"/>
        </w:rPr>
      </w:pPr>
      <w:r>
        <w:t>Radiocommunications Bill 2017</w:t>
      </w:r>
      <w:r>
        <w:tab/>
      </w:r>
      <w:r>
        <w:fldChar w:fldCharType="begin"/>
      </w:r>
      <w:r>
        <w:instrText xml:space="preserve"> PAGEREF _Toc481057125 \h </w:instrText>
      </w:r>
      <w:r>
        <w:fldChar w:fldCharType="separate"/>
      </w:r>
      <w:r w:rsidR="0070302C">
        <w:t>3</w:t>
      </w:r>
      <w:r>
        <w:fldChar w:fldCharType="end"/>
      </w:r>
    </w:p>
    <w:p w14:paraId="628DB6AE" w14:textId="77777777" w:rsidR="007416B2" w:rsidRDefault="007416B2">
      <w:pPr>
        <w:pStyle w:val="TOC2"/>
        <w:rPr>
          <w:rFonts w:asciiTheme="minorHAnsi" w:eastAsiaTheme="minorEastAsia" w:hAnsiTheme="minorHAnsi" w:cstheme="minorBidi"/>
          <w:spacing w:val="0"/>
          <w:sz w:val="22"/>
          <w:szCs w:val="22"/>
        </w:rPr>
      </w:pPr>
      <w:r>
        <w:t>Radiocommunications licensing and spectrum authorisations</w:t>
      </w:r>
      <w:r>
        <w:tab/>
      </w:r>
      <w:r>
        <w:fldChar w:fldCharType="begin"/>
      </w:r>
      <w:r>
        <w:instrText xml:space="preserve"> PAGEREF _Toc481057126 \h </w:instrText>
      </w:r>
      <w:r>
        <w:fldChar w:fldCharType="separate"/>
      </w:r>
      <w:r w:rsidR="0070302C">
        <w:t>3</w:t>
      </w:r>
      <w:r>
        <w:fldChar w:fldCharType="end"/>
      </w:r>
    </w:p>
    <w:p w14:paraId="71A61DEE" w14:textId="77777777" w:rsidR="007416B2" w:rsidRDefault="007416B2">
      <w:pPr>
        <w:pStyle w:val="TOC2"/>
        <w:rPr>
          <w:rFonts w:asciiTheme="minorHAnsi" w:eastAsiaTheme="minorEastAsia" w:hAnsiTheme="minorHAnsi" w:cstheme="minorBidi"/>
          <w:spacing w:val="0"/>
          <w:sz w:val="22"/>
          <w:szCs w:val="22"/>
        </w:rPr>
      </w:pPr>
      <w:r>
        <w:t>Licences</w:t>
      </w:r>
      <w:r>
        <w:tab/>
      </w:r>
      <w:r>
        <w:fldChar w:fldCharType="begin"/>
      </w:r>
      <w:r>
        <w:instrText xml:space="preserve"> PAGEREF _Toc481057127 \h </w:instrText>
      </w:r>
      <w:r>
        <w:fldChar w:fldCharType="separate"/>
      </w:r>
      <w:r w:rsidR="0070302C">
        <w:t>3</w:t>
      </w:r>
      <w:r>
        <w:fldChar w:fldCharType="end"/>
      </w:r>
    </w:p>
    <w:p w14:paraId="0CD722CF" w14:textId="77777777" w:rsidR="007416B2" w:rsidRDefault="007416B2">
      <w:pPr>
        <w:pStyle w:val="TOC2"/>
        <w:rPr>
          <w:rFonts w:asciiTheme="minorHAnsi" w:eastAsiaTheme="minorEastAsia" w:hAnsiTheme="minorHAnsi" w:cstheme="minorBidi"/>
          <w:spacing w:val="0"/>
          <w:sz w:val="22"/>
          <w:szCs w:val="22"/>
        </w:rPr>
      </w:pPr>
      <w:r>
        <w:t>Issuing licences under the Bill</w:t>
      </w:r>
      <w:r>
        <w:tab/>
      </w:r>
      <w:r>
        <w:fldChar w:fldCharType="begin"/>
      </w:r>
      <w:r>
        <w:instrText xml:space="preserve"> PAGEREF _Toc481057128 \h </w:instrText>
      </w:r>
      <w:r>
        <w:fldChar w:fldCharType="separate"/>
      </w:r>
      <w:r w:rsidR="0070302C">
        <w:t>4</w:t>
      </w:r>
      <w:r>
        <w:fldChar w:fldCharType="end"/>
      </w:r>
    </w:p>
    <w:p w14:paraId="345F0FAE" w14:textId="77777777" w:rsidR="007416B2" w:rsidRDefault="007416B2">
      <w:pPr>
        <w:pStyle w:val="TOC2"/>
        <w:rPr>
          <w:rFonts w:asciiTheme="minorHAnsi" w:eastAsiaTheme="minorEastAsia" w:hAnsiTheme="minorHAnsi" w:cstheme="minorBidi"/>
          <w:spacing w:val="0"/>
          <w:sz w:val="22"/>
          <w:szCs w:val="22"/>
        </w:rPr>
      </w:pPr>
      <w:r>
        <w:t>Licence tenure—duration and end-of-term arrangements under the Bill</w:t>
      </w:r>
      <w:r>
        <w:tab/>
      </w:r>
      <w:r>
        <w:fldChar w:fldCharType="begin"/>
      </w:r>
      <w:r>
        <w:instrText xml:space="preserve"> PAGEREF _Toc481057129 \h </w:instrText>
      </w:r>
      <w:r>
        <w:fldChar w:fldCharType="separate"/>
      </w:r>
      <w:r w:rsidR="0070302C">
        <w:t>4</w:t>
      </w:r>
      <w:r>
        <w:fldChar w:fldCharType="end"/>
      </w:r>
    </w:p>
    <w:p w14:paraId="3DE94DB1" w14:textId="77777777" w:rsidR="007416B2" w:rsidRDefault="007416B2">
      <w:pPr>
        <w:pStyle w:val="TOC1"/>
        <w:rPr>
          <w:rFonts w:asciiTheme="minorHAnsi" w:eastAsiaTheme="minorEastAsia" w:hAnsiTheme="minorHAnsi" w:cstheme="minorBidi"/>
          <w:b w:val="0"/>
          <w:spacing w:val="0"/>
          <w:sz w:val="22"/>
          <w:szCs w:val="22"/>
        </w:rPr>
      </w:pPr>
      <w:r>
        <w:t>Proposed approach</w:t>
      </w:r>
      <w:r>
        <w:tab/>
      </w:r>
      <w:r>
        <w:fldChar w:fldCharType="begin"/>
      </w:r>
      <w:r>
        <w:instrText xml:space="preserve"> PAGEREF _Toc481057130 \h </w:instrText>
      </w:r>
      <w:r>
        <w:fldChar w:fldCharType="separate"/>
      </w:r>
      <w:r w:rsidR="0070302C">
        <w:t>5</w:t>
      </w:r>
      <w:r>
        <w:fldChar w:fldCharType="end"/>
      </w:r>
    </w:p>
    <w:p w14:paraId="3A566414" w14:textId="77777777" w:rsidR="007416B2" w:rsidRDefault="007416B2">
      <w:pPr>
        <w:pStyle w:val="TOC2"/>
        <w:rPr>
          <w:rFonts w:asciiTheme="minorHAnsi" w:eastAsiaTheme="minorEastAsia" w:hAnsiTheme="minorHAnsi" w:cstheme="minorBidi"/>
          <w:spacing w:val="0"/>
          <w:sz w:val="22"/>
          <w:szCs w:val="22"/>
        </w:rPr>
      </w:pPr>
      <w:r>
        <w:t>Planned approach to giving effect to the Bill</w:t>
      </w:r>
      <w:r>
        <w:tab/>
      </w:r>
      <w:r>
        <w:fldChar w:fldCharType="begin"/>
      </w:r>
      <w:r>
        <w:instrText xml:space="preserve"> PAGEREF _Toc481057131 \h </w:instrText>
      </w:r>
      <w:r>
        <w:fldChar w:fldCharType="separate"/>
      </w:r>
      <w:r w:rsidR="0070302C">
        <w:t>5</w:t>
      </w:r>
      <w:r>
        <w:fldChar w:fldCharType="end"/>
      </w:r>
    </w:p>
    <w:p w14:paraId="1F4A38DF" w14:textId="77777777" w:rsidR="007416B2" w:rsidRDefault="007416B2">
      <w:pPr>
        <w:pStyle w:val="TOC2"/>
        <w:rPr>
          <w:rFonts w:asciiTheme="minorHAnsi" w:eastAsiaTheme="minorEastAsia" w:hAnsiTheme="minorHAnsi" w:cstheme="minorBidi"/>
          <w:spacing w:val="0"/>
          <w:sz w:val="22"/>
          <w:szCs w:val="22"/>
        </w:rPr>
      </w:pPr>
      <w:r>
        <w:t>How the ACMA will engage with stakeholders on implementing the Bill</w:t>
      </w:r>
      <w:r>
        <w:tab/>
      </w:r>
      <w:r>
        <w:fldChar w:fldCharType="begin"/>
      </w:r>
      <w:r>
        <w:instrText xml:space="preserve"> PAGEREF _Toc481057132 \h </w:instrText>
      </w:r>
      <w:r>
        <w:fldChar w:fldCharType="separate"/>
      </w:r>
      <w:r w:rsidR="0070302C">
        <w:t>7</w:t>
      </w:r>
      <w:r>
        <w:fldChar w:fldCharType="end"/>
      </w:r>
    </w:p>
    <w:p w14:paraId="7D74822C" w14:textId="77777777" w:rsidR="007416B2" w:rsidRDefault="007416B2">
      <w:pPr>
        <w:pStyle w:val="TOC2"/>
        <w:rPr>
          <w:rFonts w:asciiTheme="minorHAnsi" w:eastAsiaTheme="minorEastAsia" w:hAnsiTheme="minorHAnsi" w:cstheme="minorBidi"/>
          <w:spacing w:val="0"/>
          <w:sz w:val="22"/>
          <w:szCs w:val="22"/>
        </w:rPr>
      </w:pPr>
      <w:r>
        <w:t>Approach to licensing design under the Bill</w:t>
      </w:r>
      <w:r>
        <w:tab/>
      </w:r>
      <w:r>
        <w:fldChar w:fldCharType="begin"/>
      </w:r>
      <w:r>
        <w:instrText xml:space="preserve"> PAGEREF _Toc481057133 \h </w:instrText>
      </w:r>
      <w:r>
        <w:fldChar w:fldCharType="separate"/>
      </w:r>
      <w:r w:rsidR="0070302C">
        <w:t>8</w:t>
      </w:r>
      <w:r>
        <w:fldChar w:fldCharType="end"/>
      </w:r>
    </w:p>
    <w:p w14:paraId="79B2D6E7" w14:textId="77777777" w:rsidR="007416B2" w:rsidRDefault="007416B2">
      <w:pPr>
        <w:pStyle w:val="TOC2"/>
        <w:rPr>
          <w:rFonts w:asciiTheme="minorHAnsi" w:eastAsiaTheme="minorEastAsia" w:hAnsiTheme="minorHAnsi" w:cstheme="minorBidi"/>
          <w:spacing w:val="0"/>
          <w:sz w:val="22"/>
          <w:szCs w:val="22"/>
        </w:rPr>
      </w:pPr>
      <w:r>
        <w:t>Approach to licence issue schemes (LISs) under the Bill</w:t>
      </w:r>
      <w:r>
        <w:tab/>
      </w:r>
      <w:r>
        <w:fldChar w:fldCharType="begin"/>
      </w:r>
      <w:r>
        <w:instrText xml:space="preserve"> PAGEREF _Toc481057134 \h </w:instrText>
      </w:r>
      <w:r>
        <w:fldChar w:fldCharType="separate"/>
      </w:r>
      <w:r w:rsidR="0070302C">
        <w:t>10</w:t>
      </w:r>
      <w:r>
        <w:fldChar w:fldCharType="end"/>
      </w:r>
    </w:p>
    <w:p w14:paraId="5CEB651C" w14:textId="473CAD28" w:rsidR="007416B2" w:rsidRDefault="007416B2" w:rsidP="007416B2">
      <w:pPr>
        <w:pStyle w:val="TOC2"/>
        <w:ind w:left="0" w:firstLine="0"/>
        <w:rPr>
          <w:rFonts w:asciiTheme="minorHAnsi" w:eastAsiaTheme="minorEastAsia" w:hAnsiTheme="minorHAnsi" w:cstheme="minorBidi"/>
          <w:spacing w:val="0"/>
          <w:sz w:val="22"/>
          <w:szCs w:val="22"/>
        </w:rPr>
      </w:pPr>
      <w:r>
        <w:t>Approach to licence tenure—duration and end-of-term arrangements under the Bill</w:t>
      </w:r>
      <w:r>
        <w:tab/>
      </w:r>
      <w:r>
        <w:fldChar w:fldCharType="begin"/>
      </w:r>
      <w:r>
        <w:instrText xml:space="preserve"> PAGEREF _Toc481057135 \h </w:instrText>
      </w:r>
      <w:r>
        <w:fldChar w:fldCharType="separate"/>
      </w:r>
      <w:r w:rsidR="0070302C">
        <w:t>12</w:t>
      </w:r>
      <w:r>
        <w:fldChar w:fldCharType="end"/>
      </w:r>
    </w:p>
    <w:p w14:paraId="4D92D37D" w14:textId="77777777" w:rsidR="007416B2" w:rsidRDefault="007416B2">
      <w:pPr>
        <w:pStyle w:val="TOC1"/>
        <w:rPr>
          <w:rFonts w:asciiTheme="minorHAnsi" w:eastAsiaTheme="minorEastAsia" w:hAnsiTheme="minorHAnsi" w:cstheme="minorBidi"/>
          <w:b w:val="0"/>
          <w:spacing w:val="0"/>
          <w:sz w:val="22"/>
          <w:szCs w:val="22"/>
        </w:rPr>
      </w:pPr>
      <w:r>
        <w:t>Implementation and transition</w:t>
      </w:r>
      <w:r>
        <w:tab/>
      </w:r>
      <w:r>
        <w:fldChar w:fldCharType="begin"/>
      </w:r>
      <w:r>
        <w:instrText xml:space="preserve"> PAGEREF _Toc481057136 \h </w:instrText>
      </w:r>
      <w:r>
        <w:fldChar w:fldCharType="separate"/>
      </w:r>
      <w:r w:rsidR="0070302C">
        <w:t>15</w:t>
      </w:r>
      <w:r>
        <w:fldChar w:fldCharType="end"/>
      </w:r>
    </w:p>
    <w:p w14:paraId="14C846F8" w14:textId="77777777" w:rsidR="007416B2" w:rsidRDefault="007416B2">
      <w:pPr>
        <w:pStyle w:val="TOC2"/>
        <w:rPr>
          <w:rFonts w:asciiTheme="minorHAnsi" w:eastAsiaTheme="minorEastAsia" w:hAnsiTheme="minorHAnsi" w:cstheme="minorBidi"/>
          <w:spacing w:val="0"/>
          <w:sz w:val="22"/>
          <w:szCs w:val="22"/>
        </w:rPr>
      </w:pPr>
      <w:r>
        <w:t>Transitioning between the existing and new legislative frameworks</w:t>
      </w:r>
      <w:r>
        <w:tab/>
      </w:r>
      <w:r>
        <w:fldChar w:fldCharType="begin"/>
      </w:r>
      <w:r>
        <w:instrText xml:space="preserve"> PAGEREF _Toc481057137 \h </w:instrText>
      </w:r>
      <w:r>
        <w:fldChar w:fldCharType="separate"/>
      </w:r>
      <w:r w:rsidR="0070302C">
        <w:t>15</w:t>
      </w:r>
      <w:r>
        <w:fldChar w:fldCharType="end"/>
      </w:r>
    </w:p>
    <w:p w14:paraId="6257426D" w14:textId="004E60F4" w:rsidR="007416B2" w:rsidRDefault="007416B2" w:rsidP="007416B2">
      <w:pPr>
        <w:pStyle w:val="TOC2"/>
        <w:ind w:left="0" w:firstLine="0"/>
        <w:rPr>
          <w:rFonts w:asciiTheme="minorHAnsi" w:eastAsiaTheme="minorEastAsia" w:hAnsiTheme="minorHAnsi" w:cstheme="minorBidi"/>
          <w:spacing w:val="0"/>
          <w:sz w:val="22"/>
          <w:szCs w:val="22"/>
        </w:rPr>
      </w:pPr>
      <w:r>
        <w:t>Existing spectrum licences—replacing licences under the new system with licensee’s agreement</w:t>
      </w:r>
      <w:r>
        <w:tab/>
      </w:r>
      <w:r>
        <w:fldChar w:fldCharType="begin"/>
      </w:r>
      <w:r>
        <w:instrText xml:space="preserve"> PAGEREF _Toc481057138 \h </w:instrText>
      </w:r>
      <w:r>
        <w:fldChar w:fldCharType="separate"/>
      </w:r>
      <w:r w:rsidR="0070302C">
        <w:t>16</w:t>
      </w:r>
      <w:r>
        <w:fldChar w:fldCharType="end"/>
      </w:r>
    </w:p>
    <w:p w14:paraId="489C417D" w14:textId="7DFE9E22" w:rsidR="007416B2" w:rsidRDefault="007416B2" w:rsidP="007416B2">
      <w:pPr>
        <w:pStyle w:val="TOC2"/>
        <w:ind w:left="0" w:firstLine="0"/>
        <w:rPr>
          <w:rFonts w:asciiTheme="minorHAnsi" w:eastAsiaTheme="minorEastAsia" w:hAnsiTheme="minorHAnsi" w:cstheme="minorBidi"/>
          <w:spacing w:val="0"/>
          <w:sz w:val="22"/>
          <w:szCs w:val="22"/>
        </w:rPr>
      </w:pPr>
      <w:r>
        <w:t>Existing apparatus licences—progressive replacement with licences under the new system</w:t>
      </w:r>
      <w:r>
        <w:tab/>
      </w:r>
      <w:r>
        <w:fldChar w:fldCharType="begin"/>
      </w:r>
      <w:r>
        <w:instrText xml:space="preserve"> PAGEREF _Toc481057139 \h </w:instrText>
      </w:r>
      <w:r>
        <w:fldChar w:fldCharType="separate"/>
      </w:r>
      <w:r w:rsidR="0070302C">
        <w:t>17</w:t>
      </w:r>
      <w:r>
        <w:fldChar w:fldCharType="end"/>
      </w:r>
    </w:p>
    <w:p w14:paraId="2D8935D9" w14:textId="77777777" w:rsidR="007416B2" w:rsidRDefault="007416B2" w:rsidP="007416B2">
      <w:pPr>
        <w:pStyle w:val="TOC2"/>
        <w:ind w:left="0" w:firstLine="0"/>
        <w:rPr>
          <w:rFonts w:asciiTheme="minorHAnsi" w:eastAsiaTheme="minorEastAsia" w:hAnsiTheme="minorHAnsi" w:cstheme="minorBidi"/>
          <w:spacing w:val="0"/>
          <w:sz w:val="22"/>
          <w:szCs w:val="22"/>
        </w:rPr>
      </w:pPr>
      <w:r>
        <w:t>Existing class licences—potential for replacement with spectrum authorisations</w:t>
      </w:r>
      <w:r>
        <w:tab/>
      </w:r>
      <w:r>
        <w:fldChar w:fldCharType="begin"/>
      </w:r>
      <w:r>
        <w:instrText xml:space="preserve"> PAGEREF _Toc481057140 \h </w:instrText>
      </w:r>
      <w:r>
        <w:fldChar w:fldCharType="separate"/>
      </w:r>
      <w:r w:rsidR="0070302C">
        <w:t>18</w:t>
      </w:r>
      <w:r>
        <w:fldChar w:fldCharType="end"/>
      </w:r>
    </w:p>
    <w:p w14:paraId="03E38CB8" w14:textId="77777777" w:rsidR="007416B2" w:rsidRDefault="007416B2">
      <w:pPr>
        <w:pStyle w:val="TOC2"/>
        <w:rPr>
          <w:rFonts w:asciiTheme="minorHAnsi" w:eastAsiaTheme="minorEastAsia" w:hAnsiTheme="minorHAnsi" w:cstheme="minorBidi"/>
          <w:spacing w:val="0"/>
          <w:sz w:val="22"/>
          <w:szCs w:val="22"/>
        </w:rPr>
      </w:pPr>
      <w:r>
        <w:t>New spectrum space licences</w:t>
      </w:r>
      <w:r>
        <w:tab/>
      </w:r>
      <w:r>
        <w:fldChar w:fldCharType="begin"/>
      </w:r>
      <w:r>
        <w:instrText xml:space="preserve"> PAGEREF _Toc481057141 \h </w:instrText>
      </w:r>
      <w:r>
        <w:fldChar w:fldCharType="separate"/>
      </w:r>
      <w:r w:rsidR="0070302C">
        <w:t>19</w:t>
      </w:r>
      <w:r>
        <w:fldChar w:fldCharType="end"/>
      </w:r>
    </w:p>
    <w:p w14:paraId="4B9A1BE0" w14:textId="77777777" w:rsidR="007416B2" w:rsidRDefault="007416B2">
      <w:pPr>
        <w:pStyle w:val="TOC2"/>
        <w:rPr>
          <w:rFonts w:asciiTheme="minorHAnsi" w:eastAsiaTheme="minorEastAsia" w:hAnsiTheme="minorHAnsi" w:cstheme="minorBidi"/>
          <w:spacing w:val="0"/>
          <w:sz w:val="22"/>
          <w:szCs w:val="22"/>
        </w:rPr>
      </w:pPr>
      <w:r>
        <w:t>ACMA forward projects</w:t>
      </w:r>
      <w:r>
        <w:tab/>
      </w:r>
      <w:r>
        <w:fldChar w:fldCharType="begin"/>
      </w:r>
      <w:r>
        <w:instrText xml:space="preserve"> PAGEREF _Toc481057142 \h </w:instrText>
      </w:r>
      <w:r>
        <w:fldChar w:fldCharType="separate"/>
      </w:r>
      <w:r w:rsidR="0070302C">
        <w:t>19</w:t>
      </w:r>
      <w:r>
        <w:fldChar w:fldCharType="end"/>
      </w:r>
    </w:p>
    <w:p w14:paraId="722C4095" w14:textId="77777777" w:rsidR="007416B2" w:rsidRDefault="007416B2">
      <w:pPr>
        <w:pStyle w:val="TOC1"/>
        <w:rPr>
          <w:rFonts w:asciiTheme="minorHAnsi" w:eastAsiaTheme="minorEastAsia" w:hAnsiTheme="minorHAnsi" w:cstheme="minorBidi"/>
          <w:b w:val="0"/>
          <w:spacing w:val="0"/>
          <w:sz w:val="22"/>
          <w:szCs w:val="22"/>
        </w:rPr>
      </w:pPr>
      <w:r>
        <w:t>Appendix A—Sample licences</w:t>
      </w:r>
      <w:r>
        <w:tab/>
      </w:r>
      <w:r>
        <w:fldChar w:fldCharType="begin"/>
      </w:r>
      <w:r>
        <w:instrText xml:space="preserve"> PAGEREF _Toc481057143 \h </w:instrText>
      </w:r>
      <w:r>
        <w:fldChar w:fldCharType="separate"/>
      </w:r>
      <w:r w:rsidR="0070302C">
        <w:t>22</w:t>
      </w:r>
      <w:r>
        <w:fldChar w:fldCharType="end"/>
      </w:r>
    </w:p>
    <w:p w14:paraId="26B676A9" w14:textId="77777777" w:rsidR="007416B2" w:rsidRDefault="007416B2">
      <w:pPr>
        <w:pStyle w:val="TOC1"/>
        <w:rPr>
          <w:rFonts w:asciiTheme="minorHAnsi" w:eastAsiaTheme="minorEastAsia" w:hAnsiTheme="minorHAnsi" w:cstheme="minorBidi"/>
          <w:b w:val="0"/>
          <w:spacing w:val="0"/>
          <w:sz w:val="22"/>
          <w:szCs w:val="22"/>
        </w:rPr>
      </w:pPr>
      <w:r>
        <w:t>Appendix B—Characteristics of licences</w:t>
      </w:r>
      <w:r>
        <w:tab/>
      </w:r>
      <w:r>
        <w:fldChar w:fldCharType="begin"/>
      </w:r>
      <w:r>
        <w:instrText xml:space="preserve"> PAGEREF _Toc481057144 \h </w:instrText>
      </w:r>
      <w:r>
        <w:fldChar w:fldCharType="separate"/>
      </w:r>
      <w:r w:rsidR="0070302C">
        <w:t>34</w:t>
      </w:r>
      <w:r>
        <w:fldChar w:fldCharType="end"/>
      </w:r>
    </w:p>
    <w:p w14:paraId="40B86953" w14:textId="7CD1138D" w:rsidR="004D56FF" w:rsidRPr="000D76E0" w:rsidRDefault="007416B2" w:rsidP="001E0075">
      <w:pPr>
        <w:pStyle w:val="TOC1"/>
        <w:rPr>
          <w:rFonts w:cs="Arial"/>
          <w:b w:val="0"/>
        </w:rPr>
        <w:sectPr w:rsidR="004D56FF" w:rsidRPr="000D76E0" w:rsidSect="00C77380">
          <w:headerReference w:type="even" r:id="rId25"/>
          <w:headerReference w:type="default" r:id="rId26"/>
          <w:footerReference w:type="even" r:id="rId27"/>
          <w:footerReference w:type="default" r:id="rId28"/>
          <w:headerReference w:type="first" r:id="rId29"/>
          <w:footerReference w:type="first" r:id="rId30"/>
          <w:pgSz w:w="11906" w:h="16838" w:code="9"/>
          <w:pgMar w:top="3646" w:right="3101" w:bottom="1134" w:left="1134" w:header="709" w:footer="119" w:gutter="0"/>
          <w:cols w:space="708"/>
          <w:titlePg/>
          <w:docGrid w:linePitch="360"/>
        </w:sectPr>
      </w:pPr>
      <w:r>
        <w:rPr>
          <w:rFonts w:cs="Arial"/>
          <w:b w:val="0"/>
        </w:rPr>
        <w:fldChar w:fldCharType="end"/>
      </w:r>
    </w:p>
    <w:p w14:paraId="7E9AD631" w14:textId="037117DF" w:rsidR="00AE665A" w:rsidRDefault="00AE665A" w:rsidP="00156CAC">
      <w:pPr>
        <w:pStyle w:val="Heading1"/>
      </w:pPr>
      <w:bookmarkStart w:id="1" w:name="_Toc481057123"/>
      <w:bookmarkStart w:id="2" w:name="_Toc467581348"/>
      <w:r w:rsidRPr="00156CAC">
        <w:lastRenderedPageBreak/>
        <w:t>Purpose</w:t>
      </w:r>
      <w:r>
        <w:t xml:space="preserve"> of the ACMA supporting material</w:t>
      </w:r>
      <w:bookmarkEnd w:id="1"/>
    </w:p>
    <w:p w14:paraId="151802E6" w14:textId="77777777" w:rsidR="00AE665A" w:rsidRDefault="00AE665A" w:rsidP="00156CAC">
      <w:r>
        <w:t xml:space="preserve">The ACMA will be responsible for designing and developing new spectrum management arrangements in accordance with the Exposure Draft of the Radiocommunications Bill 2017 (the exposure draft of the Bill), should the Bill be enacted in its current form. </w:t>
      </w:r>
    </w:p>
    <w:p w14:paraId="5533F703" w14:textId="03600049" w:rsidR="00AE665A" w:rsidRDefault="00AE665A" w:rsidP="00AE665A">
      <w:r>
        <w:t>The ACMA’s supporting material is intended to provide stakeholders with a greater understanding of how the ACMA envis</w:t>
      </w:r>
      <w:r w:rsidR="00C916AE">
        <w:t xml:space="preserve">ages key aspects of the Bill </w:t>
      </w:r>
      <w:r w:rsidR="008E03D3">
        <w:t xml:space="preserve">may </w:t>
      </w:r>
      <w:r>
        <w:t>operate, should the Bill be enacted, in order to facilitate consideration of the exposure draft of the Bill.</w:t>
      </w:r>
    </w:p>
    <w:p w14:paraId="4598168A" w14:textId="77777777" w:rsidR="00AE665A" w:rsidRDefault="00AE665A" w:rsidP="00AE665A">
      <w:r>
        <w:t xml:space="preserve">The ACMA has a particular interest in the views of stakeholders that could inform its approach to transitioning to and implementing the reformed legislation. While the exposure draft of the Bill is available for consultation, the ACMA will join the Department of Communications and the Arts (DoCA) in its stakeholder engagement activities so that the ACMA can benefit from those discussions. However, stakeholders should direct submissions on the package to DoCA as it is the agency responsible for this process. </w:t>
      </w:r>
    </w:p>
    <w:p w14:paraId="76A58DE9" w14:textId="77777777" w:rsidR="00AE665A" w:rsidRDefault="00AE665A" w:rsidP="00AE665A">
      <w:r>
        <w:t xml:space="preserve">The ACMA intends to undertake further substantial stakeholder consultation as it designs and then settles on its approach to giving practical effect to the new legislative and policy framework, should the Bill be enacted in its current form. </w:t>
      </w:r>
    </w:p>
    <w:p w14:paraId="4842256C" w14:textId="77777777" w:rsidR="00AE665A" w:rsidRDefault="00AE665A" w:rsidP="00AE665A">
      <w:r>
        <w:t xml:space="preserve">All views expressed in the ACMA supporting material are preliminary observations only, and have been developed to assist stakeholders in considering and responding to the exposure draft of the Bill. </w:t>
      </w:r>
      <w:r w:rsidRPr="00AE15CD">
        <w:rPr>
          <w:b/>
        </w:rPr>
        <w:t>The supporting material cannot and does not fetter the Authority’s discretion in the making of future decisions about the matters discussed in this material or any other matter.</w:t>
      </w:r>
      <w:r>
        <w:t xml:space="preserve"> The ACMA will assess each decision it makes under the </w:t>
      </w:r>
      <w:r>
        <w:rPr>
          <w:i/>
          <w:iCs/>
        </w:rPr>
        <w:t>Radiocommunications Act 1992</w:t>
      </w:r>
      <w:r>
        <w:t>, and under any future legislation, on its merits and in accordance with the requirements of any applicable legislation and administrative law.</w:t>
      </w:r>
    </w:p>
    <w:p w14:paraId="2CA26ACA" w14:textId="4D0183A3" w:rsidR="00AE665A" w:rsidRDefault="00AE665A" w:rsidP="00AE665A">
      <w:r>
        <w:t>No person should rely on statements made in the ACMA supporting material as an indication or explanation of future or present rights and obligations. Neither the ACMA nor the Commonwealth accepts any responsibility or liability for any damage, loss or expense incurred as a result of reliance on any part of the ACMA supporting material. Any person reading this supporting material is advised to also consult the exposure draft of the Bill and DoCA’s explanatory materials.</w:t>
      </w:r>
    </w:p>
    <w:p w14:paraId="7DAD7701" w14:textId="775350D8" w:rsidR="00B14FA4" w:rsidRPr="00B14FA4" w:rsidRDefault="00B14FA4" w:rsidP="00B14FA4">
      <w:pPr>
        <w:pStyle w:val="Heading1"/>
      </w:pPr>
      <w:bookmarkStart w:id="3" w:name="_Toc481057124"/>
      <w:r w:rsidRPr="00B14FA4">
        <w:lastRenderedPageBreak/>
        <w:t>Existing arrangements</w:t>
      </w:r>
      <w:bookmarkEnd w:id="2"/>
      <w:bookmarkEnd w:id="3"/>
    </w:p>
    <w:p w14:paraId="02BB6A1D" w14:textId="59EFC15E" w:rsidR="00B14FA4" w:rsidRPr="00B14FA4" w:rsidRDefault="00B14FA4" w:rsidP="00B14FA4">
      <w:pPr>
        <w:rPr>
          <w:rFonts w:cs="Arial"/>
        </w:rPr>
      </w:pPr>
      <w:r w:rsidRPr="00B14FA4">
        <w:rPr>
          <w:rFonts w:cs="Arial"/>
        </w:rPr>
        <w:t xml:space="preserve">The </w:t>
      </w:r>
      <w:r w:rsidR="00DB0656" w:rsidRPr="001E0075">
        <w:rPr>
          <w:rFonts w:cs="Arial"/>
          <w:i/>
        </w:rPr>
        <w:t xml:space="preserve">Radiocommunications Act </w:t>
      </w:r>
      <w:r w:rsidRPr="001E0075">
        <w:rPr>
          <w:rFonts w:cs="Arial"/>
          <w:i/>
        </w:rPr>
        <w:t>1992</w:t>
      </w:r>
      <w:r w:rsidRPr="00B14FA4">
        <w:rPr>
          <w:rFonts w:cs="Arial"/>
        </w:rPr>
        <w:t xml:space="preserve"> </w:t>
      </w:r>
      <w:r w:rsidR="00DB0656">
        <w:rPr>
          <w:rFonts w:cs="Arial"/>
        </w:rPr>
        <w:t xml:space="preserve">(the 1992 </w:t>
      </w:r>
      <w:r w:rsidRPr="00B14FA4">
        <w:rPr>
          <w:rFonts w:cs="Arial"/>
        </w:rPr>
        <w:t>Act</w:t>
      </w:r>
      <w:r w:rsidR="00DB0656">
        <w:rPr>
          <w:rFonts w:cs="Arial"/>
        </w:rPr>
        <w:t>)</w:t>
      </w:r>
      <w:r w:rsidRPr="00B14FA4">
        <w:rPr>
          <w:rFonts w:cs="Arial"/>
        </w:rPr>
        <w:t xml:space="preserve"> provides for the use of radiocommunications devices to be authorised by one of three licence kinds</w:t>
      </w:r>
      <w:r w:rsidR="0044422E">
        <w:rPr>
          <w:rFonts w:cs="Arial"/>
        </w:rPr>
        <w:t>—</w:t>
      </w:r>
      <w:r w:rsidRPr="00B14FA4">
        <w:rPr>
          <w:rFonts w:cs="Arial"/>
        </w:rPr>
        <w:t>spectrum, apparatus or class.</w:t>
      </w:r>
    </w:p>
    <w:p w14:paraId="6AE27AAD" w14:textId="77777777" w:rsidR="00B14FA4" w:rsidRPr="00B14FA4" w:rsidRDefault="00B14FA4" w:rsidP="00B14FA4">
      <w:pPr>
        <w:rPr>
          <w:rFonts w:cs="Arial"/>
        </w:rPr>
      </w:pPr>
      <w:r w:rsidRPr="00B14FA4">
        <w:rPr>
          <w:rFonts w:cs="Arial"/>
        </w:rPr>
        <w:t xml:space="preserve">The legislative provisions for each kind of licence are largely separated. The legislative provisions to support allocation of licences are different for spectrum and apparatus licences. The potential for conversion between licence types is limited. There is limited capacity for apparatus and spectrum licences to coexist in the same spectrum. </w:t>
      </w:r>
    </w:p>
    <w:p w14:paraId="0D893C22" w14:textId="77777777" w:rsidR="00B14FA4" w:rsidRPr="00B14FA4" w:rsidRDefault="00B14FA4" w:rsidP="00B14FA4">
      <w:pPr>
        <w:rPr>
          <w:rFonts w:cs="Arial"/>
        </w:rPr>
      </w:pPr>
      <w:r w:rsidRPr="00B14FA4">
        <w:rPr>
          <w:rFonts w:cs="Arial"/>
        </w:rPr>
        <w:t xml:space="preserve">The Spectrum Review has identified a range of inflexibilities in the current legislative framework in relation to licence allocation and spectrum management. The time taken to allocate spectrum licences and to reissue them under the 1992 Act has been a matter of particular note. The lack of flexibility created by the division between spectrum and apparatus licences has also been noted. </w:t>
      </w:r>
    </w:p>
    <w:p w14:paraId="64D4A384" w14:textId="1EB5D724" w:rsidR="00B14FA4" w:rsidRPr="00B14FA4" w:rsidRDefault="00B14FA4" w:rsidP="00B14FA4">
      <w:pPr>
        <w:pStyle w:val="Heading1"/>
      </w:pPr>
      <w:bookmarkStart w:id="4" w:name="_Toc467581349"/>
      <w:bookmarkStart w:id="5" w:name="_Toc481057125"/>
      <w:r w:rsidRPr="00B14FA4">
        <w:lastRenderedPageBreak/>
        <w:t xml:space="preserve">Radiocommunications Bill </w:t>
      </w:r>
      <w:bookmarkEnd w:id="4"/>
      <w:r w:rsidR="00B214AF" w:rsidRPr="00B14FA4">
        <w:t>201</w:t>
      </w:r>
      <w:r w:rsidR="00B214AF">
        <w:t>7</w:t>
      </w:r>
      <w:bookmarkEnd w:id="5"/>
    </w:p>
    <w:p w14:paraId="11410F35" w14:textId="7F8C6A9C" w:rsidR="006C1E94" w:rsidRDefault="006C1E94" w:rsidP="006C1E94">
      <w:pPr>
        <w:rPr>
          <w:rFonts w:ascii="Calibri" w:hAnsi="Calibri"/>
        </w:rPr>
      </w:pPr>
      <w:bookmarkStart w:id="6" w:name="_Toc467581350"/>
      <w:r>
        <w:t xml:space="preserve">NB: </w:t>
      </w:r>
      <w:r w:rsidR="00060E9C">
        <w:t>T</w:t>
      </w:r>
      <w:r>
        <w:t xml:space="preserve">his </w:t>
      </w:r>
      <w:r w:rsidR="0021370E">
        <w:t>paper</w:t>
      </w:r>
      <w:r>
        <w:t xml:space="preserve"> excludes </w:t>
      </w:r>
      <w:r w:rsidR="00060E9C">
        <w:t xml:space="preserve">treatment of </w:t>
      </w:r>
      <w:r>
        <w:t>any licence under the</w:t>
      </w:r>
      <w:r w:rsidRPr="006F2E94">
        <w:t xml:space="preserve"> </w:t>
      </w:r>
      <w:r w:rsidR="00832B00" w:rsidRPr="00437A67">
        <w:rPr>
          <w:iCs/>
        </w:rPr>
        <w:t>1992 Act</w:t>
      </w:r>
      <w:r w:rsidR="00832B00" w:rsidRPr="00AA4344">
        <w:rPr>
          <w:iCs/>
        </w:rPr>
        <w:t xml:space="preserve"> </w:t>
      </w:r>
      <w:r>
        <w:t xml:space="preserve">that is related to a broadcasting service or datacasting service for the purposes of the </w:t>
      </w:r>
      <w:r>
        <w:rPr>
          <w:i/>
          <w:iCs/>
        </w:rPr>
        <w:t>Broadcasting Services Act</w:t>
      </w:r>
      <w:r w:rsidR="00B214AF">
        <w:rPr>
          <w:i/>
          <w:iCs/>
        </w:rPr>
        <w:t xml:space="preserve"> 1992</w:t>
      </w:r>
      <w:r w:rsidR="0021370E">
        <w:rPr>
          <w:i/>
          <w:iCs/>
        </w:rPr>
        <w:t>.</w:t>
      </w:r>
      <w:r>
        <w:rPr>
          <w:i/>
          <w:iCs/>
        </w:rPr>
        <w:t xml:space="preserve"> </w:t>
      </w:r>
      <w:r w:rsidR="00EE0E1F" w:rsidRPr="00EE0E1F">
        <w:rPr>
          <w:iCs/>
        </w:rPr>
        <w:t>More information about the treatment of t</w:t>
      </w:r>
      <w:r w:rsidR="004E7B67">
        <w:rPr>
          <w:iCs/>
        </w:rPr>
        <w:t>h</w:t>
      </w:r>
      <w:r w:rsidR="00EE0E1F" w:rsidRPr="00EE0E1F">
        <w:rPr>
          <w:iCs/>
        </w:rPr>
        <w:t xml:space="preserve">ose licences can be found in the </w:t>
      </w:r>
      <w:r w:rsidR="00EE0E1F" w:rsidRPr="00B14FA4">
        <w:rPr>
          <w:rFonts w:cs="Arial"/>
        </w:rPr>
        <w:t>Department of Communications and the Arts</w:t>
      </w:r>
      <w:r w:rsidR="00EE0E1F">
        <w:rPr>
          <w:rFonts w:cs="Arial"/>
        </w:rPr>
        <w:t>’</w:t>
      </w:r>
      <w:r w:rsidR="00EE0E1F" w:rsidRPr="00B14FA4">
        <w:rPr>
          <w:rFonts w:cs="Arial"/>
        </w:rPr>
        <w:t xml:space="preserve"> </w:t>
      </w:r>
      <w:r w:rsidR="00EE0E1F">
        <w:rPr>
          <w:rFonts w:cs="Arial"/>
        </w:rPr>
        <w:t xml:space="preserve">(DoCA’s) </w:t>
      </w:r>
      <w:r w:rsidR="00EE0E1F" w:rsidRPr="00EE0E1F">
        <w:rPr>
          <w:rFonts w:cs="Arial"/>
          <w:i/>
        </w:rPr>
        <w:t>Broadcasting Spectrum</w:t>
      </w:r>
      <w:r w:rsidR="00EE0E1F">
        <w:rPr>
          <w:rFonts w:cs="Arial"/>
        </w:rPr>
        <w:t xml:space="preserve"> consultation paper. </w:t>
      </w:r>
    </w:p>
    <w:p w14:paraId="4C91DD83" w14:textId="6547CB5D" w:rsidR="00B14FA4" w:rsidRPr="00B14FA4" w:rsidRDefault="00B14FA4" w:rsidP="00B14FA4">
      <w:pPr>
        <w:pStyle w:val="Heading2"/>
      </w:pPr>
      <w:bookmarkStart w:id="7" w:name="_Toc481057126"/>
      <w:r w:rsidRPr="00B14FA4">
        <w:t xml:space="preserve">Radiocommunications </w:t>
      </w:r>
      <w:r w:rsidR="0044422E">
        <w:t>l</w:t>
      </w:r>
      <w:r w:rsidRPr="00B14FA4">
        <w:t xml:space="preserve">icensing and </w:t>
      </w:r>
      <w:r w:rsidR="0044422E">
        <w:t>s</w:t>
      </w:r>
      <w:r w:rsidRPr="00B14FA4">
        <w:t xml:space="preserve">pectrum </w:t>
      </w:r>
      <w:r w:rsidR="0044422E">
        <w:t>a</w:t>
      </w:r>
      <w:r w:rsidRPr="00B14FA4">
        <w:t>uthorisations</w:t>
      </w:r>
      <w:bookmarkEnd w:id="6"/>
      <w:bookmarkEnd w:id="7"/>
    </w:p>
    <w:p w14:paraId="12EBCD46" w14:textId="1C7377A1" w:rsidR="00B14FA4" w:rsidRPr="00B14FA4" w:rsidRDefault="00B14FA4" w:rsidP="00B14FA4">
      <w:pPr>
        <w:rPr>
          <w:rFonts w:cs="Arial"/>
        </w:rPr>
      </w:pPr>
      <w:r w:rsidRPr="00B14FA4">
        <w:rPr>
          <w:rFonts w:cs="Arial"/>
        </w:rPr>
        <w:t>Under the</w:t>
      </w:r>
      <w:r w:rsidR="00B214AF">
        <w:rPr>
          <w:rFonts w:cs="Arial"/>
        </w:rPr>
        <w:t xml:space="preserve"> Radiocommunications </w:t>
      </w:r>
      <w:r w:rsidRPr="00B14FA4">
        <w:rPr>
          <w:rFonts w:cs="Arial"/>
        </w:rPr>
        <w:t>Bill</w:t>
      </w:r>
      <w:r w:rsidR="00B214AF">
        <w:rPr>
          <w:rFonts w:cs="Arial"/>
        </w:rPr>
        <w:t xml:space="preserve"> 2017 (the Bill)</w:t>
      </w:r>
      <w:r w:rsidR="0044422E">
        <w:rPr>
          <w:rFonts w:cs="Arial"/>
        </w:rPr>
        <w:t>,</w:t>
      </w:r>
      <w:r w:rsidRPr="00B14FA4">
        <w:rPr>
          <w:rFonts w:cs="Arial"/>
        </w:rPr>
        <w:t xml:space="preserve"> </w:t>
      </w:r>
      <w:r w:rsidR="00B214AF">
        <w:rPr>
          <w:rFonts w:cs="Arial"/>
        </w:rPr>
        <w:t xml:space="preserve">if passed, </w:t>
      </w:r>
      <w:r w:rsidRPr="00B14FA4">
        <w:rPr>
          <w:rFonts w:cs="Arial"/>
        </w:rPr>
        <w:t>there will be only one licensing system</w:t>
      </w:r>
      <w:r w:rsidR="0044422E">
        <w:rPr>
          <w:rFonts w:cs="Arial"/>
        </w:rPr>
        <w:t>,</w:t>
      </w:r>
      <w:r w:rsidRPr="00B14FA4">
        <w:rPr>
          <w:rFonts w:cs="Arial"/>
        </w:rPr>
        <w:t xml:space="preserve"> under which there are likely to be a number of licence categories representing the broad uses of spectrum.</w:t>
      </w:r>
    </w:p>
    <w:p w14:paraId="7B2EB25E" w14:textId="2285A52A" w:rsidR="00B14FA4" w:rsidRPr="00B14FA4" w:rsidRDefault="00B14FA4" w:rsidP="00B14FA4">
      <w:pPr>
        <w:rPr>
          <w:rFonts w:cs="Arial"/>
        </w:rPr>
      </w:pPr>
      <w:r w:rsidRPr="00B14FA4">
        <w:rPr>
          <w:rFonts w:cs="Arial"/>
        </w:rPr>
        <w:t xml:space="preserve">The Bill also provides for spectrum authorisations </w:t>
      </w:r>
      <w:r w:rsidR="0044422E">
        <w:rPr>
          <w:rFonts w:cs="Arial"/>
        </w:rPr>
        <w:t>that</w:t>
      </w:r>
      <w:r w:rsidR="0044422E" w:rsidRPr="00B14FA4">
        <w:rPr>
          <w:rFonts w:cs="Arial"/>
        </w:rPr>
        <w:t xml:space="preserve"> </w:t>
      </w:r>
      <w:r w:rsidRPr="00B14FA4">
        <w:rPr>
          <w:rFonts w:cs="Arial"/>
        </w:rPr>
        <w:t>are analogous to class licences in that they can authorise use of devices in a particular part of the spectrum by a group of spectrum users without an application process. Their expected use includes to authorise use of devices by reference to a defined group of users or for a defined type of use.</w:t>
      </w:r>
    </w:p>
    <w:p w14:paraId="497DCC57" w14:textId="4D8EC787" w:rsidR="00B14FA4" w:rsidRPr="00B14FA4" w:rsidRDefault="00B14FA4" w:rsidP="00B14FA4">
      <w:pPr>
        <w:pStyle w:val="Heading2"/>
      </w:pPr>
      <w:bookmarkStart w:id="8" w:name="_Toc467581351"/>
      <w:bookmarkStart w:id="9" w:name="_Toc481057127"/>
      <w:r w:rsidRPr="00B14FA4">
        <w:t>Licences</w:t>
      </w:r>
      <w:bookmarkEnd w:id="8"/>
      <w:bookmarkEnd w:id="9"/>
      <w:r w:rsidRPr="00B14FA4">
        <w:t xml:space="preserve"> </w:t>
      </w:r>
    </w:p>
    <w:p w14:paraId="7A14F9BF" w14:textId="3321C7C7" w:rsidR="00B14FA4" w:rsidRPr="00B14FA4" w:rsidRDefault="00B14FA4" w:rsidP="00F36359">
      <w:pPr>
        <w:spacing w:after="80"/>
        <w:rPr>
          <w:rFonts w:cs="Arial"/>
        </w:rPr>
      </w:pPr>
      <w:r w:rsidRPr="00B14FA4">
        <w:rPr>
          <w:rFonts w:cs="Arial"/>
        </w:rPr>
        <w:t>The Bill would have the effect of removing the legislative barrier between spectrum and apparatus licences</w:t>
      </w:r>
      <w:r w:rsidR="0044422E">
        <w:rPr>
          <w:rFonts w:cs="Arial"/>
        </w:rPr>
        <w:t>,</w:t>
      </w:r>
      <w:r w:rsidRPr="00B14FA4">
        <w:rPr>
          <w:rFonts w:cs="Arial"/>
        </w:rPr>
        <w:t xml:space="preserve"> and would therefore enable the ACMA to design licences that could have the characteristics of either or both. Once issued in accordance with the Bill, the operation of devices under a licence and the subsequent treatment of licences would generally be determined through two mechanisms</w:t>
      </w:r>
      <w:r w:rsidR="00F36359">
        <w:rPr>
          <w:rFonts w:cs="Arial"/>
        </w:rPr>
        <w:t>:</w:t>
      </w:r>
      <w:r w:rsidR="00F36359">
        <w:rPr>
          <w:rStyle w:val="FootnoteReference"/>
        </w:rPr>
        <w:footnoteReference w:id="2"/>
      </w:r>
    </w:p>
    <w:p w14:paraId="11BE13EB" w14:textId="1A6C60AA" w:rsidR="00B14FA4" w:rsidRPr="00B14FA4" w:rsidRDefault="00B14FA4" w:rsidP="00F36359">
      <w:pPr>
        <w:pStyle w:val="ListNumber"/>
      </w:pPr>
      <w:r w:rsidRPr="00B14FA4">
        <w:t xml:space="preserve">Licences issued under the Bill will include conditions. </w:t>
      </w:r>
      <w:r w:rsidR="00D339E2" w:rsidRPr="00B14FA4">
        <w:t>The ACMA will also have the ability to impose conditions on licences.</w:t>
      </w:r>
      <w:r w:rsidR="00E57A01">
        <w:t xml:space="preserve"> </w:t>
      </w:r>
      <w:r w:rsidRPr="00B14FA4">
        <w:t xml:space="preserve">Some of these conditions can be set by a legislative instrument setting out common conditions, much like the function of a licence condition determination currently. </w:t>
      </w:r>
    </w:p>
    <w:p w14:paraId="440ED7D7" w14:textId="59176C7B" w:rsidR="00B14FA4" w:rsidRPr="00B14FA4" w:rsidRDefault="00B14FA4" w:rsidP="00F36359">
      <w:pPr>
        <w:pStyle w:val="ListNumberLast"/>
      </w:pPr>
      <w:r w:rsidRPr="00B14FA4">
        <w:t xml:space="preserve">Licences </w:t>
      </w:r>
      <w:r w:rsidR="00480B8A">
        <w:t>issued</w:t>
      </w:r>
      <w:r w:rsidR="00480B8A" w:rsidRPr="00B14FA4">
        <w:t xml:space="preserve"> </w:t>
      </w:r>
      <w:r w:rsidRPr="00B14FA4">
        <w:t>under the Bill will include ‘designated statements’</w:t>
      </w:r>
      <w:r w:rsidR="0044422E">
        <w:t>.</w:t>
      </w:r>
      <w:r w:rsidRPr="00B14FA4">
        <w:t xml:space="preserve"> Designated statements, in general, restrict the manner in which the licence may be treated, including </w:t>
      </w:r>
      <w:r w:rsidR="007F6E7D">
        <w:t>in relation to renewal</w:t>
      </w:r>
      <w:r w:rsidRPr="00B14FA4">
        <w:t>, and restrictions on subdivision and third</w:t>
      </w:r>
      <w:r w:rsidR="0044422E">
        <w:t>-</w:t>
      </w:r>
      <w:r w:rsidRPr="00B14FA4">
        <w:t>party authorisation, among other matters.</w:t>
      </w:r>
    </w:p>
    <w:p w14:paraId="087B3929" w14:textId="246703FF" w:rsidR="00B14FA4" w:rsidRPr="00B14FA4" w:rsidRDefault="00B14FA4" w:rsidP="00B14FA4">
      <w:pPr>
        <w:rPr>
          <w:rFonts w:cs="Arial"/>
        </w:rPr>
      </w:pPr>
      <w:r w:rsidRPr="00B14FA4">
        <w:rPr>
          <w:rFonts w:cs="Arial"/>
        </w:rPr>
        <w:t>A licensing system defined</w:t>
      </w:r>
      <w:r w:rsidR="00F92FB4">
        <w:rPr>
          <w:rFonts w:cs="Arial"/>
        </w:rPr>
        <w:t xml:space="preserve"> in part</w:t>
      </w:r>
      <w:r w:rsidRPr="00B14FA4">
        <w:rPr>
          <w:rFonts w:cs="Arial"/>
        </w:rPr>
        <w:t xml:space="preserve"> by the conditions on licences and by designated statements </w:t>
      </w:r>
      <w:r w:rsidR="00480B8A">
        <w:rPr>
          <w:rFonts w:cs="Arial"/>
        </w:rPr>
        <w:t xml:space="preserve">will allow for </w:t>
      </w:r>
      <w:r w:rsidRPr="00B14FA4">
        <w:rPr>
          <w:rFonts w:cs="Arial"/>
        </w:rPr>
        <w:t>effective responses to new technologies and demands for spectrum.</w:t>
      </w:r>
    </w:p>
    <w:p w14:paraId="7A4C9C81" w14:textId="064DB671" w:rsidR="00B14FA4" w:rsidRPr="00B14FA4" w:rsidRDefault="00B14FA4" w:rsidP="00B14FA4">
      <w:pPr>
        <w:rPr>
          <w:rFonts w:cs="Arial"/>
        </w:rPr>
      </w:pPr>
      <w:r w:rsidRPr="00B14FA4">
        <w:rPr>
          <w:rFonts w:cs="Arial"/>
        </w:rPr>
        <w:t>It is also proposed that a number of uses of spectrum could be enabled through spectrum authorisations ra</w:t>
      </w:r>
      <w:r w:rsidR="00B57706">
        <w:rPr>
          <w:rFonts w:cs="Arial"/>
        </w:rPr>
        <w:t>ther than by licences.</w:t>
      </w:r>
    </w:p>
    <w:p w14:paraId="681CED0F" w14:textId="3267D57E" w:rsidR="00B14FA4" w:rsidRPr="00B14FA4" w:rsidRDefault="00B14FA4" w:rsidP="00F36359">
      <w:pPr>
        <w:pStyle w:val="Heading2"/>
      </w:pPr>
      <w:bookmarkStart w:id="10" w:name="_Toc467581352"/>
      <w:bookmarkStart w:id="11" w:name="_Toc481057128"/>
      <w:r w:rsidRPr="00B14FA4">
        <w:lastRenderedPageBreak/>
        <w:t>Issuing licences under the Bill</w:t>
      </w:r>
      <w:bookmarkEnd w:id="10"/>
      <w:bookmarkEnd w:id="11"/>
    </w:p>
    <w:p w14:paraId="38BF3D61" w14:textId="77777777" w:rsidR="00B14FA4" w:rsidRPr="00B14FA4" w:rsidRDefault="00B14FA4" w:rsidP="00B14FA4">
      <w:pPr>
        <w:rPr>
          <w:rFonts w:cs="Arial"/>
        </w:rPr>
      </w:pPr>
      <w:r w:rsidRPr="00B14FA4">
        <w:rPr>
          <w:rFonts w:cs="Arial"/>
        </w:rPr>
        <w:t>Under the Bill, the ACMA will have discretion about whether to authorise the use of a radiocommunications device through the issue of a licence, or through making a spectrum authorisation.</w:t>
      </w:r>
    </w:p>
    <w:p w14:paraId="1BA27F6B" w14:textId="457D8A8D" w:rsidR="00B14FA4" w:rsidRPr="00B14FA4" w:rsidRDefault="00B14FA4" w:rsidP="00B14FA4">
      <w:pPr>
        <w:rPr>
          <w:rFonts w:cs="Arial"/>
        </w:rPr>
      </w:pPr>
      <w:r w:rsidRPr="00B14FA4">
        <w:rPr>
          <w:rFonts w:cs="Arial"/>
        </w:rPr>
        <w:t xml:space="preserve">The Bill provides for licences to be issued in accordance with licence issue schemes (LISs), with the ACMA retaining a capacity to issue licences on application. Many of the mandatory </w:t>
      </w:r>
      <w:r w:rsidR="00283861">
        <w:rPr>
          <w:rFonts w:cs="Arial"/>
        </w:rPr>
        <w:t xml:space="preserve">statutory </w:t>
      </w:r>
      <w:r w:rsidRPr="00B14FA4">
        <w:rPr>
          <w:rFonts w:cs="Arial"/>
        </w:rPr>
        <w:t xml:space="preserve">procedural steps in issuing </w:t>
      </w:r>
      <w:r w:rsidR="007F6E7D">
        <w:rPr>
          <w:rFonts w:cs="Arial"/>
        </w:rPr>
        <w:t xml:space="preserve">spectrum </w:t>
      </w:r>
      <w:r w:rsidRPr="00B14FA4">
        <w:rPr>
          <w:rFonts w:cs="Arial"/>
        </w:rPr>
        <w:t>licences under the 1992 Act will be removed under the Bill.</w:t>
      </w:r>
    </w:p>
    <w:p w14:paraId="43FEE2CB" w14:textId="7059FC1B" w:rsidR="00B14FA4" w:rsidRPr="00B14FA4" w:rsidRDefault="00B14FA4" w:rsidP="00F36359">
      <w:pPr>
        <w:pStyle w:val="Heading2"/>
      </w:pPr>
      <w:bookmarkStart w:id="12" w:name="_Toc467581353"/>
      <w:bookmarkStart w:id="13" w:name="_Toc481057129"/>
      <w:r w:rsidRPr="00B14FA4">
        <w:t>Licence tenure</w:t>
      </w:r>
      <w:r w:rsidR="0044422E">
        <w:t>—</w:t>
      </w:r>
      <w:r w:rsidRPr="00B14FA4">
        <w:t>duration and end</w:t>
      </w:r>
      <w:r w:rsidR="0044422E">
        <w:t>-</w:t>
      </w:r>
      <w:r w:rsidRPr="00B14FA4">
        <w:t>of</w:t>
      </w:r>
      <w:r w:rsidR="0044422E">
        <w:t>-</w:t>
      </w:r>
      <w:r w:rsidRPr="00B14FA4">
        <w:t>term arrangements under the Bill</w:t>
      </w:r>
      <w:bookmarkEnd w:id="12"/>
      <w:bookmarkEnd w:id="13"/>
      <w:r w:rsidRPr="00B14FA4">
        <w:t xml:space="preserve"> </w:t>
      </w:r>
    </w:p>
    <w:p w14:paraId="244F650F" w14:textId="6BEE557D" w:rsidR="00B14FA4" w:rsidRPr="00B14FA4" w:rsidRDefault="00B14FA4" w:rsidP="00B14FA4">
      <w:pPr>
        <w:rPr>
          <w:rFonts w:cs="Arial"/>
        </w:rPr>
      </w:pPr>
      <w:r w:rsidRPr="00B14FA4">
        <w:rPr>
          <w:rFonts w:cs="Arial"/>
        </w:rPr>
        <w:t>The Bill will allow the ACMA to give longer</w:t>
      </w:r>
      <w:r w:rsidR="0044422E">
        <w:rPr>
          <w:rFonts w:cs="Arial"/>
        </w:rPr>
        <w:t xml:space="preserve"> </w:t>
      </w:r>
      <w:r w:rsidRPr="00B14FA4">
        <w:rPr>
          <w:rFonts w:cs="Arial"/>
        </w:rPr>
        <w:t xml:space="preserve">term </w:t>
      </w:r>
      <w:r w:rsidR="00DB3599">
        <w:rPr>
          <w:rFonts w:cs="Arial"/>
        </w:rPr>
        <w:t>licences</w:t>
      </w:r>
      <w:r w:rsidRPr="00B14FA4">
        <w:rPr>
          <w:rFonts w:cs="Arial"/>
        </w:rPr>
        <w:t xml:space="preserve"> than </w:t>
      </w:r>
      <w:r w:rsidR="00DB3599">
        <w:rPr>
          <w:rFonts w:cs="Arial"/>
        </w:rPr>
        <w:t>under the 1992 Act</w:t>
      </w:r>
      <w:r w:rsidRPr="00B14FA4">
        <w:rPr>
          <w:rFonts w:cs="Arial"/>
        </w:rPr>
        <w:t>. It may do so by issuing licences for up to 20 years, by specifying renewal rights in the licence or by a combination of these methods.</w:t>
      </w:r>
    </w:p>
    <w:p w14:paraId="14E4A5BA" w14:textId="54901873" w:rsidR="00B14FA4" w:rsidRPr="00B14FA4" w:rsidRDefault="00B14FA4" w:rsidP="00B14FA4">
      <w:pPr>
        <w:rPr>
          <w:rFonts w:cs="Arial"/>
        </w:rPr>
      </w:pPr>
      <w:r w:rsidRPr="00B14FA4">
        <w:rPr>
          <w:rFonts w:cs="Arial"/>
        </w:rPr>
        <w:t xml:space="preserve">As with the present spectrum licensing regime, the Bill allows the </w:t>
      </w:r>
      <w:r w:rsidR="00DB3599">
        <w:rPr>
          <w:rFonts w:cs="Arial"/>
        </w:rPr>
        <w:t>ACMA</w:t>
      </w:r>
      <w:r w:rsidR="00DB3599" w:rsidRPr="00B14FA4">
        <w:rPr>
          <w:rFonts w:cs="Arial"/>
        </w:rPr>
        <w:t xml:space="preserve"> </w:t>
      </w:r>
      <w:r w:rsidRPr="00B14FA4">
        <w:rPr>
          <w:rFonts w:cs="Arial"/>
        </w:rPr>
        <w:t xml:space="preserve">to resume licences before expiry on payment of compensation. However, experience suggests this </w:t>
      </w:r>
      <w:r w:rsidR="0015026E">
        <w:rPr>
          <w:rFonts w:cs="Arial"/>
        </w:rPr>
        <w:t xml:space="preserve">capacity is </w:t>
      </w:r>
      <w:r w:rsidRPr="00B14FA4">
        <w:rPr>
          <w:rFonts w:cs="Arial"/>
        </w:rPr>
        <w:t xml:space="preserve">not likely to be used often. While a small number of spectrum licences have been surrendered, no spectrum licence has ever been resumed for compensation under the 1992 Act. </w:t>
      </w:r>
    </w:p>
    <w:p w14:paraId="22B689AB" w14:textId="5A468D06" w:rsidR="00B14FA4" w:rsidRPr="00B14FA4" w:rsidRDefault="00B14FA4" w:rsidP="00F36359">
      <w:pPr>
        <w:pStyle w:val="Heading1"/>
      </w:pPr>
      <w:bookmarkStart w:id="14" w:name="_Toc467581354"/>
      <w:bookmarkStart w:id="15" w:name="_Toc481057130"/>
      <w:r w:rsidRPr="00B14FA4">
        <w:lastRenderedPageBreak/>
        <w:t>Proposed approach</w:t>
      </w:r>
      <w:bookmarkEnd w:id="14"/>
      <w:bookmarkEnd w:id="15"/>
    </w:p>
    <w:p w14:paraId="4FCC2855" w14:textId="360E8B80" w:rsidR="00B14FA4" w:rsidRPr="00B14FA4" w:rsidRDefault="00B14FA4" w:rsidP="00B14FA4">
      <w:pPr>
        <w:rPr>
          <w:rFonts w:cs="Arial"/>
        </w:rPr>
      </w:pPr>
      <w:r w:rsidRPr="00B14FA4">
        <w:rPr>
          <w:rFonts w:cs="Arial"/>
        </w:rPr>
        <w:t xml:space="preserve">The </w:t>
      </w:r>
      <w:r w:rsidR="0017381B">
        <w:rPr>
          <w:rFonts w:cs="Arial"/>
        </w:rPr>
        <w:t>Spectrum Review</w:t>
      </w:r>
      <w:r w:rsidRPr="00B14FA4">
        <w:rPr>
          <w:rFonts w:cs="Arial"/>
        </w:rPr>
        <w:t xml:space="preserve"> provide</w:t>
      </w:r>
      <w:r w:rsidR="0017381B">
        <w:rPr>
          <w:rFonts w:cs="Arial"/>
        </w:rPr>
        <w:t>s</w:t>
      </w:r>
      <w:r w:rsidRPr="00B14FA4">
        <w:rPr>
          <w:rFonts w:cs="Arial"/>
        </w:rPr>
        <w:t xml:space="preserve"> a generational opportunity to reconsider how spectrum is managed and how spectrum use is permitted. The design of the new licensing system is a central challenge, because it is at the core of the legislative framework </w:t>
      </w:r>
      <w:r w:rsidR="0044422E">
        <w:rPr>
          <w:rFonts w:cs="Arial"/>
        </w:rPr>
        <w:t>that</w:t>
      </w:r>
      <w:r w:rsidR="0044422E" w:rsidRPr="00B14FA4">
        <w:rPr>
          <w:rFonts w:cs="Arial"/>
        </w:rPr>
        <w:t xml:space="preserve"> </w:t>
      </w:r>
      <w:r w:rsidRPr="00B14FA4">
        <w:rPr>
          <w:rFonts w:cs="Arial"/>
        </w:rPr>
        <w:t>authorises the operation of radiocommunications devices.</w:t>
      </w:r>
    </w:p>
    <w:p w14:paraId="66341C18" w14:textId="511EC92E" w:rsidR="00B14FA4" w:rsidRPr="00B14FA4" w:rsidRDefault="00B14FA4" w:rsidP="00F36359">
      <w:pPr>
        <w:pStyle w:val="Heading2"/>
      </w:pPr>
      <w:bookmarkStart w:id="16" w:name="_Toc467581355"/>
      <w:bookmarkStart w:id="17" w:name="_Toc481057131"/>
      <w:r w:rsidRPr="00B14FA4">
        <w:t>Planned approach to giving effect to the Bill</w:t>
      </w:r>
      <w:bookmarkEnd w:id="16"/>
      <w:bookmarkEnd w:id="17"/>
    </w:p>
    <w:p w14:paraId="7826AF0A" w14:textId="768DDD41" w:rsidR="00B14FA4" w:rsidRPr="00B14FA4" w:rsidRDefault="00B14FA4" w:rsidP="00B14FA4">
      <w:pPr>
        <w:rPr>
          <w:rFonts w:cs="Arial"/>
        </w:rPr>
      </w:pPr>
      <w:r w:rsidRPr="00B14FA4">
        <w:rPr>
          <w:rFonts w:cs="Arial"/>
        </w:rPr>
        <w:t xml:space="preserve">Developing a licensing system </w:t>
      </w:r>
      <w:r w:rsidR="0044422E">
        <w:rPr>
          <w:rFonts w:cs="Arial"/>
        </w:rPr>
        <w:t>that</w:t>
      </w:r>
      <w:r w:rsidR="0044422E" w:rsidRPr="00B14FA4">
        <w:rPr>
          <w:rFonts w:cs="Arial"/>
        </w:rPr>
        <w:t xml:space="preserve"> </w:t>
      </w:r>
      <w:r w:rsidRPr="00B14FA4">
        <w:rPr>
          <w:rFonts w:cs="Arial"/>
        </w:rPr>
        <w:t>provides durable mechanisms for achieving the objects of the Bill requires that the system be responsive and adaptive to changing circumstances in technology, markets and use of spectrum. The ACMA will take an evidence-informed approach consistent with the government’s policies on best</w:t>
      </w:r>
      <w:r w:rsidR="00404613">
        <w:rPr>
          <w:rFonts w:cs="Arial"/>
        </w:rPr>
        <w:t>-</w:t>
      </w:r>
      <w:r w:rsidRPr="00B14FA4">
        <w:rPr>
          <w:rFonts w:cs="Arial"/>
        </w:rPr>
        <w:t>practice regulation and deregulation.</w:t>
      </w:r>
    </w:p>
    <w:p w14:paraId="530DF8B8" w14:textId="3B915679" w:rsidR="007F47B4" w:rsidRPr="00060E9C" w:rsidRDefault="00B14FA4" w:rsidP="001E0075">
      <w:pPr>
        <w:spacing w:after="80"/>
        <w:rPr>
          <w:rFonts w:cs="Arial"/>
        </w:rPr>
      </w:pPr>
      <w:r w:rsidRPr="00B14FA4">
        <w:rPr>
          <w:rFonts w:cs="Arial"/>
        </w:rPr>
        <w:t>The objects of the Bill include</w:t>
      </w:r>
      <w:r w:rsidR="00DB5ED5">
        <w:rPr>
          <w:rFonts w:cs="Arial"/>
        </w:rPr>
        <w:t xml:space="preserve"> </w:t>
      </w:r>
      <w:r w:rsidR="007F47B4" w:rsidRPr="007F47B4">
        <w:rPr>
          <w:rFonts w:cs="Arial"/>
        </w:rPr>
        <w:t>to promote the long</w:t>
      </w:r>
      <w:r w:rsidR="007F47B4" w:rsidRPr="006C1E94">
        <w:rPr>
          <w:rFonts w:cs="Arial"/>
        </w:rPr>
        <w:noBreakHyphen/>
        <w:t>term public interest derived from the use of the spectrum</w:t>
      </w:r>
      <w:r w:rsidR="00DB5ED5">
        <w:rPr>
          <w:rFonts w:cs="Arial"/>
        </w:rPr>
        <w:t>,</w:t>
      </w:r>
      <w:r w:rsidR="007F47B4" w:rsidRPr="006C1E94">
        <w:rPr>
          <w:rFonts w:cs="Arial"/>
        </w:rPr>
        <w:t xml:space="preserve"> by providing for the management of the spectrum in a manner that:</w:t>
      </w:r>
    </w:p>
    <w:p w14:paraId="5A0B868E" w14:textId="51AF2B42" w:rsidR="007F47B4" w:rsidRPr="001E0075" w:rsidRDefault="007F47B4" w:rsidP="00437A67">
      <w:pPr>
        <w:pStyle w:val="ListBullet"/>
      </w:pPr>
      <w:r w:rsidRPr="001E0075">
        <w:t>facilitates the efficient planning, allocation and use of the spectrum; and</w:t>
      </w:r>
    </w:p>
    <w:p w14:paraId="0735DC04" w14:textId="481B71DF" w:rsidR="007F47B4" w:rsidRPr="001E0075" w:rsidRDefault="007F47B4" w:rsidP="00437A67">
      <w:pPr>
        <w:pStyle w:val="ListBullet"/>
      </w:pPr>
      <w:r w:rsidRPr="001E0075">
        <w:t>facilitates the use of the spectrum for defence, public and community purposes; and</w:t>
      </w:r>
    </w:p>
    <w:p w14:paraId="3846448B" w14:textId="5FEC4B41" w:rsidR="007F47B4" w:rsidRPr="001E0075" w:rsidRDefault="007F47B4" w:rsidP="00437A67">
      <w:pPr>
        <w:pStyle w:val="ListBullet"/>
        <w:spacing w:after="240"/>
      </w:pPr>
      <w:r w:rsidRPr="001E0075">
        <w:t xml:space="preserve">supports the communications policy objectives </w:t>
      </w:r>
      <w:r w:rsidRPr="007F47B4">
        <w:t>of the Commonwealth Government</w:t>
      </w:r>
      <w:r>
        <w:t>.</w:t>
      </w:r>
    </w:p>
    <w:p w14:paraId="36804D1B" w14:textId="502F8C84" w:rsidR="00B14FA4" w:rsidRPr="00B14FA4" w:rsidRDefault="00B14FA4" w:rsidP="00F36359">
      <w:pPr>
        <w:spacing w:after="80"/>
        <w:rPr>
          <w:rFonts w:cs="Arial"/>
        </w:rPr>
      </w:pPr>
      <w:r w:rsidRPr="00B14FA4">
        <w:rPr>
          <w:rFonts w:cs="Arial"/>
        </w:rPr>
        <w:t>The Bill, if enacted, would provide the ACMA with broad discretions in how it design</w:t>
      </w:r>
      <w:r w:rsidR="004E7B67">
        <w:rPr>
          <w:rFonts w:cs="Arial"/>
        </w:rPr>
        <w:t>s</w:t>
      </w:r>
      <w:r w:rsidRPr="00B14FA4">
        <w:rPr>
          <w:rFonts w:cs="Arial"/>
        </w:rPr>
        <w:t xml:space="preserve"> individual licences and the licensing system to advance these objects, including by:</w:t>
      </w:r>
    </w:p>
    <w:p w14:paraId="731AD521" w14:textId="3114A3E5" w:rsidR="00B14FA4" w:rsidRPr="00F36359" w:rsidRDefault="00B14FA4" w:rsidP="00F36359">
      <w:pPr>
        <w:pStyle w:val="ListBullet"/>
      </w:pPr>
      <w:r w:rsidRPr="00F36359">
        <w:t>providing for a single kind of radiocommunications licence so that there are no longer legislative barriers between different licence types that exist under the 1992 Act</w:t>
      </w:r>
    </w:p>
    <w:p w14:paraId="676F4866" w14:textId="577D8648" w:rsidR="00B14FA4" w:rsidRPr="00B14FA4" w:rsidRDefault="00B14FA4" w:rsidP="00F36359">
      <w:pPr>
        <w:pStyle w:val="ListBullet"/>
        <w:rPr>
          <w:rFonts w:cs="Arial"/>
        </w:rPr>
      </w:pPr>
      <w:r w:rsidRPr="00F36359">
        <w:t>extending the maximum term of licences and clarifying end</w:t>
      </w:r>
      <w:r w:rsidR="00404613">
        <w:t>-</w:t>
      </w:r>
      <w:r w:rsidRPr="00F36359">
        <w:t>of</w:t>
      </w:r>
      <w:r w:rsidR="00404613">
        <w:t>-</w:t>
      </w:r>
      <w:r w:rsidRPr="00F36359">
        <w:t>term processes for licences</w:t>
      </w:r>
    </w:p>
    <w:p w14:paraId="3B9E5AF6" w14:textId="5BC1B39E" w:rsidR="00B14FA4" w:rsidRPr="00B14FA4" w:rsidRDefault="00B14FA4" w:rsidP="00F36359">
      <w:pPr>
        <w:pStyle w:val="ListBulletLast"/>
      </w:pPr>
      <w:r w:rsidRPr="00B14FA4">
        <w:t xml:space="preserve">reducing the detail in the legislation around the processes for issuing </w:t>
      </w:r>
      <w:r w:rsidR="00EC4170">
        <w:t xml:space="preserve">licences </w:t>
      </w:r>
      <w:r w:rsidRPr="00B14FA4">
        <w:t xml:space="preserve">and managing </w:t>
      </w:r>
      <w:r w:rsidR="00EC4170">
        <w:t>spectrum</w:t>
      </w:r>
      <w:r w:rsidRPr="00B14FA4">
        <w:t>.</w:t>
      </w:r>
    </w:p>
    <w:p w14:paraId="45147040" w14:textId="4B2E77CC" w:rsidR="00B14FA4" w:rsidRPr="00B14FA4" w:rsidRDefault="00B14FA4" w:rsidP="00F36359">
      <w:pPr>
        <w:spacing w:after="80"/>
        <w:rPr>
          <w:rFonts w:cs="Arial"/>
        </w:rPr>
      </w:pPr>
      <w:r w:rsidRPr="00B14FA4">
        <w:rPr>
          <w:rFonts w:cs="Arial"/>
        </w:rPr>
        <w:t xml:space="preserve">If </w:t>
      </w:r>
      <w:r w:rsidR="006D4249">
        <w:rPr>
          <w:rFonts w:cs="Arial"/>
        </w:rPr>
        <w:t>provided</w:t>
      </w:r>
      <w:r w:rsidR="006D4249" w:rsidRPr="00B14FA4">
        <w:rPr>
          <w:rFonts w:cs="Arial"/>
        </w:rPr>
        <w:t xml:space="preserve"> </w:t>
      </w:r>
      <w:r w:rsidRPr="00B14FA4">
        <w:rPr>
          <w:rFonts w:cs="Arial"/>
        </w:rPr>
        <w:t xml:space="preserve">with this increased flexibility by enactment of the Bill, the ACMA would </w:t>
      </w:r>
      <w:r w:rsidR="004E7B67">
        <w:rPr>
          <w:rFonts w:cs="Arial"/>
        </w:rPr>
        <w:t>have</w:t>
      </w:r>
      <w:r w:rsidRPr="00B14FA4">
        <w:rPr>
          <w:rFonts w:cs="Arial"/>
        </w:rPr>
        <w:t xml:space="preserve"> a range of options in designing the new licensing system. Design factors to be considered would include:</w:t>
      </w:r>
    </w:p>
    <w:p w14:paraId="3C231BC5" w14:textId="6B25BBC8" w:rsidR="00B14FA4" w:rsidRPr="00F36359" w:rsidRDefault="00B14FA4" w:rsidP="00F36359">
      <w:pPr>
        <w:pStyle w:val="ListBullet"/>
      </w:pPr>
      <w:r w:rsidRPr="00F36359">
        <w:t>providing for a more market</w:t>
      </w:r>
      <w:r w:rsidR="00404613">
        <w:t>-</w:t>
      </w:r>
      <w:r w:rsidRPr="00F36359">
        <w:t>oriented approach where practicable</w:t>
      </w:r>
    </w:p>
    <w:p w14:paraId="29ED2A36" w14:textId="6779C4E7" w:rsidR="00B14FA4" w:rsidRPr="00F36359" w:rsidRDefault="00B14FA4" w:rsidP="00F36359">
      <w:pPr>
        <w:pStyle w:val="ListBullet"/>
      </w:pPr>
      <w:r w:rsidRPr="00F36359">
        <w:t>accommodating an appropriate balance of flexibility and predictability for spectrum users</w:t>
      </w:r>
    </w:p>
    <w:p w14:paraId="0A7924B3" w14:textId="40BED6B3" w:rsidR="00B14FA4" w:rsidRPr="00F36359" w:rsidRDefault="00404613" w:rsidP="00F36359">
      <w:pPr>
        <w:pStyle w:val="ListBullet"/>
      </w:pPr>
      <w:r>
        <w:t xml:space="preserve">deciding </w:t>
      </w:r>
      <w:r w:rsidR="00B14FA4" w:rsidRPr="00F36359">
        <w:t>the extent of change to licence issue processes and licence design</w:t>
      </w:r>
    </w:p>
    <w:p w14:paraId="64819AA7" w14:textId="7F763DF6" w:rsidR="00B14FA4" w:rsidRPr="00F36359" w:rsidRDefault="00404613" w:rsidP="00F36359">
      <w:pPr>
        <w:pStyle w:val="ListBullet"/>
      </w:pPr>
      <w:r>
        <w:t xml:space="preserve">determining </w:t>
      </w:r>
      <w:r w:rsidR="00B14FA4" w:rsidRPr="00F36359">
        <w:t>the period over which changes to licence issue and licence design occur, especially with respect to spectrum</w:t>
      </w:r>
      <w:r>
        <w:t>-</w:t>
      </w:r>
      <w:r w:rsidR="00B14FA4" w:rsidRPr="00F36359">
        <w:t>sharing, licence renewal, re</w:t>
      </w:r>
      <w:r w:rsidR="00AF3A0A">
        <w:t>-</w:t>
      </w:r>
      <w:r w:rsidR="00B14FA4" w:rsidRPr="00F36359">
        <w:t>farming and trading</w:t>
      </w:r>
    </w:p>
    <w:p w14:paraId="5B16D846" w14:textId="0BA81903" w:rsidR="00B14FA4" w:rsidRPr="00B14FA4" w:rsidRDefault="00404613" w:rsidP="00F36359">
      <w:pPr>
        <w:pStyle w:val="ListBulletLast"/>
      </w:pPr>
      <w:r>
        <w:t xml:space="preserve">determining </w:t>
      </w:r>
      <w:r w:rsidR="00B14FA4" w:rsidRPr="00B14FA4">
        <w:t xml:space="preserve">the extent to which the ACMA </w:t>
      </w:r>
      <w:r w:rsidR="004E7B67">
        <w:t>may seek</w:t>
      </w:r>
      <w:r w:rsidR="00B14FA4" w:rsidRPr="00B14FA4">
        <w:t xml:space="preserve"> to liberalise control of spectrum management by use of management rights or reconfigured licences.</w:t>
      </w:r>
    </w:p>
    <w:p w14:paraId="1673ECF1" w14:textId="5288DD7F" w:rsidR="00B14FA4" w:rsidRPr="00B14FA4" w:rsidRDefault="00B14FA4" w:rsidP="00B977E8">
      <w:pPr>
        <w:spacing w:after="80"/>
        <w:rPr>
          <w:rFonts w:cs="Arial"/>
        </w:rPr>
      </w:pPr>
      <w:r w:rsidRPr="00B14FA4">
        <w:rPr>
          <w:rFonts w:cs="Arial"/>
        </w:rPr>
        <w:t>Ideally, the licences would be flexible enough to allow spectrum users</w:t>
      </w:r>
      <w:r w:rsidR="00BD3865">
        <w:rPr>
          <w:rFonts w:cs="Arial"/>
        </w:rPr>
        <w:t>, and the market more broadly,</w:t>
      </w:r>
      <w:r w:rsidR="005516D9">
        <w:rPr>
          <w:rFonts w:cs="Arial"/>
        </w:rPr>
        <w:t xml:space="preserve"> </w:t>
      </w:r>
      <w:r w:rsidRPr="00B14FA4">
        <w:rPr>
          <w:rFonts w:cs="Arial"/>
        </w:rPr>
        <w:t xml:space="preserve">to respond to changes in the highest value use of spectrum with little or no need for intervention from the </w:t>
      </w:r>
      <w:r w:rsidR="00916DC9">
        <w:rPr>
          <w:rFonts w:cs="Arial"/>
        </w:rPr>
        <w:t>ACMA</w:t>
      </w:r>
      <w:r w:rsidRPr="00B14FA4">
        <w:rPr>
          <w:rFonts w:cs="Arial"/>
        </w:rPr>
        <w:t xml:space="preserve">. The incompatible </w:t>
      </w:r>
      <w:r w:rsidR="005516D9">
        <w:rPr>
          <w:rFonts w:cs="Arial"/>
        </w:rPr>
        <w:t>signal propa</w:t>
      </w:r>
      <w:r w:rsidR="00AB5283">
        <w:rPr>
          <w:rFonts w:cs="Arial"/>
        </w:rPr>
        <w:t xml:space="preserve">gation </w:t>
      </w:r>
      <w:r w:rsidRPr="00B14FA4">
        <w:rPr>
          <w:rFonts w:cs="Arial"/>
        </w:rPr>
        <w:t xml:space="preserve">characteristics of different spectrum uses mean this is not always practicable. However, a key goal of a well-designed licensing system should be to maximise the </w:t>
      </w:r>
      <w:r w:rsidRPr="00B14FA4">
        <w:rPr>
          <w:rFonts w:cs="Arial"/>
        </w:rPr>
        <w:lastRenderedPageBreak/>
        <w:t>flexibility and degree of substitutability of licences</w:t>
      </w:r>
      <w:r w:rsidR="00404613">
        <w:rPr>
          <w:rFonts w:cs="Arial"/>
        </w:rPr>
        <w:t>—</w:t>
      </w:r>
      <w:r w:rsidRPr="00B14FA4">
        <w:rPr>
          <w:rFonts w:cs="Arial"/>
        </w:rPr>
        <w:t>their ‘technological flexibility’</w:t>
      </w:r>
      <w:r w:rsidR="00404613">
        <w:rPr>
          <w:rFonts w:cs="Arial"/>
        </w:rPr>
        <w:t>—</w:t>
      </w:r>
      <w:r w:rsidRPr="00B14FA4">
        <w:rPr>
          <w:rFonts w:cs="Arial"/>
        </w:rPr>
        <w:t>noting this will at times require compromise with other goals</w:t>
      </w:r>
      <w:r w:rsidR="00DB5ED5">
        <w:rPr>
          <w:rFonts w:cs="Arial"/>
        </w:rPr>
        <w:t>,</w:t>
      </w:r>
      <w:r w:rsidRPr="00B14FA4">
        <w:rPr>
          <w:rFonts w:cs="Arial"/>
        </w:rPr>
        <w:t xml:space="preserve"> such as technical efficiency</w:t>
      </w:r>
      <w:r w:rsidR="00DB5ED5">
        <w:rPr>
          <w:rFonts w:cs="Arial"/>
        </w:rPr>
        <w:t>,</w:t>
      </w:r>
      <w:r w:rsidRPr="00B14FA4">
        <w:rPr>
          <w:rFonts w:cs="Arial"/>
        </w:rPr>
        <w:t xml:space="preserve"> and the need in some circumstances for limits on the amount of spectrum licensed to an individual entity.</w:t>
      </w:r>
    </w:p>
    <w:p w14:paraId="7855A886" w14:textId="57A148AA" w:rsidR="00B14FA4" w:rsidRPr="00B14FA4" w:rsidRDefault="00B14FA4" w:rsidP="00F36359">
      <w:pPr>
        <w:spacing w:after="80"/>
        <w:rPr>
          <w:rFonts w:cs="Arial"/>
        </w:rPr>
      </w:pPr>
      <w:r w:rsidRPr="00B14FA4">
        <w:rPr>
          <w:rFonts w:cs="Arial"/>
        </w:rPr>
        <w:t>In developing a new licensing system, it would be open to the ACMA to shift away from the current relatively high levels of centralised control of spectrum access (especially in relation to apparatus licensing) to a more decentralised approach. This could be achieved by taking advantage of some of the flexibility provided in the Bill</w:t>
      </w:r>
      <w:r w:rsidR="005C4402">
        <w:rPr>
          <w:rFonts w:cs="Arial"/>
        </w:rPr>
        <w:t xml:space="preserve">, </w:t>
      </w:r>
      <w:r w:rsidR="00640F0C">
        <w:rPr>
          <w:rFonts w:cs="Arial"/>
        </w:rPr>
        <w:t>including</w:t>
      </w:r>
      <w:r w:rsidR="001061E0">
        <w:rPr>
          <w:rFonts w:cs="Arial"/>
        </w:rPr>
        <w:t xml:space="preserve"> by</w:t>
      </w:r>
      <w:r w:rsidR="00640F0C">
        <w:rPr>
          <w:rFonts w:cs="Arial"/>
        </w:rPr>
        <w:t xml:space="preserve">, </w:t>
      </w:r>
      <w:r w:rsidRPr="00B14FA4">
        <w:rPr>
          <w:rFonts w:cs="Arial"/>
        </w:rPr>
        <w:t>for example</w:t>
      </w:r>
      <w:r w:rsidR="00404613">
        <w:rPr>
          <w:rFonts w:cs="Arial"/>
        </w:rPr>
        <w:t>, either</w:t>
      </w:r>
      <w:r w:rsidRPr="00B14FA4">
        <w:rPr>
          <w:rFonts w:cs="Arial"/>
        </w:rPr>
        <w:t>:</w:t>
      </w:r>
    </w:p>
    <w:p w14:paraId="092F07C2" w14:textId="48B527FF" w:rsidR="00B14FA4" w:rsidRPr="00B14FA4" w:rsidRDefault="00B14FA4" w:rsidP="00F36359">
      <w:pPr>
        <w:pStyle w:val="ListBullet"/>
      </w:pPr>
      <w:r w:rsidRPr="00B14FA4">
        <w:t>increasing the use of long</w:t>
      </w:r>
      <w:r w:rsidR="00404613">
        <w:t>-</w:t>
      </w:r>
      <w:r w:rsidRPr="00B14FA4">
        <w:t>duration, technologically neutral, wide</w:t>
      </w:r>
      <w:r w:rsidR="00404613">
        <w:t>-</w:t>
      </w:r>
      <w:r w:rsidR="00F36359">
        <w:t>area ‘spectrum space’ licences</w:t>
      </w:r>
      <w:r w:rsidR="00F36359">
        <w:rPr>
          <w:rStyle w:val="FootnoteReference"/>
        </w:rPr>
        <w:footnoteReference w:id="3"/>
      </w:r>
    </w:p>
    <w:p w14:paraId="6C494051" w14:textId="6A014AA0" w:rsidR="00B14FA4" w:rsidRPr="00B14FA4" w:rsidRDefault="00B14FA4" w:rsidP="00F36359">
      <w:pPr>
        <w:pStyle w:val="ListBulletLast"/>
      </w:pPr>
      <w:r w:rsidRPr="00B14FA4">
        <w:t>us</w:t>
      </w:r>
      <w:r w:rsidR="00404613">
        <w:t>ing</w:t>
      </w:r>
      <w:r w:rsidRPr="00B14FA4">
        <w:t xml:space="preserve"> the management rights provisions of the Bill to facilitate private band management.</w:t>
      </w:r>
    </w:p>
    <w:p w14:paraId="51354F06" w14:textId="24EAFC5C" w:rsidR="00B14FA4" w:rsidRPr="00B14FA4" w:rsidRDefault="00B14FA4" w:rsidP="00B14FA4">
      <w:pPr>
        <w:rPr>
          <w:rFonts w:cs="Arial"/>
        </w:rPr>
      </w:pPr>
      <w:r w:rsidRPr="00B14FA4">
        <w:rPr>
          <w:rFonts w:cs="Arial"/>
        </w:rPr>
        <w:t>Where appropriate, any such shift in licensing design would be informed by the availability and maturity of relevant new technologies and management models</w:t>
      </w:r>
      <w:r w:rsidR="00F36359" w:rsidRPr="00A923D1">
        <w:rPr>
          <w:rStyle w:val="FootnoteReference"/>
        </w:rPr>
        <w:footnoteReference w:id="4"/>
      </w:r>
      <w:r w:rsidRPr="00B14FA4">
        <w:rPr>
          <w:rFonts w:cs="Arial"/>
        </w:rPr>
        <w:t xml:space="preserve"> </w:t>
      </w:r>
      <w:r w:rsidR="00404613">
        <w:rPr>
          <w:rFonts w:cs="Arial"/>
        </w:rPr>
        <w:t>that</w:t>
      </w:r>
      <w:r w:rsidR="00404613" w:rsidRPr="00B14FA4">
        <w:rPr>
          <w:rFonts w:cs="Arial"/>
        </w:rPr>
        <w:t xml:space="preserve"> </w:t>
      </w:r>
      <w:r w:rsidRPr="00B14FA4">
        <w:rPr>
          <w:rFonts w:cs="Arial"/>
        </w:rPr>
        <w:t>facilitate more effective decentralised management of spectrum. For example, dynamic spectrum access (DSA) allows for spectrum</w:t>
      </w:r>
      <w:r w:rsidR="00404613">
        <w:rPr>
          <w:rFonts w:cs="Arial"/>
        </w:rPr>
        <w:t>-</w:t>
      </w:r>
      <w:r w:rsidRPr="00B14FA4">
        <w:rPr>
          <w:rFonts w:cs="Arial"/>
        </w:rPr>
        <w:t>sharing by using technology to allow secondary users</w:t>
      </w:r>
      <w:r w:rsidR="00F36359">
        <w:rPr>
          <w:rStyle w:val="FootnoteReference"/>
        </w:rPr>
        <w:footnoteReference w:id="5"/>
      </w:r>
      <w:r w:rsidRPr="00B14FA4">
        <w:rPr>
          <w:rFonts w:cs="Arial"/>
        </w:rPr>
        <w:t xml:space="preserve"> to be aware of their environment in order to access spectrum, while coexisting with primary users/uses of the band.</w:t>
      </w:r>
    </w:p>
    <w:p w14:paraId="05256CBB" w14:textId="5BCD4100" w:rsidR="00B14FA4" w:rsidRPr="00B14FA4" w:rsidRDefault="00B14FA4" w:rsidP="00B14FA4">
      <w:pPr>
        <w:rPr>
          <w:rFonts w:cs="Arial"/>
        </w:rPr>
      </w:pPr>
      <w:r w:rsidRPr="00B14FA4">
        <w:rPr>
          <w:rFonts w:cs="Arial"/>
        </w:rPr>
        <w:t>While accommodating productive and sought-for change in a number of different respects of spectrum management, the ACMA would be guided by the objects of the Bill</w:t>
      </w:r>
      <w:r w:rsidR="00B27082" w:rsidRPr="00D66709">
        <w:rPr>
          <w:rStyle w:val="CommentReference"/>
          <w:sz w:val="20"/>
          <w:szCs w:val="20"/>
        </w:rPr>
        <w:t>,</w:t>
      </w:r>
      <w:r w:rsidR="00B27082">
        <w:rPr>
          <w:rStyle w:val="CommentReference"/>
        </w:rPr>
        <w:t xml:space="preserve"> </w:t>
      </w:r>
      <w:r w:rsidR="00B27082" w:rsidRPr="00B27082">
        <w:rPr>
          <w:rFonts w:cs="Arial"/>
        </w:rPr>
        <w:t>any relevant ministerial policy statements a</w:t>
      </w:r>
      <w:r w:rsidRPr="00B14FA4">
        <w:rPr>
          <w:rFonts w:cs="Arial"/>
        </w:rPr>
        <w:t xml:space="preserve">nd the desirability of achieving an appropriate balance between flexibility and predictability for spectrum users. The ACMA would seek stakeholder input on the extent to which existing </w:t>
      </w:r>
      <w:r w:rsidR="00B27082">
        <w:rPr>
          <w:rFonts w:cs="Arial"/>
        </w:rPr>
        <w:t xml:space="preserve">and prospective </w:t>
      </w:r>
      <w:r w:rsidRPr="00B14FA4">
        <w:rPr>
          <w:rFonts w:cs="Arial"/>
        </w:rPr>
        <w:t>licensees are seeking</w:t>
      </w:r>
      <w:r w:rsidR="001B68EE">
        <w:rPr>
          <w:rFonts w:cs="Arial"/>
        </w:rPr>
        <w:t>,</w:t>
      </w:r>
      <w:r w:rsidRPr="00B14FA4">
        <w:rPr>
          <w:rFonts w:cs="Arial"/>
        </w:rPr>
        <w:t xml:space="preserve"> or would benefit from</w:t>
      </w:r>
      <w:r w:rsidR="001B68EE">
        <w:rPr>
          <w:rFonts w:cs="Arial"/>
        </w:rPr>
        <w:t>,</w:t>
      </w:r>
      <w:r w:rsidRPr="00B14FA4">
        <w:rPr>
          <w:rFonts w:cs="Arial"/>
        </w:rPr>
        <w:t xml:space="preserve"> changes to licensing arrangements.</w:t>
      </w:r>
    </w:p>
    <w:p w14:paraId="07C8E35B" w14:textId="61B06F79" w:rsidR="00B14FA4" w:rsidRPr="00B14FA4" w:rsidRDefault="00B14FA4" w:rsidP="006710EE">
      <w:pPr>
        <w:spacing w:after="80"/>
        <w:rPr>
          <w:rFonts w:cs="Arial"/>
        </w:rPr>
      </w:pPr>
      <w:r w:rsidRPr="00B14FA4">
        <w:rPr>
          <w:rFonts w:cs="Arial"/>
        </w:rPr>
        <w:t>The Bill challenges the ACMA to undertake a root</w:t>
      </w:r>
      <w:r w:rsidR="00404613">
        <w:rPr>
          <w:rFonts w:cs="Arial"/>
        </w:rPr>
        <w:t>-</w:t>
      </w:r>
      <w:r w:rsidRPr="00B14FA4">
        <w:rPr>
          <w:rFonts w:cs="Arial"/>
        </w:rPr>
        <w:t>and</w:t>
      </w:r>
      <w:r w:rsidR="00404613">
        <w:rPr>
          <w:rFonts w:cs="Arial"/>
        </w:rPr>
        <w:t>-</w:t>
      </w:r>
      <w:r w:rsidRPr="00B14FA4">
        <w:rPr>
          <w:rFonts w:cs="Arial"/>
        </w:rPr>
        <w:t xml:space="preserve">branch review of licensing, to put in place a system that reflects the recommendations of the Spectrum Review and the objects of the Bill. Examples of questions the ACMA is likely to consider are: </w:t>
      </w:r>
    </w:p>
    <w:p w14:paraId="40C6CDFC" w14:textId="48B14CEC" w:rsidR="00B14FA4" w:rsidRPr="00B14FA4" w:rsidRDefault="00B14FA4" w:rsidP="006710EE">
      <w:pPr>
        <w:pStyle w:val="ListBullet"/>
      </w:pPr>
      <w:r w:rsidRPr="00B14FA4">
        <w:t>Are there opportunities for greater use of wide</w:t>
      </w:r>
      <w:r w:rsidR="00763A32">
        <w:t>-</w:t>
      </w:r>
      <w:r w:rsidRPr="00B14FA4">
        <w:t>area ‘spectrum space’ licences?</w:t>
      </w:r>
    </w:p>
    <w:p w14:paraId="25D911AB" w14:textId="77777777" w:rsidR="00B14FA4" w:rsidRPr="00B14FA4" w:rsidRDefault="00B14FA4" w:rsidP="006710EE">
      <w:pPr>
        <w:pStyle w:val="ListBullet2"/>
      </w:pPr>
      <w:r w:rsidRPr="00B14FA4">
        <w:t>Wide area ‘spectrum space’ licences may be more technologically flexible and open to trading in certain circumstances.</w:t>
      </w:r>
    </w:p>
    <w:p w14:paraId="13878DCA" w14:textId="77777777" w:rsidR="00B14FA4" w:rsidRPr="00B14FA4" w:rsidRDefault="00B14FA4" w:rsidP="007A27A5">
      <w:pPr>
        <w:pStyle w:val="ListBullet"/>
      </w:pPr>
      <w:r w:rsidRPr="00B14FA4">
        <w:t>Is there scope to make greater use of spectrum authorisations instead of licences?</w:t>
      </w:r>
    </w:p>
    <w:p w14:paraId="5257287E" w14:textId="77777777" w:rsidR="00B14FA4" w:rsidRPr="00B14FA4" w:rsidRDefault="00B14FA4" w:rsidP="006710EE">
      <w:pPr>
        <w:pStyle w:val="ListBullet2"/>
      </w:pPr>
      <w:r w:rsidRPr="00B14FA4">
        <w:t>Spectrum authorisations can place a lower administrative burden on spectrum users and facilitate the introduction of new devices and technologies.</w:t>
      </w:r>
    </w:p>
    <w:p w14:paraId="74B946C2" w14:textId="77777777" w:rsidR="00B14FA4" w:rsidRPr="00B14FA4" w:rsidRDefault="00B14FA4" w:rsidP="006710EE">
      <w:pPr>
        <w:pStyle w:val="ListBullet"/>
      </w:pPr>
      <w:r w:rsidRPr="00B14FA4">
        <w:t>What other opportunities are there for greater involvement by third parties in the management and coordination of spectrum use in bands?</w:t>
      </w:r>
    </w:p>
    <w:p w14:paraId="02DC6A48" w14:textId="4A8260E9" w:rsidR="00B14FA4" w:rsidRPr="00B14FA4" w:rsidRDefault="00B14FA4" w:rsidP="006710EE">
      <w:pPr>
        <w:pStyle w:val="ListBullet2"/>
      </w:pPr>
      <w:r w:rsidRPr="00B14FA4">
        <w:t xml:space="preserve">In keeping with the recommendations of the </w:t>
      </w:r>
      <w:r w:rsidR="00763A32">
        <w:t>S</w:t>
      </w:r>
      <w:r w:rsidRPr="00B14FA4">
        <w:t xml:space="preserve">pectrum </w:t>
      </w:r>
      <w:r w:rsidR="00763A32">
        <w:t>R</w:t>
      </w:r>
      <w:r w:rsidRPr="00B14FA4">
        <w:t xml:space="preserve">eview, there may be </w:t>
      </w:r>
      <w:r w:rsidR="001E096D">
        <w:t>opportunities</w:t>
      </w:r>
      <w:r w:rsidRPr="00B14FA4">
        <w:t xml:space="preserve"> for entities other than the </w:t>
      </w:r>
      <w:r w:rsidR="00916DC9">
        <w:t>ACMA</w:t>
      </w:r>
      <w:r w:rsidR="00916DC9" w:rsidRPr="00B14FA4">
        <w:t xml:space="preserve"> </w:t>
      </w:r>
      <w:r w:rsidRPr="00B14FA4">
        <w:t>to manage spectrum use, potentially more efficiently.</w:t>
      </w:r>
    </w:p>
    <w:p w14:paraId="5CE5EB8D" w14:textId="58FBBFF3" w:rsidR="00B14FA4" w:rsidRPr="00B14FA4" w:rsidRDefault="00B14FA4" w:rsidP="006710EE">
      <w:pPr>
        <w:pStyle w:val="ListBullet"/>
      </w:pPr>
      <w:r w:rsidRPr="00B14FA4">
        <w:lastRenderedPageBreak/>
        <w:t>Where (</w:t>
      </w:r>
      <w:r w:rsidR="00F24A61">
        <w:t>that is,</w:t>
      </w:r>
      <w:r w:rsidRPr="00B14FA4">
        <w:t xml:space="preserve"> in what frequency ranges and for what services) is it appropriate to give greater regulatory and technological flexibility in licences?</w:t>
      </w:r>
    </w:p>
    <w:p w14:paraId="7B8A5E2F" w14:textId="7017DED2" w:rsidR="00B14FA4" w:rsidRPr="00B14FA4" w:rsidRDefault="00B14FA4" w:rsidP="006710EE">
      <w:pPr>
        <w:pStyle w:val="ListBullet2"/>
      </w:pPr>
      <w:r w:rsidRPr="00B14FA4">
        <w:t>Greater regulatory and technological flexibility can potentially give rise to greater trading of licences, or changes of use by e</w:t>
      </w:r>
      <w:r w:rsidR="00B57706">
        <w:t xml:space="preserve">xisting licensees, </w:t>
      </w:r>
      <w:r w:rsidRPr="00B14FA4">
        <w:t xml:space="preserve">without </w:t>
      </w:r>
      <w:r w:rsidR="00916DC9">
        <w:t>ACMA</w:t>
      </w:r>
      <w:r w:rsidR="00916DC9" w:rsidRPr="00B14FA4">
        <w:t xml:space="preserve"> </w:t>
      </w:r>
      <w:r w:rsidRPr="00B14FA4">
        <w:t>involvement</w:t>
      </w:r>
      <w:r w:rsidR="00F24A61">
        <w:t>;</w:t>
      </w:r>
      <w:r w:rsidRPr="00B14FA4">
        <w:t xml:space="preserve"> however</w:t>
      </w:r>
      <w:r w:rsidR="00F24A61">
        <w:t>,</w:t>
      </w:r>
      <w:r w:rsidRPr="00B14FA4">
        <w:t xml:space="preserve"> the regulatory framework to support this will need to be developed.</w:t>
      </w:r>
    </w:p>
    <w:p w14:paraId="064C1961" w14:textId="77777777" w:rsidR="00B14FA4" w:rsidRPr="00B14FA4" w:rsidRDefault="00B14FA4" w:rsidP="006710EE">
      <w:pPr>
        <w:pStyle w:val="ListBullet"/>
      </w:pPr>
      <w:r w:rsidRPr="00B14FA4">
        <w:t xml:space="preserve">Is there scope to improve the substitutability of licences by reducing unnecessary differentiation between licence types and any unnecessary complexity in licence conditions? </w:t>
      </w:r>
    </w:p>
    <w:p w14:paraId="30764BB9" w14:textId="38C46AB3" w:rsidR="00B14FA4" w:rsidRPr="00B14FA4" w:rsidRDefault="00B14FA4" w:rsidP="006710EE">
      <w:pPr>
        <w:pStyle w:val="ListBulletLast"/>
      </w:pPr>
      <w:r w:rsidRPr="00B14FA4">
        <w:t>How does the ACMA optimise licence terms, processes preceding licence expiry</w:t>
      </w:r>
      <w:r w:rsidR="00916DC9">
        <w:t>,</w:t>
      </w:r>
      <w:r w:rsidRPr="00B14FA4">
        <w:t xml:space="preserve"> and renewal </w:t>
      </w:r>
      <w:r w:rsidR="00916DC9">
        <w:t>statements</w:t>
      </w:r>
      <w:r w:rsidRPr="00B14FA4">
        <w:t>?</w:t>
      </w:r>
    </w:p>
    <w:p w14:paraId="4543B580" w14:textId="5024760C" w:rsidR="00B14FA4" w:rsidRPr="00B14FA4" w:rsidRDefault="00B14FA4" w:rsidP="00B14FA4">
      <w:pPr>
        <w:rPr>
          <w:rFonts w:cs="Arial"/>
        </w:rPr>
      </w:pPr>
      <w:r w:rsidRPr="00B14FA4">
        <w:rPr>
          <w:rFonts w:cs="Arial"/>
        </w:rPr>
        <w:t>In answering these questions and choosing the options with the greatest net benefit, the ACMA would gather the best available evidence</w:t>
      </w:r>
      <w:r w:rsidR="00CC13FF">
        <w:rPr>
          <w:rFonts w:cs="Arial"/>
        </w:rPr>
        <w:t>,</w:t>
      </w:r>
      <w:r w:rsidRPr="00B14FA4">
        <w:rPr>
          <w:rFonts w:cs="Arial"/>
        </w:rPr>
        <w:t xml:space="preserve"> including through seeking the views of current and prospective spectrum users and other key stakeholders. It would expect to implement the necessary changes in a staged way to manage the transition between the current legislative scheme and the new legislative scheme effectively and in a manner </w:t>
      </w:r>
      <w:r w:rsidR="00F24A61">
        <w:rPr>
          <w:rFonts w:cs="Arial"/>
        </w:rPr>
        <w:t>that</w:t>
      </w:r>
      <w:r w:rsidR="00F24A61" w:rsidRPr="00B14FA4">
        <w:rPr>
          <w:rFonts w:cs="Arial"/>
        </w:rPr>
        <w:t xml:space="preserve"> </w:t>
      </w:r>
      <w:r w:rsidRPr="00B14FA4">
        <w:rPr>
          <w:rFonts w:cs="Arial"/>
        </w:rPr>
        <w:t>acknowledges the operational practicalities of spectrum users, consistent with the objects of the Bill and best practice in spectrum management.</w:t>
      </w:r>
    </w:p>
    <w:p w14:paraId="6961575C" w14:textId="77777777" w:rsidR="00AB08A8" w:rsidRDefault="00B14FA4" w:rsidP="00B14FA4">
      <w:pPr>
        <w:rPr>
          <w:rFonts w:cs="Arial"/>
        </w:rPr>
      </w:pPr>
      <w:r w:rsidRPr="00B14FA4">
        <w:rPr>
          <w:rFonts w:cs="Arial"/>
        </w:rPr>
        <w:t>The ACMA will need to make informed judg</w:t>
      </w:r>
      <w:r w:rsidR="00F24A61">
        <w:rPr>
          <w:rFonts w:cs="Arial"/>
        </w:rPr>
        <w:t>e</w:t>
      </w:r>
      <w:r w:rsidRPr="00B14FA4">
        <w:rPr>
          <w:rFonts w:cs="Arial"/>
        </w:rPr>
        <w:t xml:space="preserve">ments about the appropriate pace and scope of change. Some major changes may be appropriate at the time of transition to the new arrangements, while other changes may be better made over a course of years. </w:t>
      </w:r>
    </w:p>
    <w:p w14:paraId="5196B94E" w14:textId="32C35F4A" w:rsidR="00B14FA4" w:rsidRPr="00B14FA4" w:rsidRDefault="00B14FA4" w:rsidP="00B14FA4">
      <w:pPr>
        <w:rPr>
          <w:rFonts w:cs="Arial"/>
        </w:rPr>
      </w:pPr>
      <w:r w:rsidRPr="00B14FA4">
        <w:rPr>
          <w:rFonts w:cs="Arial"/>
        </w:rPr>
        <w:t>The ACMA may need to maintain the status quo with a number of licensing arrangements during the transition, to adequately manage the balance of flexibility and predictability for spectrum users</w:t>
      </w:r>
      <w:r w:rsidR="00AB08A8">
        <w:rPr>
          <w:rFonts w:cs="Arial"/>
        </w:rPr>
        <w:t>. F</w:t>
      </w:r>
      <w:r w:rsidRPr="00B14FA4">
        <w:rPr>
          <w:rFonts w:cs="Arial"/>
        </w:rPr>
        <w:t xml:space="preserve">or example, a radically different way of coordinating spectrum access may </w:t>
      </w:r>
      <w:r w:rsidR="00064D60">
        <w:rPr>
          <w:rFonts w:cs="Arial"/>
        </w:rPr>
        <w:t>have potential</w:t>
      </w:r>
      <w:r w:rsidR="00AB08A8">
        <w:rPr>
          <w:rFonts w:cs="Arial"/>
        </w:rPr>
        <w:t>,</w:t>
      </w:r>
      <w:r w:rsidRPr="00B14FA4">
        <w:rPr>
          <w:rFonts w:cs="Arial"/>
        </w:rPr>
        <w:t xml:space="preserve"> but</w:t>
      </w:r>
      <w:r w:rsidR="00AB08A8">
        <w:rPr>
          <w:rFonts w:cs="Arial"/>
        </w:rPr>
        <w:t xml:space="preserve"> may</w:t>
      </w:r>
      <w:r w:rsidRPr="00B14FA4">
        <w:rPr>
          <w:rFonts w:cs="Arial"/>
        </w:rPr>
        <w:t xml:space="preserve"> not yet </w:t>
      </w:r>
      <w:r w:rsidR="00064D60">
        <w:rPr>
          <w:rFonts w:cs="Arial"/>
        </w:rPr>
        <w:t xml:space="preserve">be </w:t>
      </w:r>
      <w:r w:rsidRPr="00B14FA4">
        <w:rPr>
          <w:rFonts w:cs="Arial"/>
        </w:rPr>
        <w:t>feasible. Transition is not the end of the process of implementing the new spectrum management arrangements, but merely the first step, with scope for further changes to occ</w:t>
      </w:r>
      <w:r w:rsidR="00B57706">
        <w:rPr>
          <w:rFonts w:cs="Arial"/>
        </w:rPr>
        <w:t>ur over a longer time frame.</w:t>
      </w:r>
      <w:r w:rsidR="00C63C73">
        <w:rPr>
          <w:rFonts w:cs="Arial"/>
        </w:rPr>
        <w:t xml:space="preserve"> Whether opportunities for reform of arrangements are sufficiently mature at the time of transition or are adopted subsequently will depend on the particulars of each case, but the ACMA will seek to harness opportunities for reform whenever they are available to it.</w:t>
      </w:r>
    </w:p>
    <w:p w14:paraId="63CB9A36" w14:textId="4E7956F0" w:rsidR="0055072E" w:rsidRDefault="00686B77" w:rsidP="001E0075">
      <w:pPr>
        <w:pStyle w:val="Heading2"/>
      </w:pPr>
      <w:bookmarkStart w:id="18" w:name="_Toc481057132"/>
      <w:bookmarkStart w:id="19" w:name="_Toc467581356"/>
      <w:r>
        <w:t>How the ACMA will engage with stakeholders on implementing the Bill</w:t>
      </w:r>
      <w:bookmarkEnd w:id="18"/>
      <w:r w:rsidRPr="00B14FA4" w:rsidDel="00686B77">
        <w:t xml:space="preserve"> </w:t>
      </w:r>
      <w:bookmarkEnd w:id="19"/>
    </w:p>
    <w:p w14:paraId="73EA5894" w14:textId="77777777" w:rsidR="00B14FA4" w:rsidRPr="00B14FA4" w:rsidRDefault="00B14FA4" w:rsidP="00B14FA4">
      <w:pPr>
        <w:rPr>
          <w:rFonts w:cs="Arial"/>
        </w:rPr>
      </w:pPr>
      <w:r w:rsidRPr="00B14FA4">
        <w:rPr>
          <w:rFonts w:cs="Arial"/>
        </w:rPr>
        <w:t>A central implementation principle is that stakeholders, including existing and prospective licensees, be consulted on the ACMA’s approach to implementation of the Bill.</w:t>
      </w:r>
    </w:p>
    <w:p w14:paraId="005516E9" w14:textId="744EAC4D" w:rsidR="00B14FA4" w:rsidRPr="00B14FA4" w:rsidRDefault="00B14FA4" w:rsidP="00B14FA4">
      <w:pPr>
        <w:rPr>
          <w:rFonts w:cs="Arial"/>
        </w:rPr>
      </w:pPr>
      <w:r w:rsidRPr="00B14FA4">
        <w:rPr>
          <w:rFonts w:cs="Arial"/>
        </w:rPr>
        <w:t xml:space="preserve">Following the release of the exposure draft of the Bill, and prior to </w:t>
      </w:r>
      <w:r w:rsidR="00686B77">
        <w:rPr>
          <w:rFonts w:cs="Arial"/>
        </w:rPr>
        <w:t>enactment of new legislation</w:t>
      </w:r>
      <w:r w:rsidRPr="00B14FA4">
        <w:rPr>
          <w:rFonts w:cs="Arial"/>
        </w:rPr>
        <w:t xml:space="preserve">, the ACMA will take up the opportunity to consult stakeholders on the options </w:t>
      </w:r>
      <w:r w:rsidR="00AA624E">
        <w:rPr>
          <w:rFonts w:cs="Arial"/>
        </w:rPr>
        <w:t xml:space="preserve">that may be </w:t>
      </w:r>
      <w:r w:rsidRPr="00B14FA4">
        <w:rPr>
          <w:rFonts w:cs="Arial"/>
        </w:rPr>
        <w:t>available to it in implementing the Bill</w:t>
      </w:r>
      <w:r w:rsidR="00AA624E">
        <w:rPr>
          <w:rFonts w:cs="Arial"/>
        </w:rPr>
        <w:t>, if the Bill becomes law</w:t>
      </w:r>
      <w:r w:rsidRPr="00B14FA4">
        <w:rPr>
          <w:rFonts w:cs="Arial"/>
        </w:rPr>
        <w:t xml:space="preserve">, including the design of the licensing </w:t>
      </w:r>
      <w:r w:rsidR="00686B77">
        <w:rPr>
          <w:rFonts w:cs="Arial"/>
        </w:rPr>
        <w:t>system</w:t>
      </w:r>
      <w:r w:rsidRPr="00B14FA4">
        <w:rPr>
          <w:rFonts w:cs="Arial"/>
        </w:rPr>
        <w:t xml:space="preserve">, and the issues to be addressed in considering those options. </w:t>
      </w:r>
    </w:p>
    <w:p w14:paraId="5B5CA6E9" w14:textId="10C268CB" w:rsidR="00B14FA4" w:rsidRPr="00B14FA4" w:rsidRDefault="00B14FA4" w:rsidP="00B14FA4">
      <w:pPr>
        <w:rPr>
          <w:rFonts w:cs="Arial"/>
        </w:rPr>
      </w:pPr>
      <w:r w:rsidRPr="00B14FA4">
        <w:rPr>
          <w:rFonts w:cs="Arial"/>
        </w:rPr>
        <w:t xml:space="preserve">While the </w:t>
      </w:r>
      <w:r w:rsidR="00EE56DF">
        <w:rPr>
          <w:rFonts w:cs="Arial"/>
        </w:rPr>
        <w:t>e</w:t>
      </w:r>
      <w:r w:rsidRPr="00B14FA4">
        <w:rPr>
          <w:rFonts w:cs="Arial"/>
        </w:rPr>
        <w:t xml:space="preserve">xposure </w:t>
      </w:r>
      <w:r w:rsidR="00EE56DF">
        <w:rPr>
          <w:rFonts w:cs="Arial"/>
        </w:rPr>
        <w:t>d</w:t>
      </w:r>
      <w:r w:rsidRPr="00B14FA4">
        <w:rPr>
          <w:rFonts w:cs="Arial"/>
        </w:rPr>
        <w:t xml:space="preserve">raft of the Bill is available for consultation, the ACMA will seek to join </w:t>
      </w:r>
      <w:r w:rsidR="00F24A61">
        <w:rPr>
          <w:rFonts w:cs="Arial"/>
        </w:rPr>
        <w:t xml:space="preserve">DoCA </w:t>
      </w:r>
      <w:r w:rsidRPr="00B14FA4">
        <w:rPr>
          <w:rFonts w:cs="Arial"/>
        </w:rPr>
        <w:t>in its stakeholder engagement activities so that the ACMA can benefit from these discussions.</w:t>
      </w:r>
    </w:p>
    <w:p w14:paraId="0C7C1051" w14:textId="032033C9" w:rsidR="00B14FA4" w:rsidRPr="00B14FA4" w:rsidRDefault="00B14FA4" w:rsidP="00B14FA4">
      <w:pPr>
        <w:rPr>
          <w:rFonts w:cs="Arial"/>
        </w:rPr>
      </w:pPr>
      <w:r w:rsidRPr="00B14FA4">
        <w:rPr>
          <w:rFonts w:cs="Arial"/>
        </w:rPr>
        <w:t xml:space="preserve">During the period prior to the Bill becoming law, the ACMA expects to articulate a broad </w:t>
      </w:r>
      <w:r w:rsidR="00686B77">
        <w:rPr>
          <w:rFonts w:cs="Arial"/>
        </w:rPr>
        <w:t>outline</w:t>
      </w:r>
      <w:r w:rsidRPr="00B14FA4">
        <w:rPr>
          <w:rFonts w:cs="Arial"/>
        </w:rPr>
        <w:t xml:space="preserve"> of spectrum management improvement opportunities. This will identify </w:t>
      </w:r>
      <w:r w:rsidRPr="00B14FA4">
        <w:rPr>
          <w:rFonts w:cs="Arial"/>
        </w:rPr>
        <w:lastRenderedPageBreak/>
        <w:t>the major themes the ACMA expects to explore as it develops its approach to transition and implementation.</w:t>
      </w:r>
    </w:p>
    <w:p w14:paraId="0E8AA2DC" w14:textId="06CC956D" w:rsidR="00B14FA4" w:rsidRPr="00B14FA4" w:rsidRDefault="00B14FA4" w:rsidP="00B14FA4">
      <w:pPr>
        <w:rPr>
          <w:rFonts w:cs="Arial"/>
        </w:rPr>
      </w:pPr>
      <w:r w:rsidRPr="00B14FA4">
        <w:rPr>
          <w:rFonts w:cs="Arial"/>
        </w:rPr>
        <w:t xml:space="preserve">The ACMA will over this time </w:t>
      </w:r>
      <w:r w:rsidR="001061E0">
        <w:rPr>
          <w:rFonts w:cs="Arial"/>
        </w:rPr>
        <w:t>refine</w:t>
      </w:r>
      <w:r w:rsidR="001061E0" w:rsidRPr="00B14FA4">
        <w:rPr>
          <w:rFonts w:cs="Arial"/>
        </w:rPr>
        <w:t xml:space="preserve"> </w:t>
      </w:r>
      <w:r w:rsidRPr="00B14FA4">
        <w:rPr>
          <w:rFonts w:cs="Arial"/>
        </w:rPr>
        <w:t>its understanding of international spectrum management trends, focusing on the best</w:t>
      </w:r>
      <w:r w:rsidR="00F24A61">
        <w:rPr>
          <w:rFonts w:cs="Arial"/>
        </w:rPr>
        <w:t>-</w:t>
      </w:r>
      <w:r w:rsidRPr="00B14FA4">
        <w:rPr>
          <w:rFonts w:cs="Arial"/>
        </w:rPr>
        <w:t>practice regulatory approaches and their relevance and applicability to the Australian context. Fundamentally, the ACMA is concerned to understand how it can best maximise the freedom of spectrum users and markets to determine the best uses of spectrum. Relevant analysis is expected to build on the Spectrum Review and include licensing innovations and any emerging alternatives to traditional licensing (such as spectrum usage rights</w:t>
      </w:r>
      <w:r w:rsidR="006710EE" w:rsidRPr="006244E6">
        <w:rPr>
          <w:rStyle w:val="FootnoteReference"/>
        </w:rPr>
        <w:footnoteReference w:id="6"/>
      </w:r>
      <w:r w:rsidR="00F24A61">
        <w:t>,</w:t>
      </w:r>
      <w:r w:rsidRPr="00B14FA4">
        <w:rPr>
          <w:rFonts w:cs="Arial"/>
        </w:rPr>
        <w:t xml:space="preserve"> privatised spectrum management rights</w:t>
      </w:r>
      <w:r w:rsidR="006710EE" w:rsidRPr="006244E6">
        <w:rPr>
          <w:rStyle w:val="FootnoteReference"/>
        </w:rPr>
        <w:footnoteReference w:id="7"/>
      </w:r>
      <w:r w:rsidRPr="00B14FA4">
        <w:rPr>
          <w:rFonts w:cs="Arial"/>
        </w:rPr>
        <w:t xml:space="preserve"> and DSA mechanisms</w:t>
      </w:r>
      <w:r w:rsidR="006710EE" w:rsidRPr="006244E6">
        <w:rPr>
          <w:rStyle w:val="FootnoteReference"/>
        </w:rPr>
        <w:footnoteReference w:id="8"/>
      </w:r>
      <w:r w:rsidRPr="00B14FA4">
        <w:rPr>
          <w:rFonts w:cs="Arial"/>
        </w:rPr>
        <w:t>), ensuring that the ACMA has an up</w:t>
      </w:r>
      <w:r w:rsidR="00F24A61">
        <w:rPr>
          <w:rFonts w:cs="Arial"/>
        </w:rPr>
        <w:t>-</w:t>
      </w:r>
      <w:r w:rsidRPr="00B14FA4">
        <w:rPr>
          <w:rFonts w:cs="Arial"/>
        </w:rPr>
        <w:t>to</w:t>
      </w:r>
      <w:r w:rsidR="00F24A61">
        <w:rPr>
          <w:rFonts w:cs="Arial"/>
        </w:rPr>
        <w:t>-</w:t>
      </w:r>
      <w:r w:rsidRPr="00B14FA4">
        <w:rPr>
          <w:rFonts w:cs="Arial"/>
        </w:rPr>
        <w:t xml:space="preserve">date understanding of the relevant options available to spectrum regulators. </w:t>
      </w:r>
    </w:p>
    <w:p w14:paraId="77968492" w14:textId="2AF9C203" w:rsidR="00B14FA4" w:rsidRPr="00B14FA4" w:rsidRDefault="00B14FA4" w:rsidP="00B14FA4">
      <w:pPr>
        <w:rPr>
          <w:rFonts w:cs="Arial"/>
        </w:rPr>
      </w:pPr>
      <w:r w:rsidRPr="00B14FA4">
        <w:rPr>
          <w:rFonts w:cs="Arial"/>
        </w:rPr>
        <w:t xml:space="preserve">The ACMA expects to discuss and seek feedback on specific </w:t>
      </w:r>
      <w:r w:rsidR="00B07001">
        <w:rPr>
          <w:rFonts w:cs="Arial"/>
        </w:rPr>
        <w:t>S</w:t>
      </w:r>
      <w:r w:rsidRPr="00B14FA4">
        <w:rPr>
          <w:rFonts w:cs="Arial"/>
        </w:rPr>
        <w:t xml:space="preserve">pectrum </w:t>
      </w:r>
      <w:r w:rsidR="00B07001">
        <w:rPr>
          <w:rFonts w:cs="Arial"/>
        </w:rPr>
        <w:t>R</w:t>
      </w:r>
      <w:r w:rsidRPr="00B14FA4">
        <w:rPr>
          <w:rFonts w:cs="Arial"/>
        </w:rPr>
        <w:t>eview implementation issues through processes such as issues papers and conducting stakeholder forums (</w:t>
      </w:r>
      <w:r w:rsidR="00B07001">
        <w:rPr>
          <w:rFonts w:cs="Arial"/>
        </w:rPr>
        <w:t xml:space="preserve">for example, </w:t>
      </w:r>
      <w:r w:rsidRPr="00B14FA4">
        <w:rPr>
          <w:rFonts w:cs="Arial"/>
        </w:rPr>
        <w:t>‘</w:t>
      </w:r>
      <w:r w:rsidR="00172E19">
        <w:rPr>
          <w:rFonts w:cs="Arial"/>
        </w:rPr>
        <w:t>t</w:t>
      </w:r>
      <w:r w:rsidRPr="00B14FA4">
        <w:rPr>
          <w:rFonts w:cs="Arial"/>
        </w:rPr>
        <w:t>une</w:t>
      </w:r>
      <w:r w:rsidR="00B07001">
        <w:rPr>
          <w:rFonts w:cs="Arial"/>
        </w:rPr>
        <w:t>-u</w:t>
      </w:r>
      <w:r w:rsidRPr="00B14FA4">
        <w:rPr>
          <w:rFonts w:cs="Arial"/>
        </w:rPr>
        <w:t xml:space="preserve">ps’). The ACMA expects to share with stakeholders its next round of thinking about possible approaches to </w:t>
      </w:r>
      <w:r w:rsidR="00B07001">
        <w:rPr>
          <w:rFonts w:cs="Arial"/>
        </w:rPr>
        <w:t>S</w:t>
      </w:r>
      <w:r w:rsidRPr="00B14FA4">
        <w:rPr>
          <w:rFonts w:cs="Arial"/>
        </w:rPr>
        <w:t xml:space="preserve">pectrum </w:t>
      </w:r>
      <w:r w:rsidR="00B07001">
        <w:rPr>
          <w:rFonts w:cs="Arial"/>
        </w:rPr>
        <w:t>R</w:t>
      </w:r>
      <w:r w:rsidRPr="00B14FA4">
        <w:rPr>
          <w:rFonts w:cs="Arial"/>
        </w:rPr>
        <w:t xml:space="preserve">eview implementation prior to the Bill becoming law. The ACMA also expects its regular </w:t>
      </w:r>
      <w:r w:rsidRPr="00EE56DF">
        <w:t>Radcomms</w:t>
      </w:r>
      <w:r w:rsidRPr="00B14FA4">
        <w:rPr>
          <w:rFonts w:cs="Arial"/>
        </w:rPr>
        <w:t xml:space="preserve"> conference in 2017 will provide a forum for discussion with industry on its approach to implementing the </w:t>
      </w:r>
      <w:r w:rsidR="00B07001">
        <w:rPr>
          <w:rFonts w:cs="Arial"/>
        </w:rPr>
        <w:t>S</w:t>
      </w:r>
      <w:r w:rsidRPr="00B14FA4">
        <w:rPr>
          <w:rFonts w:cs="Arial"/>
        </w:rPr>
        <w:t xml:space="preserve">pectrum </w:t>
      </w:r>
      <w:r w:rsidR="00B07001">
        <w:rPr>
          <w:rFonts w:cs="Arial"/>
        </w:rPr>
        <w:t>R</w:t>
      </w:r>
      <w:r w:rsidRPr="00B14FA4">
        <w:rPr>
          <w:rFonts w:cs="Arial"/>
        </w:rPr>
        <w:t>eview.</w:t>
      </w:r>
    </w:p>
    <w:p w14:paraId="6468CD26" w14:textId="2CB93C03" w:rsidR="00B14FA4" w:rsidRPr="00B14FA4" w:rsidRDefault="0048729B" w:rsidP="00B14FA4">
      <w:pPr>
        <w:rPr>
          <w:rFonts w:cs="Arial"/>
        </w:rPr>
      </w:pPr>
      <w:r>
        <w:rPr>
          <w:rFonts w:cs="Arial"/>
        </w:rPr>
        <w:t>Prior to finalising its approach</w:t>
      </w:r>
      <w:r w:rsidR="00B14FA4" w:rsidRPr="00B14FA4">
        <w:rPr>
          <w:rFonts w:cs="Arial"/>
        </w:rPr>
        <w:t xml:space="preserve">, the ACMA expects to canvass </w:t>
      </w:r>
      <w:r w:rsidR="00BF5E2A">
        <w:rPr>
          <w:rFonts w:cs="Arial"/>
        </w:rPr>
        <w:t xml:space="preserve">a </w:t>
      </w:r>
      <w:r w:rsidR="00B14FA4" w:rsidRPr="00B14FA4">
        <w:rPr>
          <w:rFonts w:cs="Arial"/>
        </w:rPr>
        <w:t>range of licensing system reform options, including the shape of the new licensing system</w:t>
      </w:r>
      <w:r w:rsidR="00EB2095">
        <w:rPr>
          <w:rFonts w:cs="Arial"/>
        </w:rPr>
        <w:t>,</w:t>
      </w:r>
      <w:r w:rsidR="00B14FA4" w:rsidRPr="00B14FA4">
        <w:rPr>
          <w:rFonts w:cs="Arial"/>
        </w:rPr>
        <w:t xml:space="preserve"> and the nature of the proposed replacement licences and spectrum authorisations for all existing apparatus, spectrum and class licences. The ACMA also expects to engage with stakeholders on the considerations to inform the prioritisation and timetabling of the transition of apparatus licences after the commencement of the main provisions of the Bill.</w:t>
      </w:r>
    </w:p>
    <w:p w14:paraId="23930B3D" w14:textId="4A94BF36" w:rsidR="00B14FA4" w:rsidRPr="00B14FA4" w:rsidRDefault="00B14FA4" w:rsidP="00B14FA4">
      <w:pPr>
        <w:rPr>
          <w:rFonts w:cs="Arial"/>
        </w:rPr>
      </w:pPr>
      <w:r w:rsidRPr="00B14FA4">
        <w:rPr>
          <w:rFonts w:cs="Arial"/>
        </w:rPr>
        <w:t>As a result of this process of active regulatory development and stakeholder engagement, the ACMA aims to be well prepared to seek stakeholder feedback on the formal arrangements to implement both the overarching design for the new licensing system and a transition process for existing licences, if the Bill becomes law. These formal arrangements are expected to include the instruments to support the licensing system (</w:t>
      </w:r>
      <w:r w:rsidR="00B07001">
        <w:rPr>
          <w:rFonts w:cs="Arial"/>
        </w:rPr>
        <w:t>for example,</w:t>
      </w:r>
      <w:r w:rsidRPr="00B14FA4">
        <w:rPr>
          <w:rFonts w:cs="Arial"/>
        </w:rPr>
        <w:t xml:space="preserve"> licence issue schemes and legislative instruments that provide for conditions applicable to a number of licences) and the arrangements to support the move of groups of apparatus licences to the new system.</w:t>
      </w:r>
    </w:p>
    <w:p w14:paraId="5B22F43B" w14:textId="793BB94F" w:rsidR="00B14FA4" w:rsidRPr="00B14FA4" w:rsidRDefault="00B14FA4" w:rsidP="006710EE">
      <w:pPr>
        <w:pStyle w:val="Heading2"/>
      </w:pPr>
      <w:bookmarkStart w:id="20" w:name="_Toc467581357"/>
      <w:bookmarkStart w:id="21" w:name="_Toc481057133"/>
      <w:r w:rsidRPr="00B14FA4">
        <w:t>Approach to licensing design under the Bill</w:t>
      </w:r>
      <w:bookmarkEnd w:id="20"/>
      <w:bookmarkEnd w:id="21"/>
    </w:p>
    <w:p w14:paraId="670069CD" w14:textId="77777777" w:rsidR="00B14FA4" w:rsidRPr="00B14FA4" w:rsidRDefault="00B14FA4" w:rsidP="006710EE">
      <w:pPr>
        <w:spacing w:after="80"/>
        <w:rPr>
          <w:rFonts w:cs="Arial"/>
        </w:rPr>
      </w:pPr>
      <w:r w:rsidRPr="00B14FA4">
        <w:rPr>
          <w:rFonts w:cs="Arial"/>
        </w:rPr>
        <w:t>The ACMA expects that the licensing system should:</w:t>
      </w:r>
    </w:p>
    <w:p w14:paraId="15E7CCAB" w14:textId="77777777" w:rsidR="00B14FA4" w:rsidRPr="00B14FA4" w:rsidRDefault="00B14FA4" w:rsidP="006710EE">
      <w:pPr>
        <w:pStyle w:val="ListBullet"/>
      </w:pPr>
      <w:r w:rsidRPr="00B14FA4">
        <w:t>provide an appropriate balance of flexibility and predictability for spectrum users</w:t>
      </w:r>
    </w:p>
    <w:p w14:paraId="78A384E0" w14:textId="77777777" w:rsidR="00B14FA4" w:rsidRPr="00B14FA4" w:rsidRDefault="00B14FA4" w:rsidP="006710EE">
      <w:pPr>
        <w:pStyle w:val="ListBullet"/>
      </w:pPr>
      <w:r w:rsidRPr="00B14FA4">
        <w:t>reflect the outcomes of consultation with current and prospective spectrum users</w:t>
      </w:r>
    </w:p>
    <w:p w14:paraId="342D6D87" w14:textId="77777777" w:rsidR="00B14FA4" w:rsidRPr="00B14FA4" w:rsidRDefault="00B14FA4" w:rsidP="006710EE">
      <w:pPr>
        <w:pStyle w:val="ListBullet"/>
      </w:pPr>
      <w:r w:rsidRPr="00B14FA4">
        <w:t>be developed and implemented in a staged way to effectively manage the transition between the current legislative scheme and the new legislative scheme</w:t>
      </w:r>
    </w:p>
    <w:p w14:paraId="4DCF9A1A" w14:textId="77777777" w:rsidR="00B14FA4" w:rsidRPr="00B14FA4" w:rsidRDefault="00B14FA4" w:rsidP="006710EE">
      <w:pPr>
        <w:pStyle w:val="ListBulletLast"/>
      </w:pPr>
      <w:r w:rsidRPr="00B14FA4">
        <w:t>recognise the close interrelationship between the licensing and technical planning frameworks that underpin spectrum management and the consequent need to accommodate technical planning considerations.</w:t>
      </w:r>
    </w:p>
    <w:p w14:paraId="3057AAEB" w14:textId="77777777" w:rsidR="00B14FA4" w:rsidRPr="00B14FA4" w:rsidRDefault="00B14FA4" w:rsidP="006710EE">
      <w:pPr>
        <w:spacing w:after="80"/>
        <w:rPr>
          <w:rFonts w:cs="Arial"/>
        </w:rPr>
      </w:pPr>
      <w:r w:rsidRPr="00B14FA4">
        <w:rPr>
          <w:rFonts w:cs="Arial"/>
        </w:rPr>
        <w:lastRenderedPageBreak/>
        <w:t>There are costs attached to complexity in a licensing system. Complexity can arise from the conditions and other provisions of individual licences, the extent of differentiation between licences and/or licence types, or the rules which support the issue and use of licences. All other things being equal, increased complexity has the potential to:</w:t>
      </w:r>
    </w:p>
    <w:p w14:paraId="2E44BA2F" w14:textId="47785774" w:rsidR="00B14FA4" w:rsidRPr="00B14FA4" w:rsidRDefault="00B14FA4" w:rsidP="006710EE">
      <w:pPr>
        <w:pStyle w:val="ListBullet"/>
      </w:pPr>
      <w:r w:rsidRPr="00B14FA4">
        <w:t>place limits on the divisibility of licences and</w:t>
      </w:r>
      <w:r w:rsidR="00B07001">
        <w:t>,</w:t>
      </w:r>
      <w:r w:rsidRPr="00B14FA4">
        <w:t xml:space="preserve"> conversely</w:t>
      </w:r>
      <w:r w:rsidR="00B07001">
        <w:t>,</w:t>
      </w:r>
      <w:r w:rsidRPr="00B14FA4">
        <w:t xml:space="preserve"> on the aggregation of licences</w:t>
      </w:r>
    </w:p>
    <w:p w14:paraId="1DA77B7C" w14:textId="5C11F623" w:rsidR="00B14FA4" w:rsidRPr="00B14FA4" w:rsidRDefault="00B14FA4" w:rsidP="006710EE">
      <w:pPr>
        <w:pStyle w:val="ListBullet"/>
      </w:pPr>
      <w:r w:rsidRPr="00B14FA4">
        <w:t xml:space="preserve">discourage trading of licences because it reduces the substitutability of licences </w:t>
      </w:r>
    </w:p>
    <w:p w14:paraId="3D3918CB" w14:textId="3E5E0F0C" w:rsidR="00B14FA4" w:rsidRPr="00B14FA4" w:rsidRDefault="00B14FA4" w:rsidP="006710EE">
      <w:pPr>
        <w:pStyle w:val="ListBullet"/>
      </w:pPr>
      <w:r w:rsidRPr="00B14FA4">
        <w:t>place unjustified transaction costs on spectrum users</w:t>
      </w:r>
    </w:p>
    <w:p w14:paraId="5278E7EE" w14:textId="6CCB2A64" w:rsidR="00B14FA4" w:rsidRPr="00B14FA4" w:rsidRDefault="00B14FA4" w:rsidP="006710EE">
      <w:pPr>
        <w:pStyle w:val="ListBulletLast"/>
      </w:pPr>
      <w:r w:rsidRPr="00B14FA4">
        <w:t>discourage competition in the issue of licences and use of spectrum.</w:t>
      </w:r>
    </w:p>
    <w:p w14:paraId="03667A8B" w14:textId="504C2EAC" w:rsidR="00B14FA4" w:rsidRPr="00B14FA4" w:rsidRDefault="00B14FA4" w:rsidP="00B14FA4">
      <w:pPr>
        <w:rPr>
          <w:rFonts w:cs="Arial"/>
        </w:rPr>
      </w:pPr>
      <w:r w:rsidRPr="00B14FA4">
        <w:rPr>
          <w:rFonts w:cs="Arial"/>
        </w:rPr>
        <w:t xml:space="preserve">The current licensing system involves the categorisation of licences in a number of ways. The </w:t>
      </w:r>
      <w:r w:rsidRPr="00AE15CD">
        <w:rPr>
          <w:rFonts w:cs="Arial"/>
        </w:rPr>
        <w:t>Radiocommunications (Specified Radiocommunications Receivers and Types of Transmitter Licences and Receiver Licences) Determination 2014</w:t>
      </w:r>
      <w:r w:rsidRPr="001E0075">
        <w:rPr>
          <w:rFonts w:cs="Arial"/>
        </w:rPr>
        <w:t xml:space="preserve">, </w:t>
      </w:r>
      <w:r w:rsidRPr="00AE15CD">
        <w:rPr>
          <w:rFonts w:cs="Arial"/>
        </w:rPr>
        <w:t>Radiocommunications (Interpretation) Determination 2015</w:t>
      </w:r>
      <w:r w:rsidRPr="00B14FA4">
        <w:rPr>
          <w:rFonts w:cs="Arial"/>
        </w:rPr>
        <w:t xml:space="preserve"> and taxation arrangements for apparatus licences establish the current su</w:t>
      </w:r>
      <w:r w:rsidR="006710EE">
        <w:rPr>
          <w:rFonts w:cs="Arial"/>
        </w:rPr>
        <w:t>ite of apparatus licence types</w:t>
      </w:r>
      <w:r w:rsidR="00F16848">
        <w:rPr>
          <w:rFonts w:cs="Arial"/>
        </w:rPr>
        <w:t xml:space="preserve"> and the taxes for each type</w:t>
      </w:r>
      <w:r w:rsidR="006710EE">
        <w:rPr>
          <w:rFonts w:cs="Arial"/>
        </w:rPr>
        <w:t>.</w:t>
      </w:r>
      <w:r w:rsidR="006710EE" w:rsidRPr="006244E6">
        <w:rPr>
          <w:rStyle w:val="FootnoteReference"/>
        </w:rPr>
        <w:footnoteReference w:id="9"/>
      </w:r>
      <w:r w:rsidR="006710EE" w:rsidRPr="006244E6">
        <w:t xml:space="preserve"> </w:t>
      </w:r>
      <w:r w:rsidRPr="00B14FA4">
        <w:rPr>
          <w:rFonts w:cs="Arial"/>
        </w:rPr>
        <w:t>Some licence condition determinations als</w:t>
      </w:r>
      <w:r w:rsidR="00B57706">
        <w:rPr>
          <w:rFonts w:cs="Arial"/>
        </w:rPr>
        <w:t xml:space="preserve">o </w:t>
      </w:r>
      <w:r w:rsidR="007F4A80">
        <w:rPr>
          <w:rFonts w:cs="Arial"/>
        </w:rPr>
        <w:t xml:space="preserve">rely upon </w:t>
      </w:r>
      <w:r w:rsidR="00B57706">
        <w:rPr>
          <w:rFonts w:cs="Arial"/>
        </w:rPr>
        <w:t xml:space="preserve">this categorisation. </w:t>
      </w:r>
      <w:r w:rsidRPr="00B14FA4">
        <w:rPr>
          <w:rFonts w:cs="Arial"/>
        </w:rPr>
        <w:t xml:space="preserve">Administrative documents such as Radiocommunications Assignment and Licensing Instructions (RALIs) also </w:t>
      </w:r>
      <w:r w:rsidR="007F4A80">
        <w:rPr>
          <w:rFonts w:cs="Arial"/>
        </w:rPr>
        <w:t>rely upon</w:t>
      </w:r>
      <w:r w:rsidR="00CE58C6">
        <w:rPr>
          <w:rFonts w:cs="Arial"/>
        </w:rPr>
        <w:t xml:space="preserve"> </w:t>
      </w:r>
      <w:r w:rsidRPr="00B14FA4">
        <w:rPr>
          <w:rFonts w:cs="Arial"/>
        </w:rPr>
        <w:t>this categorisation by outlining the recommended coordination methodology between two (or more) uses of the spectrum. Similarly</w:t>
      </w:r>
      <w:r w:rsidRPr="006710EE">
        <w:rPr>
          <w:rFonts w:cs="Arial"/>
          <w:i/>
        </w:rPr>
        <w:t xml:space="preserve">, </w:t>
      </w:r>
      <w:r w:rsidRPr="000D487F">
        <w:t>the</w:t>
      </w:r>
      <w:r w:rsidRPr="006710EE">
        <w:rPr>
          <w:rFonts w:cs="Arial"/>
          <w:i/>
        </w:rPr>
        <w:t xml:space="preserve"> Australian Radiofrequency Spectrum Plan 201</w:t>
      </w:r>
      <w:r w:rsidR="00047E43">
        <w:rPr>
          <w:rFonts w:cs="Arial"/>
          <w:i/>
        </w:rPr>
        <w:t>7</w:t>
      </w:r>
      <w:r w:rsidR="00047E43" w:rsidRPr="000D487F">
        <w:rPr>
          <w:i/>
        </w:rPr>
        <w:t xml:space="preserve"> </w:t>
      </w:r>
      <w:r w:rsidRPr="00B14FA4">
        <w:rPr>
          <w:rFonts w:cs="Arial"/>
        </w:rPr>
        <w:t xml:space="preserve">provides a form of differentiation between </w:t>
      </w:r>
      <w:r w:rsidR="00D66709">
        <w:rPr>
          <w:rFonts w:cs="Arial"/>
        </w:rPr>
        <w:t xml:space="preserve">apparatus </w:t>
      </w:r>
      <w:r w:rsidRPr="00B14FA4">
        <w:rPr>
          <w:rFonts w:cs="Arial"/>
        </w:rPr>
        <w:t xml:space="preserve">licences on the basis of the permitted services for particular bands, while also allowing use of </w:t>
      </w:r>
      <w:r w:rsidR="007559EE">
        <w:rPr>
          <w:rFonts w:cs="Arial"/>
        </w:rPr>
        <w:t xml:space="preserve">some </w:t>
      </w:r>
      <w:r w:rsidRPr="00B14FA4">
        <w:rPr>
          <w:rFonts w:cs="Arial"/>
        </w:rPr>
        <w:t xml:space="preserve">devices by spectrum licensees and </w:t>
      </w:r>
      <w:r w:rsidR="0028596E">
        <w:rPr>
          <w:rFonts w:cs="Arial"/>
        </w:rPr>
        <w:t xml:space="preserve">under </w:t>
      </w:r>
      <w:r w:rsidRPr="00B14FA4">
        <w:rPr>
          <w:rFonts w:cs="Arial"/>
        </w:rPr>
        <w:t>class licen</w:t>
      </w:r>
      <w:r w:rsidR="0028596E">
        <w:rPr>
          <w:rFonts w:cs="Arial"/>
        </w:rPr>
        <w:t>c</w:t>
      </w:r>
      <w:r w:rsidRPr="00B14FA4">
        <w:rPr>
          <w:rFonts w:cs="Arial"/>
        </w:rPr>
        <w:t xml:space="preserve">es for </w:t>
      </w:r>
      <w:r w:rsidR="007559EE">
        <w:rPr>
          <w:rFonts w:cs="Arial"/>
        </w:rPr>
        <w:t xml:space="preserve">some </w:t>
      </w:r>
      <w:r w:rsidRPr="00B14FA4">
        <w:rPr>
          <w:rFonts w:cs="Arial"/>
        </w:rPr>
        <w:t xml:space="preserve">services </w:t>
      </w:r>
      <w:r w:rsidR="0052008C">
        <w:rPr>
          <w:rFonts w:cs="Arial"/>
        </w:rPr>
        <w:t>that</w:t>
      </w:r>
      <w:r w:rsidR="0052008C" w:rsidRPr="00B14FA4">
        <w:rPr>
          <w:rFonts w:cs="Arial"/>
        </w:rPr>
        <w:t xml:space="preserve"> </w:t>
      </w:r>
      <w:r w:rsidRPr="00B14FA4">
        <w:rPr>
          <w:rFonts w:cs="Arial"/>
        </w:rPr>
        <w:t xml:space="preserve">are not specified in the plan. The Bill provides </w:t>
      </w:r>
      <w:r w:rsidR="002441B0">
        <w:rPr>
          <w:rFonts w:cs="Arial"/>
        </w:rPr>
        <w:t xml:space="preserve">an </w:t>
      </w:r>
      <w:r w:rsidRPr="00B14FA4">
        <w:rPr>
          <w:rFonts w:cs="Arial"/>
        </w:rPr>
        <w:t>opportunit</w:t>
      </w:r>
      <w:r w:rsidR="002441B0">
        <w:rPr>
          <w:rFonts w:cs="Arial"/>
        </w:rPr>
        <w:t>y</w:t>
      </w:r>
      <w:r w:rsidRPr="00B14FA4">
        <w:rPr>
          <w:rFonts w:cs="Arial"/>
        </w:rPr>
        <w:t xml:space="preserve"> to consider whether the existing categorisation of licences is optimal. It may be that greater simplicity can be achieved in the licensing system, while continuing to support the existing needs of licensees to operate services.</w:t>
      </w:r>
    </w:p>
    <w:p w14:paraId="0D77DB40" w14:textId="0691C4D4" w:rsidR="00B14FA4" w:rsidRPr="00B14FA4" w:rsidRDefault="00F16848" w:rsidP="006710EE">
      <w:pPr>
        <w:spacing w:after="80"/>
        <w:rPr>
          <w:rFonts w:cs="Arial"/>
        </w:rPr>
      </w:pPr>
      <w:r>
        <w:rPr>
          <w:rFonts w:cs="Arial"/>
        </w:rPr>
        <w:t>Appendix</w:t>
      </w:r>
      <w:r w:rsidRPr="00B14FA4">
        <w:rPr>
          <w:rFonts w:cs="Arial"/>
        </w:rPr>
        <w:t xml:space="preserve"> </w:t>
      </w:r>
      <w:r w:rsidR="00B14FA4" w:rsidRPr="00B14FA4">
        <w:rPr>
          <w:rFonts w:cs="Arial"/>
        </w:rPr>
        <w:t xml:space="preserve">A provides two sample licences illustrating how licences could be configured under the Bill. </w:t>
      </w:r>
    </w:p>
    <w:p w14:paraId="4A22D4EE" w14:textId="77777777" w:rsidR="00B14FA4" w:rsidRPr="00B14FA4" w:rsidRDefault="00B14FA4" w:rsidP="006710EE">
      <w:pPr>
        <w:pStyle w:val="ListBullet"/>
      </w:pPr>
      <w:r w:rsidRPr="00B14FA4">
        <w:t xml:space="preserve">The sample area-based licence authorises operation of devices in the 1800 MHz band within a specified geographical area. It resembles a spectrum licence under the 1992 Act. </w:t>
      </w:r>
    </w:p>
    <w:p w14:paraId="354F8E85" w14:textId="7B129782" w:rsidR="00B14FA4" w:rsidRPr="00B14FA4" w:rsidRDefault="00B14FA4" w:rsidP="006710EE">
      <w:pPr>
        <w:pStyle w:val="ListBulletLast"/>
      </w:pPr>
      <w:r w:rsidRPr="00B14FA4">
        <w:t>The sample location-based licence authorises operation of devices in the 400 MHz band at specified geographical locations. It is a type of licence where individual assignments are coordinated with other users according to rules</w:t>
      </w:r>
      <w:r w:rsidR="002441B0">
        <w:t xml:space="preserve"> or policies</w:t>
      </w:r>
      <w:r w:rsidRPr="00B14FA4">
        <w:t xml:space="preserve"> developed by the </w:t>
      </w:r>
      <w:r w:rsidR="002441B0">
        <w:t>ACMA</w:t>
      </w:r>
      <w:r w:rsidRPr="00B14FA4">
        <w:t>. It resembles an apparatus licence for a fixed point</w:t>
      </w:r>
      <w:r w:rsidR="0052008C">
        <w:t>-</w:t>
      </w:r>
      <w:r w:rsidRPr="00B14FA4">
        <w:t>to</w:t>
      </w:r>
      <w:r w:rsidR="0052008C">
        <w:t>-</w:t>
      </w:r>
      <w:r w:rsidRPr="00B14FA4">
        <w:t>point service under the 1992</w:t>
      </w:r>
      <w:r w:rsidR="006710EE">
        <w:t xml:space="preserve"> Act</w:t>
      </w:r>
      <w:r w:rsidR="0052008C">
        <w:t>.</w:t>
      </w:r>
      <w:r w:rsidR="006710EE" w:rsidRPr="006244E6">
        <w:rPr>
          <w:rStyle w:val="FootnoteReference"/>
        </w:rPr>
        <w:footnoteReference w:id="10"/>
      </w:r>
    </w:p>
    <w:p w14:paraId="481B58E9" w14:textId="1C995EFF" w:rsidR="00B14FA4" w:rsidRPr="00B14FA4" w:rsidRDefault="00B14FA4" w:rsidP="00B14FA4">
      <w:pPr>
        <w:rPr>
          <w:rFonts w:cs="Arial"/>
        </w:rPr>
      </w:pPr>
      <w:r w:rsidRPr="00B14FA4">
        <w:rPr>
          <w:rFonts w:cs="Arial"/>
        </w:rPr>
        <w:t>As the ACMA is yet to consult about the design of the new licensing system, these sample licences are indicative only and are designed solely to assist spectrum users in consideration of the exposure draft of the Bill.</w:t>
      </w:r>
    </w:p>
    <w:p w14:paraId="5C2EBF41" w14:textId="3DFC2BD6" w:rsidR="00B14FA4" w:rsidRPr="00B14FA4" w:rsidRDefault="007B700A" w:rsidP="00B14FA4">
      <w:pPr>
        <w:rPr>
          <w:rFonts w:cs="Arial"/>
        </w:rPr>
      </w:pPr>
      <w:r>
        <w:rPr>
          <w:rFonts w:cs="Arial"/>
        </w:rPr>
        <w:lastRenderedPageBreak/>
        <w:t>Appendix</w:t>
      </w:r>
      <w:r w:rsidR="00B14FA4" w:rsidRPr="00B14FA4">
        <w:rPr>
          <w:rFonts w:cs="Arial"/>
        </w:rPr>
        <w:t xml:space="preserve"> B provides a table </w:t>
      </w:r>
      <w:r w:rsidR="0052008C">
        <w:rPr>
          <w:rFonts w:cs="Arial"/>
        </w:rPr>
        <w:t>that</w:t>
      </w:r>
      <w:r w:rsidR="0052008C" w:rsidRPr="00B14FA4">
        <w:rPr>
          <w:rFonts w:cs="Arial"/>
        </w:rPr>
        <w:t xml:space="preserve"> </w:t>
      </w:r>
      <w:r w:rsidR="00B14FA4" w:rsidRPr="00B14FA4">
        <w:rPr>
          <w:rFonts w:cs="Arial"/>
        </w:rPr>
        <w:t xml:space="preserve">describes the conditions, designated statements and other matters that the Bill would permit or require to be included </w:t>
      </w:r>
      <w:r w:rsidR="005E4F17">
        <w:rPr>
          <w:rFonts w:cs="Arial"/>
        </w:rPr>
        <w:t>i</w:t>
      </w:r>
      <w:r w:rsidR="00B14FA4" w:rsidRPr="00B14FA4">
        <w:rPr>
          <w:rFonts w:cs="Arial"/>
        </w:rPr>
        <w:t>n licences, and outlines the considerations the ACMA expects to take into account in determining the content of those conditions and designated statements. In general, in determining the appropriate characteristics of licences, the ACMA will be guided by the objects of the Bill</w:t>
      </w:r>
      <w:r w:rsidR="0052008C">
        <w:rPr>
          <w:rFonts w:cs="Arial"/>
        </w:rPr>
        <w:t>,</w:t>
      </w:r>
      <w:r w:rsidR="00B14FA4" w:rsidRPr="00B14FA4">
        <w:rPr>
          <w:rFonts w:cs="Arial"/>
        </w:rPr>
        <w:t xml:space="preserve"> including overall efficient management of spectrum</w:t>
      </w:r>
      <w:r w:rsidR="00412636">
        <w:rPr>
          <w:rFonts w:cs="Arial"/>
        </w:rPr>
        <w:t xml:space="preserve">, </w:t>
      </w:r>
      <w:r w:rsidR="004F0ACE">
        <w:rPr>
          <w:rFonts w:cs="Arial"/>
        </w:rPr>
        <w:t>any relevant ministerial policy statements</w:t>
      </w:r>
      <w:r w:rsidR="00412636">
        <w:rPr>
          <w:rFonts w:cs="Arial"/>
        </w:rPr>
        <w:t xml:space="preserve"> and any relevant ministerial directions</w:t>
      </w:r>
      <w:r w:rsidR="00B14FA4" w:rsidRPr="00B14FA4">
        <w:rPr>
          <w:rFonts w:cs="Arial"/>
        </w:rPr>
        <w:t>.</w:t>
      </w:r>
    </w:p>
    <w:p w14:paraId="086C0DF0" w14:textId="235623C1" w:rsidR="00B14FA4" w:rsidRPr="00B14FA4" w:rsidRDefault="00B14FA4" w:rsidP="00ED645E">
      <w:pPr>
        <w:pStyle w:val="Heading2"/>
      </w:pPr>
      <w:bookmarkStart w:id="22" w:name="_Toc467581358"/>
      <w:bookmarkStart w:id="23" w:name="_Toc481057134"/>
      <w:r w:rsidRPr="00B14FA4">
        <w:t>Approach to licence issue schemes (LISs) under the Bill</w:t>
      </w:r>
      <w:bookmarkEnd w:id="22"/>
      <w:bookmarkEnd w:id="23"/>
    </w:p>
    <w:p w14:paraId="345F6430" w14:textId="3DE27986" w:rsidR="00B14FA4" w:rsidRPr="00B14FA4" w:rsidRDefault="00B14FA4" w:rsidP="00B14FA4">
      <w:pPr>
        <w:rPr>
          <w:rFonts w:cs="Arial"/>
        </w:rPr>
      </w:pPr>
      <w:r w:rsidRPr="00B14FA4">
        <w:rPr>
          <w:rFonts w:cs="Arial"/>
        </w:rPr>
        <w:t>It is expected that LISs will codify the manner in which the large majority of licences will be issued. In determining what form of LIS to use, the ACMA expects to take into account market conditions. For example, in relation to geographic areas and/or frequencies where licences are in high demand, allocative efficiency may be best achieved by a price</w:t>
      </w:r>
      <w:r w:rsidR="0052008C">
        <w:rPr>
          <w:rFonts w:cs="Arial"/>
        </w:rPr>
        <w:t>-</w:t>
      </w:r>
      <w:r w:rsidRPr="00B14FA4">
        <w:rPr>
          <w:rFonts w:cs="Arial"/>
        </w:rPr>
        <w:t>based process for issuing licences. In cases where there is little contention for the spectrum, ‘over</w:t>
      </w:r>
      <w:r w:rsidR="0052008C">
        <w:rPr>
          <w:rFonts w:cs="Arial"/>
        </w:rPr>
        <w:t>-</w:t>
      </w:r>
      <w:r w:rsidRPr="00B14FA4">
        <w:rPr>
          <w:rFonts w:cs="Arial"/>
        </w:rPr>
        <w:t>the</w:t>
      </w:r>
      <w:r w:rsidR="0052008C">
        <w:rPr>
          <w:rFonts w:cs="Arial"/>
        </w:rPr>
        <w:t>-</w:t>
      </w:r>
      <w:r w:rsidRPr="00B14FA4">
        <w:rPr>
          <w:rFonts w:cs="Arial"/>
        </w:rPr>
        <w:t xml:space="preserve">counter’ processes for a </w:t>
      </w:r>
      <w:r w:rsidR="006755AC">
        <w:rPr>
          <w:rFonts w:cs="Arial"/>
        </w:rPr>
        <w:t>fixed amount</w:t>
      </w:r>
      <w:r w:rsidRPr="00B14FA4">
        <w:rPr>
          <w:rFonts w:cs="Arial"/>
        </w:rPr>
        <w:t xml:space="preserve"> might well be appropriate (that is, the ACMA will consider whether to issue a licence in response to an application made in accordance with a relevant LIS, for a </w:t>
      </w:r>
      <w:r w:rsidR="006755AC">
        <w:rPr>
          <w:rFonts w:cs="Arial"/>
        </w:rPr>
        <w:t>fixed</w:t>
      </w:r>
      <w:r w:rsidRPr="00B14FA4">
        <w:rPr>
          <w:rFonts w:cs="Arial"/>
        </w:rPr>
        <w:t xml:space="preserve"> spectrum access charge and</w:t>
      </w:r>
      <w:r w:rsidR="006755AC">
        <w:rPr>
          <w:rFonts w:cs="Arial"/>
        </w:rPr>
        <w:t>/or</w:t>
      </w:r>
      <w:r w:rsidRPr="00B14FA4">
        <w:rPr>
          <w:rFonts w:cs="Arial"/>
        </w:rPr>
        <w:t xml:space="preserve"> applicable tax). </w:t>
      </w:r>
    </w:p>
    <w:p w14:paraId="4A936186" w14:textId="345CEEE9" w:rsidR="00B14FA4" w:rsidRPr="00B14FA4" w:rsidRDefault="00B14FA4" w:rsidP="00B14FA4">
      <w:pPr>
        <w:rPr>
          <w:rFonts w:cs="Arial"/>
        </w:rPr>
      </w:pPr>
      <w:r w:rsidRPr="00B14FA4">
        <w:rPr>
          <w:rFonts w:cs="Arial"/>
        </w:rPr>
        <w:t>Currently, the ACMA issues licences through both price-based allocation and administrative means. This provides a starting point for designing LISs under the Bill, using well</w:t>
      </w:r>
      <w:r w:rsidR="0052008C">
        <w:rPr>
          <w:rFonts w:cs="Arial"/>
        </w:rPr>
        <w:t>-</w:t>
      </w:r>
      <w:r w:rsidRPr="00B14FA4">
        <w:rPr>
          <w:rFonts w:cs="Arial"/>
        </w:rPr>
        <w:t>understood approaches.</w:t>
      </w:r>
    </w:p>
    <w:p w14:paraId="13113497" w14:textId="631509D7" w:rsidR="00B14FA4" w:rsidRPr="00B14FA4" w:rsidRDefault="00B14FA4" w:rsidP="00B14FA4">
      <w:pPr>
        <w:rPr>
          <w:rFonts w:cs="Arial"/>
        </w:rPr>
      </w:pPr>
      <w:r w:rsidRPr="00B14FA4">
        <w:rPr>
          <w:rFonts w:cs="Arial"/>
        </w:rPr>
        <w:t>In developing LISs, the ACMA expects to have at least a set of processes for dealing with price</w:t>
      </w:r>
      <w:r w:rsidR="0052008C">
        <w:rPr>
          <w:rFonts w:cs="Arial"/>
        </w:rPr>
        <w:t>-</w:t>
      </w:r>
      <w:r w:rsidRPr="00B14FA4">
        <w:rPr>
          <w:rFonts w:cs="Arial"/>
        </w:rPr>
        <w:t>based issue (PBI) and a set of processes for dealing with administrative or ‘over</w:t>
      </w:r>
      <w:r w:rsidR="0052008C">
        <w:rPr>
          <w:rFonts w:cs="Arial"/>
        </w:rPr>
        <w:t>-</w:t>
      </w:r>
      <w:r w:rsidRPr="00B14FA4">
        <w:rPr>
          <w:rFonts w:cs="Arial"/>
        </w:rPr>
        <w:t>the</w:t>
      </w:r>
      <w:r w:rsidR="0052008C">
        <w:rPr>
          <w:rFonts w:cs="Arial"/>
        </w:rPr>
        <w:t>-</w:t>
      </w:r>
      <w:r w:rsidRPr="00B14FA4">
        <w:rPr>
          <w:rFonts w:cs="Arial"/>
        </w:rPr>
        <w:t>counter’ issue. Price</w:t>
      </w:r>
      <w:r w:rsidR="0052008C">
        <w:rPr>
          <w:rFonts w:cs="Arial"/>
        </w:rPr>
        <w:t>-</w:t>
      </w:r>
      <w:r w:rsidRPr="00B14FA4">
        <w:rPr>
          <w:rFonts w:cs="Arial"/>
        </w:rPr>
        <w:t xml:space="preserve">based processes </w:t>
      </w:r>
      <w:r w:rsidR="00D52190">
        <w:rPr>
          <w:rFonts w:cs="Arial"/>
        </w:rPr>
        <w:t xml:space="preserve">may be used by </w:t>
      </w:r>
      <w:r w:rsidRPr="00B14FA4">
        <w:rPr>
          <w:rFonts w:cs="Arial"/>
        </w:rPr>
        <w:t>the ACMA where appropriate, consistent with any relevant ministerial policy statements or directions and consultation processes.</w:t>
      </w:r>
    </w:p>
    <w:p w14:paraId="161B2F58" w14:textId="77777777" w:rsidR="00B14FA4" w:rsidRPr="00B14FA4" w:rsidRDefault="00ED645E" w:rsidP="00B14FA4">
      <w:pPr>
        <w:rPr>
          <w:rFonts w:cs="Arial"/>
        </w:rPr>
      </w:pPr>
      <w:r>
        <w:rPr>
          <w:noProof/>
        </w:rPr>
        <w:drawing>
          <wp:inline distT="0" distB="0" distL="0" distR="0" wp14:anchorId="0F871C60" wp14:editId="0B9300FA">
            <wp:extent cx="3920947" cy="1383864"/>
            <wp:effectExtent l="0" t="0" r="3810" b="6985"/>
            <wp:docPr id="3" name="Picture 3" descr="PBI: Auction (various methods), Pre-determined price, negotiated price, tender process&#10;&#10;Admin: Over the counter - criteria/merit-based" title="Price-based and administrative licence iss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934710" cy="1388722"/>
                    </a:xfrm>
                    <a:prstGeom prst="rect">
                      <a:avLst/>
                    </a:prstGeom>
                  </pic:spPr>
                </pic:pic>
              </a:graphicData>
            </a:graphic>
          </wp:inline>
        </w:drawing>
      </w:r>
    </w:p>
    <w:p w14:paraId="2BF3F612" w14:textId="3039C73F" w:rsidR="00B14FA4" w:rsidRPr="00B14FA4" w:rsidRDefault="00B14FA4" w:rsidP="00ED645E">
      <w:pPr>
        <w:spacing w:after="80"/>
        <w:rPr>
          <w:rFonts w:cs="Arial"/>
        </w:rPr>
      </w:pPr>
      <w:r w:rsidRPr="00B14FA4">
        <w:rPr>
          <w:rFonts w:cs="Arial"/>
        </w:rPr>
        <w:t xml:space="preserve">The LIS arrangements identified by the ACMA will be designed to meet the </w:t>
      </w:r>
      <w:r w:rsidR="00A12214">
        <w:rPr>
          <w:rFonts w:cs="Arial"/>
        </w:rPr>
        <w:t>objects of the Bill</w:t>
      </w:r>
      <w:r w:rsidRPr="00B14FA4">
        <w:rPr>
          <w:rFonts w:cs="Arial"/>
        </w:rPr>
        <w:t>. To achieve this requires:</w:t>
      </w:r>
    </w:p>
    <w:p w14:paraId="4933E5BB" w14:textId="339D8D09" w:rsidR="00B14FA4" w:rsidRPr="00B14FA4" w:rsidRDefault="00B14FA4" w:rsidP="00ED645E">
      <w:pPr>
        <w:pStyle w:val="ListBullet"/>
      </w:pPr>
      <w:r w:rsidRPr="00B14FA4">
        <w:t>an appropriate balance between providing predictability and transparency for licensees and prospective licensees</w:t>
      </w:r>
    </w:p>
    <w:p w14:paraId="670124ED" w14:textId="3E38613F" w:rsidR="00B14FA4" w:rsidRPr="00B14FA4" w:rsidRDefault="00B14FA4" w:rsidP="00ED645E">
      <w:pPr>
        <w:pStyle w:val="ListBullet"/>
      </w:pPr>
      <w:r w:rsidRPr="00B14FA4">
        <w:t>efficiency of licence issue process</w:t>
      </w:r>
    </w:p>
    <w:p w14:paraId="31F28AD0" w14:textId="77777777" w:rsidR="00B14FA4" w:rsidRPr="00B14FA4" w:rsidRDefault="00B14FA4" w:rsidP="00ED645E">
      <w:pPr>
        <w:pStyle w:val="ListBulletLast"/>
      </w:pPr>
      <w:r w:rsidRPr="00B14FA4">
        <w:t>a capacity for the ACMA to identify the highest value use or uses of spectrum, leading to the overall public benefit derived from the use of the spectrum being maximised.</w:t>
      </w:r>
    </w:p>
    <w:p w14:paraId="40C42AEC" w14:textId="42C65040" w:rsidR="00B14FA4" w:rsidRPr="00B14FA4" w:rsidRDefault="004F0ACE" w:rsidP="00D66709">
      <w:pPr>
        <w:rPr>
          <w:rFonts w:cs="Arial"/>
        </w:rPr>
      </w:pPr>
      <w:r>
        <w:rPr>
          <w:rFonts w:cs="Arial"/>
        </w:rPr>
        <w:t xml:space="preserve">Under the Bill, a </w:t>
      </w:r>
      <w:r w:rsidR="00B14FA4" w:rsidRPr="00B14FA4">
        <w:rPr>
          <w:rFonts w:cs="Arial"/>
        </w:rPr>
        <w:t xml:space="preserve">LIS may confer a power on the ACMA to make decisions such as determining the group of licences that are to be </w:t>
      </w:r>
      <w:r w:rsidR="000C37FA">
        <w:rPr>
          <w:rFonts w:cs="Arial"/>
        </w:rPr>
        <w:t xml:space="preserve">issued by </w:t>
      </w:r>
      <w:r w:rsidR="00B14FA4" w:rsidRPr="00B14FA4">
        <w:rPr>
          <w:rFonts w:cs="Arial"/>
        </w:rPr>
        <w:t>a process under the LIS, the date for applications and commencement of an auction</w:t>
      </w:r>
      <w:r w:rsidR="00D52190">
        <w:rPr>
          <w:rFonts w:cs="Arial"/>
        </w:rPr>
        <w:t xml:space="preserve"> or other market-based approach</w:t>
      </w:r>
      <w:r w:rsidR="00B14FA4" w:rsidRPr="00B14FA4">
        <w:rPr>
          <w:rFonts w:cs="Arial"/>
        </w:rPr>
        <w:t>, and approving forms in relation to an auction.</w:t>
      </w:r>
    </w:p>
    <w:p w14:paraId="40AF8603" w14:textId="7C18B57D" w:rsidR="00B14FA4" w:rsidRPr="00B14FA4" w:rsidRDefault="00B14FA4" w:rsidP="00B14FA4">
      <w:pPr>
        <w:rPr>
          <w:rFonts w:cs="Arial"/>
        </w:rPr>
      </w:pPr>
      <w:r w:rsidRPr="00B14FA4">
        <w:rPr>
          <w:rFonts w:cs="Arial"/>
        </w:rPr>
        <w:t>A LIS could also set out the common rules that apply to each auction process (</w:t>
      </w:r>
      <w:r w:rsidR="004B3AB3">
        <w:rPr>
          <w:rFonts w:cs="Arial"/>
        </w:rPr>
        <w:t>for example</w:t>
      </w:r>
      <w:r w:rsidRPr="00B14FA4">
        <w:rPr>
          <w:rFonts w:cs="Arial"/>
        </w:rPr>
        <w:t xml:space="preserve">, how to submit forms, the process for issuing a licence after an auction, the </w:t>
      </w:r>
      <w:r w:rsidRPr="00B14FA4">
        <w:rPr>
          <w:rFonts w:cs="Arial"/>
        </w:rPr>
        <w:lastRenderedPageBreak/>
        <w:t>process for assessing compliance with any licence issue limits, the consequences for breach of the LI</w:t>
      </w:r>
      <w:r w:rsidR="00B57706">
        <w:rPr>
          <w:rFonts w:cs="Arial"/>
        </w:rPr>
        <w:t>S or the rules of the auction).</w:t>
      </w:r>
      <w:r w:rsidRPr="00B14FA4">
        <w:rPr>
          <w:rFonts w:cs="Arial"/>
        </w:rPr>
        <w:t xml:space="preserve"> </w:t>
      </w:r>
      <w:r w:rsidR="00A12214">
        <w:rPr>
          <w:rFonts w:cs="Arial"/>
        </w:rPr>
        <w:t>M</w:t>
      </w:r>
      <w:r w:rsidRPr="00B14FA4">
        <w:rPr>
          <w:rFonts w:cs="Arial"/>
        </w:rPr>
        <w:t xml:space="preserve">ore detailed rules and procedures </w:t>
      </w:r>
      <w:r w:rsidR="00A12214">
        <w:rPr>
          <w:rFonts w:cs="Arial"/>
        </w:rPr>
        <w:t>specific to each process may also be included</w:t>
      </w:r>
      <w:r w:rsidRPr="00B14FA4">
        <w:rPr>
          <w:rFonts w:cs="Arial"/>
        </w:rPr>
        <w:t xml:space="preserve">. </w:t>
      </w:r>
    </w:p>
    <w:p w14:paraId="28B4F89C" w14:textId="77777777" w:rsidR="00B14FA4" w:rsidRPr="00B14FA4" w:rsidRDefault="00B14FA4" w:rsidP="00B14FA4">
      <w:pPr>
        <w:rPr>
          <w:rFonts w:cs="Arial"/>
        </w:rPr>
      </w:pPr>
      <w:r w:rsidRPr="00B14FA4">
        <w:rPr>
          <w:rFonts w:cs="Arial"/>
        </w:rPr>
        <w:t xml:space="preserve">Examples of the potential scope of the two broad types of LIS identified to date are provided below. </w:t>
      </w:r>
    </w:p>
    <w:p w14:paraId="41B23224" w14:textId="77777777" w:rsidR="00B14FA4" w:rsidRPr="00B14FA4" w:rsidRDefault="00B14FA4" w:rsidP="00B14FA4">
      <w:pPr>
        <w:rPr>
          <w:rFonts w:cs="Arial"/>
        </w:rPr>
      </w:pPr>
      <w:r w:rsidRPr="00B14FA4">
        <w:rPr>
          <w:rFonts w:cs="Arial"/>
        </w:rPr>
        <w:t>The following comments represent indicative thinking only and are provided for the sole purpose of assisting stakeholders in responding to the Bill. Before settling the details of LISs following passage of the Bill, the ACMA expects to consult publicly.</w:t>
      </w:r>
    </w:p>
    <w:p w14:paraId="6C3A7521" w14:textId="5AF78095" w:rsidR="00B14FA4" w:rsidRPr="00B14FA4" w:rsidRDefault="00B14FA4" w:rsidP="00B14FA4">
      <w:pPr>
        <w:rPr>
          <w:rFonts w:cs="Arial"/>
        </w:rPr>
      </w:pPr>
      <w:r w:rsidRPr="00B14FA4">
        <w:rPr>
          <w:rFonts w:cs="Arial"/>
        </w:rPr>
        <w:t>The ACMA expects that a single LIS could form the basis of a number of different administrative issue processes. Similarly, one LIS may be used to provide rules about a number of different price</w:t>
      </w:r>
      <w:r w:rsidR="004B3AB3">
        <w:rPr>
          <w:rFonts w:cs="Arial"/>
        </w:rPr>
        <w:t>-</w:t>
      </w:r>
      <w:r w:rsidRPr="00B14FA4">
        <w:rPr>
          <w:rFonts w:cs="Arial"/>
        </w:rPr>
        <w:t>based issue processes.</w:t>
      </w:r>
    </w:p>
    <w:p w14:paraId="19AC5BF7" w14:textId="32A59E18" w:rsidR="00B14FA4" w:rsidRPr="00B14FA4" w:rsidRDefault="000735B8" w:rsidP="00B14FA4">
      <w:pPr>
        <w:rPr>
          <w:rFonts w:cs="Arial"/>
        </w:rPr>
      </w:pPr>
      <w:r>
        <w:rPr>
          <w:rFonts w:cs="Arial"/>
        </w:rPr>
        <w:t xml:space="preserve">Under the Bill, </w:t>
      </w:r>
      <w:r w:rsidR="00B14FA4" w:rsidRPr="00B14FA4">
        <w:rPr>
          <w:rFonts w:cs="Arial"/>
        </w:rPr>
        <w:t xml:space="preserve">LISs may make reference to documents </w:t>
      </w:r>
      <w:r w:rsidR="00D31D6D">
        <w:rPr>
          <w:rFonts w:cs="Arial"/>
        </w:rPr>
        <w:t xml:space="preserve">or instruments </w:t>
      </w:r>
      <w:r w:rsidR="00B14FA4" w:rsidRPr="00B14FA4">
        <w:rPr>
          <w:rFonts w:cs="Arial"/>
        </w:rPr>
        <w:t xml:space="preserve">either in existence at the time of making </w:t>
      </w:r>
      <w:r w:rsidR="00D31D6D">
        <w:rPr>
          <w:rFonts w:cs="Arial"/>
        </w:rPr>
        <w:t xml:space="preserve">the LIS </w:t>
      </w:r>
      <w:r w:rsidR="00B14FA4" w:rsidRPr="00B14FA4">
        <w:rPr>
          <w:rFonts w:cs="Arial"/>
        </w:rPr>
        <w:t>or that may be prepared for such a purpose. For example, a price</w:t>
      </w:r>
      <w:r w:rsidR="004B3AB3">
        <w:rPr>
          <w:rFonts w:cs="Arial"/>
        </w:rPr>
        <w:t>-</w:t>
      </w:r>
      <w:r w:rsidR="00B14FA4" w:rsidRPr="00B14FA4">
        <w:rPr>
          <w:rFonts w:cs="Arial"/>
        </w:rPr>
        <w:t xml:space="preserve">based allocation LIS may refer to an intention that, in relation to auctions, a prospectus document similar to an applicant information package, or a marketing plan under the 1992 Act, would be prepared. The tables below summarise the </w:t>
      </w:r>
      <w:r w:rsidR="00943C84">
        <w:rPr>
          <w:rFonts w:cs="Arial"/>
        </w:rPr>
        <w:t xml:space="preserve">expected </w:t>
      </w:r>
      <w:r w:rsidR="00B14FA4" w:rsidRPr="00B14FA4">
        <w:rPr>
          <w:rFonts w:cs="Arial"/>
        </w:rPr>
        <w:t>key features of both forms of LIS.</w:t>
      </w:r>
    </w:p>
    <w:tbl>
      <w:tblPr>
        <w:tblStyle w:val="TableGrid"/>
        <w:tblW w:w="0" w:type="auto"/>
        <w:tblCellMar>
          <w:top w:w="57" w:type="dxa"/>
          <w:left w:w="57" w:type="dxa"/>
          <w:bottom w:w="57" w:type="dxa"/>
          <w:right w:w="57" w:type="dxa"/>
        </w:tblCellMar>
        <w:tblLook w:val="04A0" w:firstRow="1" w:lastRow="0" w:firstColumn="1" w:lastColumn="0" w:noHBand="0" w:noVBand="1"/>
        <w:tblCaption w:val="Administrative issue LIS"/>
        <w:tblDescription w:val="Any requirements that a person must satisfy in order to be eligible to apply for a licence (for example, operator qualifications).&#10;Any criteria that the ACMA must take into account when deciding whether, or to whom, to issue a licence&#10;Any circumstances in which the ACMA may, must, may not, or must not issue a licence.&#10;Rules for the process by which a licence is issued.&#10;A requirement for information provided to the ACMA as part of a licence issue process to be verified.&#10;Specify forms to be completed to apply for licence.&#10;Require the provision of information relating to technical specifications within certain bounds or frequency coordination information."/>
      </w:tblPr>
      <w:tblGrid>
        <w:gridCol w:w="7610"/>
        <w:gridCol w:w="51"/>
      </w:tblGrid>
      <w:tr w:rsidR="00ED645E" w:rsidRPr="00ED645E" w14:paraId="2C93D11D" w14:textId="77777777" w:rsidTr="00AE15CD">
        <w:trPr>
          <w:gridAfter w:val="1"/>
          <w:wAfter w:w="51" w:type="dxa"/>
          <w:tblHeader/>
        </w:trPr>
        <w:tc>
          <w:tcPr>
            <w:tcW w:w="7661" w:type="dxa"/>
            <w:shd w:val="clear" w:color="auto" w:fill="404040" w:themeFill="text1" w:themeFillTint="BF"/>
          </w:tcPr>
          <w:p w14:paraId="0450D8A4" w14:textId="003D76FC" w:rsidR="00ED645E" w:rsidRPr="00ED645E" w:rsidRDefault="00ED645E" w:rsidP="000D487F">
            <w:pPr>
              <w:pStyle w:val="TableHeading"/>
              <w:tabs>
                <w:tab w:val="center" w:pos="3722"/>
              </w:tabs>
              <w:rPr>
                <w:color w:val="FFFFFF" w:themeColor="background1"/>
              </w:rPr>
            </w:pPr>
            <w:r w:rsidRPr="00ED645E">
              <w:rPr>
                <w:color w:val="FFFFFF" w:themeColor="background1"/>
              </w:rPr>
              <w:t>Administrative issue LIS</w:t>
            </w:r>
            <w:r w:rsidR="00EE2D84">
              <w:rPr>
                <w:color w:val="FFFFFF" w:themeColor="background1"/>
              </w:rPr>
              <w:tab/>
            </w:r>
          </w:p>
        </w:tc>
      </w:tr>
      <w:tr w:rsidR="00ED645E" w:rsidRPr="00ED645E" w14:paraId="0B9E9485" w14:textId="77777777" w:rsidTr="00AE15CD">
        <w:tc>
          <w:tcPr>
            <w:tcW w:w="7661" w:type="dxa"/>
            <w:gridSpan w:val="2"/>
          </w:tcPr>
          <w:p w14:paraId="3DCA0E97" w14:textId="57DC3959" w:rsidR="00ED645E" w:rsidRPr="00ED645E" w:rsidRDefault="00ED645E" w:rsidP="00ED645E">
            <w:pPr>
              <w:pStyle w:val="TableBody"/>
            </w:pPr>
            <w:r w:rsidRPr="00ED645E">
              <w:t>Any requirements that a person must satisfy in order to be eligible to apply for a licence (</w:t>
            </w:r>
            <w:r w:rsidR="004B3AB3">
              <w:t>for example,</w:t>
            </w:r>
            <w:r w:rsidRPr="00ED645E">
              <w:t xml:space="preserve"> operator qualifications).</w:t>
            </w:r>
          </w:p>
        </w:tc>
      </w:tr>
      <w:tr w:rsidR="00ED645E" w:rsidRPr="00ED645E" w14:paraId="6CFCAB0E" w14:textId="77777777" w:rsidTr="00AE15CD">
        <w:tc>
          <w:tcPr>
            <w:tcW w:w="7661" w:type="dxa"/>
            <w:gridSpan w:val="2"/>
          </w:tcPr>
          <w:p w14:paraId="5DB467BD" w14:textId="77777777" w:rsidR="00ED645E" w:rsidRPr="00ED645E" w:rsidRDefault="00ED645E" w:rsidP="00ED645E">
            <w:pPr>
              <w:pStyle w:val="TableBody"/>
            </w:pPr>
            <w:r w:rsidRPr="00ED645E">
              <w:t>Any criteria that the ACMA must take into account when deciding whether, or to whom, to issue a licence</w:t>
            </w:r>
          </w:p>
        </w:tc>
      </w:tr>
      <w:tr w:rsidR="00ED645E" w:rsidRPr="00ED645E" w14:paraId="5A4AF5E9" w14:textId="77777777" w:rsidTr="00AE15CD">
        <w:tc>
          <w:tcPr>
            <w:tcW w:w="7661" w:type="dxa"/>
            <w:gridSpan w:val="2"/>
          </w:tcPr>
          <w:p w14:paraId="343B196B" w14:textId="3690ED6A" w:rsidR="00ED645E" w:rsidRPr="00ED645E" w:rsidRDefault="00ED645E" w:rsidP="00ED645E">
            <w:pPr>
              <w:pStyle w:val="TableBody"/>
            </w:pPr>
            <w:r w:rsidRPr="00ED645E">
              <w:t>Any circumstances in which the ACMA may, must, may not, or must not issue a licence.</w:t>
            </w:r>
          </w:p>
        </w:tc>
      </w:tr>
      <w:tr w:rsidR="00ED645E" w:rsidRPr="00ED645E" w14:paraId="1BC27B66" w14:textId="77777777" w:rsidTr="00AE15CD">
        <w:tc>
          <w:tcPr>
            <w:tcW w:w="7661" w:type="dxa"/>
            <w:gridSpan w:val="2"/>
          </w:tcPr>
          <w:p w14:paraId="08C8D5E6" w14:textId="147C21DB" w:rsidR="00ED645E" w:rsidRPr="00ED645E" w:rsidRDefault="00ED645E" w:rsidP="00ED645E">
            <w:pPr>
              <w:pStyle w:val="TableBody"/>
            </w:pPr>
            <w:r w:rsidRPr="00ED645E">
              <w:t>Rules for the process by which a licence is issued</w:t>
            </w:r>
            <w:r w:rsidR="004B3AB3">
              <w:t>.</w:t>
            </w:r>
          </w:p>
        </w:tc>
      </w:tr>
      <w:tr w:rsidR="00ED645E" w:rsidRPr="00ED645E" w14:paraId="43DE936E" w14:textId="77777777" w:rsidTr="00AE15CD">
        <w:tc>
          <w:tcPr>
            <w:tcW w:w="7661" w:type="dxa"/>
            <w:gridSpan w:val="2"/>
          </w:tcPr>
          <w:p w14:paraId="0F04BD4B" w14:textId="38FC60E9" w:rsidR="00ED645E" w:rsidRPr="00ED645E" w:rsidRDefault="00ED645E" w:rsidP="00ED645E">
            <w:pPr>
              <w:pStyle w:val="TableBody"/>
            </w:pPr>
            <w:r w:rsidRPr="00ED645E">
              <w:t>A requirement for information provided to the ACMA as part of a licence issue process to be verified</w:t>
            </w:r>
            <w:r w:rsidR="00D31D6D">
              <w:t xml:space="preserve"> by statutory declaration</w:t>
            </w:r>
            <w:r w:rsidRPr="00ED645E">
              <w:t>.</w:t>
            </w:r>
          </w:p>
        </w:tc>
      </w:tr>
      <w:tr w:rsidR="00ED645E" w:rsidRPr="00ED645E" w14:paraId="16051551" w14:textId="77777777" w:rsidTr="00AE15CD">
        <w:tc>
          <w:tcPr>
            <w:tcW w:w="7661" w:type="dxa"/>
            <w:gridSpan w:val="2"/>
          </w:tcPr>
          <w:p w14:paraId="4CCAAABE" w14:textId="16AED68A" w:rsidR="00ED645E" w:rsidRPr="00ED645E" w:rsidRDefault="00ED645E" w:rsidP="00ED645E">
            <w:pPr>
              <w:pStyle w:val="TableBody"/>
            </w:pPr>
            <w:r w:rsidRPr="00ED645E">
              <w:t>Specif</w:t>
            </w:r>
            <w:r w:rsidR="00EB0806">
              <w:t>ication of the</w:t>
            </w:r>
            <w:r w:rsidRPr="00ED645E">
              <w:t xml:space="preserve"> forms to be completed to apply for </w:t>
            </w:r>
            <w:r w:rsidR="00EB0806">
              <w:t xml:space="preserve">a </w:t>
            </w:r>
            <w:r w:rsidRPr="00ED645E">
              <w:t>licence.</w:t>
            </w:r>
          </w:p>
        </w:tc>
      </w:tr>
      <w:tr w:rsidR="00ED645E" w:rsidRPr="00ED645E" w14:paraId="57C292BC" w14:textId="77777777" w:rsidTr="00AE15CD">
        <w:tc>
          <w:tcPr>
            <w:tcW w:w="7661" w:type="dxa"/>
            <w:gridSpan w:val="2"/>
          </w:tcPr>
          <w:p w14:paraId="5C0F732E" w14:textId="4C691B1D" w:rsidR="00ED645E" w:rsidRPr="00ED645E" w:rsidRDefault="00EB0806" w:rsidP="00EB0806">
            <w:pPr>
              <w:pStyle w:val="TableBody"/>
            </w:pPr>
            <w:r>
              <w:t>A requirement for</w:t>
            </w:r>
            <w:r w:rsidR="00ED645E" w:rsidRPr="00ED645E">
              <w:t xml:space="preserve"> the provision of information relating to technical specifications within certain bounds or frequency coordination information.</w:t>
            </w:r>
          </w:p>
        </w:tc>
      </w:tr>
    </w:tbl>
    <w:p w14:paraId="5E842D22" w14:textId="77777777" w:rsidR="00B14FA4" w:rsidRPr="00B14FA4" w:rsidRDefault="00B14FA4" w:rsidP="00B14FA4">
      <w:pPr>
        <w:rPr>
          <w:rFonts w:cs="Arial"/>
        </w:rPr>
      </w:pPr>
    </w:p>
    <w:tbl>
      <w:tblPr>
        <w:tblStyle w:val="TableGrid"/>
        <w:tblW w:w="0" w:type="auto"/>
        <w:tblCellMar>
          <w:top w:w="57" w:type="dxa"/>
          <w:left w:w="57" w:type="dxa"/>
          <w:bottom w:w="57" w:type="dxa"/>
          <w:right w:w="57" w:type="dxa"/>
        </w:tblCellMar>
        <w:tblLook w:val="04A0" w:firstRow="1" w:lastRow="0" w:firstColumn="1" w:lastColumn="0" w:noHBand="0" w:noVBand="1"/>
        <w:tblCaption w:val="Price-based issue LIS"/>
        <w:tblDescription w:val="Any requirements that a person must satisfy in order to be eligible to participate in a process  for a licence.&#10;Any criteria that the ACMA must take into account when deciding whether, or to whom, to issue a licence, if relevant.&#10;Any circumstances in which the ACMA may, must, may not, or must not, issue a licence.&#10;Rules for the process by which a licence is issued.&#10;A requirement for information provided to the ACMA as part of a licence issue process to be verified by statutory declaration.&#10;The consequences of a contravention, by a participant in a process, of a provision of a scheme which is applicable to the participant.&#10;Any circumstances in which a licence issue process (for example, an auction) may be terminated.&#10;Rules for establishing the successful applicant or, alternatively, empowering the ACMA to make or approve those rules. The rules could provide specific auction rules or rules for tender process.&#10;Specify application or entry fees, or eligibility payment.&#10;Specify which forms to be completed and other registration information required in order to apply for licences.. &#10;Specify any circumstances in which applicants may or must be excluded from the process."/>
      </w:tblPr>
      <w:tblGrid>
        <w:gridCol w:w="7610"/>
        <w:gridCol w:w="51"/>
      </w:tblGrid>
      <w:tr w:rsidR="00ED645E" w:rsidRPr="00ED645E" w14:paraId="78FE230A" w14:textId="77777777" w:rsidTr="00AE15CD">
        <w:trPr>
          <w:gridAfter w:val="1"/>
          <w:wAfter w:w="51" w:type="dxa"/>
          <w:tblHeader/>
        </w:trPr>
        <w:tc>
          <w:tcPr>
            <w:tcW w:w="7661" w:type="dxa"/>
            <w:shd w:val="clear" w:color="auto" w:fill="404040" w:themeFill="text1" w:themeFillTint="BF"/>
          </w:tcPr>
          <w:p w14:paraId="0FC44E57" w14:textId="77777777" w:rsidR="00ED645E" w:rsidRPr="00ED645E" w:rsidRDefault="00ED645E" w:rsidP="007A27A5">
            <w:pPr>
              <w:pStyle w:val="TableHeading"/>
              <w:keepNext/>
              <w:keepLines/>
            </w:pPr>
            <w:r w:rsidRPr="00ED645E">
              <w:rPr>
                <w:color w:val="FFFFFF" w:themeColor="background1"/>
              </w:rPr>
              <w:lastRenderedPageBreak/>
              <w:t>Price-based issue LIS</w:t>
            </w:r>
          </w:p>
        </w:tc>
      </w:tr>
      <w:tr w:rsidR="00ED645E" w:rsidRPr="00ED645E" w14:paraId="4FA92426" w14:textId="77777777" w:rsidTr="00AE15CD">
        <w:tc>
          <w:tcPr>
            <w:tcW w:w="7661" w:type="dxa"/>
            <w:gridSpan w:val="2"/>
          </w:tcPr>
          <w:p w14:paraId="489322C1" w14:textId="20E6C238" w:rsidR="00ED645E" w:rsidRPr="00ED645E" w:rsidRDefault="00ED645E" w:rsidP="002122FB">
            <w:pPr>
              <w:pStyle w:val="TableBody"/>
              <w:keepNext/>
              <w:keepLines/>
            </w:pPr>
            <w:r w:rsidRPr="00ED645E">
              <w:t xml:space="preserve">Any requirements that a person must satisfy in order to be eligible to </w:t>
            </w:r>
            <w:r w:rsidR="00A24E1B">
              <w:t xml:space="preserve">participate in a process </w:t>
            </w:r>
            <w:r w:rsidRPr="00ED645E">
              <w:t>for a licence</w:t>
            </w:r>
            <w:r w:rsidR="007466FE">
              <w:t>.</w:t>
            </w:r>
          </w:p>
        </w:tc>
      </w:tr>
      <w:tr w:rsidR="00ED645E" w:rsidRPr="00ED645E" w14:paraId="78A8F153" w14:textId="77777777" w:rsidTr="00AE15CD">
        <w:tc>
          <w:tcPr>
            <w:tcW w:w="7661" w:type="dxa"/>
            <w:gridSpan w:val="2"/>
          </w:tcPr>
          <w:p w14:paraId="26DC9E12" w14:textId="1A59BDDA" w:rsidR="00ED645E" w:rsidRPr="00ED645E" w:rsidRDefault="00ED645E" w:rsidP="007A27A5">
            <w:pPr>
              <w:pStyle w:val="TableBody"/>
              <w:keepNext/>
              <w:keepLines/>
            </w:pPr>
            <w:r w:rsidRPr="00ED645E">
              <w:t>Any criteria that the ACMA must take into account when deciding whether, or to whom, to issue a licence, if relevant</w:t>
            </w:r>
            <w:r w:rsidR="007466FE">
              <w:t>.</w:t>
            </w:r>
          </w:p>
        </w:tc>
      </w:tr>
      <w:tr w:rsidR="00ED645E" w:rsidRPr="00ED645E" w14:paraId="00F1AD92" w14:textId="77777777" w:rsidTr="00AE15CD">
        <w:tc>
          <w:tcPr>
            <w:tcW w:w="7661" w:type="dxa"/>
            <w:gridSpan w:val="2"/>
          </w:tcPr>
          <w:p w14:paraId="043F06BA" w14:textId="77777777" w:rsidR="00ED645E" w:rsidRPr="00ED645E" w:rsidRDefault="00ED645E" w:rsidP="007A27A5">
            <w:pPr>
              <w:pStyle w:val="TableBody"/>
              <w:keepNext/>
              <w:keepLines/>
            </w:pPr>
            <w:r w:rsidRPr="00ED645E">
              <w:t>Any circumstances in which the ACMA may, must, may not, or must not, issue a licence.</w:t>
            </w:r>
          </w:p>
        </w:tc>
      </w:tr>
      <w:tr w:rsidR="00ED645E" w:rsidRPr="00ED645E" w14:paraId="539B6FB9" w14:textId="77777777" w:rsidTr="00AE15CD">
        <w:tc>
          <w:tcPr>
            <w:tcW w:w="7661" w:type="dxa"/>
            <w:gridSpan w:val="2"/>
          </w:tcPr>
          <w:p w14:paraId="529C5CA8" w14:textId="7FD50DA9" w:rsidR="00ED645E" w:rsidRPr="00ED645E" w:rsidRDefault="00ED645E" w:rsidP="007A27A5">
            <w:pPr>
              <w:pStyle w:val="TableBody"/>
              <w:keepNext/>
              <w:keepLines/>
            </w:pPr>
            <w:r w:rsidRPr="00ED645E">
              <w:t>Rules for the process by which a licence is issued</w:t>
            </w:r>
            <w:r w:rsidR="007466FE">
              <w:t>.</w:t>
            </w:r>
          </w:p>
        </w:tc>
      </w:tr>
      <w:tr w:rsidR="00ED645E" w:rsidRPr="00ED645E" w14:paraId="383BCDC5" w14:textId="77777777" w:rsidTr="00AE15CD">
        <w:tc>
          <w:tcPr>
            <w:tcW w:w="7661" w:type="dxa"/>
            <w:gridSpan w:val="2"/>
          </w:tcPr>
          <w:p w14:paraId="0D19F795" w14:textId="6FE9E780" w:rsidR="00ED645E" w:rsidRPr="00ED645E" w:rsidRDefault="00ED645E" w:rsidP="007A27A5">
            <w:pPr>
              <w:pStyle w:val="TableBody"/>
              <w:keepNext/>
              <w:keepLines/>
            </w:pPr>
            <w:r w:rsidRPr="00ED645E">
              <w:t>A requirement for information provided to the ACMA as part of a licence issue process to be verified</w:t>
            </w:r>
            <w:r w:rsidR="00943C84">
              <w:t xml:space="preserve"> by statutory declaration</w:t>
            </w:r>
            <w:r w:rsidRPr="00ED645E">
              <w:t>.</w:t>
            </w:r>
          </w:p>
        </w:tc>
      </w:tr>
      <w:tr w:rsidR="00ED645E" w:rsidRPr="00ED645E" w14:paraId="030D6949" w14:textId="77777777" w:rsidTr="00AE15CD">
        <w:tc>
          <w:tcPr>
            <w:tcW w:w="7661" w:type="dxa"/>
            <w:gridSpan w:val="2"/>
          </w:tcPr>
          <w:p w14:paraId="6951D2B5" w14:textId="6B6E4DB7" w:rsidR="00ED645E" w:rsidRPr="00ED645E" w:rsidRDefault="00A24E1B" w:rsidP="00A24E1B">
            <w:pPr>
              <w:pStyle w:val="TableBody"/>
              <w:keepNext/>
              <w:keepLines/>
            </w:pPr>
            <w:r>
              <w:t>The consequences of a contravention, by a participant in a process, of a provision of a scheme which is applicable to the participant.</w:t>
            </w:r>
          </w:p>
        </w:tc>
      </w:tr>
      <w:tr w:rsidR="00ED645E" w:rsidRPr="00ED645E" w14:paraId="18E7E63A" w14:textId="77777777" w:rsidTr="00AE15CD">
        <w:tc>
          <w:tcPr>
            <w:tcW w:w="7661" w:type="dxa"/>
            <w:gridSpan w:val="2"/>
          </w:tcPr>
          <w:p w14:paraId="348CCED7" w14:textId="01A84DC9" w:rsidR="00ED645E" w:rsidRPr="00ED645E" w:rsidRDefault="00ED645E" w:rsidP="007A27A5">
            <w:pPr>
              <w:pStyle w:val="TableBody"/>
              <w:keepNext/>
              <w:keepLines/>
            </w:pPr>
            <w:r w:rsidRPr="00ED645E">
              <w:t>Any circumstances in which a licence issue process (</w:t>
            </w:r>
            <w:r w:rsidR="007466FE">
              <w:t>for example, an</w:t>
            </w:r>
            <w:r w:rsidRPr="00ED645E">
              <w:t xml:space="preserve"> auction) may be terminated</w:t>
            </w:r>
            <w:r w:rsidR="007466FE">
              <w:t>.</w:t>
            </w:r>
          </w:p>
        </w:tc>
      </w:tr>
      <w:tr w:rsidR="00ED645E" w:rsidRPr="00ED645E" w14:paraId="7CD448B1" w14:textId="77777777" w:rsidTr="00AE15CD">
        <w:tc>
          <w:tcPr>
            <w:tcW w:w="7661" w:type="dxa"/>
            <w:gridSpan w:val="2"/>
          </w:tcPr>
          <w:p w14:paraId="1377FA91" w14:textId="2853477A" w:rsidR="00ED645E" w:rsidRPr="00ED645E" w:rsidRDefault="00ED645E" w:rsidP="00233A9B">
            <w:pPr>
              <w:pStyle w:val="TableBody"/>
              <w:keepNext/>
              <w:keepLines/>
            </w:pPr>
            <w:r w:rsidRPr="00ED645E">
              <w:t>Rules for establishing the successful applicant or</w:t>
            </w:r>
            <w:r w:rsidR="007466FE">
              <w:t>,</w:t>
            </w:r>
            <w:r w:rsidRPr="00ED645E">
              <w:t xml:space="preserve"> alternatively, empowering the ACMA to make or approve those rules. The rules could provide </w:t>
            </w:r>
            <w:r w:rsidR="00EB0806">
              <w:t xml:space="preserve">for </w:t>
            </w:r>
            <w:r w:rsidRPr="00ED645E">
              <w:t xml:space="preserve">specific auction rules or rules for </w:t>
            </w:r>
            <w:r w:rsidR="00EB0806">
              <w:t xml:space="preserve">a </w:t>
            </w:r>
            <w:r w:rsidRPr="00ED645E">
              <w:t>tender process.</w:t>
            </w:r>
          </w:p>
        </w:tc>
      </w:tr>
      <w:tr w:rsidR="00ED645E" w:rsidRPr="00ED645E" w14:paraId="474BDE08" w14:textId="77777777" w:rsidTr="00AE15CD">
        <w:tc>
          <w:tcPr>
            <w:tcW w:w="7661" w:type="dxa"/>
            <w:gridSpan w:val="2"/>
          </w:tcPr>
          <w:p w14:paraId="76F59B18" w14:textId="403E5FDD" w:rsidR="00ED645E" w:rsidRPr="00ED645E" w:rsidRDefault="00EB0806" w:rsidP="00EB0806">
            <w:pPr>
              <w:pStyle w:val="TableBody"/>
              <w:keepNext/>
              <w:keepLines/>
            </w:pPr>
            <w:r>
              <w:t>A requirement for payment of</w:t>
            </w:r>
            <w:r w:rsidR="00ED645E" w:rsidRPr="00ED645E">
              <w:t xml:space="preserve"> application or entry fees, or eligibility payment.</w:t>
            </w:r>
          </w:p>
        </w:tc>
      </w:tr>
      <w:tr w:rsidR="00ED645E" w:rsidRPr="00ED645E" w14:paraId="236F277A" w14:textId="77777777" w:rsidTr="00AE15CD">
        <w:tc>
          <w:tcPr>
            <w:tcW w:w="7661" w:type="dxa"/>
            <w:gridSpan w:val="2"/>
          </w:tcPr>
          <w:p w14:paraId="4491AB8D" w14:textId="21A1DCEC" w:rsidR="00ED645E" w:rsidRPr="00ED645E" w:rsidRDefault="00ED645E" w:rsidP="00EE3AB7">
            <w:pPr>
              <w:pStyle w:val="TableBody"/>
              <w:keepNext/>
              <w:keepLines/>
            </w:pPr>
            <w:r w:rsidRPr="00ED645E">
              <w:t>Specify which forms to be completed and other information required in order to apply for licences</w:t>
            </w:r>
            <w:r w:rsidR="00F01CCD">
              <w:t>.</w:t>
            </w:r>
            <w:r w:rsidRPr="00ED645E">
              <w:t xml:space="preserve"> </w:t>
            </w:r>
          </w:p>
        </w:tc>
      </w:tr>
      <w:tr w:rsidR="00ED645E" w:rsidRPr="00ED645E" w14:paraId="0B79DDDE" w14:textId="77777777" w:rsidTr="00AE15CD">
        <w:tc>
          <w:tcPr>
            <w:tcW w:w="7661" w:type="dxa"/>
            <w:gridSpan w:val="2"/>
          </w:tcPr>
          <w:p w14:paraId="7A4A3255" w14:textId="77777777" w:rsidR="00ED645E" w:rsidRPr="00ED645E" w:rsidRDefault="00ED645E" w:rsidP="007A27A5">
            <w:pPr>
              <w:pStyle w:val="TableBody"/>
              <w:keepNext/>
              <w:keepLines/>
            </w:pPr>
            <w:r w:rsidRPr="00ED645E">
              <w:t>Specify any circumstances in which applicants may or must be excluded from the process.</w:t>
            </w:r>
          </w:p>
        </w:tc>
      </w:tr>
    </w:tbl>
    <w:p w14:paraId="5D415235" w14:textId="77777777" w:rsidR="00B14FA4" w:rsidRPr="00B14FA4" w:rsidRDefault="00B14FA4" w:rsidP="00ED645E">
      <w:pPr>
        <w:pStyle w:val="ACMASpaceaftertable"/>
      </w:pPr>
    </w:p>
    <w:p w14:paraId="2DFB9CD0" w14:textId="354473D5" w:rsidR="00B14FA4" w:rsidRPr="00B14FA4" w:rsidRDefault="00B14FA4" w:rsidP="00B14FA4">
      <w:pPr>
        <w:rPr>
          <w:rFonts w:cs="Arial"/>
        </w:rPr>
      </w:pPr>
      <w:r w:rsidRPr="00B14FA4">
        <w:rPr>
          <w:rFonts w:cs="Arial"/>
        </w:rPr>
        <w:t xml:space="preserve">The Bill would empower the ACMA to </w:t>
      </w:r>
      <w:r w:rsidR="00101D70">
        <w:rPr>
          <w:rFonts w:cs="Arial"/>
        </w:rPr>
        <w:t xml:space="preserve">declare, by notifiable instrument, </w:t>
      </w:r>
      <w:r w:rsidR="00EB0806">
        <w:rPr>
          <w:rFonts w:cs="Arial"/>
        </w:rPr>
        <w:t>that a specified LIS is the sole method for is</w:t>
      </w:r>
      <w:r w:rsidR="001428B9">
        <w:rPr>
          <w:rFonts w:cs="Arial"/>
        </w:rPr>
        <w:t xml:space="preserve">suing a licence in a specified class of licences; if the ACMA made such a </w:t>
      </w:r>
      <w:r w:rsidR="00101D70">
        <w:rPr>
          <w:rFonts w:cs="Arial"/>
        </w:rPr>
        <w:t>declaration</w:t>
      </w:r>
      <w:r w:rsidR="001428B9">
        <w:rPr>
          <w:rFonts w:cs="Arial"/>
        </w:rPr>
        <w:t xml:space="preserve">, </w:t>
      </w:r>
      <w:r w:rsidR="00EB0806">
        <w:rPr>
          <w:rFonts w:cs="Arial"/>
        </w:rPr>
        <w:t xml:space="preserve">the ACMA </w:t>
      </w:r>
      <w:r w:rsidR="001428B9">
        <w:rPr>
          <w:rFonts w:cs="Arial"/>
        </w:rPr>
        <w:t>could not issue that</w:t>
      </w:r>
      <w:r w:rsidRPr="00B14FA4">
        <w:rPr>
          <w:rFonts w:cs="Arial"/>
        </w:rPr>
        <w:t xml:space="preserve"> licence </w:t>
      </w:r>
      <w:r w:rsidR="00EB0806">
        <w:rPr>
          <w:rFonts w:cs="Arial"/>
        </w:rPr>
        <w:t>otherw</w:t>
      </w:r>
      <w:r w:rsidR="001428B9">
        <w:rPr>
          <w:rFonts w:cs="Arial"/>
        </w:rPr>
        <w:t>ise than</w:t>
      </w:r>
      <w:r w:rsidRPr="00B14FA4">
        <w:rPr>
          <w:rFonts w:cs="Arial"/>
        </w:rPr>
        <w:t xml:space="preserve"> in accordance with </w:t>
      </w:r>
      <w:r w:rsidR="001428B9">
        <w:rPr>
          <w:rFonts w:cs="Arial"/>
        </w:rPr>
        <w:t>that</w:t>
      </w:r>
      <w:r w:rsidRPr="00B14FA4">
        <w:rPr>
          <w:rFonts w:cs="Arial"/>
        </w:rPr>
        <w:t xml:space="preserve"> LIS. This should provide confidence in licence issue procedures such as auctions, as it will ensure that if an auction process is underway, relevant licences can only be issued in accordance with the auction rules as described or referred to in the LIS.</w:t>
      </w:r>
    </w:p>
    <w:p w14:paraId="28BB9E12" w14:textId="65DA8844" w:rsidR="00B14FA4" w:rsidRPr="00B14FA4" w:rsidRDefault="00B14FA4" w:rsidP="00ED645E">
      <w:pPr>
        <w:pStyle w:val="Heading2"/>
      </w:pPr>
      <w:bookmarkStart w:id="24" w:name="_Toc467581359"/>
      <w:bookmarkStart w:id="25" w:name="_Toc481057135"/>
      <w:r w:rsidRPr="00B14FA4">
        <w:t>Approach to licence tenure</w:t>
      </w:r>
      <w:r w:rsidR="00840E7B">
        <w:t>—</w:t>
      </w:r>
      <w:r w:rsidRPr="00B14FA4">
        <w:t>duration and end</w:t>
      </w:r>
      <w:r w:rsidR="00840E7B">
        <w:t>-</w:t>
      </w:r>
      <w:r w:rsidRPr="00B14FA4">
        <w:t>of</w:t>
      </w:r>
      <w:r w:rsidR="00840E7B">
        <w:t>-</w:t>
      </w:r>
      <w:r w:rsidRPr="00B14FA4">
        <w:t>term arrangements under the Bill</w:t>
      </w:r>
      <w:bookmarkEnd w:id="24"/>
      <w:bookmarkEnd w:id="25"/>
    </w:p>
    <w:p w14:paraId="40ABEF75" w14:textId="6E422C90" w:rsidR="00B14FA4" w:rsidRPr="00B14FA4" w:rsidRDefault="00B14FA4" w:rsidP="00B14FA4">
      <w:pPr>
        <w:rPr>
          <w:rFonts w:cs="Arial"/>
        </w:rPr>
      </w:pPr>
      <w:r w:rsidRPr="00B14FA4">
        <w:rPr>
          <w:rFonts w:cs="Arial"/>
        </w:rPr>
        <w:t>The tenure of a licence contributes significantly to the degree of predictability the licensee has about its future use of the licensed spectrum, encouraging long-term investment in the use of the spectrum. Under the Bill, there are opportunities to increase the duration of licences and for licensees to have greater predictability about end</w:t>
      </w:r>
      <w:r w:rsidR="00840E7B">
        <w:rPr>
          <w:rFonts w:cs="Arial"/>
        </w:rPr>
        <w:t>-</w:t>
      </w:r>
      <w:r w:rsidRPr="00B14FA4">
        <w:rPr>
          <w:rFonts w:cs="Arial"/>
        </w:rPr>
        <w:t>of</w:t>
      </w:r>
      <w:r w:rsidR="00840E7B">
        <w:rPr>
          <w:rFonts w:cs="Arial"/>
        </w:rPr>
        <w:t>-</w:t>
      </w:r>
      <w:r w:rsidRPr="00B14FA4">
        <w:rPr>
          <w:rFonts w:cs="Arial"/>
        </w:rPr>
        <w:t xml:space="preserve">term arrangements including licence renewal. The new legislation will allow the </w:t>
      </w:r>
      <w:r w:rsidR="00840E7B">
        <w:rPr>
          <w:rFonts w:cs="Arial"/>
        </w:rPr>
        <w:t>ACMA</w:t>
      </w:r>
      <w:r w:rsidR="00840E7B" w:rsidRPr="00B14FA4">
        <w:rPr>
          <w:rFonts w:cs="Arial"/>
        </w:rPr>
        <w:t xml:space="preserve"> </w:t>
      </w:r>
      <w:r w:rsidRPr="00B14FA4">
        <w:rPr>
          <w:rFonts w:cs="Arial"/>
        </w:rPr>
        <w:t>to maximise predictability about tenure, whether through issuing long</w:t>
      </w:r>
      <w:r w:rsidR="00840E7B">
        <w:rPr>
          <w:rFonts w:cs="Arial"/>
        </w:rPr>
        <w:t>-</w:t>
      </w:r>
      <w:r w:rsidRPr="00B14FA4">
        <w:rPr>
          <w:rFonts w:cs="Arial"/>
        </w:rPr>
        <w:t xml:space="preserve">duration licences, the creation of strong rights of renewal, or a combination of these measures. </w:t>
      </w:r>
    </w:p>
    <w:p w14:paraId="1F0E29F5" w14:textId="396D4F0F" w:rsidR="00B14FA4" w:rsidRPr="00B14FA4" w:rsidRDefault="00B14FA4" w:rsidP="00B14FA4">
      <w:pPr>
        <w:rPr>
          <w:rFonts w:cs="Arial"/>
        </w:rPr>
      </w:pPr>
      <w:r w:rsidRPr="00B14FA4">
        <w:rPr>
          <w:rFonts w:cs="Arial"/>
        </w:rPr>
        <w:t>The very long potential duration of licences (up to 20 years) means that</w:t>
      </w:r>
      <w:r w:rsidR="008A4005">
        <w:rPr>
          <w:rFonts w:cs="Arial"/>
        </w:rPr>
        <w:t>, for some licences,</w:t>
      </w:r>
      <w:r w:rsidRPr="00B14FA4">
        <w:rPr>
          <w:rFonts w:cs="Arial"/>
        </w:rPr>
        <w:t xml:space="preserve"> trade</w:t>
      </w:r>
      <w:r w:rsidR="00840E7B">
        <w:rPr>
          <w:rFonts w:cs="Arial"/>
        </w:rPr>
        <w:t>-</w:t>
      </w:r>
      <w:r w:rsidRPr="00B14FA4">
        <w:rPr>
          <w:rFonts w:cs="Arial"/>
        </w:rPr>
        <w:t>offs may be necessary between the length of the term and the predictability of renewal. Issues relating to end</w:t>
      </w:r>
      <w:r w:rsidR="00840E7B">
        <w:rPr>
          <w:rFonts w:cs="Arial"/>
        </w:rPr>
        <w:t xml:space="preserve"> </w:t>
      </w:r>
      <w:r w:rsidRPr="00B14FA4">
        <w:rPr>
          <w:rFonts w:cs="Arial"/>
        </w:rPr>
        <w:t xml:space="preserve">of licence term arrangements will not always be foreseeable at the time of licence issue. The appropriate valuation for renewal of the spectrum may be impossible to foresee so far in advance. The passage of time might also mean that the licence is sub-optimally configured or located in light of technological advances or international changes in use of the band, or there may have been a change of highest value use that is incompatible with current licensing </w:t>
      </w:r>
      <w:r w:rsidRPr="00B14FA4">
        <w:rPr>
          <w:rFonts w:cs="Arial"/>
        </w:rPr>
        <w:lastRenderedPageBreak/>
        <w:t xml:space="preserve">arrangements. The ACMA will be called on to consider how best to deal with these potential scenarios when designing the provisions of the licences it issues, managing flexibility and predictability with a view to maintaining the efficient use of spectrum. </w:t>
      </w:r>
    </w:p>
    <w:p w14:paraId="7D6C564B" w14:textId="0405ABF5" w:rsidR="00B14FA4" w:rsidRPr="00B14FA4" w:rsidRDefault="00B14FA4" w:rsidP="00B14FA4">
      <w:pPr>
        <w:rPr>
          <w:rFonts w:cs="Arial"/>
        </w:rPr>
      </w:pPr>
      <w:r w:rsidRPr="00B14FA4">
        <w:rPr>
          <w:rFonts w:cs="Arial"/>
        </w:rPr>
        <w:t>In some cases, predictability of the processes preceding licence expiry can offer similar benefits to longer tenure. For example, a high level of uncertainty about renewal is likely to deter significant new investment or spectrum trading during the last five years of a long</w:t>
      </w:r>
      <w:r w:rsidR="00840E7B">
        <w:rPr>
          <w:rFonts w:cs="Arial"/>
        </w:rPr>
        <w:t>-</w:t>
      </w:r>
      <w:r w:rsidRPr="00B14FA4">
        <w:rPr>
          <w:rFonts w:cs="Arial"/>
        </w:rPr>
        <w:t xml:space="preserve">duration licence. A provision in a licence that provided confidence about </w:t>
      </w:r>
      <w:r w:rsidR="00B60354">
        <w:rPr>
          <w:rFonts w:cs="Arial"/>
        </w:rPr>
        <w:t>end of licence term processes</w:t>
      </w:r>
      <w:r w:rsidRPr="00B14FA4">
        <w:rPr>
          <w:rFonts w:cs="Arial"/>
        </w:rPr>
        <w:t>, at least five years prior to expiration of a long</w:t>
      </w:r>
      <w:r w:rsidR="00840E7B">
        <w:rPr>
          <w:rFonts w:cs="Arial"/>
        </w:rPr>
        <w:t>-</w:t>
      </w:r>
      <w:r w:rsidRPr="00B14FA4">
        <w:rPr>
          <w:rFonts w:cs="Arial"/>
        </w:rPr>
        <w:t>duration licence, could potentially address this uncertainty.</w:t>
      </w:r>
    </w:p>
    <w:p w14:paraId="40378796" w14:textId="4FFB25C3" w:rsidR="00B14FA4" w:rsidRPr="00B14FA4" w:rsidRDefault="00B14FA4" w:rsidP="00B14FA4">
      <w:pPr>
        <w:rPr>
          <w:rFonts w:cs="Arial"/>
        </w:rPr>
      </w:pPr>
      <w:r w:rsidRPr="00B14FA4">
        <w:rPr>
          <w:rFonts w:cs="Arial"/>
        </w:rPr>
        <w:t>The ACMA’s initial disposition is that it would seek to provide the holders of long</w:t>
      </w:r>
      <w:r w:rsidR="00840E7B">
        <w:rPr>
          <w:rFonts w:cs="Arial"/>
        </w:rPr>
        <w:t>-</w:t>
      </w:r>
      <w:r w:rsidRPr="00B14FA4">
        <w:rPr>
          <w:rFonts w:cs="Arial"/>
        </w:rPr>
        <w:t>duration licences with as much predictability as feasible about the processes that will apply at the end of licence term, including renewal, while maintaining a sufficient degree of flexibility to optimise spectrum access arrangements in the band in light of new information.</w:t>
      </w:r>
    </w:p>
    <w:p w14:paraId="2D596793" w14:textId="351236AC" w:rsidR="00B14FA4" w:rsidRPr="00B14FA4" w:rsidRDefault="00B14FA4" w:rsidP="00B14FA4">
      <w:pPr>
        <w:rPr>
          <w:rFonts w:cs="Arial"/>
        </w:rPr>
      </w:pPr>
      <w:r w:rsidRPr="00B14FA4">
        <w:rPr>
          <w:rFonts w:cs="Arial"/>
        </w:rPr>
        <w:t>For longer duration and higher value licences (</w:t>
      </w:r>
      <w:r w:rsidR="00840E7B">
        <w:rPr>
          <w:rFonts w:cs="Arial"/>
        </w:rPr>
        <w:t>for example,</w:t>
      </w:r>
      <w:r w:rsidRPr="00B14FA4">
        <w:rPr>
          <w:rFonts w:cs="Arial"/>
        </w:rPr>
        <w:t xml:space="preserve"> wide</w:t>
      </w:r>
      <w:r w:rsidR="00840E7B">
        <w:rPr>
          <w:rFonts w:cs="Arial"/>
        </w:rPr>
        <w:t>-</w:t>
      </w:r>
      <w:r w:rsidRPr="00B14FA4">
        <w:rPr>
          <w:rFonts w:cs="Arial"/>
        </w:rPr>
        <w:t xml:space="preserve">area </w:t>
      </w:r>
      <w:r w:rsidR="00231142">
        <w:rPr>
          <w:rFonts w:cs="Arial"/>
        </w:rPr>
        <w:t>‘</w:t>
      </w:r>
      <w:r w:rsidRPr="00B14FA4">
        <w:rPr>
          <w:rFonts w:cs="Arial"/>
        </w:rPr>
        <w:t>spectrum space</w:t>
      </w:r>
      <w:r w:rsidR="00231142">
        <w:rPr>
          <w:rFonts w:cs="Arial"/>
        </w:rPr>
        <w:t>’</w:t>
      </w:r>
      <w:r w:rsidRPr="00B14FA4">
        <w:rPr>
          <w:rFonts w:cs="Arial"/>
        </w:rPr>
        <w:t xml:space="preserve"> licences in high</w:t>
      </w:r>
      <w:r w:rsidR="00840E7B">
        <w:rPr>
          <w:rFonts w:cs="Arial"/>
        </w:rPr>
        <w:t>-</w:t>
      </w:r>
      <w:r w:rsidRPr="00B14FA4">
        <w:rPr>
          <w:rFonts w:cs="Arial"/>
        </w:rPr>
        <w:t xml:space="preserve">demand bands), the ACMA expects to work with stakeholders to design arrangements that provide a sufficient degree of predictability about the processes preceding licence expiry. Four examples of arrangements that could be </w:t>
      </w:r>
      <w:r w:rsidR="00F376E7">
        <w:rPr>
          <w:rFonts w:cs="Arial"/>
        </w:rPr>
        <w:t>included</w:t>
      </w:r>
      <w:r w:rsidR="00F376E7" w:rsidRPr="00B14FA4">
        <w:rPr>
          <w:rFonts w:cs="Arial"/>
        </w:rPr>
        <w:t xml:space="preserve"> </w:t>
      </w:r>
      <w:r w:rsidR="00F376E7">
        <w:rPr>
          <w:rFonts w:cs="Arial"/>
        </w:rPr>
        <w:t>in</w:t>
      </w:r>
      <w:r w:rsidRPr="00B14FA4">
        <w:rPr>
          <w:rFonts w:cs="Arial"/>
        </w:rPr>
        <w:t xml:space="preserve"> a licence </w:t>
      </w:r>
      <w:r w:rsidR="002503D5">
        <w:rPr>
          <w:rFonts w:cs="Arial"/>
        </w:rPr>
        <w:t xml:space="preserve">or made in relation to licences </w:t>
      </w:r>
      <w:r w:rsidRPr="00B14FA4">
        <w:rPr>
          <w:rFonts w:cs="Arial"/>
        </w:rPr>
        <w:t xml:space="preserve">under </w:t>
      </w:r>
      <w:r w:rsidR="005A2F74">
        <w:rPr>
          <w:rFonts w:cs="Arial"/>
        </w:rPr>
        <w:t xml:space="preserve">the </w:t>
      </w:r>
      <w:r w:rsidRPr="00B14FA4">
        <w:rPr>
          <w:rFonts w:cs="Arial"/>
        </w:rPr>
        <w:t>Bill are provided here for illustrative purposes only.</w:t>
      </w:r>
    </w:p>
    <w:p w14:paraId="59E74353" w14:textId="77777777" w:rsidR="00B14FA4" w:rsidRPr="00B14FA4" w:rsidRDefault="00B14FA4" w:rsidP="00156CAC">
      <w:pPr>
        <w:pStyle w:val="ListNumber"/>
        <w:numPr>
          <w:ilvl w:val="0"/>
          <w:numId w:val="48"/>
        </w:numPr>
      </w:pPr>
      <w:r w:rsidRPr="00B14FA4">
        <w:t>The licensee has a right to renew the licence if the ACMA has not commenced a process for issue of a new licence for the same spectrum through a price-based process set out in a LIS a specified period before the expiry of the licence.</w:t>
      </w:r>
    </w:p>
    <w:p w14:paraId="180EA796" w14:textId="345FD6FF" w:rsidR="00B14FA4" w:rsidRPr="00B14FA4" w:rsidRDefault="00B14FA4" w:rsidP="00D35913">
      <w:pPr>
        <w:pStyle w:val="ListBullet2"/>
      </w:pPr>
      <w:r w:rsidRPr="00B14FA4">
        <w:t>The pre-expiry period specified could be directly related to the duration and value of the licence</w:t>
      </w:r>
      <w:r w:rsidR="00840E7B">
        <w:t>—</w:t>
      </w:r>
      <w:r w:rsidRPr="00B14FA4">
        <w:t>longer ‘pre-expiry periods’ might be specified for relatively longer or higher value licences.</w:t>
      </w:r>
    </w:p>
    <w:p w14:paraId="053FF692" w14:textId="1E1C7298" w:rsidR="00B14FA4" w:rsidRPr="00B14FA4" w:rsidRDefault="00B14FA4" w:rsidP="00D35913">
      <w:pPr>
        <w:pStyle w:val="ListBullet2"/>
      </w:pPr>
      <w:r w:rsidRPr="00B14FA4">
        <w:t xml:space="preserve">The Bill would operate such that the ACMA had no discretion other than to renew the licence, if the licence issue process had not commenced and assuming that the statutory discretion not to renew a licence (which can arise when, for example, a licensee had breached licence conditions or where renewal would </w:t>
      </w:r>
      <w:r w:rsidR="00F376E7">
        <w:t>contravene</w:t>
      </w:r>
      <w:r w:rsidRPr="00B14FA4">
        <w:t xml:space="preserve"> another law of the Commonwealth) did not apply.</w:t>
      </w:r>
    </w:p>
    <w:p w14:paraId="01E2E0B0" w14:textId="4E0C1034" w:rsidR="00B14FA4" w:rsidRPr="00B14FA4" w:rsidRDefault="00B14FA4" w:rsidP="00D35913">
      <w:pPr>
        <w:pStyle w:val="ListBullet2"/>
      </w:pPr>
      <w:r w:rsidRPr="00B14FA4">
        <w:t xml:space="preserve">The new licence issued on renewal would be subject to payment of any spectrum access charge set under </w:t>
      </w:r>
      <w:r w:rsidR="00805859">
        <w:t>clause</w:t>
      </w:r>
      <w:r w:rsidR="00216E30">
        <w:t xml:space="preserve"> </w:t>
      </w:r>
      <w:r w:rsidR="00337F11">
        <w:t>193</w:t>
      </w:r>
      <w:r w:rsidR="00337F11" w:rsidRPr="00B14FA4">
        <w:t xml:space="preserve"> </w:t>
      </w:r>
      <w:r w:rsidRPr="00B14FA4">
        <w:t>of the Bill</w:t>
      </w:r>
      <w:r w:rsidR="00840E7B">
        <w:t>.</w:t>
      </w:r>
    </w:p>
    <w:p w14:paraId="77D26267" w14:textId="77777777" w:rsidR="00B14FA4" w:rsidRPr="00B14FA4" w:rsidRDefault="00B14FA4" w:rsidP="00D35913">
      <w:pPr>
        <w:pStyle w:val="ListBullet2"/>
        <w:spacing w:after="240"/>
      </w:pPr>
      <w:r w:rsidRPr="00B14FA4">
        <w:t>The licensee would need to apply for renewal within the renewal application period specified in the licence.</w:t>
      </w:r>
    </w:p>
    <w:p w14:paraId="5D15F88A" w14:textId="704BAA1D" w:rsidR="00B14FA4" w:rsidRPr="00B14FA4" w:rsidRDefault="00B14FA4" w:rsidP="00156CAC">
      <w:pPr>
        <w:pStyle w:val="ListNumber"/>
        <w:numPr>
          <w:ilvl w:val="0"/>
          <w:numId w:val="48"/>
        </w:numPr>
      </w:pPr>
      <w:r w:rsidRPr="00B14FA4">
        <w:t xml:space="preserve">The licensee has a right to renew the licence at a price </w:t>
      </w:r>
      <w:r w:rsidR="004F1BB7">
        <w:t xml:space="preserve">to be </w:t>
      </w:r>
      <w:r w:rsidRPr="00B14FA4">
        <w:t>set by the ACMA. This could have the following character:</w:t>
      </w:r>
    </w:p>
    <w:p w14:paraId="2EEC9EED" w14:textId="3FD67AA6" w:rsidR="00B14FA4" w:rsidRPr="00B14FA4" w:rsidRDefault="00B14FA4" w:rsidP="00D35913">
      <w:pPr>
        <w:pStyle w:val="ListBullet2"/>
      </w:pPr>
      <w:r w:rsidRPr="00B14FA4">
        <w:t>By a certain period prior to expiry</w:t>
      </w:r>
      <w:r w:rsidR="00840E7B">
        <w:t>,</w:t>
      </w:r>
      <w:r w:rsidRPr="00B14FA4">
        <w:t xml:space="preserve"> the ACMA will make an offer by which the licensee can apply for renewal of its licence, subject to payment of any spectrum access charge set under </w:t>
      </w:r>
      <w:r w:rsidR="00805859">
        <w:t>clause</w:t>
      </w:r>
      <w:r w:rsidR="00216E30">
        <w:t xml:space="preserve"> </w:t>
      </w:r>
      <w:r w:rsidR="00337F11">
        <w:t>193</w:t>
      </w:r>
      <w:r w:rsidR="00337F11" w:rsidRPr="00B14FA4">
        <w:t xml:space="preserve"> </w:t>
      </w:r>
      <w:r w:rsidRPr="00B14FA4">
        <w:t>of the Bill.</w:t>
      </w:r>
    </w:p>
    <w:p w14:paraId="4699A6F0" w14:textId="77777777" w:rsidR="00B14FA4" w:rsidRPr="00B14FA4" w:rsidRDefault="00B14FA4" w:rsidP="00D35913">
      <w:pPr>
        <w:pStyle w:val="ListBullet2"/>
        <w:spacing w:after="240"/>
      </w:pPr>
      <w:r w:rsidRPr="00B14FA4">
        <w:t>If the licensee does not apply for renewal by 12 months prior to the expiry of the licence, the ACMA must not renew the licence. The ACMA would then determine what to do with the spectrum.</w:t>
      </w:r>
    </w:p>
    <w:p w14:paraId="0FA631E9" w14:textId="74C43E30" w:rsidR="00B14FA4" w:rsidRPr="00B14FA4" w:rsidRDefault="00B14FA4" w:rsidP="00156CAC">
      <w:pPr>
        <w:pStyle w:val="ListNumber"/>
        <w:numPr>
          <w:ilvl w:val="0"/>
          <w:numId w:val="48"/>
        </w:numPr>
      </w:pPr>
      <w:r w:rsidRPr="00B14FA4">
        <w:t>The ACMA adopts a policy for an end</w:t>
      </w:r>
      <w:r w:rsidR="004B2951">
        <w:t>-</w:t>
      </w:r>
      <w:r w:rsidRPr="00B14FA4">
        <w:t>of</w:t>
      </w:r>
      <w:r w:rsidR="004B2951">
        <w:t>-</w:t>
      </w:r>
      <w:r w:rsidRPr="00B14FA4">
        <w:t xml:space="preserve">term process for the licence </w:t>
      </w:r>
      <w:r w:rsidR="004F1BB7">
        <w:t xml:space="preserve">and includes </w:t>
      </w:r>
      <w:r w:rsidRPr="00B14FA4">
        <w:t xml:space="preserve">a statement in the licence that the licensee </w:t>
      </w:r>
      <w:r w:rsidR="004F1BB7">
        <w:t>may be renewed at the discretion of the ACMA</w:t>
      </w:r>
      <w:r w:rsidRPr="00B14FA4">
        <w:t>. Th</w:t>
      </w:r>
      <w:r w:rsidR="004F1BB7">
        <w:t>e policy would provide guidance on the ACMA’s exercise of its di</w:t>
      </w:r>
      <w:r w:rsidR="0025513A">
        <w:t>s</w:t>
      </w:r>
      <w:r w:rsidR="004F1BB7">
        <w:t xml:space="preserve">cretion and </w:t>
      </w:r>
      <w:r w:rsidRPr="00B14FA4">
        <w:t>could have the following character:</w:t>
      </w:r>
    </w:p>
    <w:p w14:paraId="75D5809F" w14:textId="5C856EBB" w:rsidR="00B14FA4" w:rsidRPr="00B14FA4" w:rsidRDefault="00B14FA4" w:rsidP="00D35913">
      <w:pPr>
        <w:pStyle w:val="ListBullet2"/>
      </w:pPr>
      <w:r w:rsidRPr="00B14FA4">
        <w:lastRenderedPageBreak/>
        <w:t>By a certain period prior to expiry (</w:t>
      </w:r>
      <w:r w:rsidR="004B2951">
        <w:t>for example, five</w:t>
      </w:r>
      <w:r w:rsidRPr="00B14FA4">
        <w:t xml:space="preserve"> years for long</w:t>
      </w:r>
      <w:r w:rsidR="004B2951">
        <w:t>-</w:t>
      </w:r>
      <w:r w:rsidRPr="00B14FA4">
        <w:t>duration licences), the ACMA will determine, after having followed a specified consultation process, whether the licen</w:t>
      </w:r>
      <w:r w:rsidR="004B2951">
        <w:t>s</w:t>
      </w:r>
      <w:r w:rsidRPr="00B14FA4">
        <w:t>ed spectrum is required by the government (</w:t>
      </w:r>
      <w:r w:rsidR="004B2951">
        <w:t>for example,</w:t>
      </w:r>
      <w:r w:rsidRPr="00B14FA4">
        <w:t xml:space="preserve"> as part of a re-farming exercise) or should be put to the market (</w:t>
      </w:r>
      <w:r w:rsidR="004B2951">
        <w:t>for example,</w:t>
      </w:r>
      <w:r w:rsidRPr="00B14FA4">
        <w:t xml:space="preserve"> to determine the market value of the spectrum).</w:t>
      </w:r>
    </w:p>
    <w:p w14:paraId="1AB450D2" w14:textId="222C1164" w:rsidR="00B14FA4" w:rsidRPr="00B14FA4" w:rsidRDefault="00B14FA4" w:rsidP="00D35913">
      <w:pPr>
        <w:pStyle w:val="ListBullet2"/>
      </w:pPr>
      <w:r w:rsidRPr="00B14FA4">
        <w:t xml:space="preserve">If government does not require the spectrum authorised by the licence to be returned, or </w:t>
      </w:r>
      <w:r w:rsidR="004F1BB7">
        <w:t xml:space="preserve">it is not appropriate </w:t>
      </w:r>
      <w:r w:rsidR="00F376E7">
        <w:t xml:space="preserve">to be </w:t>
      </w:r>
      <w:r w:rsidRPr="00B14FA4">
        <w:t>put to market, by a later period prior to expiry (</w:t>
      </w:r>
      <w:r w:rsidR="004B2951">
        <w:t>for example,</w:t>
      </w:r>
      <w:r w:rsidRPr="00B14FA4">
        <w:t xml:space="preserve"> 18</w:t>
      </w:r>
      <w:r w:rsidR="004B2951">
        <w:t> </w:t>
      </w:r>
      <w:r w:rsidRPr="00B14FA4">
        <w:t>months), the ACMA will make an offer by which the licensee can apply for renewal of the licen</w:t>
      </w:r>
      <w:r w:rsidR="00216E30">
        <w:t>c</w:t>
      </w:r>
      <w:r w:rsidRPr="00B14FA4">
        <w:t xml:space="preserve">e, </w:t>
      </w:r>
      <w:r w:rsidR="00BF40DD">
        <w:t xml:space="preserve">or make a decision about renewal on application of the licensee, </w:t>
      </w:r>
      <w:r w:rsidR="00B838F6">
        <w:t xml:space="preserve">having regard to the policy decision whether the government requires the spectrum to be returned or be put to the market, </w:t>
      </w:r>
      <w:r w:rsidRPr="00B14FA4">
        <w:t xml:space="preserve">subject to payment of any spectrum access charge set under </w:t>
      </w:r>
      <w:r w:rsidR="00805859">
        <w:t>clause</w:t>
      </w:r>
      <w:r w:rsidR="00216E30">
        <w:t xml:space="preserve"> </w:t>
      </w:r>
      <w:r w:rsidR="00337F11">
        <w:t>193</w:t>
      </w:r>
      <w:r w:rsidR="00337F11" w:rsidRPr="00B14FA4">
        <w:t xml:space="preserve"> </w:t>
      </w:r>
      <w:r w:rsidRPr="00B14FA4">
        <w:t>of the Bill.</w:t>
      </w:r>
    </w:p>
    <w:p w14:paraId="128D41E9" w14:textId="366E3746" w:rsidR="00B14FA4" w:rsidRPr="00B14FA4" w:rsidRDefault="00B14FA4" w:rsidP="00D35913">
      <w:pPr>
        <w:pStyle w:val="ListBullet2"/>
        <w:spacing w:after="240"/>
      </w:pPr>
      <w:r w:rsidRPr="00B14FA4">
        <w:t xml:space="preserve">If the licensee does not apply for renewal by </w:t>
      </w:r>
      <w:r w:rsidR="00B838F6">
        <w:t>the end of the renewal application period (</w:t>
      </w:r>
      <w:r w:rsidR="00180403">
        <w:t xml:space="preserve">for example, </w:t>
      </w:r>
      <w:r w:rsidRPr="00B14FA4">
        <w:t>12 months prior to the expiry of the licence</w:t>
      </w:r>
      <w:r w:rsidR="00B838F6">
        <w:t>)</w:t>
      </w:r>
      <w:r w:rsidRPr="00B14FA4">
        <w:t xml:space="preserve">, the ACMA </w:t>
      </w:r>
      <w:r w:rsidR="004F1BB7">
        <w:t xml:space="preserve">will </w:t>
      </w:r>
      <w:r w:rsidRPr="00B14FA4">
        <w:t>not renew the licence. The ACMA would then determine what to do with the spectrum.</w:t>
      </w:r>
    </w:p>
    <w:p w14:paraId="50265545" w14:textId="4B89BA93" w:rsidR="00B14FA4" w:rsidRPr="00B14FA4" w:rsidRDefault="00B14FA4" w:rsidP="00D35913">
      <w:pPr>
        <w:pStyle w:val="ListNumberLast"/>
      </w:pPr>
      <w:r w:rsidRPr="00B14FA4">
        <w:t>The licence may be renewed at the discretion of the ACMA</w:t>
      </w:r>
      <w:r w:rsidR="004F1BB7">
        <w:t>, without the ACMA making any policy statement about the possible process</w:t>
      </w:r>
      <w:r w:rsidRPr="00B14FA4">
        <w:t>. This option provides the least predictability for the licensee, but may be appropriate in certain circumstances. For example</w:t>
      </w:r>
      <w:r w:rsidR="004B2951">
        <w:t>,</w:t>
      </w:r>
      <w:r w:rsidRPr="00B14FA4">
        <w:t xml:space="preserve"> there may be a circumstance where the ACMA can foresee a need to reassess the highest value use over a 10-year horizon and so issues a licence for 10 years without a right to renewal.</w:t>
      </w:r>
    </w:p>
    <w:p w14:paraId="69A218CC" w14:textId="114C0D80" w:rsidR="00B14FA4" w:rsidRPr="00B14FA4" w:rsidRDefault="00B14FA4" w:rsidP="00B14FA4">
      <w:pPr>
        <w:rPr>
          <w:rFonts w:cs="Arial"/>
        </w:rPr>
      </w:pPr>
      <w:r w:rsidRPr="00B14FA4">
        <w:rPr>
          <w:rFonts w:cs="Arial"/>
        </w:rPr>
        <w:t xml:space="preserve">For licences that are of lower value, including many location-based licences, it will be important to decide whether, and how, to give longer term rights of spectrum access, including whether longer duration is appropriate, or shorter duration with </w:t>
      </w:r>
      <w:r w:rsidR="00D01CFB">
        <w:rPr>
          <w:rFonts w:cs="Arial"/>
        </w:rPr>
        <w:t xml:space="preserve">greater </w:t>
      </w:r>
      <w:r w:rsidRPr="00B14FA4">
        <w:rPr>
          <w:rFonts w:cs="Arial"/>
        </w:rPr>
        <w:t xml:space="preserve">predictability about the processes preceding licence expiry including renewal rights. </w:t>
      </w:r>
    </w:p>
    <w:p w14:paraId="0A9E370F" w14:textId="14F294F0" w:rsidR="00B14FA4" w:rsidRPr="00B14FA4" w:rsidRDefault="00B14FA4" w:rsidP="00B14FA4">
      <w:pPr>
        <w:rPr>
          <w:rFonts w:cs="Arial"/>
        </w:rPr>
      </w:pPr>
      <w:r w:rsidRPr="00B14FA4">
        <w:rPr>
          <w:rFonts w:cs="Arial"/>
        </w:rPr>
        <w:t xml:space="preserve">This choice is related to the issue of upfront versus incremental payments of taxes and charges. The ACMA awaits the outcome of the spectrum pricing review before commenting further on what considerations will be relevant to setting the taxes and spectrum access charges (if any) in relation to renewed licences. Typically, taxes and charges are updated from time to time. This may be a case where </w:t>
      </w:r>
      <w:r w:rsidR="00231142">
        <w:rPr>
          <w:rFonts w:cs="Arial"/>
        </w:rPr>
        <w:t xml:space="preserve">the </w:t>
      </w:r>
      <w:r w:rsidRPr="00B14FA4">
        <w:rPr>
          <w:rFonts w:cs="Arial"/>
        </w:rPr>
        <w:t>ACMA is unable to provide predictability about the exact quantum of taxes and charges applicable to future renewal, but may instead offer predictability and transparency about the mechanism by which revised taxes an</w:t>
      </w:r>
      <w:r w:rsidR="00B57706">
        <w:rPr>
          <w:rFonts w:cs="Arial"/>
        </w:rPr>
        <w:t xml:space="preserve">d charges would be determined. </w:t>
      </w:r>
    </w:p>
    <w:p w14:paraId="72B2F1F8" w14:textId="31A8590B" w:rsidR="00B14FA4" w:rsidRPr="00B14FA4" w:rsidRDefault="00B14FA4" w:rsidP="00B14FA4">
      <w:pPr>
        <w:rPr>
          <w:rFonts w:cs="Arial"/>
        </w:rPr>
      </w:pPr>
      <w:r w:rsidRPr="00B14FA4">
        <w:rPr>
          <w:rFonts w:cs="Arial"/>
        </w:rPr>
        <w:t>The choice of tenure and end</w:t>
      </w:r>
      <w:r w:rsidR="004B2951">
        <w:rPr>
          <w:rFonts w:cs="Arial"/>
        </w:rPr>
        <w:t>-</w:t>
      </w:r>
      <w:r w:rsidRPr="00B14FA4">
        <w:rPr>
          <w:rFonts w:cs="Arial"/>
        </w:rPr>
        <w:t>of</w:t>
      </w:r>
      <w:r w:rsidR="004B2951">
        <w:rPr>
          <w:rFonts w:cs="Arial"/>
        </w:rPr>
        <w:t>-</w:t>
      </w:r>
      <w:r w:rsidRPr="00B14FA4">
        <w:rPr>
          <w:rFonts w:cs="Arial"/>
        </w:rPr>
        <w:t>term rights for lower</w:t>
      </w:r>
      <w:r w:rsidR="004B2951">
        <w:rPr>
          <w:rFonts w:cs="Arial"/>
        </w:rPr>
        <w:t xml:space="preserve"> </w:t>
      </w:r>
      <w:r w:rsidRPr="00B14FA4">
        <w:rPr>
          <w:rFonts w:cs="Arial"/>
        </w:rPr>
        <w:t>value over</w:t>
      </w:r>
      <w:r w:rsidR="004B2951">
        <w:rPr>
          <w:rFonts w:cs="Arial"/>
        </w:rPr>
        <w:t>-</w:t>
      </w:r>
      <w:r w:rsidRPr="00B14FA4">
        <w:rPr>
          <w:rFonts w:cs="Arial"/>
        </w:rPr>
        <w:t>the</w:t>
      </w:r>
      <w:r w:rsidR="004B2951">
        <w:rPr>
          <w:rFonts w:cs="Arial"/>
        </w:rPr>
        <w:t>-</w:t>
      </w:r>
      <w:r w:rsidRPr="00B14FA4">
        <w:rPr>
          <w:rFonts w:cs="Arial"/>
        </w:rPr>
        <w:t xml:space="preserve">counter licences may also be influenced by the likelihood of re-farming or other major changes in spectrum access arrangements in future. If tenure or renewal predictability is limited for these reasons, it will be important for the ACMA to ensure licensees are kept informed of the likely timing of major changes so as to maximise predictability of spectrum access. The ACMA expects to consider whether, in such circumstances, </w:t>
      </w:r>
      <w:r w:rsidR="004B2951">
        <w:rPr>
          <w:rFonts w:cs="Arial"/>
        </w:rPr>
        <w:t>it</w:t>
      </w:r>
      <w:r w:rsidRPr="00B14FA4">
        <w:rPr>
          <w:rFonts w:cs="Arial"/>
        </w:rPr>
        <w:t xml:space="preserve"> should as a matter of policy always signal the minimum number of years before a change is expected.</w:t>
      </w:r>
    </w:p>
    <w:p w14:paraId="55F9A7C9" w14:textId="3F8F28A7" w:rsidR="00B14FA4" w:rsidRPr="00B14FA4" w:rsidRDefault="00B14FA4" w:rsidP="00D35913">
      <w:pPr>
        <w:pStyle w:val="Heading1"/>
      </w:pPr>
      <w:bookmarkStart w:id="26" w:name="_Toc467581360"/>
      <w:bookmarkStart w:id="27" w:name="_Toc481057136"/>
      <w:r w:rsidRPr="00B14FA4">
        <w:lastRenderedPageBreak/>
        <w:t xml:space="preserve">Implementation and </w:t>
      </w:r>
      <w:r w:rsidR="004B2951">
        <w:t>t</w:t>
      </w:r>
      <w:r w:rsidRPr="00B14FA4">
        <w:t>ransition</w:t>
      </w:r>
      <w:bookmarkEnd w:id="26"/>
      <w:bookmarkEnd w:id="27"/>
    </w:p>
    <w:p w14:paraId="65A6AB0D" w14:textId="0D131CF3" w:rsidR="00B14FA4" w:rsidRPr="00B14FA4" w:rsidRDefault="00B14FA4" w:rsidP="00D35913">
      <w:pPr>
        <w:pStyle w:val="Heading2"/>
      </w:pPr>
      <w:bookmarkStart w:id="28" w:name="_Toc467581361"/>
      <w:bookmarkStart w:id="29" w:name="_Toc481057137"/>
      <w:r w:rsidRPr="00B14FA4">
        <w:t>Transitioning between the existing and new legislative framework</w:t>
      </w:r>
      <w:r w:rsidR="004B2951">
        <w:t>s</w:t>
      </w:r>
      <w:bookmarkEnd w:id="28"/>
      <w:bookmarkEnd w:id="29"/>
    </w:p>
    <w:p w14:paraId="0A695FE9" w14:textId="41A868CD" w:rsidR="00D103ED" w:rsidRPr="001F0D3D" w:rsidRDefault="00245E8E" w:rsidP="00B14FA4">
      <w:pPr>
        <w:rPr>
          <w:rFonts w:cs="Arial"/>
        </w:rPr>
      </w:pPr>
      <w:r>
        <w:rPr>
          <w:rFonts w:cs="Arial"/>
        </w:rPr>
        <w:t xml:space="preserve">The ACMA notes that </w:t>
      </w:r>
      <w:r w:rsidR="00EF3047">
        <w:rPr>
          <w:rFonts w:cs="Arial"/>
        </w:rPr>
        <w:t>DoCA’s</w:t>
      </w:r>
      <w:r>
        <w:rPr>
          <w:rFonts w:cs="Arial"/>
        </w:rPr>
        <w:t xml:space="preserve"> consultation paper on transition describes hard, soft and hybrid transition models, while expressing a preference for the hybrid model. </w:t>
      </w:r>
      <w:r w:rsidR="00397FB1">
        <w:rPr>
          <w:rFonts w:cs="Arial"/>
        </w:rPr>
        <w:t>The paper also raises some questions for consultation about the nature and timing of changes in licensing.</w:t>
      </w:r>
      <w:r w:rsidR="00D103ED" w:rsidRPr="00D103ED">
        <w:t xml:space="preserve"> </w:t>
      </w:r>
      <w:r w:rsidR="005A6CD7">
        <w:t xml:space="preserve">At this stage it has not been determined which provisions of the 1992 Act will be preserved </w:t>
      </w:r>
      <w:r w:rsidR="005A6CD7" w:rsidRPr="001F0D3D">
        <w:rPr>
          <w:rFonts w:cs="Arial"/>
        </w:rPr>
        <w:t>(or have their effect preserved) for a defined period after the commencement of the main provisions of the Bill.</w:t>
      </w:r>
      <w:r w:rsidR="00D103ED" w:rsidRPr="001F0D3D">
        <w:rPr>
          <w:rFonts w:cs="Arial"/>
        </w:rPr>
        <w:t xml:space="preserve"> </w:t>
      </w:r>
    </w:p>
    <w:p w14:paraId="6B2EDB49" w14:textId="3D4B4681" w:rsidR="00245E8E" w:rsidRDefault="00245E8E" w:rsidP="00B14FA4">
      <w:pPr>
        <w:rPr>
          <w:rFonts w:cs="Arial"/>
        </w:rPr>
      </w:pPr>
      <w:r>
        <w:rPr>
          <w:rFonts w:cs="Arial"/>
        </w:rPr>
        <w:t xml:space="preserve">The </w:t>
      </w:r>
      <w:r w:rsidR="00397FB1">
        <w:rPr>
          <w:rFonts w:cs="Arial"/>
        </w:rPr>
        <w:t xml:space="preserve">ACMA’s </w:t>
      </w:r>
      <w:r>
        <w:rPr>
          <w:rFonts w:cs="Arial"/>
        </w:rPr>
        <w:t>description of transition below is based on the assumption tha</w:t>
      </w:r>
      <w:r w:rsidR="00397FB1">
        <w:rPr>
          <w:rFonts w:cs="Arial"/>
        </w:rPr>
        <w:t>t</w:t>
      </w:r>
      <w:r>
        <w:rPr>
          <w:rFonts w:cs="Arial"/>
        </w:rPr>
        <w:t xml:space="preserve"> the hybrid model is adopted</w:t>
      </w:r>
      <w:r w:rsidR="00B33C13">
        <w:rPr>
          <w:rFonts w:cs="Arial"/>
        </w:rPr>
        <w:t>.</w:t>
      </w:r>
      <w:r w:rsidR="00397FB1">
        <w:rPr>
          <w:rFonts w:cs="Arial"/>
        </w:rPr>
        <w:t xml:space="preserve"> </w:t>
      </w:r>
      <w:r w:rsidR="00B33C13">
        <w:rPr>
          <w:rFonts w:cs="Arial"/>
        </w:rPr>
        <w:t>It</w:t>
      </w:r>
      <w:r w:rsidR="00397FB1">
        <w:rPr>
          <w:rFonts w:cs="Arial"/>
        </w:rPr>
        <w:t xml:space="preserve"> </w:t>
      </w:r>
      <w:r w:rsidR="00B33C13">
        <w:rPr>
          <w:rFonts w:cs="Arial"/>
        </w:rPr>
        <w:t>re</w:t>
      </w:r>
      <w:r w:rsidR="00651B2B">
        <w:rPr>
          <w:rFonts w:cs="Arial"/>
        </w:rPr>
        <w:t>f</w:t>
      </w:r>
      <w:r w:rsidR="00B33C13">
        <w:rPr>
          <w:rFonts w:cs="Arial"/>
        </w:rPr>
        <w:t>lects one of the p</w:t>
      </w:r>
      <w:r w:rsidR="00D103ED">
        <w:rPr>
          <w:rFonts w:cs="Arial"/>
        </w:rPr>
        <w:t>o</w:t>
      </w:r>
      <w:r w:rsidR="00B33C13">
        <w:rPr>
          <w:rFonts w:cs="Arial"/>
        </w:rPr>
        <w:t>ssible</w:t>
      </w:r>
      <w:r w:rsidR="00651B2B">
        <w:rPr>
          <w:rFonts w:cs="Arial"/>
        </w:rPr>
        <w:t xml:space="preserve"> </w:t>
      </w:r>
      <w:r w:rsidR="00D103ED">
        <w:rPr>
          <w:rFonts w:cs="Arial"/>
        </w:rPr>
        <w:t xml:space="preserve">transition paths </w:t>
      </w:r>
      <w:r w:rsidR="00B33C13">
        <w:rPr>
          <w:rFonts w:cs="Arial"/>
        </w:rPr>
        <w:t>considered, by</w:t>
      </w:r>
      <w:r w:rsidR="00397FB1">
        <w:rPr>
          <w:rFonts w:cs="Arial"/>
        </w:rPr>
        <w:t xml:space="preserve"> </w:t>
      </w:r>
      <w:r w:rsidR="00B33C13">
        <w:rPr>
          <w:rFonts w:cs="Arial"/>
        </w:rPr>
        <w:t xml:space="preserve">assuming that </w:t>
      </w:r>
      <w:r w:rsidR="00397FB1">
        <w:rPr>
          <w:rFonts w:cs="Arial"/>
        </w:rPr>
        <w:t>the ex</w:t>
      </w:r>
      <w:r w:rsidR="00B33C13">
        <w:rPr>
          <w:rFonts w:cs="Arial"/>
        </w:rPr>
        <w:t>isting</w:t>
      </w:r>
      <w:r w:rsidR="00397FB1">
        <w:rPr>
          <w:rFonts w:cs="Arial"/>
        </w:rPr>
        <w:t xml:space="preserve"> licensing framework under the 1992 Act applies to licences until a suitable replacement is </w:t>
      </w:r>
      <w:r w:rsidR="009F6132">
        <w:rPr>
          <w:rFonts w:cs="Arial"/>
        </w:rPr>
        <w:t xml:space="preserve">created </w:t>
      </w:r>
      <w:r w:rsidR="00397FB1">
        <w:rPr>
          <w:rFonts w:cs="Arial"/>
        </w:rPr>
        <w:t>under the new legislation</w:t>
      </w:r>
      <w:r>
        <w:rPr>
          <w:rFonts w:cs="Arial"/>
        </w:rPr>
        <w:t xml:space="preserve">. </w:t>
      </w:r>
    </w:p>
    <w:p w14:paraId="45FCF42E" w14:textId="22D8025C" w:rsidR="00B14FA4" w:rsidRPr="00B14FA4" w:rsidRDefault="00B14FA4" w:rsidP="00B14FA4">
      <w:pPr>
        <w:rPr>
          <w:rFonts w:cs="Arial"/>
        </w:rPr>
      </w:pPr>
      <w:r w:rsidRPr="00B14FA4">
        <w:rPr>
          <w:rFonts w:cs="Arial"/>
        </w:rPr>
        <w:t xml:space="preserve">The ACMA understands that </w:t>
      </w:r>
      <w:r w:rsidR="008B3F80">
        <w:rPr>
          <w:rFonts w:cs="Arial"/>
        </w:rPr>
        <w:t>a</w:t>
      </w:r>
      <w:r w:rsidR="008B3F80" w:rsidRPr="00B14FA4">
        <w:rPr>
          <w:rFonts w:cs="Arial"/>
        </w:rPr>
        <w:t xml:space="preserve"> </w:t>
      </w:r>
      <w:r w:rsidRPr="00B14FA4">
        <w:rPr>
          <w:rFonts w:cs="Arial"/>
        </w:rPr>
        <w:t xml:space="preserve">Transitionals and Consequentials Bill relating to the Bill </w:t>
      </w:r>
      <w:r w:rsidR="00E93D38">
        <w:rPr>
          <w:rFonts w:cs="Arial"/>
        </w:rPr>
        <w:t xml:space="preserve">will be drafted and </w:t>
      </w:r>
      <w:r w:rsidR="000735B8">
        <w:rPr>
          <w:rFonts w:cs="Arial"/>
        </w:rPr>
        <w:t xml:space="preserve">is likely to </w:t>
      </w:r>
      <w:r w:rsidRPr="00B14FA4">
        <w:rPr>
          <w:rFonts w:cs="Arial"/>
        </w:rPr>
        <w:t>establish the legislative framework for a staged transition to the new licensing scheme over a number of years. This approach recognises the complexity of the existing licensing scheme and its importance to the smooth functioning of the industries and activities that rely on spectrum access.</w:t>
      </w:r>
    </w:p>
    <w:p w14:paraId="1430561D" w14:textId="77777777" w:rsidR="00B14FA4" w:rsidRPr="00B14FA4" w:rsidRDefault="00B14FA4" w:rsidP="00D35913">
      <w:pPr>
        <w:spacing w:after="80"/>
        <w:rPr>
          <w:rFonts w:cs="Arial"/>
        </w:rPr>
      </w:pPr>
      <w:r w:rsidRPr="00B14FA4">
        <w:rPr>
          <w:rFonts w:cs="Arial"/>
        </w:rPr>
        <w:t>Principles the ACMA expects to guide the transition process include:</w:t>
      </w:r>
    </w:p>
    <w:p w14:paraId="1D64625D" w14:textId="29E286CE" w:rsidR="00B14FA4" w:rsidRPr="00B14FA4" w:rsidRDefault="00B57706" w:rsidP="00D35913">
      <w:pPr>
        <w:pStyle w:val="ListBullet"/>
      </w:pPr>
      <w:r>
        <w:t>Transparency</w:t>
      </w:r>
      <w:r w:rsidR="004B2951">
        <w:t>—s</w:t>
      </w:r>
      <w:r w:rsidR="00B14FA4" w:rsidRPr="00B14FA4">
        <w:t>takeholders will be consulted on the approach to transition and the considerations that may guide transition.</w:t>
      </w:r>
    </w:p>
    <w:p w14:paraId="2F1E5CBB" w14:textId="725A53CA" w:rsidR="00B14FA4" w:rsidRPr="00B14FA4" w:rsidRDefault="00B14FA4" w:rsidP="00D35913">
      <w:pPr>
        <w:pStyle w:val="ListBullet"/>
      </w:pPr>
      <w:r w:rsidRPr="00B14FA4">
        <w:t>Predictability</w:t>
      </w:r>
      <w:r w:rsidR="004B2951">
        <w:t>—t</w:t>
      </w:r>
      <w:r w:rsidRPr="00B14FA4">
        <w:t xml:space="preserve">his major change to the radiocommunications regulatory regime may affect significant interests of a large variety of stakeholders. As a result, ensuring those stakeholders can predict how and when any changes may affect them will greatly assist the transition process. </w:t>
      </w:r>
    </w:p>
    <w:p w14:paraId="3AD84EB2" w14:textId="4B5FA769" w:rsidR="00B14FA4" w:rsidRPr="00B14FA4" w:rsidRDefault="00B14FA4" w:rsidP="00D35913">
      <w:pPr>
        <w:pStyle w:val="ListBulletLast"/>
      </w:pPr>
      <w:r w:rsidRPr="00B14FA4">
        <w:t>Consideration of impact</w:t>
      </w:r>
      <w:r w:rsidR="004B2951">
        <w:t>—d</w:t>
      </w:r>
      <w:r w:rsidRPr="00B14FA4">
        <w:t xml:space="preserve">ifferent approaches to transition will have different impacts on stakeholders (including licensees and potential licensees, accredited persons, delegates, other stakeholders and the ACMA), potentially </w:t>
      </w:r>
      <w:r w:rsidR="00BB45C3">
        <w:t xml:space="preserve">leading to some </w:t>
      </w:r>
      <w:r w:rsidRPr="00B14FA4">
        <w:t xml:space="preserve">additional costs for particular stakeholders. Changes that confer the most immediate benefits should be given higher priority while any potential for the transition to result in additional costs without corresponding gain should be recognised and minimised. </w:t>
      </w:r>
    </w:p>
    <w:p w14:paraId="174FD790" w14:textId="2FA631A0" w:rsidR="00B14FA4" w:rsidRPr="00B14FA4" w:rsidRDefault="00B14FA4" w:rsidP="00B14FA4">
      <w:pPr>
        <w:rPr>
          <w:rFonts w:cs="Arial"/>
        </w:rPr>
      </w:pPr>
      <w:r w:rsidRPr="00B14FA4">
        <w:rPr>
          <w:rFonts w:cs="Arial"/>
        </w:rPr>
        <w:t>Additionally, the government has previously advised that a guiding principle for transition is that the rights of existing licensees will not be diminished in the transition</w:t>
      </w:r>
      <w:r w:rsidR="004B2951">
        <w:rPr>
          <w:rFonts w:cs="Arial"/>
        </w:rPr>
        <w:t>.</w:t>
      </w:r>
      <w:r w:rsidR="00D35913">
        <w:rPr>
          <w:rStyle w:val="FootnoteReference"/>
        </w:rPr>
        <w:footnoteReference w:id="11"/>
      </w:r>
      <w:r w:rsidRPr="00B14FA4">
        <w:rPr>
          <w:rFonts w:cs="Arial"/>
        </w:rPr>
        <w:t xml:space="preserve"> The ACMA would expect to be guided by this principle, as far as practicable, in its implementation of a system for spectrum management under </w:t>
      </w:r>
      <w:r w:rsidR="00B57706">
        <w:rPr>
          <w:rFonts w:cs="Arial"/>
        </w:rPr>
        <w:t xml:space="preserve">the new legislative framework. </w:t>
      </w:r>
      <w:r w:rsidRPr="00B14FA4">
        <w:rPr>
          <w:rFonts w:cs="Arial"/>
        </w:rPr>
        <w:t>The ACMA will consult appropriately with stakeholders in relation to any decisions that may affect the rights of existing licensees.</w:t>
      </w:r>
    </w:p>
    <w:p w14:paraId="346B9E60" w14:textId="2D68D124" w:rsidR="00B14FA4" w:rsidRPr="00B14FA4" w:rsidRDefault="00B14FA4" w:rsidP="00D35913">
      <w:pPr>
        <w:pStyle w:val="Heading2"/>
      </w:pPr>
      <w:bookmarkStart w:id="30" w:name="_Toc481057138"/>
      <w:bookmarkStart w:id="31" w:name="_Toc467581362"/>
      <w:r w:rsidRPr="00B14FA4">
        <w:lastRenderedPageBreak/>
        <w:t>Existing spectrum licences</w:t>
      </w:r>
      <w:r w:rsidR="00A60FAD">
        <w:t>—</w:t>
      </w:r>
      <w:r w:rsidRPr="00B14FA4">
        <w:t>replac</w:t>
      </w:r>
      <w:r w:rsidR="00AF0E9A">
        <w:t xml:space="preserve">ing </w:t>
      </w:r>
      <w:r w:rsidRPr="00B14FA4">
        <w:t>licence</w:t>
      </w:r>
      <w:r w:rsidR="00AF0E9A">
        <w:t>s</w:t>
      </w:r>
      <w:r w:rsidRPr="00B14FA4">
        <w:t xml:space="preserve"> under the new system with </w:t>
      </w:r>
      <w:r w:rsidR="00AF0E9A">
        <w:t>licensee</w:t>
      </w:r>
      <w:r w:rsidR="0020029C">
        <w:t>’</w:t>
      </w:r>
      <w:r w:rsidR="00AF0E9A">
        <w:t xml:space="preserve">s </w:t>
      </w:r>
      <w:r w:rsidRPr="00B14FA4">
        <w:t>agreement</w:t>
      </w:r>
      <w:bookmarkEnd w:id="30"/>
      <w:r w:rsidRPr="00B14FA4">
        <w:t xml:space="preserve"> </w:t>
      </w:r>
      <w:bookmarkEnd w:id="31"/>
    </w:p>
    <w:p w14:paraId="1FA7A4D0" w14:textId="4F53B5CD" w:rsidR="00B14FA4" w:rsidRPr="00B14FA4" w:rsidRDefault="00B14FA4" w:rsidP="00B14FA4">
      <w:pPr>
        <w:rPr>
          <w:rFonts w:cs="Arial"/>
        </w:rPr>
      </w:pPr>
      <w:r w:rsidRPr="00B14FA4">
        <w:rPr>
          <w:rFonts w:cs="Arial"/>
        </w:rPr>
        <w:t xml:space="preserve">Spectrum licences are typically of long (up to 15 years) duration. Full payment is usually required </w:t>
      </w:r>
      <w:r w:rsidR="00D35913">
        <w:rPr>
          <w:rFonts w:cs="Arial"/>
        </w:rPr>
        <w:t>up front, prior to commencement</w:t>
      </w:r>
      <w:r w:rsidR="00A60FAD">
        <w:rPr>
          <w:rFonts w:cs="Arial"/>
        </w:rPr>
        <w:t>.</w:t>
      </w:r>
      <w:r w:rsidR="00D35913" w:rsidRPr="006244E6">
        <w:rPr>
          <w:rStyle w:val="FootnoteReference"/>
        </w:rPr>
        <w:footnoteReference w:id="12"/>
      </w:r>
      <w:r w:rsidRPr="00B14FA4">
        <w:rPr>
          <w:rFonts w:cs="Arial"/>
        </w:rPr>
        <w:t xml:space="preserve"> They are fully tradable (subject to any determination made under </w:t>
      </w:r>
      <w:r w:rsidR="00805859">
        <w:rPr>
          <w:rFonts w:cs="Arial"/>
        </w:rPr>
        <w:t>clause</w:t>
      </w:r>
      <w:r w:rsidRPr="00B14FA4">
        <w:rPr>
          <w:rFonts w:cs="Arial"/>
        </w:rPr>
        <w:t xml:space="preserve"> 88 of the Act) and confer a right on licensees, broadly speaking, to use any radiocommunications devices within particular frequency ranges, in particular geographic areas. The government has indicated that existing spectrum licences will continue until expiry unless the licensee voluntarily decides to replace the spectrum licence with a licence </w:t>
      </w:r>
      <w:r w:rsidR="00D35913">
        <w:rPr>
          <w:rFonts w:cs="Arial"/>
        </w:rPr>
        <w:t xml:space="preserve">under the </w:t>
      </w:r>
      <w:r w:rsidR="00FF261C">
        <w:rPr>
          <w:rFonts w:cs="Arial"/>
        </w:rPr>
        <w:t>Bill</w:t>
      </w:r>
      <w:r w:rsidR="00D35913">
        <w:rPr>
          <w:rFonts w:cs="Arial"/>
        </w:rPr>
        <w:t xml:space="preserve"> before expiry</w:t>
      </w:r>
      <w:r w:rsidR="00A60FAD">
        <w:rPr>
          <w:rFonts w:cs="Arial"/>
        </w:rPr>
        <w:t>.</w:t>
      </w:r>
      <w:r w:rsidR="00D35913">
        <w:rPr>
          <w:rStyle w:val="FootnoteReference"/>
        </w:rPr>
        <w:footnoteReference w:id="13"/>
      </w:r>
      <w:r w:rsidRPr="00B14FA4">
        <w:rPr>
          <w:rFonts w:cs="Arial"/>
        </w:rPr>
        <w:t xml:space="preserve"> This creates the potential for spectrum licences to continue for a number of years following the commencement of the main provisions of the Bill. Existing spectrum licences will not begin to expire until 2021 and the last spectrum licence </w:t>
      </w:r>
      <w:r w:rsidR="00EF3047">
        <w:rPr>
          <w:rFonts w:cs="Arial"/>
        </w:rPr>
        <w:t xml:space="preserve">that is currently </w:t>
      </w:r>
      <w:r w:rsidR="00975DF8">
        <w:rPr>
          <w:rFonts w:cs="Arial"/>
        </w:rPr>
        <w:t xml:space="preserve">issued </w:t>
      </w:r>
      <w:r w:rsidRPr="00B14FA4">
        <w:rPr>
          <w:rFonts w:cs="Arial"/>
        </w:rPr>
        <w:t>is not expected to expire until 2032.</w:t>
      </w:r>
    </w:p>
    <w:p w14:paraId="7D6A9487" w14:textId="09DC90C5" w:rsidR="00B14FA4" w:rsidRPr="00B14FA4" w:rsidRDefault="00B14FA4" w:rsidP="00B14FA4">
      <w:pPr>
        <w:rPr>
          <w:rFonts w:cs="Arial"/>
        </w:rPr>
      </w:pPr>
      <w:r w:rsidRPr="00B14FA4">
        <w:rPr>
          <w:rFonts w:cs="Arial"/>
        </w:rPr>
        <w:t>At commencement of the main provisions of the Bill</w:t>
      </w:r>
      <w:r w:rsidR="00A60FAD">
        <w:rPr>
          <w:rFonts w:cs="Arial"/>
        </w:rPr>
        <w:t>,</w:t>
      </w:r>
      <w:r w:rsidRPr="00B14FA4">
        <w:rPr>
          <w:rFonts w:cs="Arial"/>
        </w:rPr>
        <w:t xml:space="preserve"> most spectrum licences will have many years left to run and will have been issued, or reissued, on terms that were the result of detailed consultation with licensees. The ACMA’s early thinking is that it would aim to offer the option of conversion to licences issued under the Bill well in advance of the expiry of existing spectrum licences, unless there were particular reasons for changing planning arrangements in a band that might preclude renewal or reissue. </w:t>
      </w:r>
      <w:r w:rsidR="0061401D">
        <w:rPr>
          <w:rFonts w:cs="Arial"/>
        </w:rPr>
        <w:t>Potential e</w:t>
      </w:r>
      <w:r w:rsidRPr="00B14FA4">
        <w:rPr>
          <w:rFonts w:cs="Arial"/>
        </w:rPr>
        <w:t>nhanced predictability around processes preceding licence expiry is seen as a key attraction of voluntary transition to licences issued under the Bill prior to the expiration date of existing spectrum licences. However, the ACMA expects to consider any licensee interest in earlier conversion when developing its transition work program. If and when desired, the ACMA will look to enable the voluntary transition of existing spectrum licences to the new licensing system quickly and in consultation with affected licensees.</w:t>
      </w:r>
    </w:p>
    <w:p w14:paraId="7CD0FE7E" w14:textId="67A64293" w:rsidR="00B14FA4" w:rsidRPr="00B14FA4" w:rsidRDefault="00B14FA4" w:rsidP="00B14FA4">
      <w:pPr>
        <w:rPr>
          <w:rFonts w:cs="Arial"/>
        </w:rPr>
      </w:pPr>
      <w:r w:rsidRPr="00B14FA4">
        <w:rPr>
          <w:rFonts w:cs="Arial"/>
        </w:rPr>
        <w:t>Making available any spectrum in existing spectrum-licensed bands that is unallocated at the time the main provisions of the Bill commence could pose particular challenges for transition. To facilitate spectrum trading and interference management</w:t>
      </w:r>
      <w:r w:rsidR="00606118">
        <w:rPr>
          <w:rFonts w:cs="Arial"/>
        </w:rPr>
        <w:t>,</w:t>
      </w:r>
      <w:r w:rsidRPr="00B14FA4">
        <w:rPr>
          <w:rFonts w:cs="Arial"/>
        </w:rPr>
        <w:t xml:space="preserve"> and to ensure consistent treatment of all licences in the band, any future arrangements for available spectrum in spectrum-licensed bands should as far as possible be consistent with those of surrounding spectrum licences that are already issued. The ACMA will seek to ensure</w:t>
      </w:r>
      <w:r w:rsidR="00D01CFB">
        <w:rPr>
          <w:rFonts w:cs="Arial"/>
        </w:rPr>
        <w:t>,</w:t>
      </w:r>
      <w:r w:rsidRPr="00B14FA4">
        <w:rPr>
          <w:rFonts w:cs="Arial"/>
        </w:rPr>
        <w:t xml:space="preserve"> </w:t>
      </w:r>
      <w:r w:rsidR="00D01CFB">
        <w:rPr>
          <w:rFonts w:cs="Arial"/>
        </w:rPr>
        <w:t>as far as is feasible and appro</w:t>
      </w:r>
      <w:r w:rsidR="005516D9">
        <w:rPr>
          <w:rFonts w:cs="Arial"/>
        </w:rPr>
        <w:t>p</w:t>
      </w:r>
      <w:r w:rsidR="00D01CFB">
        <w:rPr>
          <w:rFonts w:cs="Arial"/>
        </w:rPr>
        <w:t xml:space="preserve">riate, </w:t>
      </w:r>
      <w:r w:rsidRPr="00B14FA4">
        <w:rPr>
          <w:rFonts w:cs="Arial"/>
        </w:rPr>
        <w:t xml:space="preserve">that all such </w:t>
      </w:r>
      <w:r w:rsidR="00D01CFB">
        <w:rPr>
          <w:rFonts w:cs="Arial"/>
        </w:rPr>
        <w:t xml:space="preserve">available </w:t>
      </w:r>
      <w:r w:rsidRPr="00B14FA4">
        <w:rPr>
          <w:rFonts w:cs="Arial"/>
        </w:rPr>
        <w:t xml:space="preserve">spectrum has been put to market prior to commencement of the main provisions of the Bill. </w:t>
      </w:r>
    </w:p>
    <w:p w14:paraId="78C026EC" w14:textId="45A63E6E" w:rsidR="00B14FA4" w:rsidRPr="00B14FA4" w:rsidRDefault="00B14FA4" w:rsidP="00D35913">
      <w:pPr>
        <w:spacing w:after="80"/>
        <w:rPr>
          <w:rFonts w:cs="Arial"/>
        </w:rPr>
      </w:pPr>
      <w:r w:rsidRPr="00B14FA4">
        <w:rPr>
          <w:rFonts w:cs="Arial"/>
        </w:rPr>
        <w:t>Depending on progress of any replanning work on foot at the time the Bill become law, the ACMA may be in the process of re-farming bands through the allocation of new spectrum licences at the time the main provisions of the Bill commence. At this stage</w:t>
      </w:r>
      <w:r w:rsidR="00606118">
        <w:rPr>
          <w:rFonts w:cs="Arial"/>
        </w:rPr>
        <w:t>,</w:t>
      </w:r>
      <w:r w:rsidRPr="00B14FA4">
        <w:rPr>
          <w:rFonts w:cs="Arial"/>
        </w:rPr>
        <w:t xml:space="preserve"> it is not possible to anticipate whether and where this issue might arise. However, the ACMA expects to take into account the desirability of:</w:t>
      </w:r>
    </w:p>
    <w:p w14:paraId="7EA23560" w14:textId="006650DE" w:rsidR="00B14FA4" w:rsidRPr="00B14FA4" w:rsidRDefault="00B14FA4" w:rsidP="002358D6">
      <w:pPr>
        <w:pStyle w:val="ListBullet"/>
      </w:pPr>
      <w:r w:rsidRPr="00B14FA4">
        <w:t>if in the public interest, moving more quickly where the new processes permit</w:t>
      </w:r>
    </w:p>
    <w:p w14:paraId="2FE697A4" w14:textId="2C971367" w:rsidR="00B14FA4" w:rsidRPr="00B14FA4" w:rsidRDefault="00B14FA4" w:rsidP="002358D6">
      <w:pPr>
        <w:pStyle w:val="ListBullet"/>
      </w:pPr>
      <w:r w:rsidRPr="00B14FA4">
        <w:t>as far as possible ensuring that transition to the new legislation does not delay re</w:t>
      </w:r>
      <w:r w:rsidR="00606118">
        <w:noBreakHyphen/>
      </w:r>
      <w:r w:rsidRPr="00B14FA4">
        <w:t>farming work.</w:t>
      </w:r>
    </w:p>
    <w:p w14:paraId="3C543A7B" w14:textId="27C5B67A" w:rsidR="00B14FA4" w:rsidRPr="00B14FA4" w:rsidRDefault="00B14FA4" w:rsidP="00D35913">
      <w:pPr>
        <w:pStyle w:val="Heading2"/>
      </w:pPr>
      <w:bookmarkStart w:id="32" w:name="_Toc467581363"/>
      <w:bookmarkStart w:id="33" w:name="_Toc481057139"/>
      <w:r w:rsidRPr="00B14FA4">
        <w:lastRenderedPageBreak/>
        <w:t>Existing apparatus licences</w:t>
      </w:r>
      <w:r w:rsidR="00606118">
        <w:t>—</w:t>
      </w:r>
      <w:r w:rsidRPr="00B14FA4">
        <w:t>progressive replacement with licences under the new system</w:t>
      </w:r>
      <w:bookmarkEnd w:id="32"/>
      <w:bookmarkEnd w:id="33"/>
      <w:r w:rsidRPr="00B14FA4">
        <w:t xml:space="preserve"> </w:t>
      </w:r>
    </w:p>
    <w:p w14:paraId="7205AEE8" w14:textId="34DC262A" w:rsidR="00606118" w:rsidRDefault="00B14FA4" w:rsidP="00D35913">
      <w:pPr>
        <w:spacing w:after="80"/>
        <w:rPr>
          <w:rFonts w:cs="Arial"/>
        </w:rPr>
      </w:pPr>
      <w:r w:rsidRPr="00B14FA4">
        <w:rPr>
          <w:rFonts w:cs="Arial"/>
        </w:rPr>
        <w:t xml:space="preserve">There are currently over 150,000 individual apparatus licences. On average, </w:t>
      </w:r>
      <w:r w:rsidR="00606118">
        <w:rPr>
          <w:rFonts w:cs="Arial"/>
        </w:rPr>
        <w:t xml:space="preserve">each week </w:t>
      </w:r>
      <w:r w:rsidRPr="00B14FA4">
        <w:rPr>
          <w:rFonts w:cs="Arial"/>
        </w:rPr>
        <w:t xml:space="preserve">the ACMA renews nearly 3,000 licences and issues 300 new licences. There are currently 16 transmitter licence types, in excess of 40 transmitter licence subtypes, and </w:t>
      </w:r>
      <w:r w:rsidR="00606118">
        <w:rPr>
          <w:rFonts w:cs="Arial"/>
        </w:rPr>
        <w:t>five</w:t>
      </w:r>
      <w:r w:rsidRPr="00B14FA4">
        <w:rPr>
          <w:rFonts w:cs="Arial"/>
        </w:rPr>
        <w:t xml:space="preserve"> receiver licence types. Unlike spectrum licences, apparatus licences are typically of short duration, up to five years but most frequently 12 months, with annual licence tax payments. They </w:t>
      </w:r>
      <w:r w:rsidR="009E44C4">
        <w:rPr>
          <w:rFonts w:cs="Arial"/>
        </w:rPr>
        <w:t xml:space="preserve">have a </w:t>
      </w:r>
      <w:r w:rsidRPr="00B14FA4">
        <w:rPr>
          <w:rFonts w:cs="Arial"/>
        </w:rPr>
        <w:t xml:space="preserve">much </w:t>
      </w:r>
      <w:r w:rsidR="009E44C4">
        <w:rPr>
          <w:rFonts w:cs="Arial"/>
        </w:rPr>
        <w:t xml:space="preserve">greater </w:t>
      </w:r>
      <w:r w:rsidRPr="00B14FA4">
        <w:rPr>
          <w:rFonts w:cs="Arial"/>
        </w:rPr>
        <w:t>divers</w:t>
      </w:r>
      <w:r w:rsidR="009E44C4">
        <w:rPr>
          <w:rFonts w:cs="Arial"/>
        </w:rPr>
        <w:t>ity</w:t>
      </w:r>
      <w:r w:rsidRPr="00B14FA4">
        <w:rPr>
          <w:rFonts w:cs="Arial"/>
        </w:rPr>
        <w:t xml:space="preserve"> </w:t>
      </w:r>
      <w:r w:rsidR="009E44C4">
        <w:rPr>
          <w:rFonts w:cs="Arial"/>
        </w:rPr>
        <w:t>of</w:t>
      </w:r>
      <w:r w:rsidR="00395C6A">
        <w:rPr>
          <w:rFonts w:cs="Arial"/>
        </w:rPr>
        <w:t xml:space="preserve"> </w:t>
      </w:r>
      <w:r w:rsidR="000735B8">
        <w:rPr>
          <w:rFonts w:cs="Arial"/>
        </w:rPr>
        <w:t xml:space="preserve">characteristics </w:t>
      </w:r>
      <w:r w:rsidRPr="00B14FA4">
        <w:rPr>
          <w:rFonts w:cs="Arial"/>
        </w:rPr>
        <w:t xml:space="preserve">than spectrum licences. </w:t>
      </w:r>
    </w:p>
    <w:p w14:paraId="06545A9A" w14:textId="5F13E62D" w:rsidR="00B14FA4" w:rsidRPr="00B14FA4" w:rsidRDefault="00B14FA4" w:rsidP="00C85F46">
      <w:pPr>
        <w:keepNext/>
        <w:spacing w:after="80"/>
        <w:rPr>
          <w:rFonts w:cs="Arial"/>
        </w:rPr>
      </w:pPr>
      <w:r w:rsidRPr="00B14FA4">
        <w:rPr>
          <w:rFonts w:cs="Arial"/>
        </w:rPr>
        <w:t>Some common types of apparatus licence include:</w:t>
      </w:r>
    </w:p>
    <w:p w14:paraId="6D247838" w14:textId="7AF14701" w:rsidR="00B14FA4" w:rsidRPr="00B14FA4" w:rsidRDefault="00B14FA4" w:rsidP="00D35913">
      <w:pPr>
        <w:pStyle w:val="ListBullet"/>
      </w:pPr>
      <w:r w:rsidRPr="00B14FA4">
        <w:t>Large-area licences over blocks of spectrum space. These are similar to spectrum licences in allowing greater planning flexibility to licensees</w:t>
      </w:r>
      <w:r w:rsidR="00606118">
        <w:t>.</w:t>
      </w:r>
    </w:p>
    <w:p w14:paraId="2B24F7FA" w14:textId="668ACB0F" w:rsidR="00B14FA4" w:rsidRPr="00B14FA4" w:rsidRDefault="00B14FA4" w:rsidP="00D35913">
      <w:pPr>
        <w:pStyle w:val="ListBullet"/>
      </w:pPr>
      <w:r w:rsidRPr="00B14FA4">
        <w:t xml:space="preserve">Licences that allow operation from a specific site or sites and on specific terms, using </w:t>
      </w:r>
      <w:r w:rsidR="000141D2">
        <w:t>frequencies</w:t>
      </w:r>
      <w:r w:rsidR="008146F5">
        <w:t xml:space="preserve"> </w:t>
      </w:r>
      <w:r w:rsidRPr="00B14FA4">
        <w:t>that have been coordinated with other spectrum users. An example is a ‘fixed</w:t>
      </w:r>
      <w:r w:rsidR="00606118">
        <w:t>-</w:t>
      </w:r>
      <w:r w:rsidRPr="00B14FA4">
        <w:t>link’ licence that authorises broadband microwave communication between two towers</w:t>
      </w:r>
      <w:r w:rsidR="00606118">
        <w:t>.</w:t>
      </w:r>
    </w:p>
    <w:p w14:paraId="444A0092" w14:textId="77777777" w:rsidR="00B14FA4" w:rsidRPr="00B14FA4" w:rsidRDefault="00B14FA4" w:rsidP="00D35913">
      <w:pPr>
        <w:pStyle w:val="ListBulletLast"/>
      </w:pPr>
      <w:r w:rsidRPr="00B14FA4">
        <w:t>‘Unassigned licences’ that do not authorise the operation of a radiocommunications device on a specific frequency, but allow operation on any frequency in one or more specified bands subject to conditions. An example is an amateur licence.</w:t>
      </w:r>
    </w:p>
    <w:p w14:paraId="6604B734" w14:textId="77777777" w:rsidR="00B14FA4" w:rsidRPr="00B14FA4" w:rsidRDefault="00B14FA4" w:rsidP="00B14FA4">
      <w:pPr>
        <w:rPr>
          <w:rFonts w:cs="Arial"/>
        </w:rPr>
      </w:pPr>
      <w:r w:rsidRPr="00B14FA4">
        <w:rPr>
          <w:rFonts w:cs="Arial"/>
        </w:rPr>
        <w:t xml:space="preserve">Given the size and complexity of the apparatus licensing scheme, a staged approach to transition is needed. </w:t>
      </w:r>
    </w:p>
    <w:p w14:paraId="5DF541BF" w14:textId="3D55A3FE" w:rsidR="00B14FA4" w:rsidRPr="00B14FA4" w:rsidRDefault="00B14FA4" w:rsidP="00B14FA4">
      <w:pPr>
        <w:rPr>
          <w:rFonts w:cs="Arial"/>
        </w:rPr>
      </w:pPr>
      <w:r w:rsidRPr="00B14FA4">
        <w:rPr>
          <w:rFonts w:cs="Arial"/>
        </w:rPr>
        <w:t>It is intended that all apparatus licences would be replaced by licences under the new system within five years of commencement of the main provisions of the Bill. Where a person currently holds an apparatus licence, it is expected that at least 12 months</w:t>
      </w:r>
      <w:r w:rsidR="00C939DA">
        <w:rPr>
          <w:rFonts w:cs="Arial"/>
        </w:rPr>
        <w:t>’</w:t>
      </w:r>
      <w:r w:rsidRPr="00B14FA4">
        <w:rPr>
          <w:rFonts w:cs="Arial"/>
        </w:rPr>
        <w:t xml:space="preserve"> notice would be given of any </w:t>
      </w:r>
      <w:r w:rsidR="00D35913">
        <w:rPr>
          <w:rFonts w:cs="Arial"/>
        </w:rPr>
        <w:t>change to existing arrangements</w:t>
      </w:r>
      <w:r w:rsidR="00606118">
        <w:rPr>
          <w:rFonts w:cs="Arial"/>
        </w:rPr>
        <w:t>.</w:t>
      </w:r>
      <w:r w:rsidR="00D35913" w:rsidRPr="00DF1DA3">
        <w:rPr>
          <w:rStyle w:val="FootnoteReference"/>
        </w:rPr>
        <w:footnoteReference w:id="14"/>
      </w:r>
      <w:r w:rsidRPr="00B14FA4">
        <w:rPr>
          <w:rFonts w:cs="Arial"/>
        </w:rPr>
        <w:t xml:space="preserve"> </w:t>
      </w:r>
      <w:r w:rsidR="00AF568E">
        <w:rPr>
          <w:rFonts w:cs="Arial"/>
        </w:rPr>
        <w:t>It is proposed that, subject to the provisions of the Transitionals and Consequentials Bill, e</w:t>
      </w:r>
      <w:r w:rsidRPr="00B14FA4">
        <w:rPr>
          <w:rFonts w:cs="Arial"/>
        </w:rPr>
        <w:t xml:space="preserve">xisting apparatus licences would continue under the current framework until expiry and a suitable ‘replacement’ licence is available. If a replacement is not available at expiry, the licence may be renewed for a period consistent with development of the new arrangements. </w:t>
      </w:r>
      <w:r w:rsidR="00AF568E">
        <w:rPr>
          <w:rFonts w:cs="Arial"/>
        </w:rPr>
        <w:t>It is proposed, subject to the provisions of the Transitionals and Consequentials Bill</w:t>
      </w:r>
      <w:r w:rsidR="000F2770">
        <w:rPr>
          <w:rFonts w:cs="Arial"/>
        </w:rPr>
        <w:t>,</w:t>
      </w:r>
      <w:r w:rsidR="00AF568E">
        <w:rPr>
          <w:rFonts w:cs="Arial"/>
        </w:rPr>
        <w:t xml:space="preserve"> that t</w:t>
      </w:r>
      <w:r w:rsidRPr="00B14FA4">
        <w:rPr>
          <w:rFonts w:cs="Arial"/>
        </w:rPr>
        <w:t xml:space="preserve">hose seeking new licences would generally be issued licences under the old arrangements until the new system is in place and a licence category suitable for their proposed use is available. Any new pricing arrangements </w:t>
      </w:r>
      <w:r w:rsidR="00162396" w:rsidRPr="00893970">
        <w:rPr>
          <w:rFonts w:cs="Arial"/>
        </w:rPr>
        <w:t xml:space="preserve">arising from a change to a new system licence </w:t>
      </w:r>
      <w:r w:rsidRPr="00B14FA4">
        <w:rPr>
          <w:rFonts w:cs="Arial"/>
        </w:rPr>
        <w:t xml:space="preserve">would be applied </w:t>
      </w:r>
      <w:r w:rsidR="00162396" w:rsidRPr="00893970">
        <w:rPr>
          <w:rFonts w:cs="Arial"/>
        </w:rPr>
        <w:t xml:space="preserve">to the new licence. </w:t>
      </w:r>
    </w:p>
    <w:p w14:paraId="24E81FE5" w14:textId="50D3F337" w:rsidR="00B14FA4" w:rsidRPr="00B14FA4" w:rsidRDefault="00B14FA4" w:rsidP="00B14FA4">
      <w:pPr>
        <w:rPr>
          <w:rFonts w:cs="Arial"/>
        </w:rPr>
      </w:pPr>
      <w:r w:rsidRPr="00B14FA4">
        <w:rPr>
          <w:rFonts w:cs="Arial"/>
        </w:rPr>
        <w:t xml:space="preserve">To ensure an orderly, predictable transition for all apparatus licences, </w:t>
      </w:r>
      <w:r w:rsidR="00AF568E">
        <w:rPr>
          <w:rFonts w:cs="Arial"/>
        </w:rPr>
        <w:t>and</w:t>
      </w:r>
      <w:r w:rsidR="000F2770">
        <w:rPr>
          <w:rFonts w:cs="Arial"/>
        </w:rPr>
        <w:t>,</w:t>
      </w:r>
      <w:r w:rsidR="00AF568E">
        <w:rPr>
          <w:rFonts w:cs="Arial"/>
        </w:rPr>
        <w:t xml:space="preserve"> </w:t>
      </w:r>
      <w:r w:rsidR="00562BF3">
        <w:rPr>
          <w:rFonts w:cs="Arial"/>
        </w:rPr>
        <w:t xml:space="preserve">subject to </w:t>
      </w:r>
      <w:r w:rsidR="00AF568E">
        <w:rPr>
          <w:rFonts w:cs="Arial"/>
        </w:rPr>
        <w:t xml:space="preserve">the final form of the Transitionals and Consequentials Bill, </w:t>
      </w:r>
      <w:r w:rsidRPr="00B14FA4">
        <w:rPr>
          <w:rFonts w:cs="Arial"/>
        </w:rPr>
        <w:t xml:space="preserve">the ACMA is planning consultation about the design of the new licensing system in the period between the release of the </w:t>
      </w:r>
      <w:r w:rsidR="00105793">
        <w:rPr>
          <w:rFonts w:cs="Arial"/>
        </w:rPr>
        <w:t xml:space="preserve">exposure draft </w:t>
      </w:r>
      <w:r w:rsidRPr="00B14FA4">
        <w:rPr>
          <w:rFonts w:cs="Arial"/>
        </w:rPr>
        <w:t>Bill and</w:t>
      </w:r>
      <w:r w:rsidR="00AF568E">
        <w:rPr>
          <w:rFonts w:cs="Arial"/>
        </w:rPr>
        <w:t>, if the Bill becomes law,</w:t>
      </w:r>
      <w:r w:rsidRPr="00B14FA4">
        <w:rPr>
          <w:rFonts w:cs="Arial"/>
        </w:rPr>
        <w:t xml:space="preserve"> the Bill becoming law. This would be followed by consultation about the prioritisation of existing licences for replacement. Existing apparatus licences would then be assigned to one of a series of 12</w:t>
      </w:r>
      <w:r w:rsidR="006E2807">
        <w:rPr>
          <w:rFonts w:cs="Arial"/>
        </w:rPr>
        <w:t>-</w:t>
      </w:r>
      <w:r w:rsidRPr="00B14FA4">
        <w:rPr>
          <w:rFonts w:cs="Arial"/>
        </w:rPr>
        <w:t xml:space="preserve">month ‘windows’, during which replacement of 1992 Act licences with new ones would typically occur at the time of licence expiry. </w:t>
      </w:r>
    </w:p>
    <w:p w14:paraId="781C500E" w14:textId="10D11215" w:rsidR="00B14FA4" w:rsidRPr="00B14FA4" w:rsidRDefault="00B14FA4" w:rsidP="00B14FA4">
      <w:pPr>
        <w:rPr>
          <w:rFonts w:cs="Arial"/>
        </w:rPr>
      </w:pPr>
      <w:r w:rsidRPr="00B14FA4">
        <w:rPr>
          <w:rFonts w:cs="Arial"/>
        </w:rPr>
        <w:t xml:space="preserve">To manage the very large task of replacing all apparatus licences, the ACMA is proposing to group all licences into one of several ‘replacement windows’. Grouping would be done either by licence category, band or a combination of category and band </w:t>
      </w:r>
      <w:r w:rsidRPr="00B14FA4">
        <w:rPr>
          <w:rFonts w:cs="Arial"/>
        </w:rPr>
        <w:lastRenderedPageBreak/>
        <w:t>(</w:t>
      </w:r>
      <w:r w:rsidR="006E2807">
        <w:rPr>
          <w:rFonts w:cs="Arial"/>
        </w:rPr>
        <w:t>for example,</w:t>
      </w:r>
      <w:r w:rsidRPr="00B14FA4">
        <w:rPr>
          <w:rFonts w:cs="Arial"/>
        </w:rPr>
        <w:t xml:space="preserve"> ‘all PMTS licences in the 1800 MHz band will be replaced during window</w:t>
      </w:r>
      <w:r w:rsidR="006E2807">
        <w:rPr>
          <w:rFonts w:cs="Arial"/>
        </w:rPr>
        <w:t> </w:t>
      </w:r>
      <w:r w:rsidRPr="00B14FA4">
        <w:rPr>
          <w:rFonts w:cs="Arial"/>
        </w:rPr>
        <w:t>A’).</w:t>
      </w:r>
    </w:p>
    <w:p w14:paraId="71382E4E" w14:textId="255001DB" w:rsidR="00B14FA4" w:rsidRPr="00B14FA4" w:rsidRDefault="00AF568E" w:rsidP="00B14FA4">
      <w:pPr>
        <w:rPr>
          <w:rFonts w:cs="Arial"/>
        </w:rPr>
      </w:pPr>
      <w:r>
        <w:rPr>
          <w:rFonts w:cs="Arial"/>
        </w:rPr>
        <w:t>Assuming this process is consistent with the final form of the Transitionals and Consequentials Bill, f</w:t>
      </w:r>
      <w:r w:rsidR="00B14FA4" w:rsidRPr="00B14FA4">
        <w:rPr>
          <w:rFonts w:cs="Arial"/>
        </w:rPr>
        <w:t xml:space="preserve">or each identified group, the ACMA expects to consult stakeholders on the details of the proposed replacement licences, and then finalise </w:t>
      </w:r>
      <w:r>
        <w:rPr>
          <w:rFonts w:cs="Arial"/>
        </w:rPr>
        <w:t>proposed</w:t>
      </w:r>
      <w:r w:rsidR="00B14FA4" w:rsidRPr="00B14FA4">
        <w:rPr>
          <w:rFonts w:cs="Arial"/>
        </w:rPr>
        <w:t xml:space="preserve"> licence templates, providing existing licensees with at least 12 months</w:t>
      </w:r>
      <w:r w:rsidR="00C939DA">
        <w:rPr>
          <w:rFonts w:cs="Arial"/>
        </w:rPr>
        <w:t>’</w:t>
      </w:r>
      <w:r w:rsidR="00B14FA4" w:rsidRPr="00B14FA4">
        <w:rPr>
          <w:rFonts w:cs="Arial"/>
        </w:rPr>
        <w:t xml:space="preserve"> notice of the move from the existing to the new licensing system. Meanwhile</w:t>
      </w:r>
      <w:r w:rsidR="006E2807">
        <w:rPr>
          <w:rFonts w:cs="Arial"/>
        </w:rPr>
        <w:t>,</w:t>
      </w:r>
      <w:r w:rsidR="00B14FA4" w:rsidRPr="00B14FA4">
        <w:rPr>
          <w:rFonts w:cs="Arial"/>
        </w:rPr>
        <w:t xml:space="preserve"> the 1992 Act licences may continue to be renewed on application (in accordance with existing ACMA policy) until the start of the relevant replacement window. As most licences are issued or renewed for a 12</w:t>
      </w:r>
      <w:r w:rsidR="006E2807">
        <w:rPr>
          <w:rFonts w:cs="Arial"/>
        </w:rPr>
        <w:noBreakHyphen/>
      </w:r>
      <w:r w:rsidR="00B14FA4" w:rsidRPr="00B14FA4">
        <w:rPr>
          <w:rFonts w:cs="Arial"/>
        </w:rPr>
        <w:t xml:space="preserve">month term, the ACMA is considering replacement windows of 12 months. When a 1992 Act licence expires during the relevant replacement window, it may be replaced by a licence issued under the new legislation. Consideration will need to be given to dealing with licences with a term longer than one year, as expiry may not always fall during the relevant replacement window. </w:t>
      </w:r>
    </w:p>
    <w:p w14:paraId="1355650B" w14:textId="42217C69" w:rsidR="00B14FA4" w:rsidRPr="00B14FA4" w:rsidRDefault="00B14FA4" w:rsidP="00D35913">
      <w:pPr>
        <w:pStyle w:val="Heading2"/>
      </w:pPr>
      <w:bookmarkStart w:id="34" w:name="_Toc467581364"/>
      <w:bookmarkStart w:id="35" w:name="_Toc481057140"/>
      <w:r w:rsidRPr="00B14FA4">
        <w:t>Existing class licences</w:t>
      </w:r>
      <w:r w:rsidR="006E2807">
        <w:t>—</w:t>
      </w:r>
      <w:r w:rsidRPr="00B14FA4">
        <w:t>potential for replacement with spectrum authorisations</w:t>
      </w:r>
      <w:bookmarkEnd w:id="34"/>
      <w:bookmarkEnd w:id="35"/>
    </w:p>
    <w:p w14:paraId="4E121077" w14:textId="32C1BD83" w:rsidR="00B14FA4" w:rsidRPr="00B14FA4" w:rsidRDefault="00B14FA4" w:rsidP="00D35913">
      <w:pPr>
        <w:spacing w:after="80"/>
        <w:rPr>
          <w:rFonts w:cs="Arial"/>
        </w:rPr>
      </w:pPr>
      <w:r w:rsidRPr="00B14FA4">
        <w:rPr>
          <w:rFonts w:cs="Arial"/>
        </w:rPr>
        <w:t xml:space="preserve">Class licences currently authorise a wide </w:t>
      </w:r>
      <w:r w:rsidR="00AF568E">
        <w:rPr>
          <w:rFonts w:cs="Arial"/>
        </w:rPr>
        <w:t xml:space="preserve">variety </w:t>
      </w:r>
      <w:r w:rsidRPr="00B14FA4">
        <w:rPr>
          <w:rFonts w:cs="Arial"/>
        </w:rPr>
        <w:t xml:space="preserve">of services. Unless there are reasons for change, the ACMA expects that users of devices currently permitted under the existing 13 class licences will at commencement of the main provisions of the Bill continue to be authorised under the same or substantially similar conditions to those class licences. For the purpose of transitioning class licences to the new arrangements following the commencement of the main provisions of the Bill, the ACMA could consider class licences in two groups: </w:t>
      </w:r>
    </w:p>
    <w:p w14:paraId="260E8B49" w14:textId="77777777" w:rsidR="00B14FA4" w:rsidRPr="00B14FA4" w:rsidRDefault="00B14FA4" w:rsidP="00D35913">
      <w:pPr>
        <w:pStyle w:val="ListBullet"/>
      </w:pPr>
      <w:r w:rsidRPr="00B14FA4">
        <w:t xml:space="preserve">Class licences that are linked to apparatus licences. The class licences authorising the use of mobile phone handsets are examples of class licences that are closely related to apparatus licences. They are related to the apparatus licences that authorise provision of mobile telephony services in the relevant bands. </w:t>
      </w:r>
    </w:p>
    <w:p w14:paraId="17023222" w14:textId="32273B7A" w:rsidR="00B14FA4" w:rsidRPr="00B14FA4" w:rsidRDefault="00B14FA4" w:rsidP="00D35913">
      <w:pPr>
        <w:pStyle w:val="ListBulletLast"/>
      </w:pPr>
      <w:r w:rsidRPr="00B14FA4">
        <w:t xml:space="preserve">Class licences not associated with other licences. The </w:t>
      </w:r>
      <w:r w:rsidRPr="00AE15CD">
        <w:t>Radiocommunications (Citizen Band Radio Stations) Class Licence 2015</w:t>
      </w:r>
      <w:r w:rsidRPr="00233A9B">
        <w:t>,</w:t>
      </w:r>
      <w:r w:rsidRPr="00B14FA4">
        <w:t xml:space="preserve"> which authorises CB radio</w:t>
      </w:r>
      <w:r w:rsidR="00851BB8">
        <w:t xml:space="preserve"> devices</w:t>
      </w:r>
      <w:r w:rsidRPr="00B14FA4">
        <w:t>, is an example of a class licence that is not associated with any other existing licence.</w:t>
      </w:r>
    </w:p>
    <w:p w14:paraId="4A4A082F" w14:textId="04BC24EE" w:rsidR="00B14FA4" w:rsidRPr="00B14FA4" w:rsidRDefault="00B14FA4" w:rsidP="00B14FA4">
      <w:pPr>
        <w:rPr>
          <w:rFonts w:cs="Arial"/>
        </w:rPr>
      </w:pPr>
      <w:r w:rsidRPr="00B14FA4">
        <w:rPr>
          <w:rFonts w:cs="Arial"/>
        </w:rPr>
        <w:t>Consideration will also be given to transitioning the relevant provisions of the class licences authorising some ultra-wideband applications such as ground</w:t>
      </w:r>
      <w:r w:rsidR="006E2807">
        <w:rPr>
          <w:rFonts w:cs="Arial"/>
        </w:rPr>
        <w:t>-</w:t>
      </w:r>
      <w:r w:rsidRPr="00B14FA4">
        <w:rPr>
          <w:rFonts w:cs="Arial"/>
        </w:rPr>
        <w:t>penetrating radar in spectrum where there are existing spectrum licences (on the basis that the class</w:t>
      </w:r>
      <w:r w:rsidR="006E2807">
        <w:rPr>
          <w:rFonts w:cs="Arial"/>
        </w:rPr>
        <w:t>-</w:t>
      </w:r>
      <w:r w:rsidRPr="00B14FA4">
        <w:rPr>
          <w:rFonts w:cs="Arial"/>
        </w:rPr>
        <w:t>licensed device has little potential to interfere with any devices operat</w:t>
      </w:r>
      <w:r w:rsidR="00D35913">
        <w:rPr>
          <w:rFonts w:cs="Arial"/>
        </w:rPr>
        <w:t>ed under the spectrum licence).</w:t>
      </w:r>
      <w:r w:rsidR="00D35913">
        <w:rPr>
          <w:rStyle w:val="FootnoteReference"/>
        </w:rPr>
        <w:footnoteReference w:id="15"/>
      </w:r>
    </w:p>
    <w:p w14:paraId="1528D801" w14:textId="4948B1A6" w:rsidR="00B14FA4" w:rsidRPr="00B14FA4" w:rsidRDefault="00B14FA4" w:rsidP="00B14FA4">
      <w:pPr>
        <w:rPr>
          <w:rFonts w:cs="Arial"/>
        </w:rPr>
      </w:pPr>
      <w:r w:rsidRPr="00B14FA4">
        <w:rPr>
          <w:rFonts w:cs="Arial"/>
        </w:rPr>
        <w:t>The ACMA anticipates that a staged approach would be most desirable. Where a class licence is not associated with any spectrum or apparatus licences, it may be a relatively simple matter to replace the existing class licence with a spectrum authorisation</w:t>
      </w:r>
      <w:r w:rsidR="006E2807">
        <w:rPr>
          <w:rFonts w:cs="Arial"/>
        </w:rPr>
        <w:t>;</w:t>
      </w:r>
      <w:r w:rsidRPr="00B14FA4">
        <w:rPr>
          <w:rFonts w:cs="Arial"/>
        </w:rPr>
        <w:t xml:space="preserve"> for example</w:t>
      </w:r>
      <w:r w:rsidR="006E2807">
        <w:rPr>
          <w:rFonts w:cs="Arial"/>
        </w:rPr>
        <w:t>,</w:t>
      </w:r>
      <w:r w:rsidRPr="00B14FA4">
        <w:rPr>
          <w:rFonts w:cs="Arial"/>
        </w:rPr>
        <w:t xml:space="preserve"> at the commencement of the Bill. As part of the transition to the new arrangements </w:t>
      </w:r>
      <w:r w:rsidR="006E2807" w:rsidRPr="00B14FA4">
        <w:rPr>
          <w:rFonts w:cs="Arial"/>
        </w:rPr>
        <w:t>under</w:t>
      </w:r>
      <w:r w:rsidR="006E2807">
        <w:rPr>
          <w:rFonts w:cs="Arial"/>
        </w:rPr>
        <w:t xml:space="preserve"> the </w:t>
      </w:r>
      <w:r w:rsidRPr="00B14FA4">
        <w:rPr>
          <w:rFonts w:cs="Arial"/>
        </w:rPr>
        <w:t xml:space="preserve">Bill, it is expected that some permissions embodied in existing class licences will be carried over to the new framework and reflected in spectrum authorisations from commencement of the main provisions of the Bill. </w:t>
      </w:r>
    </w:p>
    <w:p w14:paraId="5AF36B8A" w14:textId="5F62E412" w:rsidR="00B14FA4" w:rsidRPr="00B14FA4" w:rsidRDefault="00B14FA4" w:rsidP="00B14FA4">
      <w:pPr>
        <w:rPr>
          <w:rFonts w:cs="Arial"/>
        </w:rPr>
      </w:pPr>
      <w:r w:rsidRPr="00B14FA4">
        <w:rPr>
          <w:rFonts w:cs="Arial"/>
        </w:rPr>
        <w:t xml:space="preserve">Where there is a relationship between existing class licences and apparatus licences, however, it may be simpler to align transition with those licences. </w:t>
      </w:r>
      <w:r w:rsidR="0088043B">
        <w:rPr>
          <w:rFonts w:cs="Arial"/>
        </w:rPr>
        <w:t xml:space="preserve">Most </w:t>
      </w:r>
      <w:r w:rsidRPr="00B14FA4">
        <w:rPr>
          <w:rFonts w:cs="Arial"/>
        </w:rPr>
        <w:t>class licences are also drafted to be dependent on other instruments (</w:t>
      </w:r>
      <w:r w:rsidR="006E2807">
        <w:rPr>
          <w:rFonts w:cs="Arial"/>
        </w:rPr>
        <w:t>for example,</w:t>
      </w:r>
      <w:r w:rsidRPr="00B14FA4">
        <w:rPr>
          <w:rFonts w:cs="Arial"/>
        </w:rPr>
        <w:t xml:space="preserve"> the </w:t>
      </w:r>
      <w:r w:rsidRPr="00AE15CD">
        <w:rPr>
          <w:rFonts w:cs="Arial"/>
        </w:rPr>
        <w:lastRenderedPageBreak/>
        <w:t xml:space="preserve">Radiocommunications </w:t>
      </w:r>
      <w:r w:rsidR="00851BB8" w:rsidRPr="00AE15CD">
        <w:rPr>
          <w:rFonts w:cs="Arial"/>
        </w:rPr>
        <w:t>(</w:t>
      </w:r>
      <w:r w:rsidRPr="00AE15CD">
        <w:rPr>
          <w:rFonts w:cs="Arial"/>
        </w:rPr>
        <w:t>Interpretation</w:t>
      </w:r>
      <w:r w:rsidR="00851BB8" w:rsidRPr="00AE15CD">
        <w:rPr>
          <w:rFonts w:cs="Arial"/>
        </w:rPr>
        <w:t>)</w:t>
      </w:r>
      <w:r w:rsidRPr="00AE15CD">
        <w:rPr>
          <w:rFonts w:cs="Arial"/>
        </w:rPr>
        <w:t xml:space="preserve"> Determination 2015</w:t>
      </w:r>
      <w:r w:rsidRPr="008E03D3">
        <w:rPr>
          <w:rFonts w:cs="Arial"/>
        </w:rPr>
        <w:t>).</w:t>
      </w:r>
      <w:r w:rsidRPr="00B14FA4">
        <w:rPr>
          <w:rFonts w:cs="Arial"/>
        </w:rPr>
        <w:t xml:space="preserve"> Further consideration will be given to the transition of those class licences related to spectrum</w:t>
      </w:r>
      <w:r w:rsidR="006E2807">
        <w:rPr>
          <w:rFonts w:cs="Arial"/>
        </w:rPr>
        <w:t>-</w:t>
      </w:r>
      <w:r w:rsidRPr="00B14FA4">
        <w:rPr>
          <w:rFonts w:cs="Arial"/>
        </w:rPr>
        <w:t>licensed bands.</w:t>
      </w:r>
    </w:p>
    <w:p w14:paraId="47716A6B" w14:textId="607B9B93" w:rsidR="00B14FA4" w:rsidRPr="00B14FA4" w:rsidRDefault="00B14FA4" w:rsidP="00B14FA4">
      <w:pPr>
        <w:rPr>
          <w:rFonts w:cs="Arial"/>
        </w:rPr>
      </w:pPr>
      <w:r w:rsidRPr="00B14FA4">
        <w:rPr>
          <w:rFonts w:cs="Arial"/>
        </w:rPr>
        <w:t>Unless there are reasons for substantive change to a class licence, the ACMA is likely to prioritise replacement with a</w:t>
      </w:r>
      <w:r w:rsidR="0088043B">
        <w:rPr>
          <w:rFonts w:cs="Arial"/>
        </w:rPr>
        <w:t xml:space="preserve"> focus on </w:t>
      </w:r>
      <w:r w:rsidRPr="00B14FA4">
        <w:rPr>
          <w:rFonts w:cs="Arial"/>
        </w:rPr>
        <w:t>minimising complexity for spectrum users.</w:t>
      </w:r>
    </w:p>
    <w:p w14:paraId="650C6A2E" w14:textId="5F089806" w:rsidR="00B14FA4" w:rsidRPr="00B14FA4" w:rsidRDefault="00B14FA4" w:rsidP="0017122D">
      <w:pPr>
        <w:pStyle w:val="Heading2"/>
      </w:pPr>
      <w:bookmarkStart w:id="36" w:name="_Toc467581365"/>
      <w:bookmarkStart w:id="37" w:name="_Toc481057141"/>
      <w:r w:rsidRPr="00B14FA4">
        <w:t>New spectrum space licences</w:t>
      </w:r>
      <w:bookmarkEnd w:id="36"/>
      <w:bookmarkEnd w:id="37"/>
    </w:p>
    <w:p w14:paraId="2852425A" w14:textId="626EB8BC" w:rsidR="00B14FA4" w:rsidRPr="00B14FA4" w:rsidRDefault="00B14FA4" w:rsidP="0017122D">
      <w:pPr>
        <w:keepLines/>
        <w:rPr>
          <w:rFonts w:cs="Arial"/>
        </w:rPr>
      </w:pPr>
      <w:r w:rsidRPr="00B14FA4">
        <w:rPr>
          <w:rFonts w:cs="Arial"/>
        </w:rPr>
        <w:t>A key priority for the ACMA will be to make sure it is able to issue new long</w:t>
      </w:r>
      <w:r w:rsidR="006E2807">
        <w:rPr>
          <w:rFonts w:cs="Arial"/>
        </w:rPr>
        <w:t>-</w:t>
      </w:r>
      <w:r w:rsidRPr="00B14FA4">
        <w:rPr>
          <w:rFonts w:cs="Arial"/>
        </w:rPr>
        <w:t>dur</w:t>
      </w:r>
      <w:r w:rsidR="0017122D">
        <w:rPr>
          <w:rFonts w:cs="Arial"/>
        </w:rPr>
        <w:t>ation ‘spectrum space’ licences</w:t>
      </w:r>
      <w:r w:rsidR="0017122D" w:rsidRPr="002B013A">
        <w:rPr>
          <w:rStyle w:val="FootnoteReference"/>
        </w:rPr>
        <w:footnoteReference w:id="16"/>
      </w:r>
      <w:r w:rsidR="0017122D" w:rsidRPr="002B013A">
        <w:t xml:space="preserve"> </w:t>
      </w:r>
      <w:r w:rsidRPr="00B14FA4">
        <w:rPr>
          <w:rFonts w:cs="Arial"/>
        </w:rPr>
        <w:t xml:space="preserve">in any case where spectrum licensing would have been appropriate under the 1992 Act, as early as needed. The ACMA will consult on the design of those licences as part of its consultation on the design of the new licensing system. </w:t>
      </w:r>
    </w:p>
    <w:p w14:paraId="76C82FCA" w14:textId="2086AFA7" w:rsidR="00B14FA4" w:rsidRPr="00B14FA4" w:rsidRDefault="00B14FA4" w:rsidP="0017122D">
      <w:pPr>
        <w:pStyle w:val="Heading2"/>
      </w:pPr>
      <w:bookmarkStart w:id="38" w:name="_Toc467581366"/>
      <w:bookmarkStart w:id="39" w:name="_Toc481057142"/>
      <w:r w:rsidRPr="00B14FA4">
        <w:t>ACMA forward projects</w:t>
      </w:r>
      <w:bookmarkEnd w:id="38"/>
      <w:bookmarkEnd w:id="39"/>
    </w:p>
    <w:p w14:paraId="78DE41F4" w14:textId="509567E3" w:rsidR="00B14FA4" w:rsidRPr="00B14FA4" w:rsidRDefault="00B14FA4" w:rsidP="00B14FA4">
      <w:pPr>
        <w:rPr>
          <w:rFonts w:cs="Arial"/>
        </w:rPr>
      </w:pPr>
      <w:r w:rsidRPr="00B14FA4">
        <w:rPr>
          <w:rFonts w:cs="Arial"/>
        </w:rPr>
        <w:t>The new legislative framework offers up a number of opportunities for substantial change. The ACMA anticipates a number of projects focused on changes to the licensing system, so that it be</w:t>
      </w:r>
      <w:r w:rsidR="00F56BAD">
        <w:rPr>
          <w:rFonts w:cs="Arial"/>
        </w:rPr>
        <w:t>st</w:t>
      </w:r>
      <w:r w:rsidRPr="00B14FA4">
        <w:rPr>
          <w:rFonts w:cs="Arial"/>
        </w:rPr>
        <w:t xml:space="preserve"> reflects the objects of the Bill. The following projects are provided as illustrative examples, but the ACMA expects to progressively update its projects and priorities. The ACMA will engage with stakeholders as it considers which of these projects could be undertaken as part of the transition to the new legislative framework, and which may be best undertaken as part of a longer term change strategy.</w:t>
      </w:r>
    </w:p>
    <w:p w14:paraId="01952B4D" w14:textId="77777777" w:rsidR="00B14FA4" w:rsidRPr="00B14FA4" w:rsidRDefault="00B14FA4" w:rsidP="0017122D">
      <w:pPr>
        <w:pStyle w:val="Heading3"/>
      </w:pPr>
      <w:bookmarkStart w:id="40" w:name="_Toc467165549"/>
      <w:bookmarkStart w:id="41" w:name="_Toc467581367"/>
      <w:bookmarkStart w:id="42" w:name="_Toc471218522"/>
      <w:bookmarkStart w:id="43" w:name="_Toc474921295"/>
      <w:bookmarkStart w:id="44" w:name="_Toc477251177"/>
      <w:r w:rsidRPr="00B14FA4">
        <w:t>Potential to convert some licences into spectrum authorisations</w:t>
      </w:r>
      <w:bookmarkEnd w:id="40"/>
      <w:bookmarkEnd w:id="41"/>
      <w:bookmarkEnd w:id="42"/>
      <w:bookmarkEnd w:id="43"/>
      <w:bookmarkEnd w:id="44"/>
    </w:p>
    <w:p w14:paraId="52AACD9D" w14:textId="77777777" w:rsidR="00B14FA4" w:rsidRPr="00B14FA4" w:rsidRDefault="00B14FA4" w:rsidP="0017122D">
      <w:pPr>
        <w:spacing w:after="80"/>
        <w:rPr>
          <w:rFonts w:cs="Arial"/>
        </w:rPr>
      </w:pPr>
      <w:r w:rsidRPr="00B14FA4">
        <w:rPr>
          <w:rFonts w:cs="Arial"/>
        </w:rPr>
        <w:t>The ACMA currently issues a number of apparatus licences for which there is no individual frequency assignment. These are commonly referred to as non-assigned licences and are as follows:</w:t>
      </w:r>
    </w:p>
    <w:p w14:paraId="7D9ED30E" w14:textId="77777777" w:rsidR="00B14FA4" w:rsidRPr="00B14FA4" w:rsidRDefault="00B14FA4" w:rsidP="0017122D">
      <w:pPr>
        <w:pStyle w:val="ListBullet"/>
      </w:pPr>
      <w:r w:rsidRPr="00B14FA4">
        <w:t>Amateur foundation</w:t>
      </w:r>
    </w:p>
    <w:p w14:paraId="5113AF47" w14:textId="77777777" w:rsidR="00B14FA4" w:rsidRPr="00B14FA4" w:rsidRDefault="00B14FA4" w:rsidP="0017122D">
      <w:pPr>
        <w:pStyle w:val="ListBullet"/>
      </w:pPr>
      <w:r w:rsidRPr="00B14FA4">
        <w:t>Amateur standard</w:t>
      </w:r>
    </w:p>
    <w:p w14:paraId="7B3825E9" w14:textId="77777777" w:rsidR="00B14FA4" w:rsidRPr="00B14FA4" w:rsidRDefault="00B14FA4" w:rsidP="0017122D">
      <w:pPr>
        <w:pStyle w:val="ListBullet"/>
      </w:pPr>
      <w:r w:rsidRPr="00B14FA4">
        <w:t>Amateur advanced</w:t>
      </w:r>
    </w:p>
    <w:p w14:paraId="341343CC" w14:textId="61D131C9" w:rsidR="00B14FA4" w:rsidRPr="00B14FA4" w:rsidRDefault="00B14FA4" w:rsidP="0017122D">
      <w:pPr>
        <w:pStyle w:val="ListBullet"/>
      </w:pPr>
      <w:r w:rsidRPr="00B14FA4">
        <w:t>Maritime Coast</w:t>
      </w:r>
      <w:r w:rsidR="006E2807">
        <w:t>—</w:t>
      </w:r>
      <w:r w:rsidRPr="00B14FA4">
        <w:t>Limited Coast Non</w:t>
      </w:r>
      <w:r w:rsidR="006E2807">
        <w:t>-</w:t>
      </w:r>
      <w:r w:rsidRPr="00B14FA4">
        <w:t xml:space="preserve">Assigned </w:t>
      </w:r>
    </w:p>
    <w:p w14:paraId="621CAF2A" w14:textId="2B6793AB" w:rsidR="00B14FA4" w:rsidRPr="00B14FA4" w:rsidRDefault="00B14FA4" w:rsidP="0017122D">
      <w:pPr>
        <w:pStyle w:val="ListBullet"/>
      </w:pPr>
      <w:r w:rsidRPr="00B14FA4">
        <w:t>Maritime Ship</w:t>
      </w:r>
      <w:r w:rsidR="006E2807">
        <w:t>—</w:t>
      </w:r>
      <w:r w:rsidRPr="00B14FA4">
        <w:t>Ship Station Class B Non</w:t>
      </w:r>
      <w:r w:rsidR="006E2807">
        <w:t>-</w:t>
      </w:r>
      <w:r w:rsidRPr="00B14FA4">
        <w:t>Assigned</w:t>
      </w:r>
    </w:p>
    <w:p w14:paraId="0178D818" w14:textId="64FE45EE" w:rsidR="00B14FA4" w:rsidRPr="00B14FA4" w:rsidRDefault="00B14FA4" w:rsidP="0017122D">
      <w:pPr>
        <w:pStyle w:val="ListBullet"/>
      </w:pPr>
      <w:r w:rsidRPr="00B14FA4">
        <w:t>Maritime Ship</w:t>
      </w:r>
      <w:r w:rsidR="006E2807">
        <w:t>—</w:t>
      </w:r>
      <w:r w:rsidRPr="00B14FA4">
        <w:t>Ship Station Class C Non</w:t>
      </w:r>
      <w:r w:rsidR="006E2807">
        <w:t>-</w:t>
      </w:r>
      <w:r w:rsidRPr="00B14FA4">
        <w:t>Assigned</w:t>
      </w:r>
    </w:p>
    <w:p w14:paraId="1406D189" w14:textId="2EE85C84" w:rsidR="00B14FA4" w:rsidRPr="00B14FA4" w:rsidRDefault="00B14FA4" w:rsidP="0017122D">
      <w:pPr>
        <w:pStyle w:val="ListBullet"/>
      </w:pPr>
      <w:r w:rsidRPr="00B14FA4">
        <w:t>Outpost</w:t>
      </w:r>
      <w:r w:rsidR="006E2807">
        <w:t>—</w:t>
      </w:r>
      <w:r w:rsidRPr="00B14FA4">
        <w:t>Outpost Non</w:t>
      </w:r>
      <w:r w:rsidR="006E2807">
        <w:t>-</w:t>
      </w:r>
      <w:r w:rsidRPr="00B14FA4">
        <w:t>Assigned</w:t>
      </w:r>
    </w:p>
    <w:p w14:paraId="64A12CD1" w14:textId="51989E4E" w:rsidR="00B14FA4" w:rsidRPr="00B14FA4" w:rsidRDefault="00B14FA4" w:rsidP="0017122D">
      <w:pPr>
        <w:pStyle w:val="ListBulletLast"/>
      </w:pPr>
      <w:r w:rsidRPr="00B14FA4">
        <w:t>Scientific</w:t>
      </w:r>
      <w:r w:rsidR="006E2807">
        <w:t>—</w:t>
      </w:r>
      <w:r w:rsidRPr="00B14FA4">
        <w:t>Scientific Non</w:t>
      </w:r>
      <w:r w:rsidR="006E2807">
        <w:t>-</w:t>
      </w:r>
      <w:r w:rsidRPr="00B14FA4">
        <w:t>Assigned</w:t>
      </w:r>
      <w:r w:rsidR="006E2807">
        <w:t>.</w:t>
      </w:r>
    </w:p>
    <w:p w14:paraId="16412E2D" w14:textId="3AEA0EE7" w:rsidR="00B14FA4" w:rsidRPr="00B14FA4" w:rsidRDefault="00B14FA4" w:rsidP="00B14FA4">
      <w:pPr>
        <w:rPr>
          <w:rFonts w:cs="Arial"/>
        </w:rPr>
      </w:pPr>
      <w:r w:rsidRPr="00B14FA4">
        <w:rPr>
          <w:rFonts w:cs="Arial"/>
        </w:rPr>
        <w:t xml:space="preserve">Collectively, these licences account for over 25,000 of the apparatus licences in place. In some cases, there is potential to consider whether a spectrum authorisation would provide a sufficient mechanism under the Bill to enable users of these apparatus licences to access spectrum. There may well be potential to do so in such a way that the regulatory burden experienced by these spectrum users was reduced and the administrative burden on the ACMA in issuing </w:t>
      </w:r>
      <w:r w:rsidR="000735B8">
        <w:rPr>
          <w:rFonts w:cs="Arial"/>
        </w:rPr>
        <w:t xml:space="preserve">licences </w:t>
      </w:r>
      <w:r w:rsidRPr="00B14FA4">
        <w:rPr>
          <w:rFonts w:cs="Arial"/>
        </w:rPr>
        <w:t xml:space="preserve">and managing </w:t>
      </w:r>
      <w:r w:rsidR="000735B8">
        <w:rPr>
          <w:rFonts w:cs="Arial"/>
        </w:rPr>
        <w:t>spectrum</w:t>
      </w:r>
      <w:r w:rsidRPr="00B14FA4">
        <w:rPr>
          <w:rFonts w:cs="Arial"/>
        </w:rPr>
        <w:t xml:space="preserve"> was also reduced. The ACMA would consult with affected stakeholders on any proposed changes and the merits or otherwise of such an approach.</w:t>
      </w:r>
    </w:p>
    <w:p w14:paraId="5D9520DB" w14:textId="124AECEC" w:rsidR="00B14FA4" w:rsidRPr="00B14FA4" w:rsidRDefault="00B14FA4" w:rsidP="00B14FA4">
      <w:pPr>
        <w:rPr>
          <w:rFonts w:cs="Arial"/>
        </w:rPr>
      </w:pPr>
      <w:r w:rsidRPr="00B14FA4">
        <w:rPr>
          <w:rFonts w:cs="Arial"/>
        </w:rPr>
        <w:lastRenderedPageBreak/>
        <w:t>While in many cases it may be a condition of these licences that the licensee holds some qualifications, there is no in-principle reason why these and other requirements could not be a condition of a relevant spectrum authorisation. Qualification requirements have been incorporated in class licences to date. So far as consistent with any new legislative regime, the ACMA would maintain its existing requirements for amateur and maritime qualifications, consistent with Australia’s international obligations as a consequence of the International Telecommunication Union’s Radio Regulations.</w:t>
      </w:r>
    </w:p>
    <w:p w14:paraId="3D1A475A" w14:textId="617087A5" w:rsidR="00B14FA4" w:rsidRPr="00B14FA4" w:rsidRDefault="00B14FA4" w:rsidP="00B14FA4">
      <w:pPr>
        <w:rPr>
          <w:rFonts w:cs="Arial"/>
        </w:rPr>
      </w:pPr>
      <w:r w:rsidRPr="00B14FA4">
        <w:rPr>
          <w:rFonts w:cs="Arial"/>
        </w:rPr>
        <w:t>There is also potential to consider whether some rights currently granted through apparatus licences for which frequencies are coordinated could instead be conferred through a spectrum authorisation under the Bill. Simplification of current arrangements through use of spectrum authorisations might be possible in relation to some low</w:t>
      </w:r>
      <w:r w:rsidR="00C84EDA">
        <w:rPr>
          <w:rFonts w:cs="Arial"/>
        </w:rPr>
        <w:t>-</w:t>
      </w:r>
      <w:r w:rsidRPr="00B14FA4">
        <w:rPr>
          <w:rFonts w:cs="Arial"/>
        </w:rPr>
        <w:t xml:space="preserve">power devices, in geographic areas of low spectrum congestion or for discrete groups of spectrum users. </w:t>
      </w:r>
    </w:p>
    <w:p w14:paraId="343020B6" w14:textId="77777777" w:rsidR="00B14FA4" w:rsidRPr="00B14FA4" w:rsidRDefault="00B14FA4" w:rsidP="0017122D">
      <w:pPr>
        <w:pStyle w:val="Heading3"/>
      </w:pPr>
      <w:bookmarkStart w:id="45" w:name="_Toc474921296"/>
      <w:bookmarkStart w:id="46" w:name="_Toc477251178"/>
      <w:bookmarkStart w:id="47" w:name="_Toc467165550"/>
      <w:bookmarkStart w:id="48" w:name="_Toc467581368"/>
      <w:bookmarkStart w:id="49" w:name="_Toc471218523"/>
      <w:r w:rsidRPr="00B14FA4">
        <w:t>Potential for contestable spectrum management</w:t>
      </w:r>
      <w:bookmarkEnd w:id="45"/>
      <w:bookmarkEnd w:id="46"/>
      <w:r w:rsidRPr="00B14FA4">
        <w:t xml:space="preserve"> </w:t>
      </w:r>
      <w:bookmarkEnd w:id="47"/>
      <w:bookmarkEnd w:id="48"/>
      <w:bookmarkEnd w:id="49"/>
    </w:p>
    <w:p w14:paraId="4C66DDE3" w14:textId="482D8B2F" w:rsidR="0032296C" w:rsidRPr="00B14FA4" w:rsidRDefault="00B14FA4" w:rsidP="00B14FA4">
      <w:pPr>
        <w:rPr>
          <w:rFonts w:cs="Arial"/>
        </w:rPr>
      </w:pPr>
      <w:r w:rsidRPr="00B14FA4">
        <w:rPr>
          <w:rFonts w:cs="Arial"/>
        </w:rPr>
        <w:t xml:space="preserve">To date, spectrum management has been largely the preserve of the ACMA as regulator. </w:t>
      </w:r>
      <w:r w:rsidR="00F55D72">
        <w:rPr>
          <w:rFonts w:cs="Arial"/>
        </w:rPr>
        <w:t>S</w:t>
      </w:r>
      <w:r w:rsidR="00F55D72" w:rsidRPr="00B14FA4">
        <w:rPr>
          <w:rFonts w:cs="Arial"/>
        </w:rPr>
        <w:t>pectrum licence</w:t>
      </w:r>
      <w:r w:rsidR="00F55D72">
        <w:rPr>
          <w:rFonts w:cs="Arial"/>
        </w:rPr>
        <w:t>s</w:t>
      </w:r>
      <w:r w:rsidR="00F55D72" w:rsidRPr="00B14FA4">
        <w:rPr>
          <w:rFonts w:cs="Arial"/>
        </w:rPr>
        <w:t xml:space="preserve"> coupled with the potential for third</w:t>
      </w:r>
      <w:r w:rsidR="00F55D72">
        <w:rPr>
          <w:rFonts w:cs="Arial"/>
        </w:rPr>
        <w:t>-</w:t>
      </w:r>
      <w:r w:rsidR="001B4B2C">
        <w:rPr>
          <w:rFonts w:cs="Arial"/>
        </w:rPr>
        <w:t>party authorisation have</w:t>
      </w:r>
      <w:r w:rsidR="00F55D72" w:rsidRPr="00B14FA4">
        <w:rPr>
          <w:rFonts w:cs="Arial"/>
        </w:rPr>
        <w:t xml:space="preserve"> </w:t>
      </w:r>
      <w:r w:rsidR="00F55D72">
        <w:rPr>
          <w:rFonts w:cs="Arial"/>
        </w:rPr>
        <w:t xml:space="preserve">already </w:t>
      </w:r>
      <w:r w:rsidR="00F55D72" w:rsidRPr="00B14FA4">
        <w:rPr>
          <w:rFonts w:cs="Arial"/>
        </w:rPr>
        <w:t xml:space="preserve">provided </w:t>
      </w:r>
      <w:r w:rsidR="00F55D72">
        <w:rPr>
          <w:rFonts w:cs="Arial"/>
        </w:rPr>
        <w:t xml:space="preserve">some </w:t>
      </w:r>
      <w:r w:rsidR="00F55D72" w:rsidRPr="00B14FA4">
        <w:rPr>
          <w:rFonts w:cs="Arial"/>
        </w:rPr>
        <w:t>opportunit</w:t>
      </w:r>
      <w:r w:rsidR="00F55D72">
        <w:rPr>
          <w:rFonts w:cs="Arial"/>
        </w:rPr>
        <w:t>y</w:t>
      </w:r>
      <w:r w:rsidR="00F55D72" w:rsidRPr="00B14FA4">
        <w:rPr>
          <w:rFonts w:cs="Arial"/>
        </w:rPr>
        <w:t xml:space="preserve"> for decentralised management and control of spectrum under the </w:t>
      </w:r>
      <w:r w:rsidR="00F55D72" w:rsidRPr="00731AAF">
        <w:rPr>
          <w:rFonts w:cs="Arial"/>
        </w:rPr>
        <w:t>1992 Act</w:t>
      </w:r>
      <w:r w:rsidR="00F55D72" w:rsidRPr="00B14FA4">
        <w:rPr>
          <w:rFonts w:cs="Arial"/>
        </w:rPr>
        <w:t>.</w:t>
      </w:r>
      <w:r w:rsidR="00F55D72">
        <w:rPr>
          <w:rFonts w:cs="Arial"/>
        </w:rPr>
        <w:t xml:space="preserve"> The ACMA has also largely withdrawn from the assignment of spectrum for apparatus</w:t>
      </w:r>
      <w:r w:rsidR="00C62CBC">
        <w:rPr>
          <w:rFonts w:cs="Arial"/>
        </w:rPr>
        <w:t xml:space="preserve"> licences, by accrediting third-</w:t>
      </w:r>
      <w:r w:rsidR="00F55D72">
        <w:rPr>
          <w:rFonts w:cs="Arial"/>
        </w:rPr>
        <w:t>party service providers to issue ‘</w:t>
      </w:r>
      <w:r w:rsidR="00A268AF">
        <w:rPr>
          <w:rFonts w:cs="Arial"/>
        </w:rPr>
        <w:t>frequency assignment</w:t>
      </w:r>
      <w:r w:rsidR="00F55D72">
        <w:rPr>
          <w:rFonts w:cs="Arial"/>
        </w:rPr>
        <w:t xml:space="preserve"> certificates’ in accordance with general planning rules promulgated by the ACMA. The ACMA issues many apparatus licence</w:t>
      </w:r>
      <w:r w:rsidR="00C46EE8">
        <w:rPr>
          <w:rFonts w:cs="Arial"/>
        </w:rPr>
        <w:t>s</w:t>
      </w:r>
      <w:r w:rsidR="00F55D72">
        <w:rPr>
          <w:rFonts w:cs="Arial"/>
        </w:rPr>
        <w:t xml:space="preserve"> on the strength of such certificates and observes principles of competitive neutrality when provi</w:t>
      </w:r>
      <w:r w:rsidR="004C6A86">
        <w:rPr>
          <w:rFonts w:cs="Arial"/>
        </w:rPr>
        <w:t>ding assignment services itself</w:t>
      </w:r>
      <w:r w:rsidR="00F55D72">
        <w:rPr>
          <w:rFonts w:cs="Arial"/>
        </w:rPr>
        <w:t>.</w:t>
      </w:r>
      <w:r w:rsidR="001B4B2C">
        <w:rPr>
          <w:rFonts w:cs="Arial"/>
        </w:rPr>
        <w:t xml:space="preserve"> </w:t>
      </w:r>
      <w:r w:rsidR="001B4B2C" w:rsidRPr="001B4B2C">
        <w:rPr>
          <w:rFonts w:cs="Arial"/>
        </w:rPr>
        <w:t xml:space="preserve">However, as with spectrum licences, the ACMA retains responsibility for the actual issue of licences. </w:t>
      </w:r>
      <w:r w:rsidRPr="00B14FA4">
        <w:rPr>
          <w:rFonts w:cs="Arial"/>
        </w:rPr>
        <w:t xml:space="preserve"> </w:t>
      </w:r>
    </w:p>
    <w:p w14:paraId="4D9179A4" w14:textId="2C951BF3" w:rsidR="00B14FA4" w:rsidRDefault="00B14FA4" w:rsidP="0032296C">
      <w:pPr>
        <w:rPr>
          <w:rFonts w:cs="Arial"/>
        </w:rPr>
      </w:pPr>
      <w:r w:rsidRPr="00B14FA4">
        <w:rPr>
          <w:rFonts w:cs="Arial"/>
        </w:rPr>
        <w:t xml:space="preserve">The Bill specifically provides for a model of private band management by </w:t>
      </w:r>
      <w:r w:rsidR="000735B8">
        <w:rPr>
          <w:rFonts w:cs="Arial"/>
        </w:rPr>
        <w:t xml:space="preserve">delegation </w:t>
      </w:r>
      <w:r w:rsidR="0088043B">
        <w:rPr>
          <w:rFonts w:cs="Arial"/>
        </w:rPr>
        <w:t>of relevant spectrum management powers</w:t>
      </w:r>
      <w:r w:rsidRPr="00B14FA4">
        <w:rPr>
          <w:rFonts w:cs="Arial"/>
        </w:rPr>
        <w:t xml:space="preserve">, rather than just by holding the relevant licence. These provisions are a new potential tool to allow for more decentralised spectrum management. This is an important initiative because it exposes spectrum management to the potential that it is contested, thereby driving efficiencies in how spectrum management is practised. </w:t>
      </w:r>
      <w:r w:rsidR="00641A45">
        <w:t>An existing example of a private band management model that goes beyond Australian arrangements is the New Zealand model of ‘management rights’, under which third parties are allocated the ‘right’ to issue licences either to themselves or other users within a b</w:t>
      </w:r>
      <w:r w:rsidR="00B37BF5">
        <w:t>l</w:t>
      </w:r>
      <w:r w:rsidR="00641A45">
        <w:t>ock of spectrum space.</w:t>
      </w:r>
    </w:p>
    <w:p w14:paraId="71F13ADE" w14:textId="27FE067E" w:rsidR="006D25DD" w:rsidRPr="00B14FA4" w:rsidRDefault="006D25DD" w:rsidP="006D25DD">
      <w:pPr>
        <w:rPr>
          <w:rFonts w:cs="Arial"/>
        </w:rPr>
      </w:pPr>
      <w:r>
        <w:rPr>
          <w:rFonts w:cs="Arial"/>
        </w:rPr>
        <w:t>In order for spectrum man</w:t>
      </w:r>
      <w:r w:rsidR="005516D9">
        <w:rPr>
          <w:rFonts w:cs="Arial"/>
        </w:rPr>
        <w:t>a</w:t>
      </w:r>
      <w:r>
        <w:rPr>
          <w:rFonts w:cs="Arial"/>
        </w:rPr>
        <w:t>gement to be contestable, it would be necessary for competitors to ACMA management of spectrum to be able to compete on the same footing as the ACMA. A precondition for contestabil</w:t>
      </w:r>
      <w:r w:rsidR="005516D9">
        <w:rPr>
          <w:rFonts w:cs="Arial"/>
        </w:rPr>
        <w:t>i</w:t>
      </w:r>
      <w:r>
        <w:rPr>
          <w:rFonts w:cs="Arial"/>
        </w:rPr>
        <w:t>ty of public sector provision of services such as spectrum management is</w:t>
      </w:r>
      <w:r w:rsidR="00F74A50">
        <w:rPr>
          <w:rFonts w:cs="Arial"/>
        </w:rPr>
        <w:t xml:space="preserve">, to the extent possible, </w:t>
      </w:r>
      <w:r>
        <w:rPr>
          <w:rFonts w:cs="Arial"/>
        </w:rPr>
        <w:t>th</w:t>
      </w:r>
      <w:r w:rsidR="00F74A50">
        <w:rPr>
          <w:rFonts w:cs="Arial"/>
        </w:rPr>
        <w:t>e removal of</w:t>
      </w:r>
      <w:r>
        <w:rPr>
          <w:rFonts w:cs="Arial"/>
        </w:rPr>
        <w:t xml:space="preserve"> implicit </w:t>
      </w:r>
      <w:r w:rsidR="004E1BC5">
        <w:rPr>
          <w:rFonts w:cs="Arial"/>
        </w:rPr>
        <w:t xml:space="preserve">or </w:t>
      </w:r>
      <w:r>
        <w:rPr>
          <w:rFonts w:cs="Arial"/>
        </w:rPr>
        <w:t xml:space="preserve">explicit competitive advantages of the public sector </w:t>
      </w:r>
      <w:r w:rsidR="004E1BC5">
        <w:rPr>
          <w:rFonts w:cs="Arial"/>
        </w:rPr>
        <w:t>provider</w:t>
      </w:r>
      <w:r>
        <w:rPr>
          <w:rFonts w:cs="Arial"/>
        </w:rPr>
        <w:t>.</w:t>
      </w:r>
      <w:r w:rsidR="004E1BC5">
        <w:rPr>
          <w:rFonts w:cs="Arial"/>
        </w:rPr>
        <w:t xml:space="preserve"> The ACMA will need to consider how best to facilitate private band management in that context.</w:t>
      </w:r>
    </w:p>
    <w:p w14:paraId="60F4790B" w14:textId="77777777" w:rsidR="00B14FA4" w:rsidRPr="00B14FA4" w:rsidRDefault="00B14FA4" w:rsidP="00B14FA4">
      <w:pPr>
        <w:rPr>
          <w:rFonts w:cs="Arial"/>
        </w:rPr>
      </w:pPr>
      <w:r w:rsidRPr="00B14FA4">
        <w:rPr>
          <w:rFonts w:cs="Arial"/>
        </w:rPr>
        <w:t>The ACMA intends to explore opportunities for private band management under the Bill and to consider the optimal licensing design to support it. The ACMA expects to draw on international experience in spectrum management and in other markets for management of common pool resources in developing models for private band management.</w:t>
      </w:r>
    </w:p>
    <w:p w14:paraId="1DD48D7D" w14:textId="77777777" w:rsidR="00B14FA4" w:rsidRPr="00B14FA4" w:rsidRDefault="00B14FA4" w:rsidP="0017122D">
      <w:pPr>
        <w:pStyle w:val="Heading3"/>
      </w:pPr>
      <w:bookmarkStart w:id="50" w:name="_Toc467165551"/>
      <w:bookmarkStart w:id="51" w:name="_Toc467581369"/>
      <w:bookmarkStart w:id="52" w:name="_Toc471218524"/>
      <w:bookmarkStart w:id="53" w:name="_Toc474921297"/>
      <w:bookmarkStart w:id="54" w:name="_Toc477251179"/>
      <w:r w:rsidRPr="00B14FA4">
        <w:t>Review of re-farming mechanisms</w:t>
      </w:r>
      <w:bookmarkEnd w:id="50"/>
      <w:bookmarkEnd w:id="51"/>
      <w:bookmarkEnd w:id="52"/>
      <w:bookmarkEnd w:id="53"/>
      <w:bookmarkEnd w:id="54"/>
    </w:p>
    <w:p w14:paraId="7E44BCDD" w14:textId="77777777" w:rsidR="00B14FA4" w:rsidRPr="00B14FA4" w:rsidRDefault="00B14FA4" w:rsidP="00B14FA4">
      <w:pPr>
        <w:rPr>
          <w:rFonts w:cs="Arial"/>
        </w:rPr>
      </w:pPr>
      <w:r w:rsidRPr="00B14FA4">
        <w:rPr>
          <w:rFonts w:cs="Arial"/>
        </w:rPr>
        <w:t>The capacity for changes in use of spectrum over time so that, at any given time, the current use of spectrum represents the highest value use of that spectrum, is an inherent part of the objective of efficient issue and use of spectrum.</w:t>
      </w:r>
    </w:p>
    <w:p w14:paraId="2E0E5CED" w14:textId="560CD2FE" w:rsidR="00B14FA4" w:rsidRPr="00B14FA4" w:rsidRDefault="00B14FA4" w:rsidP="00B14FA4">
      <w:pPr>
        <w:rPr>
          <w:rFonts w:cs="Arial"/>
        </w:rPr>
      </w:pPr>
      <w:r w:rsidRPr="00B14FA4">
        <w:rPr>
          <w:rFonts w:cs="Arial"/>
        </w:rPr>
        <w:lastRenderedPageBreak/>
        <w:t>To meet that objective, fit</w:t>
      </w:r>
      <w:r w:rsidR="00C84EDA">
        <w:rPr>
          <w:rFonts w:cs="Arial"/>
        </w:rPr>
        <w:t>-</w:t>
      </w:r>
      <w:r w:rsidRPr="00B14FA4">
        <w:rPr>
          <w:rFonts w:cs="Arial"/>
        </w:rPr>
        <w:t>for</w:t>
      </w:r>
      <w:r w:rsidR="00C84EDA">
        <w:rPr>
          <w:rFonts w:cs="Arial"/>
        </w:rPr>
        <w:t>-</w:t>
      </w:r>
      <w:r w:rsidRPr="00B14FA4">
        <w:rPr>
          <w:rFonts w:cs="Arial"/>
        </w:rPr>
        <w:t xml:space="preserve">purpose mechanisms for re-farming spectrum are required. These will have an impact on individual licence characteristics such as licence tenure and processes preceding licence expiry (including licence renewal statements). They will also have an effect on what licences the ACMA issues in the aggregate and the extent to which the provisions of those licences are aligned. </w:t>
      </w:r>
    </w:p>
    <w:p w14:paraId="780FC6A3" w14:textId="77777777" w:rsidR="00B14FA4" w:rsidRPr="00B14FA4" w:rsidRDefault="00B14FA4" w:rsidP="00B14FA4">
      <w:pPr>
        <w:rPr>
          <w:rFonts w:cs="Arial"/>
        </w:rPr>
      </w:pPr>
      <w:r w:rsidRPr="00B14FA4">
        <w:rPr>
          <w:rFonts w:cs="Arial"/>
        </w:rPr>
        <w:t>Providing effective re-farming mechanisms in such a way that system flexibility is achieved, while providing appropriate predictability to licensees, is an exercise in balance for the ACMA. The ACMA will work with stakeholders to review the potential for using the terms of licences as a vehicle for more efficient re-farming mechanisms.</w:t>
      </w:r>
    </w:p>
    <w:p w14:paraId="1044538E" w14:textId="77777777" w:rsidR="00B14FA4" w:rsidRPr="00B14FA4" w:rsidRDefault="00B14FA4" w:rsidP="0017122D">
      <w:pPr>
        <w:pStyle w:val="Heading3"/>
      </w:pPr>
      <w:bookmarkStart w:id="55" w:name="_Toc467165552"/>
      <w:bookmarkStart w:id="56" w:name="_Toc467581370"/>
      <w:bookmarkStart w:id="57" w:name="_Toc471218525"/>
      <w:bookmarkStart w:id="58" w:name="_Toc474921298"/>
      <w:bookmarkStart w:id="59" w:name="_Toc477251180"/>
      <w:r w:rsidRPr="00B14FA4">
        <w:t>International experience in spectrum management and licence system design</w:t>
      </w:r>
      <w:bookmarkEnd w:id="55"/>
      <w:bookmarkEnd w:id="56"/>
      <w:bookmarkEnd w:id="57"/>
      <w:bookmarkEnd w:id="58"/>
      <w:bookmarkEnd w:id="59"/>
    </w:p>
    <w:p w14:paraId="28461746" w14:textId="45074DBD" w:rsidR="00B14FA4" w:rsidRPr="00B14FA4" w:rsidRDefault="00B14FA4" w:rsidP="00B14FA4">
      <w:pPr>
        <w:rPr>
          <w:rFonts w:cs="Arial"/>
        </w:rPr>
      </w:pPr>
      <w:r w:rsidRPr="00B14FA4">
        <w:rPr>
          <w:rFonts w:cs="Arial"/>
        </w:rPr>
        <w:t>The ACMA is connected with other spectrum regulators through its engagement in international forums such as the International Telecommunication Union Radiocommunications Sector and the Asia</w:t>
      </w:r>
      <w:r w:rsidR="00C84EDA">
        <w:rPr>
          <w:rFonts w:cs="Arial"/>
        </w:rPr>
        <w:t>–</w:t>
      </w:r>
      <w:r w:rsidRPr="00B14FA4">
        <w:rPr>
          <w:rFonts w:cs="Arial"/>
        </w:rPr>
        <w:t>Pacific Telecommunity</w:t>
      </w:r>
      <w:r w:rsidR="00C84EDA">
        <w:rPr>
          <w:rFonts w:cs="Arial"/>
        </w:rPr>
        <w:t>,</w:t>
      </w:r>
      <w:r w:rsidRPr="00B14FA4">
        <w:rPr>
          <w:rFonts w:cs="Arial"/>
        </w:rPr>
        <w:t xml:space="preserve"> as well as direct relationships with many other spectrum regulators around the word. There are strong international parallels in the challenges regulators face in accommodating new demands on spectrum while maintaining adequate access for existing users. </w:t>
      </w:r>
    </w:p>
    <w:p w14:paraId="23F7A41C" w14:textId="443E21FA" w:rsidR="00B14FA4" w:rsidRPr="00B14FA4" w:rsidRDefault="00B14FA4" w:rsidP="00B14FA4">
      <w:pPr>
        <w:rPr>
          <w:rFonts w:cs="Arial"/>
        </w:rPr>
      </w:pPr>
      <w:r w:rsidRPr="00B14FA4">
        <w:rPr>
          <w:rFonts w:cs="Arial"/>
        </w:rPr>
        <w:t>As Australia is a standards</w:t>
      </w:r>
      <w:r w:rsidR="00C84EDA">
        <w:rPr>
          <w:rFonts w:cs="Arial"/>
        </w:rPr>
        <w:t>-</w:t>
      </w:r>
      <w:r w:rsidRPr="00B14FA4">
        <w:rPr>
          <w:rFonts w:cs="Arial"/>
        </w:rPr>
        <w:t xml:space="preserve"> and equipment</w:t>
      </w:r>
      <w:r w:rsidR="00C84EDA">
        <w:rPr>
          <w:rFonts w:cs="Arial"/>
        </w:rPr>
        <w:t>-</w:t>
      </w:r>
      <w:r w:rsidRPr="00B14FA4">
        <w:rPr>
          <w:rFonts w:cs="Arial"/>
        </w:rPr>
        <w:t>taker, spectrum regulation needs to be continuously informed by international developments. Future options for licensing will be informed by international experience and precedents.</w:t>
      </w:r>
    </w:p>
    <w:p w14:paraId="3F538E4C" w14:textId="77777777" w:rsidR="0017122D" w:rsidRDefault="0017122D" w:rsidP="00B14FA4">
      <w:pPr>
        <w:rPr>
          <w:rFonts w:cs="Arial"/>
        </w:rPr>
      </w:pPr>
      <w:r>
        <w:rPr>
          <w:rFonts w:cs="Arial"/>
        </w:rPr>
        <w:br w:type="page"/>
      </w:r>
    </w:p>
    <w:p w14:paraId="26D60A17" w14:textId="6452EA19" w:rsidR="00172E19" w:rsidRDefault="00172E19" w:rsidP="001E0075">
      <w:pPr>
        <w:pStyle w:val="Heading1"/>
      </w:pPr>
      <w:bookmarkStart w:id="60" w:name="_Toc467581374"/>
      <w:bookmarkStart w:id="61" w:name="_Toc481057143"/>
      <w:r>
        <w:lastRenderedPageBreak/>
        <w:t>Appendix A</w:t>
      </w:r>
      <w:bookmarkEnd w:id="60"/>
      <w:r w:rsidR="00561F4D">
        <w:t>—S</w:t>
      </w:r>
      <w:r w:rsidR="00EA49F6">
        <w:t>ample licences</w:t>
      </w:r>
      <w:bookmarkEnd w:id="61"/>
    </w:p>
    <w:p w14:paraId="64BBA2DF" w14:textId="391F4E8A" w:rsidR="00EA1AAE" w:rsidRPr="00B14FA4" w:rsidRDefault="00EA1AAE" w:rsidP="00EA1AAE">
      <w:pPr>
        <w:spacing w:after="80"/>
        <w:rPr>
          <w:rFonts w:cs="Arial"/>
        </w:rPr>
      </w:pPr>
      <w:r>
        <w:rPr>
          <w:rFonts w:cs="Arial"/>
        </w:rPr>
        <w:t>Below are</w:t>
      </w:r>
      <w:r w:rsidRPr="00B14FA4">
        <w:rPr>
          <w:rFonts w:cs="Arial"/>
        </w:rPr>
        <w:t xml:space="preserve"> two sample licences illustrating how licences could be configured under the Bill. </w:t>
      </w:r>
    </w:p>
    <w:p w14:paraId="0D642ED0" w14:textId="77777777" w:rsidR="00EA1AAE" w:rsidRPr="00B14FA4" w:rsidRDefault="00EA1AAE" w:rsidP="00EA1AAE">
      <w:pPr>
        <w:pStyle w:val="ListBullet"/>
      </w:pPr>
      <w:r w:rsidRPr="00B14FA4">
        <w:t xml:space="preserve">The sample area-based licence authorises operation of devices in the 1800 MHz band within a specified geographical area. It resembles a spectrum licence under the 1992 Act. </w:t>
      </w:r>
    </w:p>
    <w:p w14:paraId="5764A752" w14:textId="53B3D113" w:rsidR="00EA1AAE" w:rsidRPr="00B14FA4" w:rsidRDefault="00EA1AAE" w:rsidP="00EA1AAE">
      <w:pPr>
        <w:pStyle w:val="ListBulletLast"/>
      </w:pPr>
      <w:r w:rsidRPr="00B14FA4">
        <w:t>The sample location-based licence authorises operation of devices in the 400 MHz band at specified geographical locations. It is a type of licence where individual assignments are coordinated with other users according to rules</w:t>
      </w:r>
      <w:r>
        <w:t xml:space="preserve"> or policies</w:t>
      </w:r>
      <w:r w:rsidRPr="00B14FA4">
        <w:t xml:space="preserve"> developed by the </w:t>
      </w:r>
      <w:r>
        <w:t>ACMA</w:t>
      </w:r>
      <w:r w:rsidRPr="00B14FA4">
        <w:t>. It resembles an apparatus licence for a fixed point</w:t>
      </w:r>
      <w:r>
        <w:t>-</w:t>
      </w:r>
      <w:r w:rsidRPr="00B14FA4">
        <w:t>to</w:t>
      </w:r>
      <w:r>
        <w:t>-</w:t>
      </w:r>
      <w:r w:rsidRPr="00B14FA4">
        <w:t>point service under the 1992</w:t>
      </w:r>
      <w:r>
        <w:t xml:space="preserve"> Act.</w:t>
      </w:r>
    </w:p>
    <w:p w14:paraId="5D63008F" w14:textId="77777777" w:rsidR="00525A24" w:rsidRDefault="00525A24">
      <w:pPr>
        <w:spacing w:after="0" w:line="240" w:lineRule="auto"/>
        <w:rPr>
          <w:rFonts w:cs="Arial"/>
        </w:rPr>
        <w:sectPr w:rsidR="00525A24" w:rsidSect="00C77380">
          <w:headerReference w:type="even" r:id="rId32"/>
          <w:headerReference w:type="default" r:id="rId33"/>
          <w:footerReference w:type="even" r:id="rId34"/>
          <w:footerReference w:type="default" r:id="rId35"/>
          <w:headerReference w:type="first" r:id="rId36"/>
          <w:pgSz w:w="11906" w:h="16838" w:code="9"/>
          <w:pgMar w:top="1945" w:right="3101" w:bottom="1134" w:left="1134" w:header="709" w:footer="119" w:gutter="0"/>
          <w:pgNumType w:start="1"/>
          <w:cols w:space="708"/>
          <w:docGrid w:linePitch="360"/>
        </w:sectPr>
      </w:pPr>
    </w:p>
    <w:p w14:paraId="04E22421" w14:textId="77777777" w:rsidR="00EA1AAE" w:rsidRPr="002A1B5B" w:rsidRDefault="00EA1AAE" w:rsidP="00AE15CD">
      <w:pPr>
        <w:spacing w:after="0" w:line="240" w:lineRule="auto"/>
        <w:rPr>
          <w:rFonts w:eastAsia="Calibri" w:cs="Arial"/>
          <w:b/>
          <w:spacing w:val="-1"/>
          <w:sz w:val="32"/>
          <w:szCs w:val="32"/>
        </w:rPr>
      </w:pPr>
      <w:r w:rsidRPr="00EC7825">
        <w:rPr>
          <w:rFonts w:eastAsia="Calibri" w:cs="Arial"/>
          <w:b/>
          <w:noProof/>
          <w:sz w:val="32"/>
          <w:szCs w:val="32"/>
        </w:rPr>
        <w:lastRenderedPageBreak/>
        <w:drawing>
          <wp:anchor distT="0" distB="0" distL="114300" distR="114300" simplePos="0" relativeHeight="251659264" behindDoc="0" locked="0" layoutInCell="1" allowOverlap="1" wp14:anchorId="01FD4547" wp14:editId="6C575456">
            <wp:simplePos x="0" y="0"/>
            <wp:positionH relativeFrom="page">
              <wp:posOffset>4368800</wp:posOffset>
            </wp:positionH>
            <wp:positionV relativeFrom="paragraph">
              <wp:posOffset>-727710</wp:posOffset>
            </wp:positionV>
            <wp:extent cx="2725420" cy="628650"/>
            <wp:effectExtent l="0" t="0" r="0" b="0"/>
            <wp:wrapNone/>
            <wp:docPr id="2" name="Picture 8" title="ACMA logo with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2542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1B5B">
        <w:rPr>
          <w:rFonts w:eastAsia="Calibri" w:cs="Arial"/>
          <w:b/>
          <w:spacing w:val="-2"/>
          <w:sz w:val="32"/>
          <w:szCs w:val="32"/>
        </w:rPr>
        <w:t xml:space="preserve">Spectrum Access </w:t>
      </w:r>
      <w:r w:rsidRPr="002A1B5B">
        <w:rPr>
          <w:rFonts w:eastAsia="Calibri" w:cs="Arial"/>
          <w:b/>
          <w:spacing w:val="-1"/>
          <w:sz w:val="32"/>
          <w:szCs w:val="32"/>
        </w:rPr>
        <w:t>Licence</w:t>
      </w:r>
    </w:p>
    <w:p w14:paraId="7290B7F6" w14:textId="77777777" w:rsidR="00EA1AAE" w:rsidRPr="002A1B5B" w:rsidRDefault="00EA1AAE" w:rsidP="00805859">
      <w:pPr>
        <w:widowControl w:val="0"/>
        <w:spacing w:before="2" w:after="0" w:line="240" w:lineRule="auto"/>
        <w:rPr>
          <w:rFonts w:eastAsia="Calibri" w:cs="Arial"/>
          <w:i/>
          <w:sz w:val="16"/>
          <w:szCs w:val="16"/>
        </w:rPr>
      </w:pPr>
      <w:r w:rsidRPr="002A1B5B">
        <w:rPr>
          <w:rFonts w:eastAsia="Calibri" w:cs="Arial"/>
          <w:i/>
          <w:sz w:val="16"/>
          <w:szCs w:val="16"/>
        </w:rPr>
        <w:t>Issued</w:t>
      </w:r>
      <w:r w:rsidRPr="002A1B5B">
        <w:rPr>
          <w:rFonts w:eastAsia="Calibri" w:cs="Arial"/>
          <w:i/>
          <w:spacing w:val="-1"/>
          <w:sz w:val="16"/>
          <w:szCs w:val="16"/>
        </w:rPr>
        <w:t xml:space="preserve"> by Delegate</w:t>
      </w:r>
      <w:r w:rsidRPr="002A1B5B">
        <w:rPr>
          <w:rFonts w:eastAsia="Calibri" w:cs="Arial"/>
          <w:i/>
          <w:sz w:val="16"/>
          <w:szCs w:val="16"/>
        </w:rPr>
        <w:t xml:space="preserve"> </w:t>
      </w:r>
      <w:r w:rsidRPr="002A1B5B">
        <w:rPr>
          <w:rFonts w:eastAsia="Calibri" w:cs="Arial"/>
          <w:i/>
          <w:spacing w:val="-1"/>
          <w:sz w:val="16"/>
          <w:szCs w:val="16"/>
        </w:rPr>
        <w:t xml:space="preserve">of </w:t>
      </w:r>
      <w:r w:rsidRPr="002A1B5B">
        <w:rPr>
          <w:rFonts w:eastAsia="Calibri" w:cs="Arial"/>
          <w:i/>
          <w:sz w:val="16"/>
          <w:szCs w:val="16"/>
        </w:rPr>
        <w:t>the</w:t>
      </w:r>
      <w:r w:rsidRPr="002A1B5B">
        <w:rPr>
          <w:rFonts w:eastAsia="Calibri" w:cs="Arial"/>
          <w:i/>
          <w:spacing w:val="-1"/>
          <w:sz w:val="16"/>
          <w:szCs w:val="16"/>
        </w:rPr>
        <w:t xml:space="preserve"> </w:t>
      </w:r>
      <w:r w:rsidRPr="002A1B5B">
        <w:rPr>
          <w:rFonts w:eastAsia="Calibri" w:cs="Arial"/>
          <w:i/>
          <w:sz w:val="16"/>
          <w:szCs w:val="16"/>
        </w:rPr>
        <w:t xml:space="preserve">Australian </w:t>
      </w:r>
      <w:r w:rsidRPr="002A1B5B">
        <w:rPr>
          <w:rFonts w:eastAsia="Calibri" w:cs="Arial"/>
          <w:i/>
          <w:spacing w:val="-1"/>
          <w:sz w:val="16"/>
          <w:szCs w:val="16"/>
        </w:rPr>
        <w:t>Communications</w:t>
      </w:r>
      <w:r w:rsidRPr="002A1B5B">
        <w:rPr>
          <w:rFonts w:eastAsia="Calibri" w:cs="Arial"/>
          <w:i/>
          <w:sz w:val="16"/>
          <w:szCs w:val="16"/>
        </w:rPr>
        <w:t xml:space="preserve"> </w:t>
      </w:r>
      <w:r w:rsidRPr="002A1B5B">
        <w:rPr>
          <w:rFonts w:eastAsia="Calibri" w:cs="Arial"/>
          <w:i/>
          <w:spacing w:val="-1"/>
          <w:sz w:val="16"/>
          <w:szCs w:val="16"/>
        </w:rPr>
        <w:t xml:space="preserve">and </w:t>
      </w:r>
      <w:r w:rsidRPr="002A1B5B">
        <w:rPr>
          <w:rFonts w:eastAsia="Calibri" w:cs="Arial"/>
          <w:i/>
          <w:sz w:val="16"/>
          <w:szCs w:val="16"/>
        </w:rPr>
        <w:t>Media</w:t>
      </w:r>
      <w:r w:rsidRPr="002A1B5B">
        <w:rPr>
          <w:rFonts w:eastAsia="Calibri" w:cs="Arial"/>
          <w:i/>
          <w:spacing w:val="-5"/>
          <w:sz w:val="16"/>
          <w:szCs w:val="16"/>
        </w:rPr>
        <w:t xml:space="preserve"> </w:t>
      </w:r>
      <w:r w:rsidRPr="002A1B5B">
        <w:rPr>
          <w:rFonts w:eastAsia="Calibri" w:cs="Arial"/>
          <w:i/>
          <w:sz w:val="16"/>
          <w:szCs w:val="16"/>
        </w:rPr>
        <w:t>Authority</w:t>
      </w:r>
    </w:p>
    <w:p w14:paraId="34EE5E7D" w14:textId="0FA3F010" w:rsidR="00EA1AAE" w:rsidRPr="002A1B5B" w:rsidRDefault="00EA1AAE" w:rsidP="00805859">
      <w:pPr>
        <w:widowControl w:val="0"/>
        <w:spacing w:before="2" w:line="240" w:lineRule="auto"/>
        <w:rPr>
          <w:rFonts w:eastAsia="Arial" w:cs="Arial"/>
          <w:sz w:val="16"/>
          <w:szCs w:val="16"/>
        </w:rPr>
      </w:pPr>
      <w:r w:rsidRPr="002A1B5B">
        <w:rPr>
          <w:rFonts w:eastAsia="Calibri" w:cs="Arial"/>
          <w:i/>
          <w:sz w:val="16"/>
          <w:szCs w:val="16"/>
        </w:rPr>
        <w:t xml:space="preserve">Issued in accordance with </w:t>
      </w:r>
      <w:r>
        <w:rPr>
          <w:rFonts w:eastAsia="Calibri" w:cs="Arial"/>
          <w:i/>
          <w:sz w:val="16"/>
          <w:szCs w:val="16"/>
        </w:rPr>
        <w:t xml:space="preserve">section </w:t>
      </w:r>
      <w:r w:rsidR="005A519A">
        <w:rPr>
          <w:rFonts w:eastAsia="Calibri" w:cs="Arial"/>
          <w:i/>
          <w:sz w:val="16"/>
          <w:szCs w:val="16"/>
        </w:rPr>
        <w:t>33</w:t>
      </w:r>
      <w:r w:rsidR="005A519A" w:rsidRPr="002A1B5B">
        <w:rPr>
          <w:rFonts w:eastAsia="Calibri" w:cs="Arial"/>
          <w:i/>
          <w:sz w:val="16"/>
          <w:szCs w:val="16"/>
        </w:rPr>
        <w:t xml:space="preserve"> </w:t>
      </w:r>
      <w:r>
        <w:rPr>
          <w:rFonts w:eastAsia="Calibri" w:cs="Arial"/>
          <w:i/>
          <w:sz w:val="16"/>
          <w:szCs w:val="16"/>
        </w:rPr>
        <w:t>of the [Radiocommunications Act]</w:t>
      </w:r>
    </w:p>
    <w:p w14:paraId="37ABC0A5" w14:textId="77777777" w:rsidR="00EA1AAE" w:rsidRPr="00EC7825" w:rsidRDefault="00EA1AAE" w:rsidP="00805859">
      <w:pPr>
        <w:pBdr>
          <w:top w:val="single" w:sz="4" w:space="1" w:color="auto"/>
        </w:pBdr>
        <w:spacing w:before="120" w:after="120" w:line="240" w:lineRule="auto"/>
        <w:rPr>
          <w:rFonts w:cs="Arial"/>
          <w:b/>
          <w:szCs w:val="20"/>
        </w:rPr>
      </w:pPr>
      <w:r w:rsidRPr="00EC7825">
        <w:rPr>
          <w:rFonts w:cs="Arial"/>
          <w:b/>
          <w:szCs w:val="20"/>
        </w:rPr>
        <w:t>LICENCE DETAILS</w:t>
      </w:r>
    </w:p>
    <w:tbl>
      <w:tblPr>
        <w:tblW w:w="2749" w:type="pct"/>
        <w:tblCellMar>
          <w:left w:w="0" w:type="dxa"/>
          <w:right w:w="0" w:type="dxa"/>
        </w:tblCellMar>
        <w:tblLook w:val="01E0" w:firstRow="1" w:lastRow="1" w:firstColumn="1" w:lastColumn="1" w:noHBand="0" w:noVBand="0"/>
      </w:tblPr>
      <w:tblGrid>
        <w:gridCol w:w="1865"/>
        <w:gridCol w:w="2342"/>
      </w:tblGrid>
      <w:tr w:rsidR="00EA1AAE" w:rsidRPr="002A1B5B" w14:paraId="5A087273" w14:textId="77777777" w:rsidTr="00805859">
        <w:trPr>
          <w:trHeight w:val="348"/>
        </w:trPr>
        <w:tc>
          <w:tcPr>
            <w:tcW w:w="2217" w:type="pct"/>
            <w:tcBorders>
              <w:top w:val="single" w:sz="8" w:space="0" w:color="000000"/>
              <w:left w:val="single" w:sz="8" w:space="0" w:color="000000"/>
              <w:bottom w:val="single" w:sz="8" w:space="0" w:color="000000"/>
              <w:right w:val="single" w:sz="8" w:space="0" w:color="000000"/>
            </w:tcBorders>
          </w:tcPr>
          <w:p w14:paraId="530A4E9C" w14:textId="77777777" w:rsidR="00EA1AAE" w:rsidRPr="002A1B5B" w:rsidRDefault="00EA1AAE" w:rsidP="00805859">
            <w:pPr>
              <w:pStyle w:val="TableParagraph"/>
              <w:ind w:left="40"/>
              <w:rPr>
                <w:rFonts w:ascii="Arial" w:eastAsia="Arial" w:hAnsi="Arial" w:cs="Arial"/>
                <w:sz w:val="20"/>
                <w:szCs w:val="20"/>
                <w:lang w:val="en-AU"/>
              </w:rPr>
            </w:pPr>
            <w:r w:rsidRPr="002A1B5B">
              <w:rPr>
                <w:rFonts w:ascii="Arial" w:hAnsi="Arial" w:cs="Arial"/>
                <w:spacing w:val="-1"/>
                <w:sz w:val="20"/>
                <w:szCs w:val="20"/>
                <w:lang w:val="en-AU"/>
              </w:rPr>
              <w:t>Customer</w:t>
            </w:r>
            <w:r w:rsidRPr="002A1B5B">
              <w:rPr>
                <w:rFonts w:ascii="Arial" w:hAnsi="Arial" w:cs="Arial"/>
                <w:sz w:val="20"/>
                <w:szCs w:val="20"/>
                <w:lang w:val="en-AU"/>
              </w:rPr>
              <w:t xml:space="preserve"> ID</w:t>
            </w:r>
          </w:p>
        </w:tc>
        <w:tc>
          <w:tcPr>
            <w:tcW w:w="2783" w:type="pct"/>
            <w:tcBorders>
              <w:top w:val="single" w:sz="8" w:space="0" w:color="000000"/>
              <w:left w:val="single" w:sz="8" w:space="0" w:color="000000"/>
              <w:bottom w:val="single" w:sz="8" w:space="0" w:color="000000"/>
              <w:right w:val="single" w:sz="8" w:space="0" w:color="000000"/>
            </w:tcBorders>
          </w:tcPr>
          <w:p w14:paraId="4D769A40" w14:textId="77777777" w:rsidR="00EA1AAE" w:rsidRPr="002A1B5B" w:rsidRDefault="00EA1AAE" w:rsidP="00805859">
            <w:pPr>
              <w:pStyle w:val="TableParagraph"/>
              <w:ind w:left="40"/>
              <w:rPr>
                <w:rFonts w:ascii="Arial" w:eastAsia="Arial" w:hAnsi="Arial" w:cs="Arial"/>
                <w:sz w:val="20"/>
                <w:szCs w:val="20"/>
                <w:lang w:val="en-AU"/>
              </w:rPr>
            </w:pPr>
            <w:r w:rsidRPr="002A1B5B">
              <w:rPr>
                <w:rFonts w:ascii="Arial" w:hAnsi="Arial" w:cs="Arial"/>
                <w:spacing w:val="-1"/>
                <w:sz w:val="20"/>
                <w:szCs w:val="20"/>
                <w:lang w:val="en-AU"/>
              </w:rPr>
              <w:t>XXXXX</w:t>
            </w:r>
          </w:p>
        </w:tc>
      </w:tr>
      <w:tr w:rsidR="00EA1AAE" w:rsidRPr="002A1B5B" w14:paraId="09D25C9F" w14:textId="77777777" w:rsidTr="00805859">
        <w:trPr>
          <w:trHeight w:val="368"/>
        </w:trPr>
        <w:tc>
          <w:tcPr>
            <w:tcW w:w="2217" w:type="pct"/>
            <w:tcBorders>
              <w:top w:val="single" w:sz="8" w:space="0" w:color="000000"/>
              <w:left w:val="single" w:sz="8" w:space="0" w:color="000000"/>
              <w:bottom w:val="single" w:sz="8" w:space="0" w:color="000000"/>
              <w:right w:val="single" w:sz="8" w:space="0" w:color="000000"/>
            </w:tcBorders>
          </w:tcPr>
          <w:p w14:paraId="111B8085" w14:textId="77777777" w:rsidR="00EA1AAE" w:rsidRPr="002A1B5B" w:rsidRDefault="00EA1AAE" w:rsidP="00805859">
            <w:pPr>
              <w:pStyle w:val="TableParagraph"/>
              <w:ind w:left="40"/>
              <w:rPr>
                <w:rFonts w:ascii="Arial" w:eastAsia="Arial" w:hAnsi="Arial" w:cs="Arial"/>
                <w:sz w:val="20"/>
                <w:szCs w:val="20"/>
                <w:lang w:val="en-AU"/>
              </w:rPr>
            </w:pPr>
            <w:r w:rsidRPr="002A1B5B">
              <w:rPr>
                <w:rFonts w:ascii="Arial" w:hAnsi="Arial" w:cs="Arial"/>
                <w:spacing w:val="-1"/>
                <w:sz w:val="20"/>
                <w:szCs w:val="20"/>
                <w:lang w:val="en-AU"/>
              </w:rPr>
              <w:t>Licensee</w:t>
            </w:r>
          </w:p>
        </w:tc>
        <w:tc>
          <w:tcPr>
            <w:tcW w:w="2783" w:type="pct"/>
            <w:tcBorders>
              <w:top w:val="single" w:sz="8" w:space="0" w:color="000000"/>
              <w:left w:val="single" w:sz="8" w:space="0" w:color="000000"/>
              <w:bottom w:val="single" w:sz="8" w:space="0" w:color="000000"/>
              <w:right w:val="single" w:sz="8" w:space="0" w:color="000000"/>
            </w:tcBorders>
          </w:tcPr>
          <w:p w14:paraId="671E2084" w14:textId="77777777" w:rsidR="00EA1AAE" w:rsidRPr="002A1B5B" w:rsidRDefault="00EA1AAE" w:rsidP="00805859">
            <w:pPr>
              <w:pStyle w:val="TableParagraph"/>
              <w:ind w:left="40"/>
              <w:rPr>
                <w:rFonts w:ascii="Arial" w:eastAsia="Arial" w:hAnsi="Arial" w:cs="Arial"/>
                <w:sz w:val="20"/>
                <w:szCs w:val="20"/>
                <w:lang w:val="en-AU"/>
              </w:rPr>
            </w:pPr>
            <w:r w:rsidRPr="002A1B5B">
              <w:rPr>
                <w:rFonts w:ascii="Arial" w:hAnsi="Arial" w:cs="Arial"/>
                <w:spacing w:val="-1"/>
                <w:sz w:val="20"/>
                <w:szCs w:val="20"/>
                <w:lang w:val="en-AU"/>
              </w:rPr>
              <w:t>Company XXXXX Pty</w:t>
            </w:r>
            <w:r w:rsidRPr="002A1B5B">
              <w:rPr>
                <w:rFonts w:ascii="Arial" w:hAnsi="Arial" w:cs="Arial"/>
                <w:sz w:val="20"/>
                <w:szCs w:val="20"/>
                <w:lang w:val="en-AU"/>
              </w:rPr>
              <w:t xml:space="preserve"> </w:t>
            </w:r>
            <w:r w:rsidRPr="002A1B5B">
              <w:rPr>
                <w:rFonts w:ascii="Arial" w:hAnsi="Arial" w:cs="Arial"/>
                <w:spacing w:val="-1"/>
                <w:sz w:val="20"/>
                <w:szCs w:val="20"/>
                <w:lang w:val="en-AU"/>
              </w:rPr>
              <w:t>Ltd</w:t>
            </w:r>
          </w:p>
        </w:tc>
      </w:tr>
      <w:tr w:rsidR="00EA1AAE" w:rsidRPr="002A1B5B" w14:paraId="084C1C5F" w14:textId="77777777" w:rsidTr="00805859">
        <w:trPr>
          <w:trHeight w:val="482"/>
        </w:trPr>
        <w:tc>
          <w:tcPr>
            <w:tcW w:w="2217" w:type="pct"/>
            <w:tcBorders>
              <w:top w:val="single" w:sz="8" w:space="0" w:color="000000"/>
              <w:left w:val="single" w:sz="8" w:space="0" w:color="000000"/>
              <w:bottom w:val="single" w:sz="8" w:space="0" w:color="000000"/>
              <w:right w:val="single" w:sz="8" w:space="0" w:color="000000"/>
            </w:tcBorders>
          </w:tcPr>
          <w:p w14:paraId="6637EC1E" w14:textId="77777777" w:rsidR="00EA1AAE" w:rsidRPr="002A1B5B" w:rsidRDefault="00EA1AAE" w:rsidP="00805859">
            <w:pPr>
              <w:pStyle w:val="TableParagraph"/>
              <w:ind w:left="40"/>
              <w:rPr>
                <w:rFonts w:ascii="Arial" w:eastAsia="Arial" w:hAnsi="Arial" w:cs="Arial"/>
                <w:sz w:val="20"/>
                <w:szCs w:val="20"/>
                <w:lang w:val="en-AU"/>
              </w:rPr>
            </w:pPr>
            <w:r w:rsidRPr="002A1B5B">
              <w:rPr>
                <w:rFonts w:ascii="Arial" w:hAnsi="Arial" w:cs="Arial"/>
                <w:spacing w:val="-1"/>
                <w:sz w:val="20"/>
                <w:szCs w:val="20"/>
                <w:lang w:val="en-AU"/>
              </w:rPr>
              <w:t>Licensee address</w:t>
            </w:r>
          </w:p>
        </w:tc>
        <w:tc>
          <w:tcPr>
            <w:tcW w:w="2783" w:type="pct"/>
            <w:tcBorders>
              <w:top w:val="single" w:sz="8" w:space="0" w:color="000000"/>
              <w:left w:val="single" w:sz="8" w:space="0" w:color="000000"/>
              <w:bottom w:val="single" w:sz="8" w:space="0" w:color="000000"/>
              <w:right w:val="single" w:sz="8" w:space="0" w:color="000000"/>
            </w:tcBorders>
          </w:tcPr>
          <w:p w14:paraId="0A6A291F" w14:textId="77777777" w:rsidR="00EA1AAE" w:rsidRPr="002A1B5B" w:rsidRDefault="00EA1AAE" w:rsidP="00805859">
            <w:pPr>
              <w:pStyle w:val="TableParagraph"/>
              <w:ind w:left="40"/>
              <w:rPr>
                <w:rFonts w:ascii="Arial" w:hAnsi="Arial" w:cs="Arial"/>
                <w:spacing w:val="-2"/>
                <w:sz w:val="20"/>
                <w:szCs w:val="20"/>
                <w:lang w:val="en-AU"/>
              </w:rPr>
            </w:pPr>
            <w:r w:rsidRPr="002A1B5B">
              <w:rPr>
                <w:rFonts w:ascii="Arial" w:hAnsi="Arial" w:cs="Arial"/>
                <w:spacing w:val="-1"/>
                <w:sz w:val="20"/>
                <w:szCs w:val="20"/>
                <w:lang w:val="en-AU"/>
              </w:rPr>
              <w:t>Number Street</w:t>
            </w:r>
            <w:r w:rsidRPr="002A1B5B">
              <w:rPr>
                <w:rFonts w:ascii="Arial" w:hAnsi="Arial" w:cs="Arial"/>
                <w:sz w:val="20"/>
                <w:szCs w:val="20"/>
                <w:lang w:val="en-AU"/>
              </w:rPr>
              <w:t>,</w:t>
            </w:r>
            <w:r w:rsidRPr="002A1B5B">
              <w:rPr>
                <w:rFonts w:ascii="Arial" w:hAnsi="Arial" w:cs="Arial"/>
                <w:spacing w:val="-2"/>
                <w:sz w:val="20"/>
                <w:szCs w:val="20"/>
                <w:lang w:val="en-AU"/>
              </w:rPr>
              <w:t xml:space="preserve"> </w:t>
            </w:r>
          </w:p>
          <w:p w14:paraId="25B84528" w14:textId="77777777" w:rsidR="00EA1AAE" w:rsidRPr="002A1B5B" w:rsidRDefault="00EA1AAE" w:rsidP="00805859">
            <w:pPr>
              <w:pStyle w:val="TableParagraph"/>
              <w:ind w:left="40"/>
              <w:rPr>
                <w:rFonts w:ascii="Arial" w:hAnsi="Arial" w:cs="Arial"/>
                <w:sz w:val="20"/>
                <w:szCs w:val="20"/>
                <w:lang w:val="en-AU"/>
              </w:rPr>
            </w:pPr>
            <w:r w:rsidRPr="002A1B5B">
              <w:rPr>
                <w:rFonts w:ascii="Arial" w:hAnsi="Arial" w:cs="Arial"/>
                <w:sz w:val="20"/>
                <w:szCs w:val="20"/>
                <w:lang w:val="en-AU"/>
              </w:rPr>
              <w:t>SUBURB,</w:t>
            </w:r>
          </w:p>
          <w:p w14:paraId="2941E088" w14:textId="77777777" w:rsidR="00EA1AAE" w:rsidRPr="002A1B5B" w:rsidRDefault="00EA1AAE" w:rsidP="00805859">
            <w:pPr>
              <w:pStyle w:val="TableParagraph"/>
              <w:ind w:left="40"/>
              <w:rPr>
                <w:rFonts w:ascii="Arial" w:hAnsi="Arial" w:cs="Arial"/>
                <w:spacing w:val="-2"/>
                <w:sz w:val="20"/>
                <w:szCs w:val="20"/>
                <w:lang w:val="en-AU"/>
              </w:rPr>
            </w:pPr>
            <w:r w:rsidRPr="002A1B5B">
              <w:rPr>
                <w:rFonts w:ascii="Arial" w:hAnsi="Arial" w:cs="Arial"/>
                <w:sz w:val="20"/>
                <w:szCs w:val="20"/>
                <w:lang w:val="en-AU"/>
              </w:rPr>
              <w:t>TOWN/CITY,</w:t>
            </w:r>
            <w:r w:rsidRPr="002A1B5B">
              <w:rPr>
                <w:rFonts w:ascii="Arial" w:hAnsi="Arial" w:cs="Arial"/>
                <w:spacing w:val="-2"/>
                <w:sz w:val="20"/>
                <w:szCs w:val="20"/>
                <w:lang w:val="en-AU"/>
              </w:rPr>
              <w:t xml:space="preserve"> </w:t>
            </w:r>
          </w:p>
          <w:p w14:paraId="5F4F8271" w14:textId="77777777" w:rsidR="00EA1AAE" w:rsidRPr="002A1B5B" w:rsidRDefault="00EA1AAE" w:rsidP="00805859">
            <w:pPr>
              <w:pStyle w:val="TableParagraph"/>
              <w:ind w:left="40"/>
              <w:rPr>
                <w:rFonts w:ascii="Arial" w:eastAsia="Arial" w:hAnsi="Arial" w:cs="Arial"/>
                <w:sz w:val="20"/>
                <w:szCs w:val="20"/>
                <w:lang w:val="en-AU"/>
              </w:rPr>
            </w:pPr>
            <w:r w:rsidRPr="002A1B5B">
              <w:rPr>
                <w:rFonts w:ascii="Arial" w:hAnsi="Arial" w:cs="Arial"/>
                <w:spacing w:val="-1"/>
                <w:sz w:val="20"/>
                <w:szCs w:val="20"/>
                <w:lang w:val="en-AU"/>
              </w:rPr>
              <w:t>STATE POSTCODE</w:t>
            </w:r>
          </w:p>
        </w:tc>
      </w:tr>
    </w:tbl>
    <w:p w14:paraId="6AE90A87" w14:textId="77777777" w:rsidR="00EA1AAE" w:rsidRPr="002A1B5B" w:rsidRDefault="00EA1AAE" w:rsidP="00805859">
      <w:pPr>
        <w:spacing w:before="120" w:after="0" w:line="240" w:lineRule="auto"/>
        <w:rPr>
          <w:rFonts w:cs="Arial"/>
          <w:b/>
          <w:szCs w:val="20"/>
          <w:u w:val="single"/>
        </w:rPr>
      </w:pPr>
    </w:p>
    <w:tbl>
      <w:tblPr>
        <w:tblW w:w="2790" w:type="pct"/>
        <w:tblInd w:w="20" w:type="dxa"/>
        <w:tblCellMar>
          <w:left w:w="0" w:type="dxa"/>
          <w:right w:w="0" w:type="dxa"/>
        </w:tblCellMar>
        <w:tblLook w:val="01E0" w:firstRow="1" w:lastRow="1" w:firstColumn="1" w:lastColumn="1" w:noHBand="0" w:noVBand="0"/>
      </w:tblPr>
      <w:tblGrid>
        <w:gridCol w:w="1932"/>
        <w:gridCol w:w="2337"/>
      </w:tblGrid>
      <w:tr w:rsidR="00EA1AAE" w:rsidRPr="002A1B5B" w14:paraId="77AD502A" w14:textId="77777777" w:rsidTr="00805859">
        <w:trPr>
          <w:trHeight w:val="348"/>
        </w:trPr>
        <w:tc>
          <w:tcPr>
            <w:tcW w:w="2263" w:type="pct"/>
            <w:tcBorders>
              <w:top w:val="single" w:sz="8" w:space="0" w:color="000000"/>
              <w:left w:val="single" w:sz="8" w:space="0" w:color="000000"/>
              <w:bottom w:val="single" w:sz="8" w:space="0" w:color="000000"/>
              <w:right w:val="single" w:sz="8" w:space="0" w:color="000000"/>
            </w:tcBorders>
          </w:tcPr>
          <w:p w14:paraId="0945C8B8" w14:textId="77777777" w:rsidR="00EA1AAE" w:rsidRPr="002A1B5B" w:rsidRDefault="00EA1AAE" w:rsidP="00805859">
            <w:pPr>
              <w:pStyle w:val="TableParagraph"/>
              <w:ind w:left="40"/>
              <w:rPr>
                <w:rFonts w:ascii="Arial" w:eastAsia="Arial" w:hAnsi="Arial" w:cs="Arial"/>
                <w:sz w:val="20"/>
                <w:szCs w:val="20"/>
                <w:lang w:val="en-AU"/>
              </w:rPr>
            </w:pPr>
            <w:r w:rsidRPr="002A1B5B">
              <w:rPr>
                <w:rFonts w:ascii="Arial" w:hAnsi="Arial" w:cs="Arial"/>
                <w:spacing w:val="-1"/>
                <w:sz w:val="20"/>
                <w:szCs w:val="20"/>
                <w:lang w:val="en-AU"/>
              </w:rPr>
              <w:t>Licence number</w:t>
            </w:r>
          </w:p>
        </w:tc>
        <w:tc>
          <w:tcPr>
            <w:tcW w:w="2737" w:type="pct"/>
            <w:tcBorders>
              <w:top w:val="single" w:sz="8" w:space="0" w:color="000000"/>
              <w:left w:val="single" w:sz="8" w:space="0" w:color="000000"/>
              <w:bottom w:val="single" w:sz="8" w:space="0" w:color="000000"/>
              <w:right w:val="single" w:sz="8" w:space="0" w:color="000000"/>
            </w:tcBorders>
          </w:tcPr>
          <w:p w14:paraId="5531EF11" w14:textId="77777777" w:rsidR="00EA1AAE" w:rsidRPr="002A1B5B" w:rsidRDefault="00EA1AAE" w:rsidP="00805859">
            <w:pPr>
              <w:pStyle w:val="TableParagraph"/>
              <w:ind w:left="40"/>
              <w:rPr>
                <w:rFonts w:ascii="Arial" w:eastAsia="Arial" w:hAnsi="Arial" w:cs="Arial"/>
                <w:sz w:val="20"/>
                <w:szCs w:val="20"/>
                <w:lang w:val="en-AU"/>
              </w:rPr>
            </w:pPr>
            <w:r w:rsidRPr="002A1B5B">
              <w:rPr>
                <w:rFonts w:ascii="Arial" w:hAnsi="Arial" w:cs="Arial"/>
                <w:spacing w:val="-1"/>
                <w:sz w:val="20"/>
                <w:szCs w:val="20"/>
                <w:lang w:val="en-AU"/>
              </w:rPr>
              <w:t>XXXXXX</w:t>
            </w:r>
          </w:p>
        </w:tc>
      </w:tr>
      <w:tr w:rsidR="00EA1AAE" w:rsidRPr="002A1B5B" w14:paraId="2A862735" w14:textId="77777777" w:rsidTr="00805859">
        <w:trPr>
          <w:trHeight w:val="366"/>
        </w:trPr>
        <w:tc>
          <w:tcPr>
            <w:tcW w:w="2263" w:type="pct"/>
            <w:tcBorders>
              <w:top w:val="single" w:sz="8" w:space="0" w:color="000000"/>
              <w:left w:val="single" w:sz="8" w:space="0" w:color="000000"/>
              <w:bottom w:val="single" w:sz="8" w:space="0" w:color="000000"/>
              <w:right w:val="single" w:sz="8" w:space="0" w:color="000000"/>
            </w:tcBorders>
          </w:tcPr>
          <w:p w14:paraId="4EE9582A" w14:textId="77777777" w:rsidR="00EA1AAE" w:rsidRPr="002A1B5B" w:rsidRDefault="00EA1AAE" w:rsidP="00805859">
            <w:pPr>
              <w:pStyle w:val="TableParagraph"/>
              <w:ind w:left="40"/>
              <w:rPr>
                <w:rFonts w:ascii="Arial" w:hAnsi="Arial" w:cs="Arial"/>
                <w:spacing w:val="-1"/>
                <w:sz w:val="20"/>
                <w:szCs w:val="20"/>
                <w:lang w:val="en-AU"/>
              </w:rPr>
            </w:pPr>
            <w:r w:rsidRPr="002A1B5B">
              <w:rPr>
                <w:rFonts w:ascii="Arial" w:hAnsi="Arial" w:cs="Arial"/>
                <w:spacing w:val="-1"/>
                <w:sz w:val="20"/>
                <w:szCs w:val="20"/>
                <w:lang w:val="en-AU"/>
              </w:rPr>
              <w:t>Band Release</w:t>
            </w:r>
            <w:r w:rsidRPr="00093A2C">
              <w:rPr>
                <w:rFonts w:ascii="Arial" w:hAnsi="Arial" w:cs="Arial"/>
                <w:spacing w:val="-1"/>
                <w:sz w:val="20"/>
                <w:szCs w:val="20"/>
                <w:lang w:val="en-AU"/>
              </w:rPr>
              <w:t xml:space="preserve"> (optional)</w:t>
            </w:r>
          </w:p>
        </w:tc>
        <w:tc>
          <w:tcPr>
            <w:tcW w:w="2737" w:type="pct"/>
            <w:tcBorders>
              <w:top w:val="single" w:sz="8" w:space="0" w:color="000000"/>
              <w:left w:val="single" w:sz="8" w:space="0" w:color="000000"/>
              <w:bottom w:val="single" w:sz="8" w:space="0" w:color="000000"/>
              <w:right w:val="single" w:sz="8" w:space="0" w:color="000000"/>
            </w:tcBorders>
          </w:tcPr>
          <w:p w14:paraId="68E8154D" w14:textId="77777777" w:rsidR="00EA1AAE" w:rsidRPr="002A1B5B" w:rsidRDefault="00EA1AAE" w:rsidP="00805859">
            <w:pPr>
              <w:pStyle w:val="TableParagraph"/>
              <w:ind w:left="40"/>
              <w:rPr>
                <w:rFonts w:ascii="Arial" w:hAnsi="Arial" w:cs="Arial"/>
                <w:spacing w:val="-1"/>
                <w:sz w:val="20"/>
                <w:szCs w:val="20"/>
                <w:lang w:val="en-AU"/>
              </w:rPr>
            </w:pPr>
            <w:r w:rsidRPr="002A1B5B">
              <w:rPr>
                <w:rFonts w:ascii="Arial" w:hAnsi="Arial" w:cs="Arial"/>
                <w:spacing w:val="-1"/>
                <w:sz w:val="20"/>
                <w:szCs w:val="20"/>
                <w:lang w:val="en-AU"/>
              </w:rPr>
              <w:t>1800 MHz band</w:t>
            </w:r>
          </w:p>
        </w:tc>
      </w:tr>
      <w:tr w:rsidR="00EA1AAE" w:rsidRPr="002A1B5B" w14:paraId="7FD1A0BB" w14:textId="77777777" w:rsidTr="00805859">
        <w:trPr>
          <w:trHeight w:val="366"/>
        </w:trPr>
        <w:tc>
          <w:tcPr>
            <w:tcW w:w="2263" w:type="pct"/>
            <w:tcBorders>
              <w:top w:val="single" w:sz="8" w:space="0" w:color="000000"/>
              <w:left w:val="single" w:sz="8" w:space="0" w:color="000000"/>
              <w:bottom w:val="single" w:sz="8" w:space="0" w:color="000000"/>
              <w:right w:val="single" w:sz="8" w:space="0" w:color="000000"/>
            </w:tcBorders>
          </w:tcPr>
          <w:p w14:paraId="779AD5DF" w14:textId="77777777" w:rsidR="00EA1AAE" w:rsidRPr="002A1B5B" w:rsidRDefault="00EA1AAE" w:rsidP="00805859">
            <w:pPr>
              <w:pStyle w:val="TableParagraph"/>
              <w:ind w:left="40"/>
              <w:rPr>
                <w:rFonts w:ascii="Arial" w:eastAsia="Arial" w:hAnsi="Arial" w:cs="Arial"/>
                <w:sz w:val="20"/>
                <w:szCs w:val="20"/>
                <w:lang w:val="en-AU"/>
              </w:rPr>
            </w:pPr>
            <w:r w:rsidRPr="002A1B5B">
              <w:rPr>
                <w:rFonts w:ascii="Arial" w:hAnsi="Arial" w:cs="Arial"/>
                <w:spacing w:val="-1"/>
                <w:sz w:val="20"/>
                <w:szCs w:val="20"/>
                <w:lang w:val="en-AU"/>
              </w:rPr>
              <w:t>Date</w:t>
            </w:r>
            <w:r w:rsidRPr="002A1B5B">
              <w:rPr>
                <w:rFonts w:ascii="Arial" w:hAnsi="Arial" w:cs="Arial"/>
                <w:spacing w:val="-2"/>
                <w:sz w:val="20"/>
                <w:szCs w:val="20"/>
                <w:lang w:val="en-AU"/>
              </w:rPr>
              <w:t xml:space="preserve"> </w:t>
            </w:r>
            <w:r w:rsidRPr="002A1B5B">
              <w:rPr>
                <w:rFonts w:ascii="Arial" w:hAnsi="Arial" w:cs="Arial"/>
                <w:spacing w:val="-1"/>
                <w:sz w:val="20"/>
                <w:szCs w:val="20"/>
                <w:lang w:val="en-AU"/>
              </w:rPr>
              <w:t>of issue</w:t>
            </w:r>
          </w:p>
        </w:tc>
        <w:tc>
          <w:tcPr>
            <w:tcW w:w="2737" w:type="pct"/>
            <w:tcBorders>
              <w:top w:val="single" w:sz="8" w:space="0" w:color="000000"/>
              <w:left w:val="single" w:sz="8" w:space="0" w:color="000000"/>
              <w:bottom w:val="single" w:sz="8" w:space="0" w:color="000000"/>
              <w:right w:val="single" w:sz="8" w:space="0" w:color="000000"/>
            </w:tcBorders>
          </w:tcPr>
          <w:p w14:paraId="0A0BC001" w14:textId="77777777" w:rsidR="00EA1AAE" w:rsidRPr="002A1B5B" w:rsidRDefault="00EA1AAE" w:rsidP="00805859">
            <w:pPr>
              <w:pStyle w:val="TableParagraph"/>
              <w:ind w:left="40"/>
              <w:rPr>
                <w:rFonts w:ascii="Arial" w:eastAsia="Arial" w:hAnsi="Arial" w:cs="Arial"/>
                <w:sz w:val="20"/>
                <w:szCs w:val="20"/>
                <w:lang w:val="en-AU"/>
              </w:rPr>
            </w:pPr>
            <w:r w:rsidRPr="002A1B5B">
              <w:rPr>
                <w:rFonts w:ascii="Arial" w:hAnsi="Arial" w:cs="Arial"/>
                <w:spacing w:val="-1"/>
                <w:sz w:val="20"/>
                <w:szCs w:val="20"/>
                <w:lang w:val="en-AU"/>
              </w:rPr>
              <w:t>Day/Month/Year</w:t>
            </w:r>
          </w:p>
        </w:tc>
      </w:tr>
      <w:tr w:rsidR="00EA1AAE" w:rsidRPr="002A1B5B" w14:paraId="251CC732" w14:textId="77777777" w:rsidTr="00805859">
        <w:trPr>
          <w:trHeight w:val="348"/>
        </w:trPr>
        <w:tc>
          <w:tcPr>
            <w:tcW w:w="2263" w:type="pct"/>
            <w:tcBorders>
              <w:top w:val="single" w:sz="8" w:space="0" w:color="000000"/>
              <w:left w:val="single" w:sz="8" w:space="0" w:color="000000"/>
              <w:bottom w:val="single" w:sz="8" w:space="0" w:color="000000"/>
              <w:right w:val="single" w:sz="8" w:space="0" w:color="000000"/>
            </w:tcBorders>
          </w:tcPr>
          <w:p w14:paraId="281012E2" w14:textId="77777777" w:rsidR="00EA1AAE" w:rsidRPr="002A1B5B" w:rsidRDefault="00EA1AAE" w:rsidP="00805859">
            <w:pPr>
              <w:pStyle w:val="TableParagraph"/>
              <w:ind w:left="40"/>
              <w:rPr>
                <w:rFonts w:ascii="Arial" w:eastAsia="Arial" w:hAnsi="Arial" w:cs="Arial"/>
                <w:sz w:val="20"/>
                <w:szCs w:val="20"/>
                <w:lang w:val="en-AU"/>
              </w:rPr>
            </w:pPr>
            <w:r w:rsidRPr="002A1B5B">
              <w:rPr>
                <w:rFonts w:ascii="Arial" w:hAnsi="Arial" w:cs="Arial"/>
                <w:spacing w:val="-1"/>
                <w:sz w:val="20"/>
                <w:szCs w:val="20"/>
                <w:lang w:val="en-AU"/>
              </w:rPr>
              <w:t>Date</w:t>
            </w:r>
            <w:r w:rsidRPr="002A1B5B">
              <w:rPr>
                <w:rFonts w:ascii="Arial" w:hAnsi="Arial" w:cs="Arial"/>
                <w:spacing w:val="-4"/>
                <w:sz w:val="20"/>
                <w:szCs w:val="20"/>
                <w:lang w:val="en-AU"/>
              </w:rPr>
              <w:t xml:space="preserve"> </w:t>
            </w:r>
            <w:r>
              <w:rPr>
                <w:rFonts w:ascii="Arial" w:hAnsi="Arial" w:cs="Arial"/>
                <w:spacing w:val="-1"/>
                <w:sz w:val="20"/>
                <w:szCs w:val="20"/>
                <w:lang w:val="en-AU"/>
              </w:rPr>
              <w:t>licence comes into force</w:t>
            </w:r>
          </w:p>
        </w:tc>
        <w:tc>
          <w:tcPr>
            <w:tcW w:w="2737" w:type="pct"/>
            <w:tcBorders>
              <w:top w:val="single" w:sz="8" w:space="0" w:color="000000"/>
              <w:left w:val="single" w:sz="8" w:space="0" w:color="000000"/>
              <w:bottom w:val="single" w:sz="8" w:space="0" w:color="000000"/>
              <w:right w:val="single" w:sz="8" w:space="0" w:color="000000"/>
            </w:tcBorders>
          </w:tcPr>
          <w:p w14:paraId="0BB11FC7" w14:textId="77777777" w:rsidR="00EA1AAE" w:rsidRPr="002A1B5B" w:rsidRDefault="00EA1AAE" w:rsidP="00805859">
            <w:pPr>
              <w:pStyle w:val="TableParagraph"/>
              <w:ind w:left="40"/>
              <w:rPr>
                <w:rFonts w:ascii="Arial" w:eastAsia="Arial" w:hAnsi="Arial" w:cs="Arial"/>
                <w:sz w:val="20"/>
                <w:szCs w:val="20"/>
                <w:lang w:val="en-AU"/>
              </w:rPr>
            </w:pPr>
            <w:r w:rsidRPr="002A1B5B">
              <w:rPr>
                <w:rFonts w:ascii="Arial" w:hAnsi="Arial" w:cs="Arial"/>
                <w:spacing w:val="-1"/>
                <w:sz w:val="20"/>
                <w:szCs w:val="20"/>
                <w:lang w:val="en-AU"/>
              </w:rPr>
              <w:t>Day/Month/Year</w:t>
            </w:r>
          </w:p>
        </w:tc>
      </w:tr>
      <w:tr w:rsidR="00EA1AAE" w:rsidRPr="002A1B5B" w14:paraId="7DB37B30" w14:textId="77777777" w:rsidTr="00805859">
        <w:trPr>
          <w:trHeight w:val="336"/>
        </w:trPr>
        <w:tc>
          <w:tcPr>
            <w:tcW w:w="2263" w:type="pct"/>
            <w:tcBorders>
              <w:top w:val="single" w:sz="8" w:space="0" w:color="000000"/>
              <w:left w:val="single" w:sz="8" w:space="0" w:color="000000"/>
              <w:bottom w:val="single" w:sz="8" w:space="0" w:color="000000"/>
              <w:right w:val="single" w:sz="8" w:space="0" w:color="000000"/>
            </w:tcBorders>
          </w:tcPr>
          <w:p w14:paraId="5C12A1F4" w14:textId="77777777" w:rsidR="00EA1AAE" w:rsidRPr="002A1B5B" w:rsidRDefault="00EA1AAE" w:rsidP="00805859">
            <w:pPr>
              <w:pStyle w:val="TableParagraph"/>
              <w:ind w:left="40"/>
              <w:rPr>
                <w:rFonts w:ascii="Arial" w:hAnsi="Arial" w:cs="Arial"/>
                <w:spacing w:val="-1"/>
                <w:sz w:val="20"/>
                <w:szCs w:val="20"/>
                <w:lang w:val="en-AU"/>
              </w:rPr>
            </w:pPr>
            <w:r w:rsidRPr="002A1B5B">
              <w:rPr>
                <w:rFonts w:ascii="Arial" w:hAnsi="Arial" w:cs="Arial"/>
                <w:spacing w:val="-1"/>
                <w:sz w:val="20"/>
                <w:szCs w:val="20"/>
                <w:lang w:val="en-AU"/>
              </w:rPr>
              <w:t>Licence Duration</w:t>
            </w:r>
          </w:p>
        </w:tc>
        <w:tc>
          <w:tcPr>
            <w:tcW w:w="2737" w:type="pct"/>
            <w:tcBorders>
              <w:top w:val="single" w:sz="8" w:space="0" w:color="000000"/>
              <w:left w:val="single" w:sz="8" w:space="0" w:color="000000"/>
              <w:bottom w:val="single" w:sz="8" w:space="0" w:color="000000"/>
              <w:right w:val="single" w:sz="8" w:space="0" w:color="000000"/>
            </w:tcBorders>
          </w:tcPr>
          <w:p w14:paraId="51DBF0D8" w14:textId="77777777" w:rsidR="00EA1AAE" w:rsidRPr="002A1B5B" w:rsidRDefault="00EA1AAE" w:rsidP="00805859">
            <w:pPr>
              <w:pStyle w:val="TableParagraph"/>
              <w:ind w:left="40"/>
              <w:rPr>
                <w:rFonts w:ascii="Arial" w:hAnsi="Arial" w:cs="Arial"/>
                <w:spacing w:val="-1"/>
                <w:sz w:val="20"/>
                <w:szCs w:val="20"/>
                <w:lang w:val="en-AU"/>
              </w:rPr>
            </w:pPr>
            <w:r w:rsidRPr="002A1B5B">
              <w:rPr>
                <w:rFonts w:ascii="Arial" w:hAnsi="Arial" w:cs="Arial"/>
                <w:spacing w:val="-1"/>
                <w:sz w:val="20"/>
                <w:szCs w:val="20"/>
                <w:lang w:val="en-AU"/>
              </w:rPr>
              <w:t>X number days/years</w:t>
            </w:r>
          </w:p>
        </w:tc>
      </w:tr>
      <w:tr w:rsidR="00EA1AAE" w:rsidRPr="002A1B5B" w14:paraId="606DAFFB" w14:textId="77777777" w:rsidTr="00805859">
        <w:trPr>
          <w:trHeight w:val="336"/>
        </w:trPr>
        <w:tc>
          <w:tcPr>
            <w:tcW w:w="2263" w:type="pct"/>
            <w:tcBorders>
              <w:top w:val="single" w:sz="8" w:space="0" w:color="000000"/>
              <w:left w:val="single" w:sz="8" w:space="0" w:color="000000"/>
              <w:bottom w:val="single" w:sz="8" w:space="0" w:color="000000"/>
              <w:right w:val="single" w:sz="8" w:space="0" w:color="000000"/>
            </w:tcBorders>
          </w:tcPr>
          <w:p w14:paraId="6989CFC7" w14:textId="77777777" w:rsidR="00EA1AAE" w:rsidRPr="002A1B5B" w:rsidRDefault="00EA1AAE" w:rsidP="00805859">
            <w:pPr>
              <w:pStyle w:val="TableParagraph"/>
              <w:ind w:left="40"/>
              <w:rPr>
                <w:rFonts w:ascii="Arial" w:eastAsia="Arial" w:hAnsi="Arial" w:cs="Arial"/>
                <w:sz w:val="20"/>
                <w:szCs w:val="20"/>
                <w:lang w:val="en-AU"/>
              </w:rPr>
            </w:pPr>
            <w:r w:rsidRPr="002A1B5B">
              <w:rPr>
                <w:rFonts w:ascii="Arial" w:hAnsi="Arial" w:cs="Arial"/>
                <w:spacing w:val="-1"/>
                <w:sz w:val="20"/>
                <w:szCs w:val="20"/>
                <w:lang w:val="en-AU"/>
              </w:rPr>
              <w:t>Date</w:t>
            </w:r>
            <w:r w:rsidRPr="002A1B5B">
              <w:rPr>
                <w:rFonts w:ascii="Arial" w:hAnsi="Arial" w:cs="Arial"/>
                <w:spacing w:val="-2"/>
                <w:sz w:val="20"/>
                <w:szCs w:val="20"/>
                <w:lang w:val="en-AU"/>
              </w:rPr>
              <w:t xml:space="preserve"> </w:t>
            </w:r>
            <w:r w:rsidRPr="002A1B5B">
              <w:rPr>
                <w:rFonts w:ascii="Arial" w:hAnsi="Arial" w:cs="Arial"/>
                <w:spacing w:val="-1"/>
                <w:sz w:val="20"/>
                <w:szCs w:val="20"/>
                <w:lang w:val="en-AU"/>
              </w:rPr>
              <w:t>of expiry</w:t>
            </w:r>
          </w:p>
        </w:tc>
        <w:tc>
          <w:tcPr>
            <w:tcW w:w="2737" w:type="pct"/>
            <w:tcBorders>
              <w:top w:val="single" w:sz="8" w:space="0" w:color="000000"/>
              <w:left w:val="single" w:sz="8" w:space="0" w:color="000000"/>
              <w:bottom w:val="single" w:sz="8" w:space="0" w:color="000000"/>
              <w:right w:val="single" w:sz="8" w:space="0" w:color="000000"/>
            </w:tcBorders>
          </w:tcPr>
          <w:p w14:paraId="66F5027F" w14:textId="77777777" w:rsidR="00EA1AAE" w:rsidRPr="002A1B5B" w:rsidRDefault="00EA1AAE" w:rsidP="00805859">
            <w:pPr>
              <w:pStyle w:val="TableParagraph"/>
              <w:ind w:left="40"/>
              <w:rPr>
                <w:rFonts w:ascii="Arial" w:eastAsia="Arial" w:hAnsi="Arial" w:cs="Arial"/>
                <w:sz w:val="20"/>
                <w:szCs w:val="20"/>
                <w:lang w:val="en-AU"/>
              </w:rPr>
            </w:pPr>
            <w:r w:rsidRPr="002A1B5B">
              <w:rPr>
                <w:rFonts w:ascii="Arial" w:hAnsi="Arial" w:cs="Arial"/>
                <w:spacing w:val="-1"/>
                <w:sz w:val="20"/>
                <w:szCs w:val="20"/>
                <w:lang w:val="en-AU"/>
              </w:rPr>
              <w:t>Day/Month/Year</w:t>
            </w:r>
          </w:p>
        </w:tc>
      </w:tr>
    </w:tbl>
    <w:p w14:paraId="6B0514F6" w14:textId="1F3D5B46" w:rsidR="00EA1AAE" w:rsidRPr="00EC7825" w:rsidRDefault="00EA1AAE" w:rsidP="00805859">
      <w:pPr>
        <w:pBdr>
          <w:top w:val="single" w:sz="4" w:space="1" w:color="auto"/>
        </w:pBdr>
        <w:spacing w:before="360" w:after="0" w:line="240" w:lineRule="auto"/>
        <w:rPr>
          <w:rFonts w:cs="Arial"/>
          <w:b/>
          <w:szCs w:val="20"/>
        </w:rPr>
      </w:pPr>
      <w:r w:rsidRPr="00EC7825">
        <w:rPr>
          <w:rFonts w:cs="Arial"/>
          <w:b/>
          <w:szCs w:val="20"/>
        </w:rPr>
        <w:t xml:space="preserve">GENERAL CONDITIONS section </w:t>
      </w:r>
      <w:r w:rsidR="00E774AC">
        <w:rPr>
          <w:rFonts w:cs="Arial"/>
          <w:b/>
          <w:szCs w:val="20"/>
        </w:rPr>
        <w:t>46</w:t>
      </w:r>
    </w:p>
    <w:p w14:paraId="3D0206F8" w14:textId="77777777" w:rsidR="00EA1AAE" w:rsidRPr="002A1B5B" w:rsidRDefault="00EA1AAE" w:rsidP="00805859">
      <w:pPr>
        <w:spacing w:before="120"/>
        <w:rPr>
          <w:rFonts w:cs="Arial"/>
          <w:szCs w:val="20"/>
          <w:u w:val="single"/>
        </w:rPr>
      </w:pPr>
      <w:r w:rsidRPr="002A1B5B">
        <w:rPr>
          <w:rFonts w:cs="Arial"/>
          <w:szCs w:val="20"/>
          <w:u w:val="single"/>
        </w:rPr>
        <w:t>Example text:</w:t>
      </w:r>
    </w:p>
    <w:p w14:paraId="11D23DA0" w14:textId="77777777" w:rsidR="00EA1AAE" w:rsidRDefault="00EA1AAE" w:rsidP="00805859">
      <w:pPr>
        <w:spacing w:before="120"/>
        <w:rPr>
          <w:rFonts w:cs="Arial"/>
          <w:szCs w:val="20"/>
        </w:rPr>
      </w:pPr>
      <w:r w:rsidRPr="00F14392">
        <w:rPr>
          <w:rFonts w:cs="Arial"/>
          <w:szCs w:val="20"/>
          <w:u w:val="single"/>
        </w:rPr>
        <w:t>G</w:t>
      </w:r>
      <w:r>
        <w:rPr>
          <w:rFonts w:cs="Arial"/>
          <w:szCs w:val="20"/>
          <w:u w:val="single"/>
        </w:rPr>
        <w:t>C1</w:t>
      </w:r>
      <w:r w:rsidRPr="00093A2C">
        <w:rPr>
          <w:rFonts w:cs="Arial"/>
          <w:szCs w:val="20"/>
          <w:u w:val="single"/>
        </w:rPr>
        <w:t>:</w:t>
      </w:r>
      <w:r>
        <w:rPr>
          <w:rFonts w:cs="Arial"/>
          <w:szCs w:val="20"/>
        </w:rPr>
        <w:t xml:space="preserve"> </w:t>
      </w:r>
      <w:r w:rsidRPr="002A1B5B">
        <w:rPr>
          <w:rFonts w:cs="Arial"/>
          <w:szCs w:val="20"/>
        </w:rPr>
        <w:t>This</w:t>
      </w:r>
      <w:r w:rsidRPr="002A1B5B">
        <w:rPr>
          <w:rFonts w:cs="Arial"/>
          <w:spacing w:val="6"/>
          <w:szCs w:val="20"/>
        </w:rPr>
        <w:t xml:space="preserve"> </w:t>
      </w:r>
      <w:r w:rsidRPr="002A1B5B">
        <w:rPr>
          <w:rFonts w:cs="Arial"/>
          <w:szCs w:val="20"/>
        </w:rPr>
        <w:t>licence</w:t>
      </w:r>
      <w:r w:rsidRPr="002A1B5B">
        <w:rPr>
          <w:rFonts w:cs="Arial"/>
          <w:spacing w:val="7"/>
          <w:szCs w:val="20"/>
        </w:rPr>
        <w:t xml:space="preserve"> </w:t>
      </w:r>
      <w:r w:rsidRPr="002A1B5B">
        <w:rPr>
          <w:rFonts w:cs="Arial"/>
          <w:szCs w:val="20"/>
        </w:rPr>
        <w:t>authorises the operation of radiocommunications devices in the frequency band(s) and within the geographic areas set out in Table 1.</w:t>
      </w:r>
    </w:p>
    <w:p w14:paraId="4992DB52" w14:textId="77777777" w:rsidR="00EA1AAE" w:rsidRDefault="00EA1AAE" w:rsidP="00805859">
      <w:pPr>
        <w:pStyle w:val="Tableheading0"/>
        <w:spacing w:before="240"/>
      </w:pPr>
      <w:r w:rsidRPr="002A1B5B">
        <w:t>Table 1: frequency bands and geographic areas applicable to the licence</w:t>
      </w:r>
    </w:p>
    <w:tbl>
      <w:tblPr>
        <w:tblStyle w:val="TableGrid"/>
        <w:tblW w:w="8794" w:type="dxa"/>
        <w:tblLook w:val="04A0" w:firstRow="1" w:lastRow="0" w:firstColumn="1" w:lastColumn="0" w:noHBand="0" w:noVBand="1"/>
        <w:tblCaption w:val="Table 1: frequency bands and geographic areas applicable to the licence"/>
      </w:tblPr>
      <w:tblGrid>
        <w:gridCol w:w="1091"/>
        <w:gridCol w:w="1307"/>
        <w:gridCol w:w="1307"/>
        <w:gridCol w:w="1307"/>
        <w:gridCol w:w="1307"/>
        <w:gridCol w:w="2475"/>
      </w:tblGrid>
      <w:tr w:rsidR="00EA1AAE" w:rsidRPr="002A1B5B" w14:paraId="2313BC11" w14:textId="77777777" w:rsidTr="00805859">
        <w:trPr>
          <w:tblHeader/>
        </w:trPr>
        <w:tc>
          <w:tcPr>
            <w:tcW w:w="1091" w:type="dxa"/>
            <w:vMerge w:val="restart"/>
            <w:shd w:val="clear" w:color="auto" w:fill="auto"/>
          </w:tcPr>
          <w:p w14:paraId="21F4BB79" w14:textId="77777777" w:rsidR="00EA1AAE" w:rsidRPr="002A1B5B" w:rsidRDefault="00EA1AAE" w:rsidP="00805859">
            <w:pPr>
              <w:pStyle w:val="TableParagraph"/>
              <w:ind w:left="40"/>
              <w:rPr>
                <w:rFonts w:ascii="Arial" w:hAnsi="Arial" w:cs="Arial"/>
                <w:b/>
                <w:spacing w:val="-1"/>
                <w:sz w:val="20"/>
                <w:szCs w:val="20"/>
                <w:lang w:val="en-AU"/>
              </w:rPr>
            </w:pPr>
            <w:r w:rsidRPr="002A1B5B">
              <w:rPr>
                <w:rFonts w:ascii="Arial" w:hAnsi="Arial" w:cs="Arial"/>
                <w:b/>
                <w:spacing w:val="-1"/>
                <w:sz w:val="20"/>
                <w:szCs w:val="20"/>
                <w:lang w:val="en-AU"/>
              </w:rPr>
              <w:t>Identifier</w:t>
            </w:r>
          </w:p>
          <w:p w14:paraId="44C8CCE6" w14:textId="77777777" w:rsidR="00EA1AAE" w:rsidRPr="002A1B5B" w:rsidRDefault="00EA1AAE" w:rsidP="00805859">
            <w:pPr>
              <w:pStyle w:val="TableParagraph"/>
              <w:ind w:left="40"/>
              <w:rPr>
                <w:rFonts w:ascii="Arial" w:hAnsi="Arial" w:cs="Arial"/>
                <w:b/>
                <w:spacing w:val="-1"/>
                <w:sz w:val="20"/>
                <w:szCs w:val="20"/>
                <w:lang w:val="en-AU"/>
              </w:rPr>
            </w:pPr>
          </w:p>
          <w:p w14:paraId="66697961" w14:textId="77777777" w:rsidR="00EA1AAE" w:rsidRPr="002A1B5B" w:rsidRDefault="00EA1AAE" w:rsidP="00805859">
            <w:pPr>
              <w:pStyle w:val="TableParagraph"/>
              <w:ind w:left="40"/>
              <w:rPr>
                <w:rFonts w:ascii="Arial" w:hAnsi="Arial" w:cs="Arial"/>
                <w:b/>
                <w:spacing w:val="-1"/>
                <w:sz w:val="20"/>
                <w:szCs w:val="20"/>
                <w:lang w:val="en-AU"/>
              </w:rPr>
            </w:pPr>
          </w:p>
        </w:tc>
        <w:tc>
          <w:tcPr>
            <w:tcW w:w="5228" w:type="dxa"/>
            <w:gridSpan w:val="4"/>
            <w:shd w:val="clear" w:color="auto" w:fill="auto"/>
          </w:tcPr>
          <w:p w14:paraId="776278AB" w14:textId="77777777" w:rsidR="00EA1AAE" w:rsidRPr="002A1B5B" w:rsidRDefault="00EA1AAE" w:rsidP="00805859">
            <w:pPr>
              <w:pStyle w:val="TableParagraph"/>
              <w:ind w:left="40"/>
              <w:rPr>
                <w:rFonts w:ascii="Arial" w:hAnsi="Arial" w:cs="Arial"/>
                <w:b/>
                <w:spacing w:val="-1"/>
                <w:sz w:val="20"/>
                <w:szCs w:val="20"/>
                <w:lang w:val="en-AU"/>
              </w:rPr>
            </w:pPr>
            <w:r w:rsidRPr="002A1B5B">
              <w:rPr>
                <w:rFonts w:ascii="Arial" w:hAnsi="Arial" w:cs="Arial"/>
                <w:b/>
                <w:spacing w:val="-1"/>
                <w:sz w:val="20"/>
                <w:szCs w:val="20"/>
                <w:lang w:val="en-AU"/>
              </w:rPr>
              <w:t>Frequency</w:t>
            </w:r>
            <w:r>
              <w:rPr>
                <w:rFonts w:ascii="Arial" w:hAnsi="Arial" w:cs="Arial"/>
                <w:b/>
                <w:spacing w:val="-1"/>
                <w:sz w:val="20"/>
                <w:szCs w:val="20"/>
                <w:lang w:val="en-AU"/>
              </w:rPr>
              <w:t xml:space="preserve"> bands</w:t>
            </w:r>
            <w:r w:rsidRPr="002A1B5B">
              <w:rPr>
                <w:rFonts w:ascii="Arial" w:hAnsi="Arial" w:cs="Arial"/>
                <w:b/>
                <w:spacing w:val="-1"/>
                <w:sz w:val="20"/>
                <w:szCs w:val="20"/>
                <w:lang w:val="en-AU"/>
              </w:rPr>
              <w:t xml:space="preserve"> (MHz)</w:t>
            </w:r>
          </w:p>
        </w:tc>
        <w:tc>
          <w:tcPr>
            <w:tcW w:w="2475" w:type="dxa"/>
            <w:vMerge w:val="restart"/>
            <w:shd w:val="clear" w:color="auto" w:fill="auto"/>
          </w:tcPr>
          <w:p w14:paraId="17BC30AF" w14:textId="77777777" w:rsidR="00EA1AAE" w:rsidRPr="002A1B5B" w:rsidRDefault="00EA1AAE" w:rsidP="00805859">
            <w:pPr>
              <w:pStyle w:val="TableParagraph"/>
              <w:ind w:left="40"/>
              <w:rPr>
                <w:rFonts w:ascii="Arial" w:hAnsi="Arial" w:cs="Arial"/>
                <w:b/>
                <w:spacing w:val="-1"/>
                <w:sz w:val="20"/>
                <w:szCs w:val="20"/>
                <w:lang w:val="en-AU"/>
              </w:rPr>
            </w:pPr>
            <w:r>
              <w:rPr>
                <w:rFonts w:ascii="Arial" w:hAnsi="Arial" w:cs="Arial"/>
                <w:b/>
                <w:spacing w:val="-1"/>
                <w:sz w:val="20"/>
                <w:szCs w:val="20"/>
                <w:lang w:val="en-AU"/>
              </w:rPr>
              <w:t xml:space="preserve">Geographic area </w:t>
            </w:r>
            <w:r w:rsidRPr="002A1B5B">
              <w:rPr>
                <w:rFonts w:ascii="Arial" w:hAnsi="Arial" w:cs="Arial"/>
                <w:b/>
                <w:spacing w:val="-1"/>
                <w:sz w:val="20"/>
                <w:szCs w:val="20"/>
                <w:lang w:val="en-AU"/>
              </w:rPr>
              <w:t>HCIS identifiers</w:t>
            </w:r>
          </w:p>
          <w:p w14:paraId="29A46718" w14:textId="77777777" w:rsidR="00EA1AAE" w:rsidRPr="002A1B5B" w:rsidRDefault="00EA1AAE" w:rsidP="00805859">
            <w:pPr>
              <w:pStyle w:val="TableParagraph"/>
              <w:ind w:left="40"/>
              <w:rPr>
                <w:rFonts w:ascii="Arial" w:hAnsi="Arial" w:cs="Arial"/>
                <w:b/>
                <w:spacing w:val="-1"/>
                <w:sz w:val="20"/>
                <w:szCs w:val="20"/>
                <w:lang w:val="en-AU"/>
              </w:rPr>
            </w:pPr>
          </w:p>
        </w:tc>
      </w:tr>
      <w:tr w:rsidR="00EA1AAE" w:rsidRPr="002A1B5B" w14:paraId="69184336" w14:textId="77777777" w:rsidTr="00805859">
        <w:tc>
          <w:tcPr>
            <w:tcW w:w="1091" w:type="dxa"/>
            <w:vMerge/>
            <w:shd w:val="clear" w:color="auto" w:fill="auto"/>
          </w:tcPr>
          <w:p w14:paraId="4722A26E" w14:textId="77777777" w:rsidR="00EA1AAE" w:rsidRPr="002A1B5B" w:rsidRDefault="00EA1AAE" w:rsidP="00805859">
            <w:pPr>
              <w:pStyle w:val="TableParagraph"/>
              <w:ind w:left="40"/>
              <w:rPr>
                <w:rFonts w:ascii="Arial" w:hAnsi="Arial" w:cs="Arial"/>
                <w:b/>
                <w:spacing w:val="-1"/>
                <w:sz w:val="20"/>
                <w:szCs w:val="20"/>
                <w:lang w:val="en-AU"/>
              </w:rPr>
            </w:pPr>
          </w:p>
        </w:tc>
        <w:tc>
          <w:tcPr>
            <w:tcW w:w="2614" w:type="dxa"/>
            <w:gridSpan w:val="2"/>
            <w:shd w:val="clear" w:color="auto" w:fill="auto"/>
          </w:tcPr>
          <w:p w14:paraId="16BE3007" w14:textId="77777777" w:rsidR="00EA1AAE" w:rsidRPr="002A1B5B" w:rsidRDefault="00EA1AAE" w:rsidP="00805859">
            <w:pPr>
              <w:pStyle w:val="TableParagraph"/>
              <w:ind w:left="40"/>
              <w:rPr>
                <w:rFonts w:ascii="Arial" w:hAnsi="Arial" w:cs="Arial"/>
                <w:b/>
                <w:spacing w:val="-1"/>
                <w:sz w:val="20"/>
                <w:szCs w:val="20"/>
                <w:lang w:val="en-AU"/>
              </w:rPr>
            </w:pPr>
            <w:r w:rsidRPr="002A1B5B">
              <w:rPr>
                <w:rFonts w:ascii="Arial" w:hAnsi="Arial" w:cs="Arial"/>
                <w:b/>
                <w:spacing w:val="-1"/>
                <w:sz w:val="20"/>
                <w:szCs w:val="20"/>
                <w:lang w:val="en-AU"/>
              </w:rPr>
              <w:t>Lower band</w:t>
            </w:r>
          </w:p>
        </w:tc>
        <w:tc>
          <w:tcPr>
            <w:tcW w:w="2614" w:type="dxa"/>
            <w:gridSpan w:val="2"/>
            <w:shd w:val="clear" w:color="auto" w:fill="auto"/>
          </w:tcPr>
          <w:p w14:paraId="19453CC2" w14:textId="77777777" w:rsidR="00EA1AAE" w:rsidRPr="002A1B5B" w:rsidRDefault="00EA1AAE" w:rsidP="00805859">
            <w:pPr>
              <w:pStyle w:val="TableParagraph"/>
              <w:ind w:left="40"/>
              <w:rPr>
                <w:rFonts w:ascii="Arial" w:hAnsi="Arial" w:cs="Arial"/>
                <w:b/>
                <w:spacing w:val="-1"/>
                <w:sz w:val="20"/>
                <w:szCs w:val="20"/>
                <w:lang w:val="en-AU"/>
              </w:rPr>
            </w:pPr>
            <w:r w:rsidRPr="002A1B5B">
              <w:rPr>
                <w:rFonts w:ascii="Arial" w:hAnsi="Arial" w:cs="Arial"/>
                <w:b/>
                <w:spacing w:val="-1"/>
                <w:sz w:val="20"/>
                <w:szCs w:val="20"/>
                <w:lang w:val="en-AU"/>
              </w:rPr>
              <w:t>Upper band</w:t>
            </w:r>
          </w:p>
        </w:tc>
        <w:tc>
          <w:tcPr>
            <w:tcW w:w="2475" w:type="dxa"/>
            <w:vMerge/>
            <w:shd w:val="clear" w:color="auto" w:fill="auto"/>
          </w:tcPr>
          <w:p w14:paraId="1038AB82" w14:textId="77777777" w:rsidR="00EA1AAE" w:rsidRPr="002A1B5B" w:rsidRDefault="00EA1AAE" w:rsidP="00805859">
            <w:pPr>
              <w:pStyle w:val="TableParagraph"/>
              <w:ind w:left="40"/>
              <w:rPr>
                <w:rFonts w:ascii="Arial" w:hAnsi="Arial" w:cs="Arial"/>
                <w:b/>
                <w:spacing w:val="-1"/>
                <w:sz w:val="20"/>
                <w:szCs w:val="20"/>
                <w:lang w:val="en-AU"/>
              </w:rPr>
            </w:pPr>
          </w:p>
        </w:tc>
      </w:tr>
      <w:tr w:rsidR="00EA1AAE" w:rsidRPr="002A1B5B" w14:paraId="1A568804" w14:textId="77777777" w:rsidTr="00805859">
        <w:tc>
          <w:tcPr>
            <w:tcW w:w="1091" w:type="dxa"/>
            <w:vMerge/>
            <w:shd w:val="clear" w:color="auto" w:fill="auto"/>
          </w:tcPr>
          <w:p w14:paraId="62D7562B" w14:textId="77777777" w:rsidR="00EA1AAE" w:rsidRPr="002A1B5B" w:rsidRDefault="00EA1AAE" w:rsidP="00805859">
            <w:pPr>
              <w:pStyle w:val="TableParagraph"/>
              <w:ind w:left="40"/>
              <w:rPr>
                <w:rFonts w:ascii="Arial" w:hAnsi="Arial" w:cs="Arial"/>
                <w:b/>
                <w:spacing w:val="-1"/>
                <w:sz w:val="20"/>
                <w:szCs w:val="20"/>
                <w:lang w:val="en-AU"/>
              </w:rPr>
            </w:pPr>
          </w:p>
        </w:tc>
        <w:tc>
          <w:tcPr>
            <w:tcW w:w="1307" w:type="dxa"/>
            <w:shd w:val="clear" w:color="auto" w:fill="auto"/>
          </w:tcPr>
          <w:p w14:paraId="7A118A82" w14:textId="77777777" w:rsidR="00EA1AAE" w:rsidRPr="002A1B5B" w:rsidRDefault="00EA1AAE" w:rsidP="00805859">
            <w:pPr>
              <w:pStyle w:val="TableParagraph"/>
              <w:ind w:left="40"/>
              <w:rPr>
                <w:rFonts w:ascii="Arial" w:hAnsi="Arial" w:cs="Arial"/>
                <w:b/>
                <w:spacing w:val="-1"/>
                <w:sz w:val="20"/>
                <w:szCs w:val="20"/>
                <w:lang w:val="en-AU"/>
              </w:rPr>
            </w:pPr>
            <w:r w:rsidRPr="002A1B5B">
              <w:rPr>
                <w:rFonts w:ascii="Arial" w:hAnsi="Arial" w:cs="Arial"/>
                <w:b/>
                <w:spacing w:val="-1"/>
                <w:sz w:val="20"/>
                <w:szCs w:val="20"/>
                <w:lang w:val="en-AU"/>
              </w:rPr>
              <w:t>Lower limit</w:t>
            </w:r>
          </w:p>
        </w:tc>
        <w:tc>
          <w:tcPr>
            <w:tcW w:w="1307" w:type="dxa"/>
            <w:shd w:val="clear" w:color="auto" w:fill="auto"/>
          </w:tcPr>
          <w:p w14:paraId="0DFB83BB" w14:textId="77777777" w:rsidR="00EA1AAE" w:rsidRPr="002A1B5B" w:rsidRDefault="00EA1AAE" w:rsidP="00805859">
            <w:pPr>
              <w:pStyle w:val="TableParagraph"/>
              <w:ind w:left="40"/>
              <w:rPr>
                <w:rFonts w:ascii="Arial" w:hAnsi="Arial" w:cs="Arial"/>
                <w:b/>
                <w:spacing w:val="-1"/>
                <w:sz w:val="20"/>
                <w:szCs w:val="20"/>
                <w:lang w:val="en-AU"/>
              </w:rPr>
            </w:pPr>
            <w:r w:rsidRPr="002A1B5B">
              <w:rPr>
                <w:rFonts w:ascii="Arial" w:hAnsi="Arial" w:cs="Arial"/>
                <w:b/>
                <w:spacing w:val="-1"/>
                <w:sz w:val="20"/>
                <w:szCs w:val="20"/>
                <w:lang w:val="en-AU"/>
              </w:rPr>
              <w:t>Upper limit</w:t>
            </w:r>
          </w:p>
        </w:tc>
        <w:tc>
          <w:tcPr>
            <w:tcW w:w="1307" w:type="dxa"/>
            <w:shd w:val="clear" w:color="auto" w:fill="auto"/>
          </w:tcPr>
          <w:p w14:paraId="04F962FF" w14:textId="77777777" w:rsidR="00EA1AAE" w:rsidRPr="002A1B5B" w:rsidRDefault="00EA1AAE" w:rsidP="00805859">
            <w:pPr>
              <w:pStyle w:val="TableParagraph"/>
              <w:ind w:left="40"/>
              <w:rPr>
                <w:rFonts w:ascii="Arial" w:hAnsi="Arial" w:cs="Arial"/>
                <w:b/>
                <w:spacing w:val="-1"/>
                <w:sz w:val="20"/>
                <w:szCs w:val="20"/>
                <w:lang w:val="en-AU"/>
              </w:rPr>
            </w:pPr>
            <w:r w:rsidRPr="002A1B5B">
              <w:rPr>
                <w:rFonts w:ascii="Arial" w:hAnsi="Arial" w:cs="Arial"/>
                <w:b/>
                <w:spacing w:val="-1"/>
                <w:sz w:val="20"/>
                <w:szCs w:val="20"/>
                <w:lang w:val="en-AU"/>
              </w:rPr>
              <w:t>Lower limit</w:t>
            </w:r>
          </w:p>
        </w:tc>
        <w:tc>
          <w:tcPr>
            <w:tcW w:w="1307" w:type="dxa"/>
            <w:shd w:val="clear" w:color="auto" w:fill="auto"/>
          </w:tcPr>
          <w:p w14:paraId="6E577DBE" w14:textId="77777777" w:rsidR="00EA1AAE" w:rsidRPr="002A1B5B" w:rsidRDefault="00EA1AAE" w:rsidP="00805859">
            <w:pPr>
              <w:pStyle w:val="TableParagraph"/>
              <w:ind w:left="40"/>
              <w:rPr>
                <w:rFonts w:ascii="Arial" w:hAnsi="Arial" w:cs="Arial"/>
                <w:b/>
                <w:spacing w:val="-1"/>
                <w:sz w:val="20"/>
                <w:szCs w:val="20"/>
                <w:lang w:val="en-AU"/>
              </w:rPr>
            </w:pPr>
            <w:r w:rsidRPr="002A1B5B">
              <w:rPr>
                <w:rFonts w:ascii="Arial" w:hAnsi="Arial" w:cs="Arial"/>
                <w:b/>
                <w:spacing w:val="-1"/>
                <w:sz w:val="20"/>
                <w:szCs w:val="20"/>
                <w:lang w:val="en-AU"/>
              </w:rPr>
              <w:t>Upper limit</w:t>
            </w:r>
          </w:p>
        </w:tc>
        <w:tc>
          <w:tcPr>
            <w:tcW w:w="2475" w:type="dxa"/>
            <w:vMerge/>
            <w:shd w:val="clear" w:color="auto" w:fill="auto"/>
          </w:tcPr>
          <w:p w14:paraId="2D7FC933" w14:textId="77777777" w:rsidR="00EA1AAE" w:rsidRPr="002A1B5B" w:rsidRDefault="00EA1AAE" w:rsidP="00805859">
            <w:pPr>
              <w:pStyle w:val="TableParagraph"/>
              <w:ind w:left="40"/>
              <w:rPr>
                <w:rFonts w:ascii="Arial" w:hAnsi="Arial" w:cs="Arial"/>
                <w:b/>
                <w:spacing w:val="-1"/>
                <w:sz w:val="20"/>
                <w:szCs w:val="20"/>
                <w:lang w:val="en-AU"/>
              </w:rPr>
            </w:pPr>
          </w:p>
        </w:tc>
      </w:tr>
      <w:tr w:rsidR="00EA1AAE" w:rsidRPr="002A1B5B" w14:paraId="704FA2B5" w14:textId="77777777" w:rsidTr="00805859">
        <w:tc>
          <w:tcPr>
            <w:tcW w:w="1091" w:type="dxa"/>
            <w:shd w:val="clear" w:color="auto" w:fill="auto"/>
          </w:tcPr>
          <w:p w14:paraId="04ACB6CE" w14:textId="77777777" w:rsidR="00EA1AAE" w:rsidRPr="002A1B5B" w:rsidRDefault="00EA1AAE" w:rsidP="00805859">
            <w:pPr>
              <w:pStyle w:val="TableParagraph"/>
              <w:ind w:left="40"/>
              <w:rPr>
                <w:rFonts w:ascii="Arial" w:hAnsi="Arial" w:cs="Arial"/>
                <w:spacing w:val="-1"/>
                <w:sz w:val="20"/>
                <w:szCs w:val="20"/>
                <w:lang w:val="en-AU"/>
              </w:rPr>
            </w:pPr>
            <w:r w:rsidRPr="002A1B5B">
              <w:rPr>
                <w:rFonts w:ascii="Arial" w:hAnsi="Arial" w:cs="Arial"/>
                <w:spacing w:val="-1"/>
                <w:sz w:val="20"/>
                <w:szCs w:val="20"/>
                <w:lang w:val="en-AU"/>
              </w:rPr>
              <w:t>A</w:t>
            </w:r>
          </w:p>
        </w:tc>
        <w:tc>
          <w:tcPr>
            <w:tcW w:w="1307" w:type="dxa"/>
            <w:shd w:val="clear" w:color="auto" w:fill="auto"/>
          </w:tcPr>
          <w:p w14:paraId="70EDBCE6" w14:textId="77777777" w:rsidR="00EA1AAE" w:rsidRPr="002A1B5B" w:rsidRDefault="00EA1AAE" w:rsidP="00805859">
            <w:pPr>
              <w:pStyle w:val="TableParagraph"/>
              <w:ind w:left="40"/>
              <w:rPr>
                <w:rFonts w:ascii="Arial" w:hAnsi="Arial" w:cs="Arial"/>
                <w:spacing w:val="-1"/>
                <w:sz w:val="20"/>
                <w:szCs w:val="20"/>
                <w:lang w:val="en-AU"/>
              </w:rPr>
            </w:pPr>
            <w:r w:rsidRPr="002A1B5B">
              <w:rPr>
                <w:rFonts w:ascii="Arial" w:hAnsi="Arial" w:cs="Arial"/>
                <w:spacing w:val="-1"/>
                <w:sz w:val="20"/>
                <w:szCs w:val="20"/>
                <w:lang w:val="en-AU"/>
              </w:rPr>
              <w:t>1710</w:t>
            </w:r>
          </w:p>
        </w:tc>
        <w:tc>
          <w:tcPr>
            <w:tcW w:w="1307" w:type="dxa"/>
            <w:shd w:val="clear" w:color="auto" w:fill="auto"/>
          </w:tcPr>
          <w:p w14:paraId="6B74A901" w14:textId="77777777" w:rsidR="00EA1AAE" w:rsidRPr="002A1B5B" w:rsidRDefault="00EA1AAE" w:rsidP="00805859">
            <w:pPr>
              <w:pStyle w:val="TableParagraph"/>
              <w:ind w:left="40"/>
              <w:rPr>
                <w:rFonts w:ascii="Arial" w:hAnsi="Arial" w:cs="Arial"/>
                <w:spacing w:val="-1"/>
                <w:sz w:val="20"/>
                <w:szCs w:val="20"/>
                <w:lang w:val="en-AU"/>
              </w:rPr>
            </w:pPr>
            <w:r w:rsidRPr="002A1B5B">
              <w:rPr>
                <w:rFonts w:ascii="Arial" w:hAnsi="Arial" w:cs="Arial"/>
                <w:spacing w:val="-1"/>
                <w:sz w:val="20"/>
                <w:szCs w:val="20"/>
                <w:lang w:val="en-AU"/>
              </w:rPr>
              <w:t>1725</w:t>
            </w:r>
          </w:p>
        </w:tc>
        <w:tc>
          <w:tcPr>
            <w:tcW w:w="1307" w:type="dxa"/>
            <w:shd w:val="clear" w:color="auto" w:fill="auto"/>
          </w:tcPr>
          <w:p w14:paraId="75848977" w14:textId="77777777" w:rsidR="00EA1AAE" w:rsidRPr="00093A2C" w:rsidRDefault="00EA1AAE" w:rsidP="00805859">
            <w:pPr>
              <w:ind w:left="40"/>
              <w:rPr>
                <w:rFonts w:cs="Arial"/>
                <w:szCs w:val="20"/>
              </w:rPr>
            </w:pPr>
            <w:r w:rsidRPr="00093A2C">
              <w:rPr>
                <w:rFonts w:cs="Arial"/>
                <w:szCs w:val="20"/>
              </w:rPr>
              <w:t>1805</w:t>
            </w:r>
          </w:p>
        </w:tc>
        <w:tc>
          <w:tcPr>
            <w:tcW w:w="1307" w:type="dxa"/>
            <w:shd w:val="clear" w:color="auto" w:fill="auto"/>
          </w:tcPr>
          <w:p w14:paraId="789A8F0A" w14:textId="77777777" w:rsidR="00EA1AAE" w:rsidRPr="00093A2C" w:rsidRDefault="00EA1AAE" w:rsidP="00805859">
            <w:pPr>
              <w:ind w:left="40"/>
              <w:rPr>
                <w:rFonts w:cs="Arial"/>
                <w:szCs w:val="20"/>
              </w:rPr>
            </w:pPr>
            <w:r w:rsidRPr="00093A2C">
              <w:rPr>
                <w:rFonts w:cs="Arial"/>
                <w:szCs w:val="20"/>
              </w:rPr>
              <w:t>1820</w:t>
            </w:r>
          </w:p>
        </w:tc>
        <w:tc>
          <w:tcPr>
            <w:tcW w:w="2475" w:type="dxa"/>
            <w:shd w:val="clear" w:color="auto" w:fill="auto"/>
          </w:tcPr>
          <w:p w14:paraId="5C6E79BA" w14:textId="77777777" w:rsidR="00EA1AAE" w:rsidRPr="00093A2C" w:rsidRDefault="00EA1AAE" w:rsidP="00805859">
            <w:pPr>
              <w:ind w:left="40"/>
              <w:rPr>
                <w:rFonts w:cs="Arial"/>
                <w:szCs w:val="20"/>
              </w:rPr>
            </w:pPr>
            <w:r w:rsidRPr="00093A2C">
              <w:rPr>
                <w:rFonts w:cs="Arial"/>
                <w:szCs w:val="20"/>
              </w:rPr>
              <w:t>IW3E8, IW3E9, IW3F4, IW3F5, IW3F6, IW3F7, IW3F8, IW3F9, IW3G4, IW3G5, IW3G6, IW3G7, IW3G8, IW3G9, IW3H4, IW3H5, IW3H6, IW3H7, IW3H8, IW3H9, IW3I2, IW3I3, IW3I5, IW3I6, IW3I8, IW3I9, IW3J, IW3K, IW3L, IW3M2, IW3M3, IW3M5, IW3M6, IW3M8, IW3M9, IW3N, IW3O, IW3P, IW6A2, IW6A3, IW6A5, IW6A6, IW6A8, IW6A9, IW6B, IW6C, IW6D, IW6E2,</w:t>
            </w:r>
          </w:p>
          <w:p w14:paraId="1540C198" w14:textId="77777777" w:rsidR="00EA1AAE" w:rsidRPr="002A1B5B" w:rsidRDefault="00EA1AAE" w:rsidP="00805859">
            <w:pPr>
              <w:pStyle w:val="TableParagraph"/>
              <w:ind w:left="40"/>
              <w:rPr>
                <w:rFonts w:ascii="Arial" w:hAnsi="Arial" w:cs="Arial"/>
                <w:spacing w:val="-1"/>
                <w:sz w:val="20"/>
                <w:szCs w:val="20"/>
                <w:lang w:val="en-AU"/>
              </w:rPr>
            </w:pPr>
            <w:r w:rsidRPr="00093A2C">
              <w:rPr>
                <w:rFonts w:ascii="Arial" w:hAnsi="Arial" w:cs="Arial"/>
                <w:sz w:val="20"/>
                <w:szCs w:val="20"/>
                <w:lang w:val="en-AU"/>
              </w:rPr>
              <w:t xml:space="preserve">IW6E3, IW6E5, IW6E6, IW6E8, IW6E9, IW6F, IW6G, IW6H, JW1E4, </w:t>
            </w:r>
            <w:r w:rsidRPr="00093A2C">
              <w:rPr>
                <w:rFonts w:ascii="Arial" w:hAnsi="Arial" w:cs="Arial"/>
                <w:sz w:val="20"/>
                <w:szCs w:val="20"/>
                <w:lang w:val="en-AU"/>
              </w:rPr>
              <w:lastRenderedPageBreak/>
              <w:t>JW1E7, JW1I1, JW1I4, JW1I7, JW1M1, JW1M4, IW3E5, IW3E6</w:t>
            </w:r>
          </w:p>
        </w:tc>
      </w:tr>
      <w:tr w:rsidR="00EA1AAE" w:rsidRPr="002A1B5B" w14:paraId="4BF48580" w14:textId="77777777" w:rsidTr="00805859">
        <w:tc>
          <w:tcPr>
            <w:tcW w:w="1091" w:type="dxa"/>
            <w:shd w:val="clear" w:color="auto" w:fill="auto"/>
          </w:tcPr>
          <w:p w14:paraId="3A21E653" w14:textId="77777777" w:rsidR="00EA1AAE" w:rsidRPr="002A1B5B" w:rsidRDefault="00EA1AAE" w:rsidP="00805859">
            <w:pPr>
              <w:pStyle w:val="TableParagraph"/>
              <w:ind w:left="40"/>
              <w:rPr>
                <w:rFonts w:ascii="Arial" w:hAnsi="Arial" w:cs="Arial"/>
                <w:spacing w:val="-1"/>
                <w:sz w:val="20"/>
                <w:szCs w:val="20"/>
                <w:lang w:val="en-AU"/>
              </w:rPr>
            </w:pPr>
            <w:r w:rsidRPr="002A1B5B">
              <w:rPr>
                <w:rFonts w:ascii="Arial" w:hAnsi="Arial" w:cs="Arial"/>
                <w:spacing w:val="-1"/>
                <w:sz w:val="20"/>
                <w:szCs w:val="20"/>
                <w:lang w:val="en-AU"/>
              </w:rPr>
              <w:lastRenderedPageBreak/>
              <w:t>B</w:t>
            </w:r>
          </w:p>
        </w:tc>
        <w:tc>
          <w:tcPr>
            <w:tcW w:w="1307" w:type="dxa"/>
            <w:shd w:val="clear" w:color="auto" w:fill="auto"/>
          </w:tcPr>
          <w:p w14:paraId="418DDFA2" w14:textId="77777777" w:rsidR="00EA1AAE" w:rsidRPr="002A1B5B" w:rsidRDefault="00EA1AAE" w:rsidP="00805859">
            <w:pPr>
              <w:pStyle w:val="TableParagraph"/>
              <w:ind w:left="40"/>
              <w:rPr>
                <w:rFonts w:ascii="Arial" w:hAnsi="Arial" w:cs="Arial"/>
                <w:spacing w:val="-1"/>
                <w:sz w:val="20"/>
                <w:szCs w:val="20"/>
                <w:lang w:val="en-AU"/>
              </w:rPr>
            </w:pPr>
          </w:p>
        </w:tc>
        <w:tc>
          <w:tcPr>
            <w:tcW w:w="1307" w:type="dxa"/>
            <w:shd w:val="clear" w:color="auto" w:fill="auto"/>
          </w:tcPr>
          <w:p w14:paraId="7AC92FC0" w14:textId="77777777" w:rsidR="00EA1AAE" w:rsidRPr="002A1B5B" w:rsidRDefault="00EA1AAE" w:rsidP="00805859">
            <w:pPr>
              <w:pStyle w:val="TableParagraph"/>
              <w:ind w:left="40"/>
              <w:rPr>
                <w:rFonts w:ascii="Arial" w:hAnsi="Arial" w:cs="Arial"/>
                <w:spacing w:val="-1"/>
                <w:sz w:val="20"/>
                <w:szCs w:val="20"/>
                <w:lang w:val="en-AU"/>
              </w:rPr>
            </w:pPr>
          </w:p>
        </w:tc>
        <w:tc>
          <w:tcPr>
            <w:tcW w:w="1307" w:type="dxa"/>
            <w:shd w:val="clear" w:color="auto" w:fill="auto"/>
          </w:tcPr>
          <w:p w14:paraId="1339DA27" w14:textId="77777777" w:rsidR="00EA1AAE" w:rsidRPr="002A1B5B" w:rsidRDefault="00EA1AAE" w:rsidP="00805859">
            <w:pPr>
              <w:pStyle w:val="TableParagraph"/>
              <w:ind w:left="40"/>
              <w:rPr>
                <w:rFonts w:ascii="Arial" w:hAnsi="Arial" w:cs="Arial"/>
                <w:spacing w:val="-1"/>
                <w:sz w:val="20"/>
                <w:szCs w:val="20"/>
                <w:lang w:val="en-AU"/>
              </w:rPr>
            </w:pPr>
          </w:p>
        </w:tc>
        <w:tc>
          <w:tcPr>
            <w:tcW w:w="1307" w:type="dxa"/>
            <w:shd w:val="clear" w:color="auto" w:fill="auto"/>
          </w:tcPr>
          <w:p w14:paraId="2D72D852" w14:textId="77777777" w:rsidR="00EA1AAE" w:rsidRPr="002A1B5B" w:rsidRDefault="00EA1AAE" w:rsidP="00805859">
            <w:pPr>
              <w:pStyle w:val="TableParagraph"/>
              <w:ind w:left="40"/>
              <w:rPr>
                <w:rFonts w:ascii="Arial" w:hAnsi="Arial" w:cs="Arial"/>
                <w:spacing w:val="-1"/>
                <w:sz w:val="20"/>
                <w:szCs w:val="20"/>
                <w:lang w:val="en-AU"/>
              </w:rPr>
            </w:pPr>
          </w:p>
        </w:tc>
        <w:tc>
          <w:tcPr>
            <w:tcW w:w="2475" w:type="dxa"/>
            <w:shd w:val="clear" w:color="auto" w:fill="auto"/>
          </w:tcPr>
          <w:p w14:paraId="29E18693" w14:textId="77777777" w:rsidR="00EA1AAE" w:rsidRPr="002A1B5B" w:rsidRDefault="00EA1AAE" w:rsidP="00805859">
            <w:pPr>
              <w:pStyle w:val="TableParagraph"/>
              <w:ind w:left="40"/>
              <w:rPr>
                <w:rFonts w:ascii="Arial" w:hAnsi="Arial" w:cs="Arial"/>
                <w:spacing w:val="-1"/>
                <w:sz w:val="20"/>
                <w:szCs w:val="20"/>
                <w:lang w:val="en-AU"/>
              </w:rPr>
            </w:pPr>
          </w:p>
        </w:tc>
      </w:tr>
      <w:tr w:rsidR="00EA1AAE" w:rsidRPr="002A1B5B" w14:paraId="02DF2DDB" w14:textId="77777777" w:rsidTr="00805859">
        <w:tc>
          <w:tcPr>
            <w:tcW w:w="1091" w:type="dxa"/>
            <w:shd w:val="clear" w:color="auto" w:fill="auto"/>
          </w:tcPr>
          <w:p w14:paraId="7EB26001" w14:textId="77777777" w:rsidR="00EA1AAE" w:rsidRPr="002A1B5B" w:rsidRDefault="00EA1AAE" w:rsidP="00805859">
            <w:pPr>
              <w:pStyle w:val="TableParagraph"/>
              <w:ind w:left="40"/>
              <w:rPr>
                <w:rFonts w:ascii="Arial" w:hAnsi="Arial" w:cs="Arial"/>
                <w:spacing w:val="-1"/>
                <w:sz w:val="20"/>
                <w:szCs w:val="20"/>
                <w:lang w:val="en-AU"/>
              </w:rPr>
            </w:pPr>
            <w:r w:rsidRPr="002A1B5B">
              <w:rPr>
                <w:rFonts w:ascii="Arial" w:hAnsi="Arial" w:cs="Arial"/>
                <w:spacing w:val="-1"/>
                <w:sz w:val="20"/>
                <w:szCs w:val="20"/>
                <w:lang w:val="en-AU"/>
              </w:rPr>
              <w:t>C</w:t>
            </w:r>
          </w:p>
        </w:tc>
        <w:tc>
          <w:tcPr>
            <w:tcW w:w="1307" w:type="dxa"/>
            <w:shd w:val="clear" w:color="auto" w:fill="auto"/>
          </w:tcPr>
          <w:p w14:paraId="1C1A04C5" w14:textId="77777777" w:rsidR="00EA1AAE" w:rsidRPr="002A1B5B" w:rsidRDefault="00EA1AAE" w:rsidP="00805859">
            <w:pPr>
              <w:pStyle w:val="TableParagraph"/>
              <w:ind w:left="40"/>
              <w:rPr>
                <w:rFonts w:ascii="Arial" w:hAnsi="Arial" w:cs="Arial"/>
                <w:spacing w:val="-1"/>
                <w:sz w:val="20"/>
                <w:szCs w:val="20"/>
                <w:lang w:val="en-AU"/>
              </w:rPr>
            </w:pPr>
          </w:p>
        </w:tc>
        <w:tc>
          <w:tcPr>
            <w:tcW w:w="1307" w:type="dxa"/>
            <w:shd w:val="clear" w:color="auto" w:fill="auto"/>
          </w:tcPr>
          <w:p w14:paraId="2D35BD87" w14:textId="77777777" w:rsidR="00EA1AAE" w:rsidRPr="002A1B5B" w:rsidRDefault="00EA1AAE" w:rsidP="00805859">
            <w:pPr>
              <w:pStyle w:val="TableParagraph"/>
              <w:ind w:left="40"/>
              <w:rPr>
                <w:rFonts w:ascii="Arial" w:hAnsi="Arial" w:cs="Arial"/>
                <w:spacing w:val="-1"/>
                <w:sz w:val="20"/>
                <w:szCs w:val="20"/>
                <w:lang w:val="en-AU"/>
              </w:rPr>
            </w:pPr>
          </w:p>
        </w:tc>
        <w:tc>
          <w:tcPr>
            <w:tcW w:w="1307" w:type="dxa"/>
            <w:shd w:val="clear" w:color="auto" w:fill="auto"/>
          </w:tcPr>
          <w:p w14:paraId="01B4B438" w14:textId="77777777" w:rsidR="00EA1AAE" w:rsidRPr="002A1B5B" w:rsidRDefault="00EA1AAE" w:rsidP="00805859">
            <w:pPr>
              <w:pStyle w:val="TableParagraph"/>
              <w:ind w:left="40"/>
              <w:rPr>
                <w:rFonts w:ascii="Arial" w:hAnsi="Arial" w:cs="Arial"/>
                <w:spacing w:val="-1"/>
                <w:sz w:val="20"/>
                <w:szCs w:val="20"/>
                <w:lang w:val="en-AU"/>
              </w:rPr>
            </w:pPr>
          </w:p>
        </w:tc>
        <w:tc>
          <w:tcPr>
            <w:tcW w:w="1307" w:type="dxa"/>
            <w:shd w:val="clear" w:color="auto" w:fill="auto"/>
          </w:tcPr>
          <w:p w14:paraId="0C728976" w14:textId="77777777" w:rsidR="00EA1AAE" w:rsidRPr="002A1B5B" w:rsidRDefault="00EA1AAE" w:rsidP="00805859">
            <w:pPr>
              <w:pStyle w:val="TableParagraph"/>
              <w:ind w:left="40"/>
              <w:rPr>
                <w:rFonts w:ascii="Arial" w:hAnsi="Arial" w:cs="Arial"/>
                <w:spacing w:val="-1"/>
                <w:sz w:val="20"/>
                <w:szCs w:val="20"/>
                <w:lang w:val="en-AU"/>
              </w:rPr>
            </w:pPr>
          </w:p>
        </w:tc>
        <w:tc>
          <w:tcPr>
            <w:tcW w:w="2475" w:type="dxa"/>
            <w:shd w:val="clear" w:color="auto" w:fill="auto"/>
          </w:tcPr>
          <w:p w14:paraId="2110216E" w14:textId="77777777" w:rsidR="00EA1AAE" w:rsidRPr="002A1B5B" w:rsidRDefault="00EA1AAE" w:rsidP="00805859">
            <w:pPr>
              <w:pStyle w:val="TableParagraph"/>
              <w:ind w:left="40"/>
              <w:rPr>
                <w:rFonts w:ascii="Arial" w:hAnsi="Arial" w:cs="Arial"/>
                <w:spacing w:val="-1"/>
                <w:sz w:val="20"/>
                <w:szCs w:val="20"/>
                <w:lang w:val="en-AU"/>
              </w:rPr>
            </w:pPr>
          </w:p>
        </w:tc>
      </w:tr>
      <w:tr w:rsidR="00EA1AAE" w:rsidRPr="002A1B5B" w14:paraId="74B1B521" w14:textId="77777777" w:rsidTr="00805859">
        <w:tc>
          <w:tcPr>
            <w:tcW w:w="1091" w:type="dxa"/>
            <w:shd w:val="clear" w:color="auto" w:fill="auto"/>
          </w:tcPr>
          <w:p w14:paraId="46EED7ED" w14:textId="77777777" w:rsidR="00EA1AAE" w:rsidRPr="002A1B5B" w:rsidRDefault="00EA1AAE" w:rsidP="00805859">
            <w:pPr>
              <w:pStyle w:val="TableParagraph"/>
              <w:ind w:left="40"/>
              <w:rPr>
                <w:rFonts w:ascii="Arial" w:hAnsi="Arial" w:cs="Arial"/>
                <w:spacing w:val="-1"/>
                <w:sz w:val="20"/>
                <w:szCs w:val="20"/>
                <w:lang w:val="en-AU"/>
              </w:rPr>
            </w:pPr>
            <w:r w:rsidRPr="002A1B5B">
              <w:rPr>
                <w:rFonts w:ascii="Arial" w:hAnsi="Arial" w:cs="Arial"/>
                <w:spacing w:val="-1"/>
                <w:sz w:val="20"/>
                <w:szCs w:val="20"/>
                <w:lang w:val="en-AU"/>
              </w:rPr>
              <w:t>etc.</w:t>
            </w:r>
          </w:p>
        </w:tc>
        <w:tc>
          <w:tcPr>
            <w:tcW w:w="1307" w:type="dxa"/>
            <w:shd w:val="clear" w:color="auto" w:fill="auto"/>
          </w:tcPr>
          <w:p w14:paraId="53DE8B7C" w14:textId="77777777" w:rsidR="00EA1AAE" w:rsidRPr="002A1B5B" w:rsidRDefault="00EA1AAE" w:rsidP="00805859">
            <w:pPr>
              <w:pStyle w:val="TableParagraph"/>
              <w:ind w:left="40"/>
              <w:rPr>
                <w:rFonts w:ascii="Arial" w:hAnsi="Arial" w:cs="Arial"/>
                <w:spacing w:val="-1"/>
                <w:sz w:val="20"/>
                <w:szCs w:val="20"/>
                <w:lang w:val="en-AU"/>
              </w:rPr>
            </w:pPr>
          </w:p>
        </w:tc>
        <w:tc>
          <w:tcPr>
            <w:tcW w:w="1307" w:type="dxa"/>
            <w:shd w:val="clear" w:color="auto" w:fill="auto"/>
          </w:tcPr>
          <w:p w14:paraId="1B99E7D2" w14:textId="77777777" w:rsidR="00EA1AAE" w:rsidRPr="002A1B5B" w:rsidRDefault="00EA1AAE" w:rsidP="00805859">
            <w:pPr>
              <w:pStyle w:val="TableParagraph"/>
              <w:ind w:left="40"/>
              <w:rPr>
                <w:rFonts w:ascii="Arial" w:hAnsi="Arial" w:cs="Arial"/>
                <w:spacing w:val="-1"/>
                <w:sz w:val="20"/>
                <w:szCs w:val="20"/>
                <w:lang w:val="en-AU"/>
              </w:rPr>
            </w:pPr>
          </w:p>
        </w:tc>
        <w:tc>
          <w:tcPr>
            <w:tcW w:w="1307" w:type="dxa"/>
            <w:shd w:val="clear" w:color="auto" w:fill="auto"/>
          </w:tcPr>
          <w:p w14:paraId="7A5F199C" w14:textId="77777777" w:rsidR="00EA1AAE" w:rsidRPr="002A1B5B" w:rsidRDefault="00EA1AAE" w:rsidP="00805859">
            <w:pPr>
              <w:pStyle w:val="TableParagraph"/>
              <w:ind w:left="40"/>
              <w:rPr>
                <w:rFonts w:ascii="Arial" w:hAnsi="Arial" w:cs="Arial"/>
                <w:spacing w:val="-1"/>
                <w:sz w:val="20"/>
                <w:szCs w:val="20"/>
                <w:lang w:val="en-AU"/>
              </w:rPr>
            </w:pPr>
          </w:p>
        </w:tc>
        <w:tc>
          <w:tcPr>
            <w:tcW w:w="1307" w:type="dxa"/>
            <w:shd w:val="clear" w:color="auto" w:fill="auto"/>
          </w:tcPr>
          <w:p w14:paraId="2D6669F6" w14:textId="77777777" w:rsidR="00EA1AAE" w:rsidRPr="002A1B5B" w:rsidRDefault="00EA1AAE" w:rsidP="00805859">
            <w:pPr>
              <w:pStyle w:val="TableParagraph"/>
              <w:ind w:left="40"/>
              <w:rPr>
                <w:rFonts w:ascii="Arial" w:hAnsi="Arial" w:cs="Arial"/>
                <w:spacing w:val="-1"/>
                <w:sz w:val="20"/>
                <w:szCs w:val="20"/>
                <w:lang w:val="en-AU"/>
              </w:rPr>
            </w:pPr>
          </w:p>
        </w:tc>
        <w:tc>
          <w:tcPr>
            <w:tcW w:w="2475" w:type="dxa"/>
            <w:shd w:val="clear" w:color="auto" w:fill="auto"/>
          </w:tcPr>
          <w:p w14:paraId="4CFBD89C" w14:textId="77777777" w:rsidR="00EA1AAE" w:rsidRPr="002A1B5B" w:rsidRDefault="00EA1AAE" w:rsidP="00805859">
            <w:pPr>
              <w:pStyle w:val="TableParagraph"/>
              <w:ind w:left="40"/>
              <w:rPr>
                <w:rFonts w:ascii="Arial" w:hAnsi="Arial" w:cs="Arial"/>
                <w:spacing w:val="-1"/>
                <w:sz w:val="20"/>
                <w:szCs w:val="20"/>
                <w:lang w:val="en-AU"/>
              </w:rPr>
            </w:pPr>
          </w:p>
        </w:tc>
      </w:tr>
    </w:tbl>
    <w:p w14:paraId="607EB8BC" w14:textId="77777777" w:rsidR="00EA1AAE" w:rsidRPr="00093A2C" w:rsidRDefault="00EA1AAE" w:rsidP="00805859">
      <w:pPr>
        <w:spacing w:before="120" w:after="360"/>
        <w:rPr>
          <w:rFonts w:cs="Arial"/>
          <w:i/>
          <w:szCs w:val="20"/>
        </w:rPr>
      </w:pPr>
      <w:r w:rsidRPr="00093A2C">
        <w:rPr>
          <w:rFonts w:cs="Arial"/>
          <w:i/>
          <w:szCs w:val="20"/>
        </w:rPr>
        <w:t>NB: The range of numbers that identif</w:t>
      </w:r>
      <w:r>
        <w:rPr>
          <w:rFonts w:cs="Arial"/>
          <w:i/>
          <w:szCs w:val="20"/>
        </w:rPr>
        <w:t>ies</w:t>
      </w:r>
      <w:r w:rsidRPr="00093A2C">
        <w:rPr>
          <w:rFonts w:cs="Arial"/>
          <w:i/>
          <w:szCs w:val="20"/>
        </w:rPr>
        <w:t xml:space="preserve"> a frequency band includes the higher, but not the lower, number. The geographic areas are described by the sequence of Hierarchal Cell Identifier Scheme (HCIS) identifiers. Further information on the HCIS is available on the ACMA website.</w:t>
      </w:r>
    </w:p>
    <w:p w14:paraId="7881E6F9" w14:textId="0FE34E85" w:rsidR="00EA1AAE" w:rsidRPr="00EC7825" w:rsidRDefault="00EA1AAE" w:rsidP="00805859">
      <w:pPr>
        <w:pBdr>
          <w:top w:val="single" w:sz="4" w:space="1" w:color="auto"/>
        </w:pBdr>
        <w:spacing w:before="120" w:after="0" w:line="240" w:lineRule="auto"/>
        <w:rPr>
          <w:rFonts w:cs="Arial"/>
          <w:b/>
          <w:szCs w:val="20"/>
        </w:rPr>
      </w:pPr>
      <w:r w:rsidRPr="00EC7825">
        <w:rPr>
          <w:rFonts w:cs="Arial"/>
          <w:b/>
          <w:szCs w:val="20"/>
        </w:rPr>
        <w:t xml:space="preserve">REGISTRABLE DEVICES CONDITION section </w:t>
      </w:r>
      <w:r w:rsidR="00C87BE8">
        <w:rPr>
          <w:rFonts w:cs="Arial"/>
          <w:b/>
          <w:szCs w:val="20"/>
        </w:rPr>
        <w:t>47</w:t>
      </w:r>
    </w:p>
    <w:p w14:paraId="2A86E721" w14:textId="35F11965" w:rsidR="00EA1AAE" w:rsidRDefault="00EA1AAE" w:rsidP="00805859">
      <w:pPr>
        <w:pBdr>
          <w:top w:val="single" w:sz="4" w:space="1" w:color="auto"/>
        </w:pBdr>
        <w:spacing w:before="120" w:line="240" w:lineRule="auto"/>
        <w:rPr>
          <w:rFonts w:cs="Arial"/>
          <w:b/>
          <w:i/>
          <w:szCs w:val="20"/>
        </w:rPr>
      </w:pPr>
      <w:r w:rsidRPr="002A1B5B">
        <w:rPr>
          <w:rFonts w:cs="Arial"/>
          <w:b/>
          <w:i/>
          <w:szCs w:val="20"/>
        </w:rPr>
        <w:t>Conditions in relation to the registrable devices would be placed in this section</w:t>
      </w:r>
    </w:p>
    <w:p w14:paraId="145D9C75" w14:textId="77777777" w:rsidR="00EA1AAE" w:rsidRPr="002A1B5B" w:rsidRDefault="00EA1AAE" w:rsidP="00805859">
      <w:pPr>
        <w:spacing w:before="120"/>
        <w:rPr>
          <w:rFonts w:cs="Arial"/>
          <w:szCs w:val="20"/>
          <w:u w:val="single"/>
        </w:rPr>
      </w:pPr>
      <w:r w:rsidRPr="002A1B5B">
        <w:rPr>
          <w:rFonts w:cs="Arial"/>
          <w:szCs w:val="20"/>
          <w:u w:val="single"/>
        </w:rPr>
        <w:t>Example text:</w:t>
      </w:r>
    </w:p>
    <w:p w14:paraId="6647E235" w14:textId="77777777" w:rsidR="00EA1AAE" w:rsidRPr="00AC752E" w:rsidRDefault="00EA1AAE" w:rsidP="00805859">
      <w:pPr>
        <w:autoSpaceDE w:val="0"/>
        <w:autoSpaceDN w:val="0"/>
        <w:adjustRightInd w:val="0"/>
        <w:spacing w:before="120"/>
        <w:rPr>
          <w:rFonts w:cs="Arial"/>
          <w:szCs w:val="20"/>
        </w:rPr>
      </w:pPr>
      <w:r>
        <w:rPr>
          <w:rFonts w:cs="Arial"/>
          <w:szCs w:val="20"/>
          <w:u w:val="single"/>
        </w:rPr>
        <w:t>RD1</w:t>
      </w:r>
      <w:r w:rsidRPr="00EC687A">
        <w:rPr>
          <w:rFonts w:cs="Arial"/>
          <w:szCs w:val="20"/>
          <w:u w:val="single"/>
        </w:rPr>
        <w:t>:</w:t>
      </w:r>
      <w:r w:rsidRPr="00573044">
        <w:rPr>
          <w:rFonts w:cs="Arial"/>
          <w:szCs w:val="20"/>
        </w:rPr>
        <w:t xml:space="preserve"> </w:t>
      </w:r>
      <w:r w:rsidRPr="00AC752E">
        <w:rPr>
          <w:rFonts w:cs="Arial"/>
          <w:szCs w:val="20"/>
        </w:rPr>
        <w:t>The licensee must not operate a registrable device under this licence unless</w:t>
      </w:r>
      <w:r>
        <w:rPr>
          <w:rFonts w:cs="Arial"/>
          <w:szCs w:val="20"/>
        </w:rPr>
        <w:t>:</w:t>
      </w:r>
    </w:p>
    <w:p w14:paraId="6EBE03D0" w14:textId="3EE3D2AC" w:rsidR="00EA1AAE" w:rsidRPr="00AC752E" w:rsidRDefault="00EA1AAE" w:rsidP="00EC7825">
      <w:pPr>
        <w:pStyle w:val="ListParagraph"/>
        <w:numPr>
          <w:ilvl w:val="0"/>
          <w:numId w:val="40"/>
        </w:numPr>
        <w:autoSpaceDE w:val="0"/>
        <w:autoSpaceDN w:val="0"/>
        <w:adjustRightInd w:val="0"/>
        <w:spacing w:before="120" w:after="160" w:line="259" w:lineRule="auto"/>
        <w:contextualSpacing w:val="0"/>
        <w:rPr>
          <w:rFonts w:ascii="Arial" w:hAnsi="Arial" w:cs="Arial"/>
          <w:sz w:val="20"/>
          <w:szCs w:val="20"/>
        </w:rPr>
      </w:pPr>
      <w:r w:rsidRPr="00093A2C">
        <w:rPr>
          <w:rFonts w:ascii="Arial" w:hAnsi="Arial" w:cs="Arial"/>
          <w:sz w:val="20"/>
          <w:szCs w:val="20"/>
        </w:rPr>
        <w:t xml:space="preserve">the information in the Register about this licence includes such information about the device as is specified in Register rules made for the purposes of section </w:t>
      </w:r>
      <w:r w:rsidR="00C87BE8">
        <w:rPr>
          <w:rFonts w:ascii="Arial" w:hAnsi="Arial" w:cs="Arial"/>
          <w:sz w:val="20"/>
          <w:szCs w:val="20"/>
        </w:rPr>
        <w:t>92</w:t>
      </w:r>
      <w:r w:rsidRPr="00093A2C">
        <w:rPr>
          <w:rFonts w:ascii="Arial" w:hAnsi="Arial" w:cs="Arial"/>
          <w:sz w:val="20"/>
          <w:szCs w:val="20"/>
        </w:rPr>
        <w:t xml:space="preserve"> of the Act; or</w:t>
      </w:r>
    </w:p>
    <w:p w14:paraId="0AA5265F" w14:textId="4515E00F" w:rsidR="00EA1AAE" w:rsidRPr="006E7C36" w:rsidRDefault="00EA1AAE" w:rsidP="00EC7825">
      <w:pPr>
        <w:pStyle w:val="ListParagraph"/>
        <w:numPr>
          <w:ilvl w:val="0"/>
          <w:numId w:val="40"/>
        </w:numPr>
        <w:autoSpaceDE w:val="0"/>
        <w:autoSpaceDN w:val="0"/>
        <w:adjustRightInd w:val="0"/>
        <w:spacing w:before="120" w:after="160" w:line="259" w:lineRule="auto"/>
        <w:contextualSpacing w:val="0"/>
        <w:rPr>
          <w:rFonts w:ascii="Arial" w:hAnsi="Arial" w:cs="Arial"/>
          <w:sz w:val="20"/>
          <w:szCs w:val="20"/>
        </w:rPr>
      </w:pPr>
      <w:r w:rsidRPr="00093A2C">
        <w:rPr>
          <w:rFonts w:ascii="Arial" w:hAnsi="Arial" w:cs="Arial"/>
          <w:sz w:val="20"/>
          <w:szCs w:val="20"/>
        </w:rPr>
        <w:t xml:space="preserve">for the purposes of </w:t>
      </w:r>
      <w:r>
        <w:rPr>
          <w:rFonts w:ascii="Arial" w:hAnsi="Arial" w:cs="Arial"/>
          <w:sz w:val="20"/>
          <w:szCs w:val="20"/>
        </w:rPr>
        <w:t>paragraph</w:t>
      </w:r>
      <w:r w:rsidRPr="00093A2C">
        <w:rPr>
          <w:rFonts w:ascii="Arial" w:hAnsi="Arial" w:cs="Arial"/>
          <w:sz w:val="20"/>
          <w:szCs w:val="20"/>
        </w:rPr>
        <w:t xml:space="preserve"> </w:t>
      </w:r>
      <w:r w:rsidR="00C87BE8">
        <w:rPr>
          <w:rFonts w:ascii="Arial" w:hAnsi="Arial" w:cs="Arial"/>
          <w:sz w:val="20"/>
          <w:szCs w:val="20"/>
        </w:rPr>
        <w:t>47</w:t>
      </w:r>
      <w:r w:rsidR="00302164">
        <w:rPr>
          <w:rFonts w:ascii="Arial" w:hAnsi="Arial" w:cs="Arial"/>
          <w:sz w:val="20"/>
          <w:szCs w:val="20"/>
        </w:rPr>
        <w:t>(1)</w:t>
      </w:r>
      <w:r>
        <w:rPr>
          <w:rFonts w:ascii="Arial" w:hAnsi="Arial" w:cs="Arial"/>
          <w:sz w:val="20"/>
          <w:szCs w:val="20"/>
        </w:rPr>
        <w:t>(b)</w:t>
      </w:r>
      <w:r w:rsidRPr="00093A2C">
        <w:rPr>
          <w:rFonts w:ascii="Arial" w:hAnsi="Arial" w:cs="Arial"/>
          <w:sz w:val="20"/>
          <w:szCs w:val="20"/>
        </w:rPr>
        <w:t xml:space="preserve"> of the Act, </w:t>
      </w:r>
      <w:r w:rsidRPr="00AC752E">
        <w:rPr>
          <w:rFonts w:ascii="Arial" w:hAnsi="Arial" w:cs="Arial"/>
          <w:sz w:val="20"/>
          <w:szCs w:val="20"/>
        </w:rPr>
        <w:t>the registrable device is either:</w:t>
      </w:r>
    </w:p>
    <w:p w14:paraId="7CBDBBE3" w14:textId="77777777" w:rsidR="00EA1AAE" w:rsidRPr="0065415E" w:rsidRDefault="00EA1AAE" w:rsidP="00EC7825">
      <w:pPr>
        <w:pStyle w:val="ListParagraph"/>
        <w:numPr>
          <w:ilvl w:val="0"/>
          <w:numId w:val="41"/>
        </w:numPr>
        <w:spacing w:before="120" w:after="160" w:line="259" w:lineRule="auto"/>
        <w:contextualSpacing w:val="0"/>
        <w:rPr>
          <w:rFonts w:ascii="Arial" w:hAnsi="Arial" w:cs="Arial"/>
          <w:sz w:val="20"/>
          <w:szCs w:val="20"/>
        </w:rPr>
      </w:pPr>
      <w:r w:rsidRPr="006E7C36">
        <w:rPr>
          <w:rFonts w:ascii="Arial" w:hAnsi="Arial" w:cs="Arial"/>
          <w:sz w:val="20"/>
          <w:szCs w:val="20"/>
        </w:rPr>
        <w:t>a mobile transmitter that operates</w:t>
      </w:r>
      <w:r>
        <w:rPr>
          <w:rFonts w:ascii="Arial" w:hAnsi="Arial" w:cs="Arial"/>
          <w:sz w:val="20"/>
          <w:szCs w:val="20"/>
        </w:rPr>
        <w:t xml:space="preserve"> </w:t>
      </w:r>
      <w:r w:rsidRPr="006E7C36">
        <w:rPr>
          <w:rFonts w:ascii="Arial" w:hAnsi="Arial" w:cs="Arial"/>
          <w:sz w:val="20"/>
          <w:szCs w:val="20"/>
        </w:rPr>
        <w:t>with a radiated power of less than or equal to 39</w:t>
      </w:r>
      <w:r>
        <w:rPr>
          <w:rFonts w:ascii="Arial" w:hAnsi="Arial" w:cs="Arial"/>
          <w:sz w:val="20"/>
          <w:szCs w:val="20"/>
        </w:rPr>
        <w:t> </w:t>
      </w:r>
      <w:r w:rsidRPr="006E7C36">
        <w:rPr>
          <w:rFonts w:ascii="Arial" w:hAnsi="Arial" w:cs="Arial"/>
          <w:sz w:val="20"/>
          <w:szCs w:val="20"/>
        </w:rPr>
        <w:t>dBm EIRP per occupied bandwidth; or</w:t>
      </w:r>
    </w:p>
    <w:p w14:paraId="15DDE835" w14:textId="77777777" w:rsidR="00EA1AAE" w:rsidRPr="00573044" w:rsidRDefault="00EA1AAE" w:rsidP="00EC7825">
      <w:pPr>
        <w:pStyle w:val="ListParagraph"/>
        <w:numPr>
          <w:ilvl w:val="0"/>
          <w:numId w:val="41"/>
        </w:numPr>
        <w:autoSpaceDE w:val="0"/>
        <w:autoSpaceDN w:val="0"/>
        <w:adjustRightInd w:val="0"/>
        <w:spacing w:before="120" w:line="259" w:lineRule="auto"/>
        <w:contextualSpacing w:val="0"/>
        <w:rPr>
          <w:rFonts w:ascii="Arial" w:hAnsi="Arial" w:cs="Arial"/>
          <w:b/>
          <w:sz w:val="20"/>
          <w:szCs w:val="20"/>
        </w:rPr>
      </w:pPr>
      <w:r w:rsidRPr="0065415E">
        <w:rPr>
          <w:rFonts w:ascii="Arial" w:hAnsi="Arial" w:cs="Arial"/>
          <w:sz w:val="20"/>
          <w:szCs w:val="20"/>
        </w:rPr>
        <w:t>a fixe</w:t>
      </w:r>
      <w:r>
        <w:rPr>
          <w:rFonts w:ascii="Arial" w:hAnsi="Arial" w:cs="Arial"/>
          <w:sz w:val="20"/>
          <w:szCs w:val="20"/>
        </w:rPr>
        <w:softHyphen/>
      </w:r>
      <w:r w:rsidRPr="0065415E">
        <w:rPr>
          <w:rFonts w:ascii="Arial" w:hAnsi="Arial" w:cs="Arial"/>
          <w:sz w:val="20"/>
          <w:szCs w:val="20"/>
        </w:rPr>
        <w:t>d</w:t>
      </w:r>
      <w:r w:rsidRPr="006E7C36">
        <w:rPr>
          <w:rFonts w:ascii="Arial" w:hAnsi="Arial" w:cs="Arial"/>
          <w:sz w:val="20"/>
          <w:szCs w:val="20"/>
        </w:rPr>
        <w:t xml:space="preserve"> transmitter that operates with a radiated power less than or equal to 33</w:t>
      </w:r>
      <w:r>
        <w:rPr>
          <w:rFonts w:ascii="Arial" w:hAnsi="Arial" w:cs="Arial"/>
          <w:sz w:val="20"/>
          <w:szCs w:val="20"/>
        </w:rPr>
        <w:t> </w:t>
      </w:r>
      <w:r w:rsidRPr="006E7C36">
        <w:rPr>
          <w:rFonts w:ascii="Arial" w:hAnsi="Arial" w:cs="Arial"/>
          <w:sz w:val="20"/>
          <w:szCs w:val="20"/>
        </w:rPr>
        <w:t>dBm EIRP per occupied bandwidth</w:t>
      </w:r>
      <w:r>
        <w:rPr>
          <w:rFonts w:ascii="Arial" w:hAnsi="Arial" w:cs="Arial"/>
          <w:sz w:val="20"/>
          <w:szCs w:val="20"/>
        </w:rPr>
        <w:t>.</w:t>
      </w:r>
      <w:r w:rsidRPr="00573044">
        <w:rPr>
          <w:rFonts w:ascii="Arial" w:hAnsi="Arial" w:cs="Arial"/>
          <w:b/>
          <w:sz w:val="20"/>
          <w:szCs w:val="20"/>
        </w:rPr>
        <w:tab/>
      </w:r>
    </w:p>
    <w:p w14:paraId="7D21ECBA" w14:textId="7341758A" w:rsidR="00EA1AAE" w:rsidRPr="00EC7825" w:rsidRDefault="00EA1AAE" w:rsidP="00805859">
      <w:pPr>
        <w:pBdr>
          <w:top w:val="single" w:sz="4" w:space="1" w:color="auto"/>
        </w:pBdr>
        <w:spacing w:before="120" w:after="0" w:line="240" w:lineRule="auto"/>
        <w:rPr>
          <w:rFonts w:cs="Arial"/>
          <w:b/>
          <w:szCs w:val="20"/>
        </w:rPr>
      </w:pPr>
      <w:r w:rsidRPr="00EC7825">
        <w:rPr>
          <w:rFonts w:cs="Arial"/>
          <w:b/>
          <w:szCs w:val="20"/>
        </w:rPr>
        <w:t xml:space="preserve">PAYMENT CONDITIONS section </w:t>
      </w:r>
      <w:r w:rsidR="00C87BE8">
        <w:rPr>
          <w:rFonts w:cs="Arial"/>
          <w:b/>
          <w:szCs w:val="20"/>
        </w:rPr>
        <w:t>48</w:t>
      </w:r>
    </w:p>
    <w:p w14:paraId="1983939C" w14:textId="35617E93" w:rsidR="00EA1AAE" w:rsidRPr="002A1B5B" w:rsidRDefault="00EA1AAE" w:rsidP="00805859">
      <w:pPr>
        <w:pBdr>
          <w:top w:val="single" w:sz="4" w:space="1" w:color="auto"/>
        </w:pBdr>
        <w:spacing w:before="120" w:line="240" w:lineRule="auto"/>
        <w:rPr>
          <w:rFonts w:cs="Arial"/>
          <w:b/>
          <w:szCs w:val="20"/>
        </w:rPr>
      </w:pPr>
      <w:r w:rsidRPr="002A1B5B">
        <w:rPr>
          <w:rFonts w:cs="Arial"/>
          <w:b/>
          <w:i/>
          <w:szCs w:val="20"/>
        </w:rPr>
        <w:t>Conditions in relation to the payment of a licence would be placed in this section</w:t>
      </w:r>
    </w:p>
    <w:p w14:paraId="67C27AD9" w14:textId="77777777" w:rsidR="00EA1AAE" w:rsidRPr="002A1B5B" w:rsidRDefault="00EA1AAE" w:rsidP="00805859">
      <w:pPr>
        <w:spacing w:before="120"/>
        <w:rPr>
          <w:rFonts w:cs="Arial"/>
          <w:szCs w:val="20"/>
          <w:u w:val="single"/>
        </w:rPr>
      </w:pPr>
      <w:r w:rsidRPr="002A1B5B">
        <w:rPr>
          <w:rFonts w:cs="Arial"/>
          <w:szCs w:val="20"/>
          <w:u w:val="single"/>
        </w:rPr>
        <w:t>Example text:</w:t>
      </w:r>
    </w:p>
    <w:p w14:paraId="2AEFB2FF" w14:textId="77777777" w:rsidR="00EA1AAE" w:rsidRPr="00D06EC6" w:rsidRDefault="00EA1AAE" w:rsidP="00805859">
      <w:pPr>
        <w:spacing w:before="120"/>
        <w:rPr>
          <w:rFonts w:cs="Arial"/>
          <w:spacing w:val="5"/>
          <w:szCs w:val="20"/>
        </w:rPr>
      </w:pPr>
      <w:r w:rsidRPr="00093A2C">
        <w:rPr>
          <w:rFonts w:cs="Arial"/>
          <w:szCs w:val="20"/>
          <w:u w:val="single"/>
        </w:rPr>
        <w:t>PC1:</w:t>
      </w:r>
      <w:r w:rsidRPr="00093A2C">
        <w:rPr>
          <w:rFonts w:cs="Arial"/>
          <w:szCs w:val="20"/>
        </w:rPr>
        <w:t xml:space="preserve"> The licensee</w:t>
      </w:r>
      <w:r w:rsidRPr="00093A2C">
        <w:rPr>
          <w:rFonts w:cs="Arial"/>
          <w:spacing w:val="5"/>
          <w:szCs w:val="20"/>
        </w:rPr>
        <w:t xml:space="preserve"> </w:t>
      </w:r>
      <w:r w:rsidRPr="00093A2C">
        <w:rPr>
          <w:rFonts w:cs="Arial"/>
          <w:szCs w:val="20"/>
        </w:rPr>
        <w:t>must</w:t>
      </w:r>
      <w:r w:rsidRPr="00093A2C">
        <w:rPr>
          <w:rFonts w:cs="Arial"/>
          <w:spacing w:val="5"/>
          <w:szCs w:val="20"/>
        </w:rPr>
        <w:t xml:space="preserve"> </w:t>
      </w:r>
      <w:r w:rsidRPr="00093A2C">
        <w:rPr>
          <w:rFonts w:cs="Arial"/>
          <w:szCs w:val="20"/>
        </w:rPr>
        <w:t>meet all of its obligations to pay:</w:t>
      </w:r>
    </w:p>
    <w:p w14:paraId="48B2A426" w14:textId="7841A3B7" w:rsidR="00EA1AAE" w:rsidRPr="002A1B5B" w:rsidRDefault="00EA1AAE" w:rsidP="00EC7825">
      <w:pPr>
        <w:pStyle w:val="ListParagraph"/>
        <w:numPr>
          <w:ilvl w:val="0"/>
          <w:numId w:val="19"/>
        </w:numPr>
        <w:spacing w:before="120" w:after="160" w:line="259" w:lineRule="auto"/>
        <w:ind w:left="714" w:hanging="357"/>
        <w:contextualSpacing w:val="0"/>
        <w:rPr>
          <w:rFonts w:ascii="Arial" w:hAnsi="Arial" w:cs="Arial"/>
          <w:sz w:val="20"/>
          <w:szCs w:val="20"/>
        </w:rPr>
      </w:pPr>
      <w:r w:rsidRPr="002A1B5B">
        <w:rPr>
          <w:rFonts w:ascii="Arial" w:hAnsi="Arial" w:cs="Arial"/>
          <w:sz w:val="20"/>
          <w:szCs w:val="20"/>
        </w:rPr>
        <w:t xml:space="preserve">charges fixed by determinations made under section 60 of the </w:t>
      </w:r>
      <w:r w:rsidRPr="002A1B5B">
        <w:rPr>
          <w:rFonts w:ascii="Arial" w:hAnsi="Arial" w:cs="Arial"/>
          <w:i/>
          <w:sz w:val="20"/>
          <w:szCs w:val="20"/>
        </w:rPr>
        <w:t>Australian Communications and Media Authority Act 2005</w:t>
      </w:r>
      <w:r>
        <w:rPr>
          <w:rFonts w:ascii="Arial" w:hAnsi="Arial" w:cs="Arial"/>
          <w:i/>
          <w:sz w:val="20"/>
          <w:szCs w:val="20"/>
        </w:rPr>
        <w:t>;</w:t>
      </w:r>
    </w:p>
    <w:p w14:paraId="08501289" w14:textId="113DBB72" w:rsidR="00EA1AAE" w:rsidRPr="00573044" w:rsidRDefault="00EA1AAE" w:rsidP="00EC7825">
      <w:pPr>
        <w:pStyle w:val="ListParagraph"/>
        <w:numPr>
          <w:ilvl w:val="0"/>
          <w:numId w:val="19"/>
        </w:numPr>
        <w:spacing w:before="120" w:line="259" w:lineRule="auto"/>
        <w:contextualSpacing w:val="0"/>
        <w:rPr>
          <w:rFonts w:ascii="Arial" w:hAnsi="Arial" w:cs="Arial"/>
          <w:sz w:val="20"/>
          <w:szCs w:val="20"/>
        </w:rPr>
      </w:pPr>
      <w:r w:rsidRPr="00D06EC6">
        <w:rPr>
          <w:rFonts w:ascii="Arial" w:hAnsi="Arial" w:cs="Arial"/>
          <w:sz w:val="20"/>
          <w:szCs w:val="20"/>
        </w:rPr>
        <w:t>spectrum access charges fixed by det</w:t>
      </w:r>
      <w:r>
        <w:rPr>
          <w:rFonts w:ascii="Arial" w:hAnsi="Arial" w:cs="Arial"/>
          <w:sz w:val="20"/>
          <w:szCs w:val="20"/>
        </w:rPr>
        <w:t xml:space="preserve">erminations made under section </w:t>
      </w:r>
      <w:r w:rsidR="00C87BE8">
        <w:rPr>
          <w:rFonts w:ascii="Arial" w:hAnsi="Arial" w:cs="Arial"/>
          <w:sz w:val="20"/>
          <w:szCs w:val="20"/>
        </w:rPr>
        <w:t>193</w:t>
      </w:r>
      <w:r w:rsidR="00C87BE8" w:rsidRPr="00093A2C">
        <w:rPr>
          <w:rFonts w:ascii="Arial" w:hAnsi="Arial" w:cs="Arial"/>
          <w:sz w:val="20"/>
          <w:szCs w:val="20"/>
        </w:rPr>
        <w:t xml:space="preserve"> </w:t>
      </w:r>
      <w:r w:rsidRPr="00093A2C">
        <w:rPr>
          <w:rFonts w:ascii="Arial" w:hAnsi="Arial" w:cs="Arial"/>
          <w:sz w:val="20"/>
          <w:szCs w:val="20"/>
        </w:rPr>
        <w:t>of the Act</w:t>
      </w:r>
      <w:r>
        <w:rPr>
          <w:rFonts w:ascii="Arial" w:hAnsi="Arial" w:cs="Arial"/>
          <w:sz w:val="20"/>
          <w:szCs w:val="20"/>
        </w:rPr>
        <w:t>.</w:t>
      </w:r>
    </w:p>
    <w:p w14:paraId="2F206AB0" w14:textId="77777777" w:rsidR="00712A7D" w:rsidRDefault="00712A7D" w:rsidP="00805859">
      <w:pPr>
        <w:pBdr>
          <w:top w:val="single" w:sz="4" w:space="1" w:color="auto"/>
        </w:pBdr>
        <w:spacing w:before="120" w:after="0" w:line="240" w:lineRule="auto"/>
        <w:rPr>
          <w:rFonts w:cs="Arial"/>
          <w:b/>
          <w:szCs w:val="20"/>
        </w:rPr>
        <w:sectPr w:rsidR="00712A7D" w:rsidSect="00B977E8">
          <w:headerReference w:type="even" r:id="rId38"/>
          <w:headerReference w:type="default" r:id="rId39"/>
          <w:headerReference w:type="first" r:id="rId40"/>
          <w:pgSz w:w="11906" w:h="16838" w:code="9"/>
          <w:pgMar w:top="1945" w:right="3101" w:bottom="1134" w:left="1134" w:header="709" w:footer="119" w:gutter="0"/>
          <w:cols w:space="708"/>
          <w:docGrid w:linePitch="360"/>
        </w:sectPr>
      </w:pPr>
    </w:p>
    <w:p w14:paraId="02E3C540" w14:textId="084CBFE9" w:rsidR="00EA1AAE" w:rsidRPr="00EC7825" w:rsidRDefault="00EA1AAE" w:rsidP="00805859">
      <w:pPr>
        <w:pBdr>
          <w:top w:val="single" w:sz="4" w:space="1" w:color="auto"/>
        </w:pBdr>
        <w:spacing w:before="120" w:after="0" w:line="240" w:lineRule="auto"/>
        <w:rPr>
          <w:rFonts w:cs="Arial"/>
          <w:b/>
          <w:szCs w:val="20"/>
        </w:rPr>
      </w:pPr>
      <w:r w:rsidRPr="00EC7825">
        <w:rPr>
          <w:rFonts w:cs="Arial"/>
          <w:b/>
          <w:szCs w:val="20"/>
        </w:rPr>
        <w:lastRenderedPageBreak/>
        <w:t xml:space="preserve">OTHER CONDITIONS section </w:t>
      </w:r>
      <w:r w:rsidR="00C87BE8">
        <w:rPr>
          <w:rFonts w:cs="Arial"/>
          <w:b/>
          <w:szCs w:val="20"/>
        </w:rPr>
        <w:t>5</w:t>
      </w:r>
      <w:r w:rsidR="00C87BE8" w:rsidRPr="00EC7825">
        <w:rPr>
          <w:rFonts w:cs="Arial"/>
          <w:b/>
          <w:szCs w:val="20"/>
        </w:rPr>
        <w:t>1</w:t>
      </w:r>
    </w:p>
    <w:p w14:paraId="7712D38E" w14:textId="14257658" w:rsidR="00EA1AAE" w:rsidRPr="002A1B5B" w:rsidRDefault="00EA1AAE" w:rsidP="00805859">
      <w:pPr>
        <w:pStyle w:val="CommentText"/>
        <w:spacing w:before="120"/>
        <w:rPr>
          <w:rFonts w:cs="Arial"/>
          <w:b/>
          <w:i/>
        </w:rPr>
      </w:pPr>
      <w:r w:rsidRPr="002A1B5B">
        <w:rPr>
          <w:rFonts w:cs="Arial"/>
          <w:b/>
          <w:i/>
        </w:rPr>
        <w:t xml:space="preserve">Any other condition </w:t>
      </w:r>
      <w:r w:rsidRPr="00093A2C">
        <w:rPr>
          <w:rFonts w:cs="Arial"/>
          <w:b/>
          <w:i/>
        </w:rPr>
        <w:t>included in</w:t>
      </w:r>
      <w:r w:rsidRPr="002A1B5B">
        <w:rPr>
          <w:rFonts w:cs="Arial"/>
          <w:b/>
          <w:i/>
        </w:rPr>
        <w:t xml:space="preserve"> the licence would be placed in this section. </w:t>
      </w:r>
      <w:r w:rsidRPr="006300D1">
        <w:rPr>
          <w:rFonts w:cs="Arial"/>
          <w:b/>
          <w:i/>
        </w:rPr>
        <w:t>Text within brackets</w:t>
      </w:r>
      <w:r>
        <w:rPr>
          <w:rFonts w:cs="Arial"/>
          <w:b/>
          <w:i/>
        </w:rPr>
        <w:t xml:space="preserve"> (i.e. [ and ])</w:t>
      </w:r>
      <w:r w:rsidRPr="006300D1">
        <w:rPr>
          <w:rFonts w:cs="Arial"/>
          <w:b/>
          <w:i/>
        </w:rPr>
        <w:t xml:space="preserve"> is for explanatory purposes only and would not be </w:t>
      </w:r>
      <w:r>
        <w:rPr>
          <w:rFonts w:cs="Arial"/>
          <w:b/>
          <w:i/>
        </w:rPr>
        <w:t xml:space="preserve">part of the conditions of </w:t>
      </w:r>
      <w:r w:rsidRPr="006300D1">
        <w:rPr>
          <w:rFonts w:cs="Arial"/>
          <w:b/>
          <w:i/>
        </w:rPr>
        <w:t>the licence</w:t>
      </w:r>
    </w:p>
    <w:p w14:paraId="284AEE58" w14:textId="77777777" w:rsidR="00EA1AAE" w:rsidRDefault="00EA1AAE" w:rsidP="00805859">
      <w:pPr>
        <w:pStyle w:val="CommentText"/>
        <w:spacing w:before="120"/>
        <w:rPr>
          <w:rFonts w:cs="Arial"/>
          <w:u w:val="single"/>
        </w:rPr>
      </w:pPr>
      <w:r w:rsidRPr="002A1B5B">
        <w:rPr>
          <w:rFonts w:cs="Arial"/>
          <w:u w:val="single"/>
        </w:rPr>
        <w:t>Example text:</w:t>
      </w:r>
      <w:r>
        <w:rPr>
          <w:rFonts w:cs="Arial"/>
          <w:u w:val="single"/>
        </w:rPr>
        <w:t xml:space="preserve"> </w:t>
      </w:r>
    </w:p>
    <w:p w14:paraId="5DA664D5" w14:textId="77777777" w:rsidR="00EA1AAE" w:rsidRPr="00093A2C" w:rsidRDefault="00EA1AAE" w:rsidP="00805859">
      <w:pPr>
        <w:pStyle w:val="CommentText"/>
        <w:spacing w:before="120"/>
        <w:rPr>
          <w:rFonts w:cs="Arial"/>
          <w:i/>
        </w:rPr>
      </w:pPr>
      <w:r w:rsidRPr="00093A2C">
        <w:rPr>
          <w:rFonts w:cs="Arial"/>
          <w:i/>
        </w:rPr>
        <w:t>[The information provided below outlines the technical framework and other conditions for the licence</w:t>
      </w:r>
      <w:r>
        <w:rPr>
          <w:rFonts w:cs="Arial"/>
          <w:i/>
        </w:rPr>
        <w:t>; that</w:t>
      </w:r>
      <w:r w:rsidRPr="00093A2C">
        <w:rPr>
          <w:rFonts w:cs="Arial"/>
          <w:i/>
        </w:rPr>
        <w:t xml:space="preserve"> is, the technical requirements for the operation of radiocommunications devices. Th</w:t>
      </w:r>
      <w:r>
        <w:rPr>
          <w:rFonts w:cs="Arial"/>
          <w:i/>
        </w:rPr>
        <w:t>e</w:t>
      </w:r>
      <w:r w:rsidRPr="00093A2C">
        <w:rPr>
          <w:rFonts w:cs="Arial"/>
          <w:i/>
        </w:rPr>
        <w:t>s</w:t>
      </w:r>
      <w:r>
        <w:rPr>
          <w:rFonts w:cs="Arial"/>
          <w:i/>
        </w:rPr>
        <w:t>e</w:t>
      </w:r>
      <w:r w:rsidRPr="00093A2C">
        <w:rPr>
          <w:rFonts w:cs="Arial"/>
          <w:i/>
        </w:rPr>
        <w:t xml:space="preserve"> effectively set the terms by which a radiocommunication</w:t>
      </w:r>
      <w:r>
        <w:rPr>
          <w:rFonts w:cs="Arial"/>
          <w:i/>
        </w:rPr>
        <w:t>s</w:t>
      </w:r>
      <w:r w:rsidRPr="00093A2C">
        <w:rPr>
          <w:rFonts w:cs="Arial"/>
          <w:i/>
        </w:rPr>
        <w:t xml:space="preserve"> device may be deployed and operated within the defined geographic area and frequency outlined in the licence. They are designed to be technology flexible and representative of those technologies considered likely to be deployed during the tenure of the licence. </w:t>
      </w:r>
    </w:p>
    <w:p w14:paraId="5377286D" w14:textId="77777777" w:rsidR="00EA1AAE" w:rsidRPr="00093A2C" w:rsidRDefault="00EA1AAE" w:rsidP="00805859">
      <w:pPr>
        <w:pStyle w:val="CommentText"/>
        <w:spacing w:before="120"/>
        <w:rPr>
          <w:rFonts w:cs="Arial"/>
          <w:i/>
        </w:rPr>
      </w:pPr>
      <w:r w:rsidRPr="00093A2C">
        <w:rPr>
          <w:rFonts w:cs="Arial"/>
          <w:i/>
        </w:rPr>
        <w:t xml:space="preserve">Conditions </w:t>
      </w:r>
      <w:r w:rsidRPr="00093A2C">
        <w:rPr>
          <w:rFonts w:cs="Arial"/>
          <w:i/>
          <w:u w:val="single"/>
        </w:rPr>
        <w:t>AA</w:t>
      </w:r>
      <w:r>
        <w:rPr>
          <w:rFonts w:cs="Arial"/>
          <w:i/>
        </w:rPr>
        <w:t xml:space="preserve"> to</w:t>
      </w:r>
      <w:r w:rsidRPr="00093A2C">
        <w:rPr>
          <w:rFonts w:cs="Arial"/>
          <w:i/>
        </w:rPr>
        <w:t xml:space="preserve"> </w:t>
      </w:r>
      <w:r w:rsidRPr="00093A2C">
        <w:rPr>
          <w:rFonts w:cs="Arial"/>
          <w:i/>
          <w:u w:val="single"/>
        </w:rPr>
        <w:t>AE</w:t>
      </w:r>
      <w:r w:rsidRPr="00093A2C">
        <w:rPr>
          <w:rFonts w:cs="Arial"/>
          <w:i/>
        </w:rPr>
        <w:t xml:space="preserve"> describe the </w:t>
      </w:r>
      <w:r w:rsidRPr="00093A2C">
        <w:rPr>
          <w:rFonts w:cs="Arial"/>
          <w:b/>
          <w:i/>
        </w:rPr>
        <w:t>non-spurious emission</w:t>
      </w:r>
      <w:r w:rsidRPr="00093A2C">
        <w:rPr>
          <w:rFonts w:cs="Arial"/>
          <w:i/>
        </w:rPr>
        <w:t xml:space="preserve"> limits that apply to the licence. Non-spurious emissions are those that are modulation-generated noise or intermodulation products caused by the transmission of information, or broadband noise generated by the transmitter.]</w:t>
      </w:r>
    </w:p>
    <w:p w14:paraId="1D56D0C4" w14:textId="4901ED79" w:rsidR="00EA1AAE" w:rsidRDefault="00EA1AAE" w:rsidP="00805859">
      <w:pPr>
        <w:pStyle w:val="CommentText"/>
        <w:spacing w:before="120"/>
        <w:rPr>
          <w:rFonts w:cs="Arial"/>
        </w:rPr>
      </w:pPr>
      <w:r w:rsidRPr="00093A2C">
        <w:rPr>
          <w:rFonts w:cs="Arial"/>
          <w:u w:val="single"/>
        </w:rPr>
        <w:t>OC1:</w:t>
      </w:r>
      <w:r w:rsidR="00AF3A0A" w:rsidRPr="00AF3A0A">
        <w:rPr>
          <w:rFonts w:cs="Arial"/>
        </w:rPr>
        <w:t xml:space="preserve"> </w:t>
      </w:r>
      <w:r w:rsidRPr="002A1B5B">
        <w:rPr>
          <w:rFonts w:cs="Arial"/>
        </w:rPr>
        <w:t>The licensee must ensure that radiocommunications devices operated under th</w:t>
      </w:r>
      <w:r>
        <w:rPr>
          <w:rFonts w:cs="Arial"/>
        </w:rPr>
        <w:t>is</w:t>
      </w:r>
      <w:r w:rsidRPr="002A1B5B">
        <w:rPr>
          <w:rFonts w:cs="Arial"/>
        </w:rPr>
        <w:t xml:space="preserve"> licence comply with the following conditions</w:t>
      </w:r>
      <w:r w:rsidRPr="00093A2C">
        <w:rPr>
          <w:rFonts w:cs="Arial"/>
        </w:rPr>
        <w:t>:</w:t>
      </w:r>
    </w:p>
    <w:p w14:paraId="2693A9A6" w14:textId="77777777" w:rsidR="00EA1AAE" w:rsidRPr="002A1B5B" w:rsidRDefault="00EA1AAE" w:rsidP="00805859">
      <w:pPr>
        <w:pStyle w:val="CommentText"/>
        <w:spacing w:before="120"/>
        <w:rPr>
          <w:rFonts w:cs="Arial"/>
        </w:rPr>
      </w:pPr>
      <w:r w:rsidRPr="00093A2C">
        <w:rPr>
          <w:rFonts w:cs="Arial"/>
          <w:u w:val="single"/>
        </w:rPr>
        <w:t>AA:</w:t>
      </w:r>
      <w:r w:rsidRPr="002A1B5B">
        <w:rPr>
          <w:rFonts w:cs="Arial"/>
        </w:rPr>
        <w:t xml:space="preserve"> </w:t>
      </w:r>
      <w:r>
        <w:rPr>
          <w:rFonts w:cs="Arial"/>
        </w:rPr>
        <w:t>R</w:t>
      </w:r>
      <w:r w:rsidRPr="002A1B5B">
        <w:rPr>
          <w:rFonts w:cs="Arial"/>
        </w:rPr>
        <w:t xml:space="preserve">adiocommunication devices operated under the licence </w:t>
      </w:r>
      <w:r w:rsidRPr="00093A2C">
        <w:rPr>
          <w:rFonts w:cs="Arial"/>
        </w:rPr>
        <w:t>must</w:t>
      </w:r>
      <w:r w:rsidRPr="002A1B5B">
        <w:rPr>
          <w:rFonts w:cs="Arial"/>
        </w:rPr>
        <w:t xml:space="preserve"> not exceed the non-spurious emission limits in clauses </w:t>
      </w:r>
      <w:r w:rsidRPr="002A1B5B">
        <w:rPr>
          <w:rFonts w:cs="Arial"/>
          <w:u w:val="single"/>
        </w:rPr>
        <w:t>AC</w:t>
      </w:r>
      <w:r w:rsidRPr="002A1B5B">
        <w:rPr>
          <w:rFonts w:cs="Arial"/>
        </w:rPr>
        <w:t xml:space="preserve"> and </w:t>
      </w:r>
      <w:r w:rsidRPr="002A1B5B">
        <w:rPr>
          <w:rFonts w:cs="Arial"/>
          <w:u w:val="single"/>
        </w:rPr>
        <w:t>AD</w:t>
      </w:r>
      <w:r w:rsidRPr="002A1B5B">
        <w:rPr>
          <w:rFonts w:cs="Arial"/>
        </w:rPr>
        <w:t xml:space="preserve">. </w:t>
      </w:r>
    </w:p>
    <w:p w14:paraId="09E012DC" w14:textId="77777777" w:rsidR="00EA1AAE" w:rsidRPr="002A1B5B" w:rsidRDefault="00EA1AAE" w:rsidP="00805859">
      <w:pPr>
        <w:pStyle w:val="CommentText"/>
        <w:spacing w:before="120"/>
        <w:rPr>
          <w:rFonts w:cs="Arial"/>
        </w:rPr>
      </w:pPr>
      <w:r w:rsidRPr="002A1B5B">
        <w:rPr>
          <w:rFonts w:cs="Arial"/>
          <w:u w:val="single"/>
        </w:rPr>
        <w:t>AB:</w:t>
      </w:r>
      <w:r w:rsidRPr="002A1B5B">
        <w:rPr>
          <w:rFonts w:cs="Arial"/>
        </w:rPr>
        <w:t xml:space="preserve"> </w:t>
      </w:r>
      <w:r>
        <w:rPr>
          <w:rFonts w:cs="Arial"/>
        </w:rPr>
        <w:t>F</w:t>
      </w:r>
      <w:r w:rsidRPr="002A1B5B">
        <w:rPr>
          <w:rFonts w:cs="Arial"/>
        </w:rPr>
        <w:t xml:space="preserve">or any frequency where an emission limit described in clause </w:t>
      </w:r>
      <w:r w:rsidRPr="002A1B5B">
        <w:rPr>
          <w:rFonts w:cs="Arial"/>
          <w:u w:val="single"/>
        </w:rPr>
        <w:t>AE</w:t>
      </w:r>
      <w:r w:rsidRPr="002A1B5B">
        <w:rPr>
          <w:rFonts w:cs="Arial"/>
        </w:rPr>
        <w:t xml:space="preserve"> is less than an emission limit described in clauses </w:t>
      </w:r>
      <w:r w:rsidRPr="002A1B5B">
        <w:rPr>
          <w:rFonts w:cs="Arial"/>
          <w:u w:val="single"/>
        </w:rPr>
        <w:t>AC</w:t>
      </w:r>
      <w:r w:rsidRPr="002A1B5B">
        <w:rPr>
          <w:rFonts w:cs="Arial"/>
        </w:rPr>
        <w:t xml:space="preserve"> or </w:t>
      </w:r>
      <w:r w:rsidRPr="002A1B5B">
        <w:rPr>
          <w:rFonts w:cs="Arial"/>
          <w:u w:val="single"/>
        </w:rPr>
        <w:t>AD</w:t>
      </w:r>
      <w:r w:rsidRPr="002A1B5B">
        <w:rPr>
          <w:rFonts w:cs="Arial"/>
        </w:rPr>
        <w:t xml:space="preserve">, the emission limit in clause </w:t>
      </w:r>
      <w:r w:rsidRPr="002A1B5B">
        <w:rPr>
          <w:rFonts w:cs="Arial"/>
          <w:u w:val="single"/>
        </w:rPr>
        <w:t>AE</w:t>
      </w:r>
      <w:r w:rsidRPr="002A1B5B">
        <w:rPr>
          <w:rFonts w:cs="Arial"/>
        </w:rPr>
        <w:t xml:space="preserve"> applies.</w:t>
      </w:r>
    </w:p>
    <w:p w14:paraId="74403552" w14:textId="77777777" w:rsidR="00EA1AAE" w:rsidRPr="002A1B5B" w:rsidRDefault="00EA1AAE" w:rsidP="00805859">
      <w:pPr>
        <w:pStyle w:val="CommentText"/>
        <w:spacing w:before="120"/>
        <w:rPr>
          <w:rFonts w:cs="Arial"/>
        </w:rPr>
      </w:pPr>
      <w:r w:rsidRPr="002A1B5B">
        <w:rPr>
          <w:rFonts w:cs="Arial"/>
          <w:u w:val="single"/>
        </w:rPr>
        <w:t>AC:</w:t>
      </w:r>
      <w:r w:rsidRPr="002A1B5B">
        <w:rPr>
          <w:rFonts w:cs="Arial"/>
        </w:rPr>
        <w:t xml:space="preserve"> </w:t>
      </w:r>
      <w:r>
        <w:rPr>
          <w:rFonts w:cs="Arial"/>
        </w:rPr>
        <w:t>T</w:t>
      </w:r>
      <w:r w:rsidRPr="002A1B5B">
        <w:rPr>
          <w:rFonts w:cs="Arial"/>
        </w:rPr>
        <w:t>he non-spurious emission limits in Table 2 apply:</w:t>
      </w:r>
    </w:p>
    <w:p w14:paraId="5E4A7BDB" w14:textId="77777777" w:rsidR="00EA1AAE" w:rsidRPr="002A1B5B" w:rsidRDefault="00EA1AAE" w:rsidP="00805859">
      <w:pPr>
        <w:pStyle w:val="CommentText"/>
        <w:spacing w:before="120"/>
        <w:rPr>
          <w:rFonts w:cs="Arial"/>
        </w:rPr>
      </w:pPr>
      <w:r w:rsidRPr="002A1B5B">
        <w:rPr>
          <w:rFonts w:cs="Arial"/>
        </w:rPr>
        <w:tab/>
        <w:t>(a) at frequencies outside the 1710</w:t>
      </w:r>
      <w:r>
        <w:rPr>
          <w:rFonts w:cs="Arial"/>
        </w:rPr>
        <w:t>–</w:t>
      </w:r>
      <w:r w:rsidRPr="002A1B5B">
        <w:rPr>
          <w:rFonts w:cs="Arial"/>
        </w:rPr>
        <w:t>1785 MHz and 1805</w:t>
      </w:r>
      <w:r>
        <w:rPr>
          <w:rFonts w:cs="Arial"/>
        </w:rPr>
        <w:t>–</w:t>
      </w:r>
      <w:r w:rsidRPr="002A1B5B">
        <w:rPr>
          <w:rFonts w:cs="Arial"/>
        </w:rPr>
        <w:t>1880 MHz frequency bands; and</w:t>
      </w:r>
    </w:p>
    <w:p w14:paraId="6A7E5E24" w14:textId="77777777" w:rsidR="00EA1AAE" w:rsidRPr="002A1B5B" w:rsidRDefault="00EA1AAE" w:rsidP="00805859">
      <w:pPr>
        <w:pStyle w:val="CommentText"/>
        <w:spacing w:before="120"/>
        <w:rPr>
          <w:rFonts w:cs="Arial"/>
        </w:rPr>
      </w:pPr>
      <w:r w:rsidRPr="002A1B5B">
        <w:rPr>
          <w:rFonts w:cs="Arial"/>
        </w:rPr>
        <w:tab/>
        <w:t>(b) offset from 1785 MHz, 1805 MHz and 1880 MHz;</w:t>
      </w:r>
    </w:p>
    <w:p w14:paraId="0CEE8644" w14:textId="77777777" w:rsidR="00EA1AAE" w:rsidRPr="002A1B5B" w:rsidRDefault="00EA1AAE" w:rsidP="00805859">
      <w:pPr>
        <w:pStyle w:val="CommentText"/>
        <w:spacing w:before="120"/>
        <w:rPr>
          <w:rFonts w:cs="Arial"/>
        </w:rPr>
      </w:pPr>
      <w:r w:rsidRPr="002A1B5B">
        <w:rPr>
          <w:rFonts w:cs="Arial"/>
        </w:rPr>
        <w:tab/>
        <w:t>where:</w:t>
      </w:r>
    </w:p>
    <w:p w14:paraId="35A1837E" w14:textId="77777777" w:rsidR="00EA1AAE" w:rsidRPr="002A1B5B" w:rsidRDefault="00EA1AAE" w:rsidP="00805859">
      <w:pPr>
        <w:pStyle w:val="CommentText"/>
        <w:spacing w:before="120"/>
        <w:ind w:left="709"/>
        <w:rPr>
          <w:rFonts w:cs="Arial"/>
        </w:rPr>
      </w:pPr>
      <w:r w:rsidRPr="002A1B5B">
        <w:rPr>
          <w:rFonts w:eastAsiaTheme="minorEastAsia" w:cs="Arial"/>
        </w:rPr>
        <w:tab/>
        <w:t>f</w:t>
      </w:r>
      <w:r w:rsidRPr="002A1B5B">
        <w:rPr>
          <w:rFonts w:eastAsiaTheme="minorEastAsia" w:cs="Arial"/>
          <w:vertAlign w:val="subscript"/>
        </w:rPr>
        <w:t>offset</w:t>
      </w:r>
      <w:r w:rsidRPr="002A1B5B">
        <w:rPr>
          <w:rFonts w:cs="Arial"/>
        </w:rPr>
        <w:t>: is the frequency offset from the 1785 MHz, 1805 MHz and 1880 MHz band edges.</w:t>
      </w:r>
      <w:r>
        <w:rPr>
          <w:rFonts w:cs="Arial"/>
        </w:rPr>
        <w:t xml:space="preserve"> </w:t>
      </w:r>
      <w:r w:rsidRPr="002A1B5B">
        <w:rPr>
          <w:rFonts w:cs="Arial"/>
        </w:rPr>
        <w:t xml:space="preserve">The centre frequency of the specified bandwidth is placed at </w:t>
      </w:r>
      <w:r w:rsidRPr="002A1B5B">
        <w:rPr>
          <w:rFonts w:eastAsiaTheme="minorEastAsia" w:cs="Arial"/>
        </w:rPr>
        <w:t>f</w:t>
      </w:r>
      <w:r w:rsidRPr="002A1B5B">
        <w:rPr>
          <w:rFonts w:eastAsiaTheme="minorEastAsia" w:cs="Arial"/>
          <w:vertAlign w:val="subscript"/>
        </w:rPr>
        <w:t>offset</w:t>
      </w:r>
      <w:r w:rsidRPr="002A1B5B">
        <w:rPr>
          <w:rFonts w:cs="Arial"/>
        </w:rPr>
        <w:t>.</w:t>
      </w:r>
    </w:p>
    <w:p w14:paraId="103E59BC" w14:textId="77777777" w:rsidR="00EA1AAE" w:rsidRPr="002A1B5B" w:rsidRDefault="00EA1AAE" w:rsidP="00805859">
      <w:pPr>
        <w:pStyle w:val="Tableheading0"/>
        <w:spacing w:before="240"/>
      </w:pPr>
      <w:r w:rsidRPr="002A1B5B">
        <w:t>Table 2: Radia</w:t>
      </w:r>
      <w:r>
        <w:t>ted maximum true mean power non-</w:t>
      </w:r>
      <w:r w:rsidRPr="002A1B5B">
        <w:t>spurious emission limits</w:t>
      </w:r>
    </w:p>
    <w:tbl>
      <w:tblPr>
        <w:tblStyle w:val="TableGrid"/>
        <w:tblW w:w="0" w:type="auto"/>
        <w:tblLook w:val="04A0" w:firstRow="1" w:lastRow="0" w:firstColumn="1" w:lastColumn="0" w:noHBand="0" w:noVBand="1"/>
        <w:tblCaption w:val="Table 2: Radiated maximum true mean power non spurious emission limits"/>
      </w:tblPr>
      <w:tblGrid>
        <w:gridCol w:w="2547"/>
        <w:gridCol w:w="3689"/>
        <w:gridCol w:w="1388"/>
      </w:tblGrid>
      <w:tr w:rsidR="00EA1AAE" w:rsidRPr="002A1B5B" w14:paraId="0D629078" w14:textId="77777777" w:rsidTr="00805859">
        <w:trPr>
          <w:cantSplit/>
          <w:tblHeader/>
        </w:trPr>
        <w:tc>
          <w:tcPr>
            <w:tcW w:w="2547" w:type="dxa"/>
          </w:tcPr>
          <w:p w14:paraId="4305366C" w14:textId="77777777" w:rsidR="00EA1AAE" w:rsidRPr="00093A2C" w:rsidRDefault="00EA1AAE">
            <w:pPr>
              <w:ind w:left="40"/>
              <w:rPr>
                <w:rFonts w:eastAsiaTheme="minorEastAsia" w:cs="Arial"/>
                <w:b/>
                <w:szCs w:val="20"/>
              </w:rPr>
            </w:pPr>
            <w:r w:rsidRPr="00093A2C">
              <w:rPr>
                <w:rFonts w:eastAsiaTheme="minorEastAsia" w:cs="Arial"/>
                <w:b/>
                <w:szCs w:val="20"/>
              </w:rPr>
              <w:t xml:space="preserve">Frequency offset </w:t>
            </w:r>
            <w:r>
              <w:rPr>
                <w:rFonts w:eastAsiaTheme="minorEastAsia" w:cs="Arial"/>
                <w:b/>
                <w:szCs w:val="20"/>
              </w:rPr>
              <w:t>r</w:t>
            </w:r>
            <w:r w:rsidRPr="00093A2C">
              <w:rPr>
                <w:rFonts w:eastAsiaTheme="minorEastAsia" w:cs="Arial"/>
                <w:b/>
                <w:szCs w:val="20"/>
              </w:rPr>
              <w:t>ange</w:t>
            </w:r>
          </w:p>
        </w:tc>
        <w:tc>
          <w:tcPr>
            <w:tcW w:w="3689" w:type="dxa"/>
          </w:tcPr>
          <w:p w14:paraId="3A059EC2" w14:textId="77777777" w:rsidR="00EA1AAE" w:rsidRPr="00093A2C" w:rsidRDefault="00EA1AAE">
            <w:pPr>
              <w:ind w:left="40"/>
              <w:rPr>
                <w:rFonts w:eastAsiaTheme="minorEastAsia" w:cs="Arial"/>
                <w:b/>
                <w:szCs w:val="20"/>
              </w:rPr>
            </w:pPr>
            <w:r w:rsidRPr="00093A2C">
              <w:rPr>
                <w:rFonts w:eastAsiaTheme="minorEastAsia" w:cs="Arial"/>
                <w:b/>
                <w:szCs w:val="20"/>
              </w:rPr>
              <w:t>Radiated maximum true mean power</w:t>
            </w:r>
            <w:r>
              <w:rPr>
                <w:rFonts w:eastAsiaTheme="minorEastAsia" w:cs="Arial"/>
                <w:b/>
                <w:szCs w:val="20"/>
              </w:rPr>
              <w:t xml:space="preserve"> </w:t>
            </w:r>
            <w:r w:rsidRPr="00093A2C">
              <w:rPr>
                <w:rFonts w:eastAsiaTheme="minorEastAsia" w:cs="Arial"/>
                <w:b/>
                <w:szCs w:val="20"/>
              </w:rPr>
              <w:t>(dBm EIRP)</w:t>
            </w:r>
          </w:p>
        </w:tc>
        <w:tc>
          <w:tcPr>
            <w:tcW w:w="1388" w:type="dxa"/>
          </w:tcPr>
          <w:p w14:paraId="04A843EF" w14:textId="77777777" w:rsidR="00EA1AAE" w:rsidRPr="00093A2C" w:rsidRDefault="00EA1AAE" w:rsidP="00805859">
            <w:pPr>
              <w:ind w:left="40"/>
              <w:rPr>
                <w:rFonts w:eastAsiaTheme="minorEastAsia" w:cs="Arial"/>
                <w:b/>
                <w:szCs w:val="20"/>
              </w:rPr>
            </w:pPr>
            <w:r w:rsidRPr="00093A2C">
              <w:rPr>
                <w:rFonts w:eastAsiaTheme="minorEastAsia" w:cs="Arial"/>
                <w:b/>
                <w:szCs w:val="20"/>
              </w:rPr>
              <w:t>Specified</w:t>
            </w:r>
          </w:p>
          <w:p w14:paraId="4642D7EE" w14:textId="77777777" w:rsidR="00EA1AAE" w:rsidRPr="00093A2C" w:rsidRDefault="00EA1AAE" w:rsidP="00805859">
            <w:pPr>
              <w:ind w:left="40"/>
              <w:rPr>
                <w:rFonts w:eastAsiaTheme="minorEastAsia" w:cs="Arial"/>
                <w:b/>
                <w:szCs w:val="20"/>
              </w:rPr>
            </w:pPr>
            <w:r>
              <w:rPr>
                <w:rFonts w:eastAsiaTheme="minorEastAsia" w:cs="Arial"/>
                <w:b/>
                <w:szCs w:val="20"/>
              </w:rPr>
              <w:t>b</w:t>
            </w:r>
            <w:r w:rsidRPr="00093A2C">
              <w:rPr>
                <w:rFonts w:eastAsiaTheme="minorEastAsia" w:cs="Arial"/>
                <w:b/>
                <w:szCs w:val="20"/>
              </w:rPr>
              <w:t>andwidth</w:t>
            </w:r>
          </w:p>
        </w:tc>
      </w:tr>
      <w:tr w:rsidR="00EA1AAE" w:rsidRPr="002A1B5B" w14:paraId="63A9C480" w14:textId="77777777" w:rsidTr="00805859">
        <w:trPr>
          <w:cantSplit/>
        </w:trPr>
        <w:tc>
          <w:tcPr>
            <w:tcW w:w="2547" w:type="dxa"/>
          </w:tcPr>
          <w:p w14:paraId="194CF841" w14:textId="77777777" w:rsidR="00EA1AAE" w:rsidRPr="00093A2C" w:rsidRDefault="00EA1AAE" w:rsidP="00805859">
            <w:pPr>
              <w:ind w:left="40"/>
              <w:rPr>
                <w:rFonts w:eastAsiaTheme="minorEastAsia" w:cs="Arial"/>
                <w:szCs w:val="20"/>
              </w:rPr>
            </w:pPr>
            <w:r w:rsidRPr="00093A2C">
              <w:rPr>
                <w:rFonts w:eastAsiaTheme="minorEastAsia" w:cs="Arial"/>
                <w:szCs w:val="20"/>
              </w:rPr>
              <w:t>0 Hz ≤ f</w:t>
            </w:r>
            <w:r w:rsidRPr="00093A2C">
              <w:rPr>
                <w:rFonts w:eastAsiaTheme="minorEastAsia" w:cs="Arial"/>
                <w:szCs w:val="20"/>
                <w:vertAlign w:val="subscript"/>
              </w:rPr>
              <w:t>offset</w:t>
            </w:r>
            <w:r w:rsidRPr="00093A2C">
              <w:rPr>
                <w:rFonts w:eastAsiaTheme="minorEastAsia" w:cs="Arial"/>
                <w:szCs w:val="20"/>
              </w:rPr>
              <w:t xml:space="preserve"> &lt;200 kHz</w:t>
            </w:r>
          </w:p>
        </w:tc>
        <w:tc>
          <w:tcPr>
            <w:tcW w:w="3689" w:type="dxa"/>
          </w:tcPr>
          <w:p w14:paraId="38DC92FB" w14:textId="77777777" w:rsidR="00EA1AAE" w:rsidRPr="00093A2C" w:rsidRDefault="00EA1AAE" w:rsidP="00805859">
            <w:pPr>
              <w:ind w:left="40"/>
              <w:rPr>
                <w:rFonts w:eastAsiaTheme="minorEastAsia" w:cs="Arial"/>
                <w:szCs w:val="20"/>
              </w:rPr>
            </w:pPr>
            <w:r w:rsidRPr="00093A2C">
              <w:rPr>
                <w:rFonts w:eastAsiaTheme="minorEastAsia" w:cs="Arial"/>
                <w:szCs w:val="20"/>
              </w:rPr>
              <w:t>2</w:t>
            </w:r>
          </w:p>
        </w:tc>
        <w:tc>
          <w:tcPr>
            <w:tcW w:w="1388" w:type="dxa"/>
            <w:vAlign w:val="center"/>
          </w:tcPr>
          <w:p w14:paraId="00FF77F6" w14:textId="77777777" w:rsidR="00EA1AAE" w:rsidRPr="00093A2C" w:rsidRDefault="00EA1AAE" w:rsidP="00805859">
            <w:pPr>
              <w:ind w:left="40"/>
              <w:rPr>
                <w:rFonts w:eastAsiaTheme="minorEastAsia" w:cs="Arial"/>
                <w:szCs w:val="20"/>
              </w:rPr>
            </w:pPr>
            <w:r w:rsidRPr="00093A2C">
              <w:rPr>
                <w:rFonts w:eastAsiaTheme="minorEastAsia" w:cs="Arial"/>
                <w:szCs w:val="20"/>
              </w:rPr>
              <w:t>30 kHz</w:t>
            </w:r>
          </w:p>
        </w:tc>
      </w:tr>
      <w:tr w:rsidR="00EA1AAE" w:rsidRPr="002A1B5B" w14:paraId="547A9025" w14:textId="77777777" w:rsidTr="00805859">
        <w:trPr>
          <w:cantSplit/>
        </w:trPr>
        <w:tc>
          <w:tcPr>
            <w:tcW w:w="2547" w:type="dxa"/>
          </w:tcPr>
          <w:p w14:paraId="02E43BD2" w14:textId="77777777" w:rsidR="00EA1AAE" w:rsidRPr="00093A2C" w:rsidRDefault="00EA1AAE" w:rsidP="00805859">
            <w:pPr>
              <w:tabs>
                <w:tab w:val="right" w:pos="8278"/>
              </w:tabs>
              <w:ind w:left="40"/>
              <w:rPr>
                <w:rFonts w:eastAsiaTheme="minorEastAsia" w:cs="Arial"/>
                <w:szCs w:val="20"/>
              </w:rPr>
            </w:pPr>
            <w:r w:rsidRPr="00093A2C">
              <w:rPr>
                <w:rFonts w:eastAsiaTheme="minorEastAsia" w:cs="Arial"/>
                <w:szCs w:val="20"/>
              </w:rPr>
              <w:t>200 kHz≤ f</w:t>
            </w:r>
            <w:r w:rsidRPr="00093A2C">
              <w:rPr>
                <w:rFonts w:eastAsiaTheme="minorEastAsia" w:cs="Arial"/>
                <w:szCs w:val="20"/>
                <w:vertAlign w:val="subscript"/>
              </w:rPr>
              <w:t>offset</w:t>
            </w:r>
            <w:r w:rsidRPr="00093A2C">
              <w:rPr>
                <w:rFonts w:eastAsiaTheme="minorEastAsia" w:cs="Arial"/>
                <w:szCs w:val="20"/>
              </w:rPr>
              <w:t xml:space="preserve"> &lt;900 kHz</w:t>
            </w:r>
          </w:p>
        </w:tc>
        <w:tc>
          <w:tcPr>
            <w:tcW w:w="3689" w:type="dxa"/>
          </w:tcPr>
          <w:p w14:paraId="08D793A6" w14:textId="77777777" w:rsidR="00EA1AAE" w:rsidRPr="00B937D8" w:rsidRDefault="00EA1AAE" w:rsidP="00805859">
            <w:pPr>
              <w:ind w:left="40"/>
              <w:rPr>
                <w:rFonts w:eastAsiaTheme="minorEastAsia" w:cs="Arial"/>
                <w:szCs w:val="20"/>
              </w:rPr>
            </w:pPr>
            <m:oMathPara>
              <m:oMathParaPr>
                <m:jc m:val="left"/>
              </m:oMathParaPr>
              <m:oMath>
                <m:r>
                  <m:rPr>
                    <m:sty m:val="p"/>
                  </m:rPr>
                  <w:rPr>
                    <w:rFonts w:ascii="Cambria Math" w:eastAsiaTheme="minorEastAsia" w:hAnsi="Cambria Math" w:cs="Arial"/>
                    <w:szCs w:val="20"/>
                  </w:rPr>
                  <m:t>2-</m:t>
                </m:r>
                <m:r>
                  <w:rPr>
                    <w:rFonts w:ascii="Cambria Math" w:eastAsiaTheme="minorEastAsia" w:hAnsi="Cambria Math" w:cs="Arial"/>
                    <w:szCs w:val="20"/>
                  </w:rPr>
                  <m:t>15×</m:t>
                </m:r>
                <m:d>
                  <m:dPr>
                    <m:ctrlPr>
                      <w:rPr>
                        <w:rFonts w:ascii="Cambria Math" w:eastAsiaTheme="minorEastAsia" w:hAnsi="Cambria Math" w:cs="Arial"/>
                        <w:i/>
                        <w:szCs w:val="20"/>
                      </w:rPr>
                    </m:ctrlPr>
                  </m:dPr>
                  <m:e>
                    <m:sSub>
                      <m:sSubPr>
                        <m:ctrlPr>
                          <w:rPr>
                            <w:rFonts w:ascii="Cambria Math" w:eastAsiaTheme="minorEastAsia" w:hAnsi="Cambria Math" w:cs="Arial"/>
                            <w:i/>
                            <w:szCs w:val="20"/>
                          </w:rPr>
                        </m:ctrlPr>
                      </m:sSubPr>
                      <m:e>
                        <m:r>
                          <w:rPr>
                            <w:rFonts w:ascii="Cambria Math" w:eastAsiaTheme="minorEastAsia" w:hAnsi="Cambria Math" w:cs="Arial"/>
                            <w:szCs w:val="20"/>
                          </w:rPr>
                          <m:t>f</m:t>
                        </m:r>
                      </m:e>
                      <m:sub>
                        <m:r>
                          <w:rPr>
                            <w:rFonts w:ascii="Cambria Math" w:eastAsiaTheme="minorEastAsia" w:hAnsi="Cambria Math" w:cs="Arial"/>
                            <w:szCs w:val="20"/>
                          </w:rPr>
                          <m:t>offset</m:t>
                        </m:r>
                      </m:sub>
                    </m:sSub>
                    <m:d>
                      <m:dPr>
                        <m:ctrlPr>
                          <w:rPr>
                            <w:rFonts w:ascii="Cambria Math" w:eastAsiaTheme="minorEastAsia" w:hAnsi="Cambria Math" w:cs="Arial"/>
                            <w:i/>
                            <w:szCs w:val="20"/>
                          </w:rPr>
                        </m:ctrlPr>
                      </m:dPr>
                      <m:e>
                        <m:r>
                          <w:rPr>
                            <w:rFonts w:ascii="Cambria Math" w:eastAsiaTheme="minorEastAsia" w:hAnsi="Cambria Math" w:cs="Arial"/>
                            <w:szCs w:val="20"/>
                          </w:rPr>
                          <m:t>MHz</m:t>
                        </m:r>
                      </m:e>
                    </m:d>
                    <m:r>
                      <w:rPr>
                        <w:rFonts w:ascii="Cambria Math" w:eastAsiaTheme="minorEastAsia" w:hAnsi="Cambria Math" w:cs="Arial"/>
                        <w:szCs w:val="20"/>
                      </w:rPr>
                      <m:t>-0.2</m:t>
                    </m:r>
                  </m:e>
                </m:d>
              </m:oMath>
            </m:oMathPara>
          </w:p>
        </w:tc>
        <w:tc>
          <w:tcPr>
            <w:tcW w:w="1388" w:type="dxa"/>
            <w:vAlign w:val="center"/>
          </w:tcPr>
          <w:p w14:paraId="51480F2A" w14:textId="77777777" w:rsidR="00EA1AAE" w:rsidRPr="00093A2C" w:rsidRDefault="00EA1AAE" w:rsidP="00805859">
            <w:pPr>
              <w:ind w:left="40"/>
              <w:rPr>
                <w:rFonts w:eastAsiaTheme="minorEastAsia" w:cs="Arial"/>
                <w:szCs w:val="20"/>
              </w:rPr>
            </w:pPr>
            <w:r w:rsidRPr="00093A2C">
              <w:rPr>
                <w:rFonts w:eastAsiaTheme="minorEastAsia" w:cs="Arial"/>
                <w:szCs w:val="20"/>
              </w:rPr>
              <w:t>30 kHz</w:t>
            </w:r>
          </w:p>
        </w:tc>
      </w:tr>
      <w:tr w:rsidR="00EA1AAE" w:rsidRPr="002A1B5B" w14:paraId="429583F1" w14:textId="77777777" w:rsidTr="00805859">
        <w:trPr>
          <w:cantSplit/>
        </w:trPr>
        <w:tc>
          <w:tcPr>
            <w:tcW w:w="2547" w:type="dxa"/>
          </w:tcPr>
          <w:p w14:paraId="7CF8BA72" w14:textId="77777777" w:rsidR="00EA1AAE" w:rsidRPr="00093A2C" w:rsidRDefault="00EA1AAE" w:rsidP="00805859">
            <w:pPr>
              <w:tabs>
                <w:tab w:val="right" w:pos="8278"/>
              </w:tabs>
              <w:ind w:left="40"/>
              <w:rPr>
                <w:rFonts w:eastAsiaTheme="minorEastAsia" w:cs="Arial"/>
                <w:szCs w:val="20"/>
              </w:rPr>
            </w:pPr>
            <w:r w:rsidRPr="00093A2C">
              <w:rPr>
                <w:rFonts w:eastAsiaTheme="minorEastAsia" w:cs="Arial"/>
                <w:szCs w:val="20"/>
              </w:rPr>
              <w:t>900 kHz≤ f</w:t>
            </w:r>
            <w:r w:rsidRPr="00093A2C">
              <w:rPr>
                <w:rFonts w:eastAsiaTheme="minorEastAsia" w:cs="Arial"/>
                <w:szCs w:val="20"/>
                <w:vertAlign w:val="subscript"/>
              </w:rPr>
              <w:t>offset</w:t>
            </w:r>
            <w:r w:rsidRPr="00093A2C">
              <w:rPr>
                <w:rFonts w:eastAsiaTheme="minorEastAsia" w:cs="Arial"/>
                <w:szCs w:val="20"/>
              </w:rPr>
              <w:t xml:space="preserve"> &lt;5.6 MHz</w:t>
            </w:r>
          </w:p>
        </w:tc>
        <w:tc>
          <w:tcPr>
            <w:tcW w:w="3689" w:type="dxa"/>
          </w:tcPr>
          <w:p w14:paraId="6D15B3E7" w14:textId="77777777" w:rsidR="00EA1AAE" w:rsidRPr="00093A2C" w:rsidRDefault="00EA1AAE" w:rsidP="00805859">
            <w:pPr>
              <w:ind w:left="40"/>
              <w:rPr>
                <w:rFonts w:cs="Arial"/>
                <w:szCs w:val="20"/>
              </w:rPr>
            </w:pPr>
            <w:r w:rsidRPr="00093A2C">
              <w:rPr>
                <w:rFonts w:cs="Arial"/>
                <w:szCs w:val="20"/>
              </w:rPr>
              <w:t>-8.5</w:t>
            </w:r>
          </w:p>
        </w:tc>
        <w:tc>
          <w:tcPr>
            <w:tcW w:w="1388" w:type="dxa"/>
            <w:vAlign w:val="center"/>
          </w:tcPr>
          <w:p w14:paraId="74A394EF" w14:textId="77777777" w:rsidR="00EA1AAE" w:rsidRPr="00093A2C" w:rsidRDefault="00EA1AAE" w:rsidP="00805859">
            <w:pPr>
              <w:ind w:left="40"/>
              <w:rPr>
                <w:rFonts w:eastAsiaTheme="minorEastAsia" w:cs="Arial"/>
                <w:szCs w:val="20"/>
              </w:rPr>
            </w:pPr>
            <w:r w:rsidRPr="00093A2C">
              <w:rPr>
                <w:rFonts w:eastAsiaTheme="minorEastAsia" w:cs="Arial"/>
                <w:szCs w:val="20"/>
              </w:rPr>
              <w:t>30 kHz</w:t>
            </w:r>
          </w:p>
        </w:tc>
      </w:tr>
      <w:tr w:rsidR="00EA1AAE" w:rsidRPr="002A1B5B" w14:paraId="13DB0A3B" w14:textId="77777777" w:rsidTr="00805859">
        <w:trPr>
          <w:cantSplit/>
        </w:trPr>
        <w:tc>
          <w:tcPr>
            <w:tcW w:w="2547" w:type="dxa"/>
          </w:tcPr>
          <w:p w14:paraId="7CF39CC6" w14:textId="77777777" w:rsidR="00EA1AAE" w:rsidRPr="00093A2C" w:rsidRDefault="00EA1AAE" w:rsidP="00805859">
            <w:pPr>
              <w:tabs>
                <w:tab w:val="right" w:pos="8278"/>
              </w:tabs>
              <w:ind w:left="40"/>
              <w:rPr>
                <w:rFonts w:eastAsiaTheme="minorEastAsia" w:cs="Arial"/>
                <w:szCs w:val="20"/>
              </w:rPr>
            </w:pPr>
            <w:r w:rsidRPr="00093A2C">
              <w:rPr>
                <w:rFonts w:eastAsiaTheme="minorEastAsia" w:cs="Arial"/>
                <w:szCs w:val="20"/>
              </w:rPr>
              <w:t>f</w:t>
            </w:r>
            <w:r w:rsidRPr="00093A2C">
              <w:rPr>
                <w:rFonts w:eastAsiaTheme="minorEastAsia" w:cs="Arial"/>
                <w:szCs w:val="20"/>
                <w:vertAlign w:val="subscript"/>
              </w:rPr>
              <w:t>offset</w:t>
            </w:r>
            <w:r w:rsidRPr="00093A2C">
              <w:rPr>
                <w:rFonts w:eastAsiaTheme="minorEastAsia" w:cs="Arial"/>
                <w:szCs w:val="20"/>
              </w:rPr>
              <w:t xml:space="preserve"> ≥5.6 MHz</w:t>
            </w:r>
          </w:p>
        </w:tc>
        <w:tc>
          <w:tcPr>
            <w:tcW w:w="3689" w:type="dxa"/>
          </w:tcPr>
          <w:p w14:paraId="28D24B2C" w14:textId="77777777" w:rsidR="00EA1AAE" w:rsidRPr="00093A2C" w:rsidRDefault="00EA1AAE" w:rsidP="00805859">
            <w:pPr>
              <w:ind w:left="40"/>
              <w:rPr>
                <w:rFonts w:cs="Arial"/>
                <w:szCs w:val="20"/>
              </w:rPr>
            </w:pPr>
            <w:r w:rsidRPr="00093A2C">
              <w:rPr>
                <w:rFonts w:cs="Arial"/>
                <w:szCs w:val="20"/>
              </w:rPr>
              <w:t>-18.5</w:t>
            </w:r>
          </w:p>
        </w:tc>
        <w:tc>
          <w:tcPr>
            <w:tcW w:w="1388" w:type="dxa"/>
            <w:vAlign w:val="center"/>
          </w:tcPr>
          <w:p w14:paraId="269A988C" w14:textId="77777777" w:rsidR="00EA1AAE" w:rsidRPr="00093A2C" w:rsidRDefault="00EA1AAE" w:rsidP="00805859">
            <w:pPr>
              <w:ind w:left="40"/>
              <w:rPr>
                <w:rFonts w:eastAsiaTheme="minorEastAsia" w:cs="Arial"/>
                <w:szCs w:val="20"/>
              </w:rPr>
            </w:pPr>
            <w:r w:rsidRPr="00093A2C">
              <w:rPr>
                <w:rFonts w:eastAsiaTheme="minorEastAsia" w:cs="Arial"/>
                <w:szCs w:val="20"/>
              </w:rPr>
              <w:t>30 kHz</w:t>
            </w:r>
          </w:p>
        </w:tc>
      </w:tr>
    </w:tbl>
    <w:p w14:paraId="552424F7" w14:textId="77777777" w:rsidR="00EA1AAE" w:rsidRPr="002A1B5B" w:rsidRDefault="00EA1AAE" w:rsidP="00805859">
      <w:pPr>
        <w:pStyle w:val="CommentText"/>
        <w:spacing w:before="240"/>
        <w:rPr>
          <w:rFonts w:cs="Arial"/>
        </w:rPr>
      </w:pPr>
      <w:r w:rsidRPr="002A1B5B">
        <w:rPr>
          <w:rFonts w:cs="Arial"/>
          <w:u w:val="single"/>
        </w:rPr>
        <w:t>AD:</w:t>
      </w:r>
      <w:r w:rsidRPr="002A1B5B">
        <w:rPr>
          <w:rFonts w:cs="Arial"/>
        </w:rPr>
        <w:t xml:space="preserve"> </w:t>
      </w:r>
      <w:r>
        <w:rPr>
          <w:rFonts w:cs="Arial"/>
        </w:rPr>
        <w:t>T</w:t>
      </w:r>
      <w:r w:rsidRPr="002A1B5B">
        <w:rPr>
          <w:rFonts w:cs="Arial"/>
        </w:rPr>
        <w:t>he non-spurious emission limits in Table 3a and 3b apply:</w:t>
      </w:r>
    </w:p>
    <w:p w14:paraId="66AB0606" w14:textId="77777777" w:rsidR="00EA1AAE" w:rsidRPr="002A1B5B" w:rsidRDefault="00EA1AAE" w:rsidP="00805859">
      <w:pPr>
        <w:pStyle w:val="CommentText"/>
        <w:spacing w:before="120"/>
        <w:ind w:left="720"/>
        <w:rPr>
          <w:rFonts w:cs="Arial"/>
        </w:rPr>
      </w:pPr>
      <w:r w:rsidRPr="002A1B5B">
        <w:rPr>
          <w:rFonts w:cs="Arial"/>
        </w:rPr>
        <w:lastRenderedPageBreak/>
        <w:t>(a) at frequencies outside the 1710</w:t>
      </w:r>
      <w:r>
        <w:rPr>
          <w:rFonts w:cs="Arial"/>
        </w:rPr>
        <w:t>–</w:t>
      </w:r>
      <w:r w:rsidRPr="002A1B5B">
        <w:rPr>
          <w:rFonts w:cs="Arial"/>
        </w:rPr>
        <w:t>1785 MHz frequency band; and</w:t>
      </w:r>
    </w:p>
    <w:p w14:paraId="4A12FC68" w14:textId="77777777" w:rsidR="00EA1AAE" w:rsidRPr="002A1B5B" w:rsidRDefault="00EA1AAE" w:rsidP="00805859">
      <w:pPr>
        <w:pStyle w:val="CommentText"/>
        <w:spacing w:before="120"/>
        <w:ind w:left="720"/>
        <w:rPr>
          <w:rFonts w:cs="Arial"/>
        </w:rPr>
      </w:pPr>
      <w:r w:rsidRPr="002A1B5B">
        <w:rPr>
          <w:rFonts w:cs="Arial"/>
        </w:rPr>
        <w:t>(b) offset from 1710 MHz;</w:t>
      </w:r>
    </w:p>
    <w:p w14:paraId="5569EEA8" w14:textId="77777777" w:rsidR="00EA1AAE" w:rsidRPr="002A1B5B" w:rsidRDefault="00EA1AAE" w:rsidP="00805859">
      <w:pPr>
        <w:pStyle w:val="CommentText"/>
        <w:spacing w:before="120"/>
        <w:ind w:left="720"/>
        <w:rPr>
          <w:rFonts w:cs="Arial"/>
        </w:rPr>
      </w:pPr>
      <w:r w:rsidRPr="002A1B5B">
        <w:rPr>
          <w:rFonts w:cs="Arial"/>
        </w:rPr>
        <w:t>where:</w:t>
      </w:r>
    </w:p>
    <w:p w14:paraId="5BF58ACE" w14:textId="77777777" w:rsidR="00EA1AAE" w:rsidRDefault="00EA1AAE" w:rsidP="00805859">
      <w:pPr>
        <w:pStyle w:val="CommentText"/>
        <w:spacing w:before="120"/>
        <w:ind w:left="720"/>
        <w:rPr>
          <w:rFonts w:cs="Arial"/>
        </w:rPr>
      </w:pPr>
      <w:r w:rsidRPr="002A1B5B">
        <w:rPr>
          <w:rFonts w:eastAsiaTheme="minorEastAsia" w:cs="Arial"/>
        </w:rPr>
        <w:t>f</w:t>
      </w:r>
      <w:r w:rsidRPr="002A1B5B">
        <w:rPr>
          <w:rFonts w:eastAsiaTheme="minorEastAsia" w:cs="Arial"/>
          <w:vertAlign w:val="subscript"/>
        </w:rPr>
        <w:t>offset</w:t>
      </w:r>
      <w:r w:rsidRPr="002A1B5B">
        <w:rPr>
          <w:rFonts w:cs="Arial"/>
        </w:rPr>
        <w:t>: is the frequency offset from the 1710 MHz band edge. The centre frequency of the specified bandw</w:t>
      </w:r>
      <w:r>
        <w:rPr>
          <w:rFonts w:cs="Arial"/>
        </w:rPr>
        <w:t>i</w:t>
      </w:r>
      <w:r w:rsidRPr="002A1B5B">
        <w:rPr>
          <w:rFonts w:cs="Arial"/>
        </w:rPr>
        <w:t xml:space="preserve">dth is placed at </w:t>
      </w:r>
      <w:r w:rsidRPr="002A1B5B">
        <w:rPr>
          <w:rFonts w:eastAsiaTheme="minorEastAsia" w:cs="Arial"/>
        </w:rPr>
        <w:t>f</w:t>
      </w:r>
      <w:r w:rsidRPr="002A1B5B">
        <w:rPr>
          <w:rFonts w:eastAsiaTheme="minorEastAsia" w:cs="Arial"/>
          <w:vertAlign w:val="subscript"/>
        </w:rPr>
        <w:t>offset</w:t>
      </w:r>
      <w:r w:rsidRPr="002A1B5B">
        <w:rPr>
          <w:rFonts w:cs="Arial"/>
        </w:rPr>
        <w:t>.</w:t>
      </w:r>
    </w:p>
    <w:p w14:paraId="75DAF0A0" w14:textId="77777777" w:rsidR="00EA1AAE" w:rsidRPr="002A1B5B" w:rsidRDefault="00EA1AAE" w:rsidP="00805859">
      <w:pPr>
        <w:pStyle w:val="Tableheading0"/>
        <w:spacing w:before="240"/>
      </w:pPr>
      <w:r w:rsidRPr="002A1B5B">
        <w:t xml:space="preserve">Table 3a: Radiated maximum true </w:t>
      </w:r>
      <w:r>
        <w:t>mean power non-</w:t>
      </w:r>
      <w:r w:rsidRPr="002A1B5B">
        <w:t>spurious emission limits</w:t>
      </w:r>
    </w:p>
    <w:tbl>
      <w:tblPr>
        <w:tblStyle w:val="TableGrid"/>
        <w:tblW w:w="0" w:type="auto"/>
        <w:tblLook w:val="04A0" w:firstRow="1" w:lastRow="0" w:firstColumn="1" w:lastColumn="0" w:noHBand="0" w:noVBand="1"/>
        <w:tblCaption w:val="Table 3a: Radiated maximum true mean power non spurious emission limits"/>
      </w:tblPr>
      <w:tblGrid>
        <w:gridCol w:w="2547"/>
        <w:gridCol w:w="3685"/>
        <w:gridCol w:w="1418"/>
      </w:tblGrid>
      <w:tr w:rsidR="00EA1AAE" w:rsidRPr="002A1B5B" w14:paraId="4E7C39D0" w14:textId="77777777" w:rsidTr="00805859">
        <w:trPr>
          <w:cantSplit/>
          <w:tblHeader/>
        </w:trPr>
        <w:tc>
          <w:tcPr>
            <w:tcW w:w="2547" w:type="dxa"/>
          </w:tcPr>
          <w:p w14:paraId="6B4E2AA0" w14:textId="77777777" w:rsidR="00EA1AAE" w:rsidRPr="00093A2C" w:rsidRDefault="00EA1AAE" w:rsidP="00805859">
            <w:pPr>
              <w:ind w:left="40"/>
              <w:rPr>
                <w:rFonts w:eastAsiaTheme="minorEastAsia" w:cs="Arial"/>
                <w:b/>
                <w:szCs w:val="20"/>
              </w:rPr>
            </w:pPr>
            <w:r w:rsidRPr="00093A2C">
              <w:rPr>
                <w:rFonts w:eastAsiaTheme="minorEastAsia" w:cs="Arial"/>
                <w:b/>
                <w:szCs w:val="20"/>
              </w:rPr>
              <w:t xml:space="preserve">Frequency offset </w:t>
            </w:r>
            <w:r>
              <w:rPr>
                <w:rFonts w:eastAsiaTheme="minorEastAsia" w:cs="Arial"/>
                <w:b/>
                <w:szCs w:val="20"/>
              </w:rPr>
              <w:t>r</w:t>
            </w:r>
            <w:r w:rsidRPr="00093A2C">
              <w:rPr>
                <w:rFonts w:eastAsiaTheme="minorEastAsia" w:cs="Arial"/>
                <w:b/>
                <w:szCs w:val="20"/>
              </w:rPr>
              <w:t>ange</w:t>
            </w:r>
          </w:p>
        </w:tc>
        <w:tc>
          <w:tcPr>
            <w:tcW w:w="3685" w:type="dxa"/>
          </w:tcPr>
          <w:p w14:paraId="30C629BF" w14:textId="77777777" w:rsidR="00EA1AAE" w:rsidRPr="00093A2C" w:rsidRDefault="00EA1AAE">
            <w:pPr>
              <w:ind w:left="40"/>
              <w:rPr>
                <w:rFonts w:eastAsiaTheme="minorEastAsia" w:cs="Arial"/>
                <w:b/>
                <w:szCs w:val="20"/>
              </w:rPr>
            </w:pPr>
            <w:r w:rsidRPr="00093A2C">
              <w:rPr>
                <w:rFonts w:eastAsiaTheme="minorEastAsia" w:cs="Arial"/>
                <w:b/>
                <w:szCs w:val="20"/>
              </w:rPr>
              <w:t>Radiated maximum true mean power</w:t>
            </w:r>
            <w:r>
              <w:rPr>
                <w:rFonts w:eastAsiaTheme="minorEastAsia" w:cs="Arial"/>
                <w:b/>
                <w:szCs w:val="20"/>
              </w:rPr>
              <w:t xml:space="preserve"> </w:t>
            </w:r>
            <w:r w:rsidRPr="00093A2C">
              <w:rPr>
                <w:rFonts w:eastAsiaTheme="minorEastAsia" w:cs="Arial"/>
                <w:b/>
                <w:szCs w:val="20"/>
              </w:rPr>
              <w:t>(dBm EIRP)</w:t>
            </w:r>
          </w:p>
        </w:tc>
        <w:tc>
          <w:tcPr>
            <w:tcW w:w="1418" w:type="dxa"/>
          </w:tcPr>
          <w:p w14:paraId="3D3C5456" w14:textId="77777777" w:rsidR="00EA1AAE" w:rsidRPr="00093A2C" w:rsidRDefault="00EA1AAE">
            <w:pPr>
              <w:ind w:left="40"/>
              <w:rPr>
                <w:rFonts w:eastAsiaTheme="minorEastAsia" w:cs="Arial"/>
                <w:b/>
                <w:szCs w:val="20"/>
              </w:rPr>
            </w:pPr>
            <w:r w:rsidRPr="00093A2C">
              <w:rPr>
                <w:rFonts w:eastAsiaTheme="minorEastAsia" w:cs="Arial"/>
                <w:b/>
                <w:szCs w:val="20"/>
              </w:rPr>
              <w:t xml:space="preserve">Specified </w:t>
            </w:r>
            <w:r>
              <w:rPr>
                <w:rFonts w:eastAsiaTheme="minorEastAsia" w:cs="Arial"/>
                <w:b/>
                <w:szCs w:val="20"/>
              </w:rPr>
              <w:t>b</w:t>
            </w:r>
            <w:r w:rsidRPr="00093A2C">
              <w:rPr>
                <w:rFonts w:eastAsiaTheme="minorEastAsia" w:cs="Arial"/>
                <w:b/>
                <w:szCs w:val="20"/>
              </w:rPr>
              <w:t>andwidth</w:t>
            </w:r>
          </w:p>
        </w:tc>
      </w:tr>
      <w:tr w:rsidR="00EA1AAE" w:rsidRPr="002A1B5B" w14:paraId="5423490D" w14:textId="77777777" w:rsidTr="00805859">
        <w:trPr>
          <w:cantSplit/>
        </w:trPr>
        <w:tc>
          <w:tcPr>
            <w:tcW w:w="2547" w:type="dxa"/>
          </w:tcPr>
          <w:p w14:paraId="0EC2C0D9" w14:textId="77777777" w:rsidR="00EA1AAE" w:rsidRPr="00093A2C" w:rsidRDefault="00EA1AAE" w:rsidP="00805859">
            <w:pPr>
              <w:ind w:left="40"/>
              <w:rPr>
                <w:rFonts w:eastAsiaTheme="minorEastAsia" w:cs="Arial"/>
                <w:szCs w:val="20"/>
              </w:rPr>
            </w:pPr>
            <w:r w:rsidRPr="00093A2C">
              <w:rPr>
                <w:rFonts w:eastAsiaTheme="minorEastAsia" w:cs="Arial"/>
                <w:szCs w:val="20"/>
              </w:rPr>
              <w:t>0 Hz ≤ f</w:t>
            </w:r>
            <w:r w:rsidRPr="00093A2C">
              <w:rPr>
                <w:rFonts w:eastAsiaTheme="minorEastAsia" w:cs="Arial"/>
                <w:szCs w:val="20"/>
                <w:vertAlign w:val="subscript"/>
              </w:rPr>
              <w:t>offset</w:t>
            </w:r>
            <w:r w:rsidRPr="00093A2C">
              <w:rPr>
                <w:rFonts w:eastAsiaTheme="minorEastAsia" w:cs="Arial"/>
                <w:szCs w:val="20"/>
              </w:rPr>
              <w:t xml:space="preserve"> &lt;500 kHz</w:t>
            </w:r>
          </w:p>
        </w:tc>
        <w:tc>
          <w:tcPr>
            <w:tcW w:w="3685" w:type="dxa"/>
          </w:tcPr>
          <w:p w14:paraId="606D07F7" w14:textId="77777777" w:rsidR="00EA1AAE" w:rsidRPr="00093A2C" w:rsidRDefault="00EA1AAE" w:rsidP="00805859">
            <w:pPr>
              <w:ind w:left="40"/>
              <w:rPr>
                <w:rFonts w:eastAsiaTheme="minorEastAsia" w:cs="Arial"/>
                <w:szCs w:val="20"/>
              </w:rPr>
            </w:pPr>
            <w:r w:rsidRPr="00093A2C">
              <w:rPr>
                <w:rFonts w:eastAsiaTheme="minorEastAsia" w:cs="Arial"/>
                <w:szCs w:val="20"/>
              </w:rPr>
              <w:t>-8.5</w:t>
            </w:r>
          </w:p>
        </w:tc>
        <w:tc>
          <w:tcPr>
            <w:tcW w:w="1418" w:type="dxa"/>
            <w:vAlign w:val="center"/>
          </w:tcPr>
          <w:p w14:paraId="51D78557" w14:textId="77777777" w:rsidR="00EA1AAE" w:rsidRPr="00093A2C" w:rsidRDefault="00EA1AAE" w:rsidP="00805859">
            <w:pPr>
              <w:ind w:left="40"/>
              <w:rPr>
                <w:rFonts w:eastAsiaTheme="minorEastAsia" w:cs="Arial"/>
                <w:szCs w:val="20"/>
              </w:rPr>
            </w:pPr>
            <w:r w:rsidRPr="00093A2C">
              <w:rPr>
                <w:rFonts w:eastAsiaTheme="minorEastAsia" w:cs="Arial"/>
                <w:szCs w:val="20"/>
              </w:rPr>
              <w:t>30 kHz</w:t>
            </w:r>
          </w:p>
        </w:tc>
      </w:tr>
      <w:tr w:rsidR="00EA1AAE" w:rsidRPr="002A1B5B" w14:paraId="1133583F" w14:textId="77777777" w:rsidTr="00805859">
        <w:trPr>
          <w:cantSplit/>
        </w:trPr>
        <w:tc>
          <w:tcPr>
            <w:tcW w:w="2547" w:type="dxa"/>
          </w:tcPr>
          <w:p w14:paraId="68B64785" w14:textId="77777777" w:rsidR="00EA1AAE" w:rsidRPr="00093A2C" w:rsidRDefault="00EA1AAE" w:rsidP="00805859">
            <w:pPr>
              <w:ind w:left="40"/>
              <w:rPr>
                <w:rFonts w:eastAsiaTheme="minorEastAsia" w:cs="Arial"/>
                <w:szCs w:val="20"/>
              </w:rPr>
            </w:pPr>
            <w:r w:rsidRPr="00093A2C">
              <w:rPr>
                <w:rFonts w:eastAsiaTheme="minorEastAsia" w:cs="Arial"/>
                <w:szCs w:val="20"/>
              </w:rPr>
              <w:t>f</w:t>
            </w:r>
            <w:r w:rsidRPr="00093A2C">
              <w:rPr>
                <w:rFonts w:eastAsiaTheme="minorEastAsia" w:cs="Arial"/>
                <w:szCs w:val="20"/>
                <w:vertAlign w:val="subscript"/>
              </w:rPr>
              <w:t>offset</w:t>
            </w:r>
            <w:r w:rsidRPr="00093A2C">
              <w:rPr>
                <w:rFonts w:eastAsiaTheme="minorEastAsia" w:cs="Arial"/>
                <w:szCs w:val="20"/>
              </w:rPr>
              <w:t xml:space="preserve"> ≥500 kHz</w:t>
            </w:r>
          </w:p>
        </w:tc>
        <w:tc>
          <w:tcPr>
            <w:tcW w:w="3685" w:type="dxa"/>
          </w:tcPr>
          <w:p w14:paraId="33E2A451" w14:textId="77777777" w:rsidR="00EA1AAE" w:rsidRPr="00093A2C" w:rsidRDefault="00EA1AAE" w:rsidP="00805859">
            <w:pPr>
              <w:ind w:left="40"/>
              <w:rPr>
                <w:rFonts w:cs="Arial"/>
                <w:szCs w:val="20"/>
              </w:rPr>
            </w:pPr>
            <w:r w:rsidRPr="00093A2C">
              <w:rPr>
                <w:rFonts w:cs="Arial"/>
                <w:szCs w:val="20"/>
              </w:rPr>
              <w:t>-33.5</w:t>
            </w:r>
          </w:p>
        </w:tc>
        <w:tc>
          <w:tcPr>
            <w:tcW w:w="1418" w:type="dxa"/>
            <w:vAlign w:val="center"/>
          </w:tcPr>
          <w:p w14:paraId="18C67997" w14:textId="77777777" w:rsidR="00EA1AAE" w:rsidRPr="00093A2C" w:rsidRDefault="00EA1AAE" w:rsidP="00805859">
            <w:pPr>
              <w:ind w:left="40"/>
              <w:rPr>
                <w:rFonts w:eastAsiaTheme="minorEastAsia" w:cs="Arial"/>
                <w:szCs w:val="20"/>
              </w:rPr>
            </w:pPr>
            <w:r w:rsidRPr="00093A2C">
              <w:rPr>
                <w:rFonts w:eastAsiaTheme="minorEastAsia" w:cs="Arial"/>
                <w:szCs w:val="20"/>
              </w:rPr>
              <w:t>30 kHz</w:t>
            </w:r>
          </w:p>
        </w:tc>
      </w:tr>
    </w:tbl>
    <w:p w14:paraId="79CD19D0" w14:textId="77777777" w:rsidR="00EA1AAE" w:rsidRPr="002A1B5B" w:rsidRDefault="00EA1AAE" w:rsidP="00805859">
      <w:pPr>
        <w:pStyle w:val="Tableheading0"/>
        <w:spacing w:before="240"/>
      </w:pPr>
      <w:r w:rsidRPr="002A1B5B">
        <w:t>Ta</w:t>
      </w:r>
      <w:r>
        <w:t>ble 3b: Radiated peak power non-</w:t>
      </w:r>
      <w:r w:rsidRPr="002A1B5B">
        <w:t>spurious emission limits</w:t>
      </w:r>
    </w:p>
    <w:tbl>
      <w:tblPr>
        <w:tblStyle w:val="TableGrid"/>
        <w:tblW w:w="0" w:type="auto"/>
        <w:tblLook w:val="04A0" w:firstRow="1" w:lastRow="0" w:firstColumn="1" w:lastColumn="0" w:noHBand="0" w:noVBand="1"/>
        <w:tblCaption w:val="Table 3b: Radiated peak power non spurious emission limits"/>
      </w:tblPr>
      <w:tblGrid>
        <w:gridCol w:w="2547"/>
        <w:gridCol w:w="3685"/>
        <w:gridCol w:w="1418"/>
      </w:tblGrid>
      <w:tr w:rsidR="00EA1AAE" w:rsidRPr="002A1B5B" w14:paraId="27F54714" w14:textId="77777777" w:rsidTr="00805859">
        <w:trPr>
          <w:cantSplit/>
          <w:tblHeader/>
        </w:trPr>
        <w:tc>
          <w:tcPr>
            <w:tcW w:w="2547" w:type="dxa"/>
          </w:tcPr>
          <w:p w14:paraId="4C6431DB" w14:textId="77777777" w:rsidR="00EA1AAE" w:rsidRPr="00093A2C" w:rsidRDefault="00EA1AAE">
            <w:pPr>
              <w:ind w:left="40"/>
              <w:rPr>
                <w:rFonts w:eastAsiaTheme="minorEastAsia" w:cs="Arial"/>
                <w:szCs w:val="20"/>
              </w:rPr>
            </w:pPr>
            <w:r w:rsidRPr="00093A2C">
              <w:rPr>
                <w:rFonts w:eastAsiaTheme="minorEastAsia" w:cs="Arial"/>
                <w:b/>
                <w:szCs w:val="20"/>
              </w:rPr>
              <w:t>Frequency offset</w:t>
            </w:r>
            <w:r>
              <w:rPr>
                <w:rFonts w:eastAsiaTheme="minorEastAsia" w:cs="Arial"/>
                <w:b/>
                <w:szCs w:val="20"/>
              </w:rPr>
              <w:t xml:space="preserve"> r</w:t>
            </w:r>
            <w:r w:rsidRPr="00093A2C">
              <w:rPr>
                <w:rFonts w:eastAsiaTheme="minorEastAsia" w:cs="Arial"/>
                <w:b/>
                <w:szCs w:val="20"/>
              </w:rPr>
              <w:t>ange</w:t>
            </w:r>
          </w:p>
        </w:tc>
        <w:tc>
          <w:tcPr>
            <w:tcW w:w="3685" w:type="dxa"/>
          </w:tcPr>
          <w:p w14:paraId="3AD96A9D" w14:textId="77777777" w:rsidR="00EA1AAE" w:rsidRPr="00093A2C" w:rsidRDefault="00EA1AAE">
            <w:pPr>
              <w:ind w:left="40"/>
              <w:rPr>
                <w:rFonts w:cs="Arial"/>
                <w:szCs w:val="20"/>
              </w:rPr>
            </w:pPr>
            <w:r w:rsidRPr="00093A2C">
              <w:rPr>
                <w:rFonts w:eastAsiaTheme="minorEastAsia" w:cs="Arial"/>
                <w:b/>
                <w:szCs w:val="20"/>
              </w:rPr>
              <w:t>Radiated peak power</w:t>
            </w:r>
            <w:r>
              <w:rPr>
                <w:rFonts w:eastAsiaTheme="minorEastAsia" w:cs="Arial"/>
                <w:b/>
                <w:szCs w:val="20"/>
              </w:rPr>
              <w:t xml:space="preserve"> </w:t>
            </w:r>
            <w:r w:rsidRPr="00093A2C">
              <w:rPr>
                <w:rFonts w:eastAsiaTheme="minorEastAsia" w:cs="Arial"/>
                <w:b/>
                <w:szCs w:val="20"/>
              </w:rPr>
              <w:t>(dBm EIRP)</w:t>
            </w:r>
          </w:p>
        </w:tc>
        <w:tc>
          <w:tcPr>
            <w:tcW w:w="1418" w:type="dxa"/>
          </w:tcPr>
          <w:p w14:paraId="41DBCA86" w14:textId="77777777" w:rsidR="00EA1AAE" w:rsidRPr="00093A2C" w:rsidRDefault="00EA1AAE">
            <w:pPr>
              <w:ind w:left="40"/>
              <w:rPr>
                <w:rFonts w:eastAsiaTheme="minorEastAsia" w:cs="Arial"/>
                <w:szCs w:val="20"/>
              </w:rPr>
            </w:pPr>
            <w:r w:rsidRPr="00093A2C">
              <w:rPr>
                <w:rFonts w:eastAsiaTheme="minorEastAsia" w:cs="Arial"/>
                <w:b/>
                <w:szCs w:val="20"/>
              </w:rPr>
              <w:t xml:space="preserve">Specified </w:t>
            </w:r>
            <w:r>
              <w:rPr>
                <w:rFonts w:eastAsiaTheme="minorEastAsia" w:cs="Arial"/>
                <w:b/>
                <w:szCs w:val="20"/>
              </w:rPr>
              <w:t>b</w:t>
            </w:r>
            <w:r w:rsidRPr="00093A2C">
              <w:rPr>
                <w:rFonts w:eastAsiaTheme="minorEastAsia" w:cs="Arial"/>
                <w:b/>
                <w:szCs w:val="20"/>
              </w:rPr>
              <w:t>andwidth</w:t>
            </w:r>
          </w:p>
        </w:tc>
      </w:tr>
      <w:tr w:rsidR="00EA1AAE" w:rsidRPr="002A1B5B" w14:paraId="7AF68DC8" w14:textId="77777777" w:rsidTr="00805859">
        <w:trPr>
          <w:cantSplit/>
        </w:trPr>
        <w:tc>
          <w:tcPr>
            <w:tcW w:w="2547" w:type="dxa"/>
          </w:tcPr>
          <w:p w14:paraId="07B4A049" w14:textId="77777777" w:rsidR="00EA1AAE" w:rsidRPr="00093A2C" w:rsidRDefault="00EA1AAE" w:rsidP="00805859">
            <w:pPr>
              <w:ind w:left="40"/>
              <w:rPr>
                <w:rFonts w:eastAsiaTheme="minorEastAsia" w:cs="Arial"/>
                <w:szCs w:val="20"/>
              </w:rPr>
            </w:pPr>
            <w:r w:rsidRPr="00093A2C">
              <w:rPr>
                <w:rFonts w:eastAsiaTheme="minorEastAsia" w:cs="Arial"/>
                <w:szCs w:val="20"/>
              </w:rPr>
              <w:t>0 Hz ≤ f</w:t>
            </w:r>
            <w:r w:rsidRPr="00093A2C">
              <w:rPr>
                <w:rFonts w:eastAsiaTheme="minorEastAsia" w:cs="Arial"/>
                <w:szCs w:val="20"/>
                <w:vertAlign w:val="subscript"/>
              </w:rPr>
              <w:t>offset</w:t>
            </w:r>
            <w:r w:rsidRPr="00093A2C">
              <w:rPr>
                <w:rFonts w:eastAsiaTheme="minorEastAsia" w:cs="Arial"/>
                <w:szCs w:val="20"/>
              </w:rPr>
              <w:t xml:space="preserve"> &lt;300 kHz</w:t>
            </w:r>
          </w:p>
        </w:tc>
        <w:tc>
          <w:tcPr>
            <w:tcW w:w="3685" w:type="dxa"/>
          </w:tcPr>
          <w:p w14:paraId="3775D814" w14:textId="77777777" w:rsidR="00EA1AAE" w:rsidRPr="00093A2C" w:rsidRDefault="00EA1AAE" w:rsidP="00805859">
            <w:pPr>
              <w:ind w:left="40"/>
              <w:rPr>
                <w:rFonts w:cs="Arial"/>
                <w:szCs w:val="20"/>
              </w:rPr>
            </w:pPr>
            <w:r w:rsidRPr="00093A2C">
              <w:rPr>
                <w:rFonts w:cs="Arial"/>
                <w:szCs w:val="20"/>
              </w:rPr>
              <w:t>10</w:t>
            </w:r>
          </w:p>
        </w:tc>
        <w:tc>
          <w:tcPr>
            <w:tcW w:w="1418" w:type="dxa"/>
            <w:vAlign w:val="center"/>
          </w:tcPr>
          <w:p w14:paraId="3EEF3CA6" w14:textId="77777777" w:rsidR="00EA1AAE" w:rsidRPr="00093A2C" w:rsidRDefault="00EA1AAE" w:rsidP="00805859">
            <w:pPr>
              <w:ind w:left="40"/>
              <w:rPr>
                <w:rFonts w:eastAsiaTheme="minorEastAsia" w:cs="Arial"/>
                <w:szCs w:val="20"/>
              </w:rPr>
            </w:pPr>
            <w:r w:rsidRPr="00093A2C">
              <w:rPr>
                <w:rFonts w:eastAsiaTheme="minorEastAsia" w:cs="Arial"/>
                <w:szCs w:val="20"/>
              </w:rPr>
              <w:t>300 kHz</w:t>
            </w:r>
          </w:p>
        </w:tc>
      </w:tr>
    </w:tbl>
    <w:p w14:paraId="5FAA3DEC" w14:textId="77777777" w:rsidR="00EA1AAE" w:rsidRPr="002A1B5B" w:rsidRDefault="00EA1AAE" w:rsidP="00805859">
      <w:pPr>
        <w:pStyle w:val="CommentText"/>
        <w:spacing w:before="240"/>
        <w:rPr>
          <w:rFonts w:cs="Arial"/>
        </w:rPr>
      </w:pPr>
      <w:r w:rsidRPr="002A1B5B">
        <w:rPr>
          <w:rFonts w:cs="Arial"/>
          <w:u w:val="single"/>
        </w:rPr>
        <w:t>AE:</w:t>
      </w:r>
      <w:r w:rsidRPr="002A1B5B">
        <w:rPr>
          <w:rFonts w:cs="Arial"/>
        </w:rPr>
        <w:t xml:space="preserve"> </w:t>
      </w:r>
      <w:r>
        <w:rPr>
          <w:rFonts w:cs="Arial"/>
        </w:rPr>
        <w:t>T</w:t>
      </w:r>
      <w:r w:rsidRPr="002A1B5B">
        <w:rPr>
          <w:rFonts w:cs="Arial"/>
        </w:rPr>
        <w:t>he non-spurious emission limits in Table 4 apply:</w:t>
      </w:r>
    </w:p>
    <w:p w14:paraId="211661C6" w14:textId="77777777" w:rsidR="00EA1AAE" w:rsidRPr="002A1B5B" w:rsidRDefault="00EA1AAE" w:rsidP="00805859">
      <w:pPr>
        <w:pStyle w:val="CommentText"/>
        <w:spacing w:before="120"/>
        <w:ind w:left="720"/>
        <w:rPr>
          <w:rFonts w:cs="Arial"/>
        </w:rPr>
      </w:pPr>
      <w:r w:rsidRPr="002A1B5B">
        <w:rPr>
          <w:rFonts w:cs="Arial"/>
        </w:rPr>
        <w:t>(a) at frequencies outside the upper or lower frequency limits as set out in Table 1; and</w:t>
      </w:r>
    </w:p>
    <w:p w14:paraId="72B1B701" w14:textId="77777777" w:rsidR="00EA1AAE" w:rsidRPr="002A1B5B" w:rsidRDefault="00EA1AAE" w:rsidP="00805859">
      <w:pPr>
        <w:pStyle w:val="CommentText"/>
        <w:spacing w:before="120"/>
        <w:ind w:left="720"/>
        <w:rPr>
          <w:rFonts w:cs="Arial"/>
        </w:rPr>
      </w:pPr>
      <w:r w:rsidRPr="002A1B5B">
        <w:rPr>
          <w:rFonts w:cs="Arial"/>
        </w:rPr>
        <w:t>(b) offset from the upper or lower frequency limits set out in Table 1</w:t>
      </w:r>
      <w:r>
        <w:rPr>
          <w:rFonts w:cs="Arial"/>
        </w:rPr>
        <w:t>;</w:t>
      </w:r>
    </w:p>
    <w:p w14:paraId="26C6858B" w14:textId="77777777" w:rsidR="00EA1AAE" w:rsidRPr="002A1B5B" w:rsidRDefault="00EA1AAE" w:rsidP="00805859">
      <w:pPr>
        <w:pStyle w:val="CommentText"/>
        <w:spacing w:before="120"/>
        <w:ind w:left="720"/>
        <w:rPr>
          <w:rFonts w:cs="Arial"/>
        </w:rPr>
      </w:pPr>
      <w:r w:rsidRPr="002A1B5B">
        <w:rPr>
          <w:rFonts w:cs="Arial"/>
        </w:rPr>
        <w:t>where:</w:t>
      </w:r>
    </w:p>
    <w:p w14:paraId="28FDF9CB" w14:textId="77777777" w:rsidR="00EA1AAE" w:rsidRPr="002A1B5B" w:rsidRDefault="00EA1AAE" w:rsidP="00805859">
      <w:pPr>
        <w:autoSpaceDE w:val="0"/>
        <w:autoSpaceDN w:val="0"/>
        <w:adjustRightInd w:val="0"/>
        <w:spacing w:before="120"/>
        <w:ind w:left="720"/>
        <w:rPr>
          <w:rFonts w:cs="Arial"/>
          <w:szCs w:val="20"/>
        </w:rPr>
      </w:pPr>
      <w:r w:rsidRPr="002A1B5B">
        <w:rPr>
          <w:rFonts w:eastAsiaTheme="minorEastAsia" w:cs="Arial"/>
          <w:szCs w:val="20"/>
        </w:rPr>
        <w:t>f</w:t>
      </w:r>
      <w:r w:rsidRPr="002A1B5B">
        <w:rPr>
          <w:rFonts w:eastAsiaTheme="minorEastAsia" w:cs="Arial"/>
          <w:szCs w:val="20"/>
          <w:vertAlign w:val="subscript"/>
        </w:rPr>
        <w:t>offset</w:t>
      </w:r>
      <w:r w:rsidRPr="002A1B5B">
        <w:rPr>
          <w:rFonts w:cs="Arial"/>
          <w:szCs w:val="20"/>
        </w:rPr>
        <w:t>: is the frequency offset from the upper or lower frequency limits set out in Table 1. The centre frequency of the specified bandwidth is placed at</w:t>
      </w:r>
      <w:r>
        <w:rPr>
          <w:rFonts w:cs="Arial"/>
          <w:szCs w:val="20"/>
        </w:rPr>
        <w:t xml:space="preserve"> </w:t>
      </w:r>
      <w:r w:rsidRPr="002A1B5B">
        <w:rPr>
          <w:rFonts w:eastAsiaTheme="minorEastAsia" w:cs="Arial"/>
          <w:szCs w:val="20"/>
        </w:rPr>
        <w:t>f</w:t>
      </w:r>
      <w:r w:rsidRPr="002A1B5B">
        <w:rPr>
          <w:rFonts w:eastAsiaTheme="minorEastAsia" w:cs="Arial"/>
          <w:szCs w:val="20"/>
          <w:vertAlign w:val="subscript"/>
        </w:rPr>
        <w:t>offset</w:t>
      </w:r>
      <w:r w:rsidRPr="002A1B5B">
        <w:rPr>
          <w:rFonts w:cs="Arial"/>
          <w:szCs w:val="20"/>
        </w:rPr>
        <w:t>.</w:t>
      </w:r>
    </w:p>
    <w:p w14:paraId="3264A17C" w14:textId="77777777" w:rsidR="00EA1AAE" w:rsidRPr="002A1B5B" w:rsidRDefault="00EA1AAE" w:rsidP="00805859">
      <w:pPr>
        <w:pStyle w:val="Tableheading0"/>
      </w:pPr>
      <w:r w:rsidRPr="002A1B5B">
        <w:t>Table 4: Radia</w:t>
      </w:r>
      <w:r>
        <w:t>ted maximum true mean power non-</w:t>
      </w:r>
      <w:r w:rsidRPr="002A1B5B">
        <w:t>spurious emission limits</w:t>
      </w:r>
    </w:p>
    <w:tbl>
      <w:tblPr>
        <w:tblStyle w:val="TableGrid"/>
        <w:tblW w:w="0" w:type="auto"/>
        <w:tblLook w:val="04A0" w:firstRow="1" w:lastRow="0" w:firstColumn="1" w:lastColumn="0" w:noHBand="0" w:noVBand="1"/>
        <w:tblCaption w:val="Table 4: Radiated maximum true mean power non spurious emission limits"/>
      </w:tblPr>
      <w:tblGrid>
        <w:gridCol w:w="2547"/>
        <w:gridCol w:w="3685"/>
        <w:gridCol w:w="1418"/>
      </w:tblGrid>
      <w:tr w:rsidR="00EA1AAE" w:rsidRPr="002A1B5B" w14:paraId="4CE9288B" w14:textId="77777777" w:rsidTr="00805859">
        <w:trPr>
          <w:cantSplit/>
          <w:tblHeader/>
        </w:trPr>
        <w:tc>
          <w:tcPr>
            <w:tcW w:w="2547" w:type="dxa"/>
          </w:tcPr>
          <w:p w14:paraId="5993E97D" w14:textId="77777777" w:rsidR="00EA1AAE" w:rsidRPr="00093A2C" w:rsidRDefault="00EA1AAE" w:rsidP="00805859">
            <w:pPr>
              <w:ind w:left="40"/>
              <w:rPr>
                <w:rFonts w:eastAsiaTheme="minorEastAsia" w:cs="Arial"/>
                <w:b/>
                <w:szCs w:val="20"/>
              </w:rPr>
            </w:pPr>
            <w:r w:rsidRPr="00093A2C">
              <w:rPr>
                <w:rFonts w:eastAsiaTheme="minorEastAsia" w:cs="Arial"/>
                <w:b/>
                <w:szCs w:val="20"/>
              </w:rPr>
              <w:t>Frequency offset range</w:t>
            </w:r>
          </w:p>
        </w:tc>
        <w:tc>
          <w:tcPr>
            <w:tcW w:w="3685" w:type="dxa"/>
          </w:tcPr>
          <w:p w14:paraId="1A713947" w14:textId="77777777" w:rsidR="00EA1AAE" w:rsidRPr="00093A2C" w:rsidRDefault="00EA1AAE">
            <w:pPr>
              <w:ind w:left="40"/>
              <w:rPr>
                <w:rFonts w:eastAsiaTheme="minorEastAsia" w:cs="Arial"/>
                <w:b/>
                <w:szCs w:val="20"/>
              </w:rPr>
            </w:pPr>
            <w:r w:rsidRPr="00093A2C">
              <w:rPr>
                <w:rFonts w:eastAsiaTheme="minorEastAsia" w:cs="Arial"/>
                <w:b/>
                <w:szCs w:val="20"/>
              </w:rPr>
              <w:t>Radiated maximum true mean power</w:t>
            </w:r>
            <w:r>
              <w:rPr>
                <w:rFonts w:eastAsiaTheme="minorEastAsia" w:cs="Arial"/>
                <w:b/>
                <w:szCs w:val="20"/>
              </w:rPr>
              <w:t xml:space="preserve"> </w:t>
            </w:r>
            <w:r w:rsidRPr="00093A2C">
              <w:rPr>
                <w:rFonts w:eastAsiaTheme="minorEastAsia" w:cs="Arial"/>
                <w:b/>
                <w:szCs w:val="20"/>
              </w:rPr>
              <w:t>(dBm EIRP)</w:t>
            </w:r>
          </w:p>
        </w:tc>
        <w:tc>
          <w:tcPr>
            <w:tcW w:w="1418" w:type="dxa"/>
          </w:tcPr>
          <w:p w14:paraId="04AF1C9B" w14:textId="77777777" w:rsidR="00EA1AAE" w:rsidRPr="00093A2C" w:rsidRDefault="00EA1AAE" w:rsidP="00805859">
            <w:pPr>
              <w:ind w:left="40"/>
              <w:rPr>
                <w:rFonts w:eastAsiaTheme="minorEastAsia" w:cs="Arial"/>
                <w:b/>
                <w:szCs w:val="20"/>
              </w:rPr>
            </w:pPr>
            <w:r w:rsidRPr="00093A2C">
              <w:rPr>
                <w:rFonts w:eastAsiaTheme="minorEastAsia" w:cs="Arial"/>
                <w:b/>
                <w:szCs w:val="20"/>
              </w:rPr>
              <w:t>S</w:t>
            </w:r>
            <w:r>
              <w:rPr>
                <w:rFonts w:eastAsiaTheme="minorEastAsia" w:cs="Arial"/>
                <w:b/>
                <w:szCs w:val="20"/>
              </w:rPr>
              <w:t>pecified b</w:t>
            </w:r>
            <w:r w:rsidRPr="00093A2C">
              <w:rPr>
                <w:rFonts w:eastAsiaTheme="minorEastAsia" w:cs="Arial"/>
                <w:b/>
                <w:szCs w:val="20"/>
              </w:rPr>
              <w:t>andwidth</w:t>
            </w:r>
          </w:p>
        </w:tc>
      </w:tr>
      <w:tr w:rsidR="00EA1AAE" w:rsidRPr="002A1B5B" w14:paraId="4367F67D" w14:textId="77777777" w:rsidTr="00805859">
        <w:trPr>
          <w:cantSplit/>
        </w:trPr>
        <w:tc>
          <w:tcPr>
            <w:tcW w:w="2547" w:type="dxa"/>
          </w:tcPr>
          <w:p w14:paraId="27C54C37" w14:textId="77777777" w:rsidR="00EA1AAE" w:rsidRPr="00093A2C" w:rsidRDefault="00EA1AAE" w:rsidP="00805859">
            <w:pPr>
              <w:ind w:left="40"/>
              <w:rPr>
                <w:rFonts w:eastAsiaTheme="minorEastAsia" w:cs="Arial"/>
                <w:szCs w:val="20"/>
              </w:rPr>
            </w:pPr>
            <w:r w:rsidRPr="00093A2C">
              <w:rPr>
                <w:rFonts w:eastAsiaTheme="minorEastAsia" w:cs="Arial"/>
                <w:szCs w:val="20"/>
              </w:rPr>
              <w:t>0 Hz ≤ f</w:t>
            </w:r>
            <w:r w:rsidRPr="00093A2C">
              <w:rPr>
                <w:rFonts w:eastAsiaTheme="minorEastAsia" w:cs="Arial"/>
                <w:szCs w:val="20"/>
                <w:vertAlign w:val="subscript"/>
              </w:rPr>
              <w:t>offset</w:t>
            </w:r>
            <w:r w:rsidRPr="00093A2C">
              <w:rPr>
                <w:rFonts w:eastAsiaTheme="minorEastAsia" w:cs="Arial"/>
                <w:szCs w:val="20"/>
              </w:rPr>
              <w:t xml:space="preserve"> &lt;200 kHz</w:t>
            </w:r>
          </w:p>
        </w:tc>
        <w:tc>
          <w:tcPr>
            <w:tcW w:w="3685" w:type="dxa"/>
          </w:tcPr>
          <w:p w14:paraId="5709AD26" w14:textId="77777777" w:rsidR="00EA1AAE" w:rsidRPr="00093A2C" w:rsidRDefault="00EA1AAE" w:rsidP="00805859">
            <w:pPr>
              <w:ind w:left="40"/>
              <w:rPr>
                <w:rFonts w:eastAsiaTheme="minorEastAsia" w:cs="Arial"/>
                <w:szCs w:val="20"/>
              </w:rPr>
            </w:pPr>
            <w:r w:rsidRPr="00093A2C">
              <w:rPr>
                <w:rFonts w:eastAsiaTheme="minorEastAsia" w:cs="Arial"/>
                <w:szCs w:val="20"/>
              </w:rPr>
              <w:t>21.5</w:t>
            </w:r>
          </w:p>
        </w:tc>
        <w:tc>
          <w:tcPr>
            <w:tcW w:w="1418" w:type="dxa"/>
            <w:vAlign w:val="center"/>
          </w:tcPr>
          <w:p w14:paraId="29447C79" w14:textId="77777777" w:rsidR="00EA1AAE" w:rsidRPr="00093A2C" w:rsidRDefault="00EA1AAE" w:rsidP="00805859">
            <w:pPr>
              <w:ind w:left="40"/>
              <w:rPr>
                <w:rFonts w:eastAsiaTheme="minorEastAsia" w:cs="Arial"/>
                <w:szCs w:val="20"/>
              </w:rPr>
            </w:pPr>
            <w:r w:rsidRPr="00093A2C">
              <w:rPr>
                <w:rFonts w:eastAsiaTheme="minorEastAsia" w:cs="Arial"/>
                <w:szCs w:val="20"/>
              </w:rPr>
              <w:t>30 kHz</w:t>
            </w:r>
          </w:p>
        </w:tc>
      </w:tr>
      <w:tr w:rsidR="00EA1AAE" w:rsidRPr="002A1B5B" w14:paraId="07C36A03" w14:textId="77777777" w:rsidTr="00805859">
        <w:trPr>
          <w:cantSplit/>
        </w:trPr>
        <w:tc>
          <w:tcPr>
            <w:tcW w:w="2547" w:type="dxa"/>
          </w:tcPr>
          <w:p w14:paraId="0667ECA9" w14:textId="77777777" w:rsidR="00EA1AAE" w:rsidRPr="00093A2C" w:rsidRDefault="00EA1AAE" w:rsidP="00805859">
            <w:pPr>
              <w:ind w:left="40"/>
              <w:rPr>
                <w:rFonts w:eastAsiaTheme="minorEastAsia" w:cs="Arial"/>
                <w:szCs w:val="20"/>
              </w:rPr>
            </w:pPr>
            <w:r w:rsidRPr="00093A2C">
              <w:rPr>
                <w:rFonts w:eastAsiaTheme="minorEastAsia" w:cs="Arial"/>
                <w:szCs w:val="20"/>
              </w:rPr>
              <w:t>200 kHz≤ f</w:t>
            </w:r>
            <w:r w:rsidRPr="00093A2C">
              <w:rPr>
                <w:rFonts w:eastAsiaTheme="minorEastAsia" w:cs="Arial"/>
                <w:szCs w:val="20"/>
                <w:vertAlign w:val="subscript"/>
              </w:rPr>
              <w:t>offset</w:t>
            </w:r>
            <w:r w:rsidRPr="00093A2C">
              <w:rPr>
                <w:rFonts w:eastAsiaTheme="minorEastAsia" w:cs="Arial"/>
                <w:szCs w:val="20"/>
              </w:rPr>
              <w:t xml:space="preserve"> &lt;1 MHz</w:t>
            </w:r>
          </w:p>
        </w:tc>
        <w:tc>
          <w:tcPr>
            <w:tcW w:w="3685" w:type="dxa"/>
          </w:tcPr>
          <w:p w14:paraId="5BEEBB4D" w14:textId="77777777" w:rsidR="00EA1AAE" w:rsidRPr="00726BA3" w:rsidRDefault="00EA1AAE" w:rsidP="00805859">
            <w:pPr>
              <w:ind w:left="40"/>
              <w:rPr>
                <w:rFonts w:cs="Arial"/>
                <w:szCs w:val="20"/>
              </w:rPr>
            </w:pPr>
            <m:oMathPara>
              <m:oMathParaPr>
                <m:jc m:val="left"/>
              </m:oMathParaPr>
              <m:oMath>
                <m:r>
                  <m:rPr>
                    <m:sty m:val="p"/>
                  </m:rPr>
                  <w:rPr>
                    <w:rFonts w:ascii="Cambria Math" w:eastAsiaTheme="minorEastAsia" w:hAnsi="Cambria Math" w:cs="Arial"/>
                    <w:szCs w:val="20"/>
                  </w:rPr>
                  <m:t>2-13.125</m:t>
                </m:r>
                <m:r>
                  <w:rPr>
                    <w:rFonts w:ascii="Cambria Math" w:eastAsiaTheme="minorEastAsia" w:hAnsi="Cambria Math" w:cs="Arial"/>
                    <w:szCs w:val="20"/>
                  </w:rPr>
                  <m:t>×</m:t>
                </m:r>
                <m:d>
                  <m:dPr>
                    <m:ctrlPr>
                      <w:rPr>
                        <w:rFonts w:ascii="Cambria Math" w:eastAsiaTheme="minorEastAsia" w:hAnsi="Cambria Math" w:cs="Arial"/>
                        <w:i/>
                        <w:szCs w:val="20"/>
                      </w:rPr>
                    </m:ctrlPr>
                  </m:dPr>
                  <m:e>
                    <m:sSub>
                      <m:sSubPr>
                        <m:ctrlPr>
                          <w:rPr>
                            <w:rFonts w:ascii="Cambria Math" w:eastAsiaTheme="minorEastAsia" w:hAnsi="Cambria Math" w:cs="Arial"/>
                            <w:i/>
                            <w:szCs w:val="20"/>
                          </w:rPr>
                        </m:ctrlPr>
                      </m:sSubPr>
                      <m:e>
                        <m:r>
                          <w:rPr>
                            <w:rFonts w:ascii="Cambria Math" w:eastAsiaTheme="minorEastAsia" w:hAnsi="Cambria Math" w:cs="Arial"/>
                            <w:szCs w:val="20"/>
                          </w:rPr>
                          <m:t>f</m:t>
                        </m:r>
                      </m:e>
                      <m:sub>
                        <m:r>
                          <w:rPr>
                            <w:rFonts w:ascii="Cambria Math" w:eastAsiaTheme="minorEastAsia" w:hAnsi="Cambria Math" w:cs="Arial"/>
                            <w:szCs w:val="20"/>
                          </w:rPr>
                          <m:t>offset</m:t>
                        </m:r>
                      </m:sub>
                    </m:sSub>
                    <m:d>
                      <m:dPr>
                        <m:ctrlPr>
                          <w:rPr>
                            <w:rFonts w:ascii="Cambria Math" w:eastAsiaTheme="minorEastAsia" w:hAnsi="Cambria Math" w:cs="Arial"/>
                            <w:i/>
                            <w:szCs w:val="20"/>
                          </w:rPr>
                        </m:ctrlPr>
                      </m:dPr>
                      <m:e>
                        <m:r>
                          <w:rPr>
                            <w:rFonts w:ascii="Cambria Math" w:eastAsiaTheme="minorEastAsia" w:hAnsi="Cambria Math" w:cs="Arial"/>
                            <w:szCs w:val="20"/>
                          </w:rPr>
                          <m:t>MHz</m:t>
                        </m:r>
                      </m:e>
                    </m:d>
                    <m:r>
                      <w:rPr>
                        <w:rFonts w:ascii="Cambria Math" w:eastAsiaTheme="minorEastAsia" w:hAnsi="Cambria Math" w:cs="Arial"/>
                        <w:szCs w:val="20"/>
                      </w:rPr>
                      <m:t>-0.2</m:t>
                    </m:r>
                  </m:e>
                </m:d>
              </m:oMath>
            </m:oMathPara>
          </w:p>
        </w:tc>
        <w:tc>
          <w:tcPr>
            <w:tcW w:w="1418" w:type="dxa"/>
            <w:vAlign w:val="center"/>
          </w:tcPr>
          <w:p w14:paraId="709463BE" w14:textId="77777777" w:rsidR="00EA1AAE" w:rsidRPr="00093A2C" w:rsidRDefault="00EA1AAE" w:rsidP="00805859">
            <w:pPr>
              <w:ind w:left="40"/>
              <w:rPr>
                <w:rFonts w:eastAsiaTheme="minorEastAsia" w:cs="Arial"/>
                <w:szCs w:val="20"/>
              </w:rPr>
            </w:pPr>
            <w:r w:rsidRPr="00093A2C">
              <w:rPr>
                <w:rFonts w:eastAsiaTheme="minorEastAsia" w:cs="Arial"/>
                <w:szCs w:val="20"/>
              </w:rPr>
              <w:t>30 kHz</w:t>
            </w:r>
          </w:p>
        </w:tc>
      </w:tr>
      <w:tr w:rsidR="00EA1AAE" w:rsidRPr="002A1B5B" w14:paraId="072A302B" w14:textId="77777777" w:rsidTr="00805859">
        <w:trPr>
          <w:cantSplit/>
        </w:trPr>
        <w:tc>
          <w:tcPr>
            <w:tcW w:w="2547" w:type="dxa"/>
          </w:tcPr>
          <w:p w14:paraId="6EC69D79" w14:textId="77777777" w:rsidR="00EA1AAE" w:rsidRPr="00093A2C" w:rsidRDefault="00EA1AAE" w:rsidP="00805859">
            <w:pPr>
              <w:ind w:left="40"/>
              <w:rPr>
                <w:rFonts w:eastAsiaTheme="minorEastAsia" w:cs="Arial"/>
                <w:szCs w:val="20"/>
              </w:rPr>
            </w:pPr>
            <w:r w:rsidRPr="00093A2C">
              <w:rPr>
                <w:rFonts w:eastAsiaTheme="minorEastAsia" w:cs="Arial"/>
                <w:szCs w:val="20"/>
              </w:rPr>
              <w:t>1 MHz ≤ f</w:t>
            </w:r>
            <w:r w:rsidRPr="00093A2C">
              <w:rPr>
                <w:rFonts w:eastAsiaTheme="minorEastAsia" w:cs="Arial"/>
                <w:szCs w:val="20"/>
                <w:vertAlign w:val="subscript"/>
              </w:rPr>
              <w:t>offset</w:t>
            </w:r>
            <w:r w:rsidRPr="00093A2C">
              <w:rPr>
                <w:rFonts w:eastAsiaTheme="minorEastAsia" w:cs="Arial"/>
                <w:szCs w:val="20"/>
              </w:rPr>
              <w:t xml:space="preserve"> &lt;5.8 MHz</w:t>
            </w:r>
          </w:p>
        </w:tc>
        <w:tc>
          <w:tcPr>
            <w:tcW w:w="3685" w:type="dxa"/>
          </w:tcPr>
          <w:p w14:paraId="5494277D" w14:textId="77777777" w:rsidR="00EA1AAE" w:rsidRPr="00093A2C" w:rsidRDefault="00EA1AAE" w:rsidP="00805859">
            <w:pPr>
              <w:ind w:left="40"/>
              <w:rPr>
                <w:rFonts w:cs="Arial"/>
                <w:szCs w:val="20"/>
              </w:rPr>
            </w:pPr>
            <w:r w:rsidRPr="00093A2C">
              <w:rPr>
                <w:rFonts w:cs="Arial"/>
                <w:szCs w:val="20"/>
              </w:rPr>
              <w:t>-8.5</w:t>
            </w:r>
          </w:p>
        </w:tc>
        <w:tc>
          <w:tcPr>
            <w:tcW w:w="1418" w:type="dxa"/>
            <w:vAlign w:val="center"/>
          </w:tcPr>
          <w:p w14:paraId="52BBBC0D" w14:textId="77777777" w:rsidR="00EA1AAE" w:rsidRPr="00093A2C" w:rsidRDefault="00EA1AAE" w:rsidP="00805859">
            <w:pPr>
              <w:ind w:left="40"/>
              <w:rPr>
                <w:rFonts w:eastAsiaTheme="minorEastAsia" w:cs="Arial"/>
                <w:szCs w:val="20"/>
              </w:rPr>
            </w:pPr>
            <w:r w:rsidRPr="00093A2C">
              <w:rPr>
                <w:rFonts w:eastAsiaTheme="minorEastAsia" w:cs="Arial"/>
                <w:szCs w:val="20"/>
              </w:rPr>
              <w:t>30 kHz</w:t>
            </w:r>
          </w:p>
        </w:tc>
      </w:tr>
      <w:tr w:rsidR="00EA1AAE" w:rsidRPr="002A1B5B" w14:paraId="6B7D4D7E" w14:textId="77777777" w:rsidTr="00805859">
        <w:trPr>
          <w:cantSplit/>
        </w:trPr>
        <w:tc>
          <w:tcPr>
            <w:tcW w:w="2547" w:type="dxa"/>
          </w:tcPr>
          <w:p w14:paraId="7886953E" w14:textId="77777777" w:rsidR="00EA1AAE" w:rsidRPr="00093A2C" w:rsidRDefault="00EA1AAE" w:rsidP="00805859">
            <w:pPr>
              <w:ind w:left="40"/>
              <w:rPr>
                <w:rFonts w:eastAsiaTheme="minorEastAsia" w:cs="Arial"/>
                <w:szCs w:val="20"/>
              </w:rPr>
            </w:pPr>
            <w:r w:rsidRPr="00093A2C">
              <w:rPr>
                <w:rFonts w:eastAsiaTheme="minorEastAsia" w:cs="Arial"/>
                <w:szCs w:val="20"/>
              </w:rPr>
              <w:t>f</w:t>
            </w:r>
            <w:r w:rsidRPr="00093A2C">
              <w:rPr>
                <w:rFonts w:eastAsiaTheme="minorEastAsia" w:cs="Arial"/>
                <w:szCs w:val="20"/>
                <w:vertAlign w:val="subscript"/>
              </w:rPr>
              <w:t>offset</w:t>
            </w:r>
            <w:r w:rsidRPr="00093A2C">
              <w:rPr>
                <w:rFonts w:eastAsiaTheme="minorEastAsia" w:cs="Arial"/>
                <w:szCs w:val="20"/>
              </w:rPr>
              <w:t xml:space="preserve"> ≥5.8 MHz</w:t>
            </w:r>
          </w:p>
        </w:tc>
        <w:tc>
          <w:tcPr>
            <w:tcW w:w="3685" w:type="dxa"/>
          </w:tcPr>
          <w:p w14:paraId="5E18717E" w14:textId="77777777" w:rsidR="00EA1AAE" w:rsidRPr="00093A2C" w:rsidRDefault="00EA1AAE" w:rsidP="00805859">
            <w:pPr>
              <w:ind w:left="40"/>
              <w:rPr>
                <w:rFonts w:cs="Arial"/>
                <w:szCs w:val="20"/>
              </w:rPr>
            </w:pPr>
            <w:r w:rsidRPr="00093A2C">
              <w:rPr>
                <w:rFonts w:cs="Arial"/>
                <w:szCs w:val="20"/>
              </w:rPr>
              <w:t>-13</w:t>
            </w:r>
          </w:p>
        </w:tc>
        <w:tc>
          <w:tcPr>
            <w:tcW w:w="1418" w:type="dxa"/>
            <w:vAlign w:val="center"/>
          </w:tcPr>
          <w:p w14:paraId="6AC6E648" w14:textId="77777777" w:rsidR="00EA1AAE" w:rsidRPr="00093A2C" w:rsidRDefault="00EA1AAE" w:rsidP="00805859">
            <w:pPr>
              <w:ind w:left="40"/>
              <w:rPr>
                <w:rFonts w:eastAsiaTheme="minorEastAsia" w:cs="Arial"/>
                <w:szCs w:val="20"/>
              </w:rPr>
            </w:pPr>
            <w:r w:rsidRPr="00093A2C">
              <w:rPr>
                <w:rFonts w:eastAsiaTheme="minorEastAsia" w:cs="Arial"/>
                <w:szCs w:val="20"/>
              </w:rPr>
              <w:t>30 kHz</w:t>
            </w:r>
          </w:p>
        </w:tc>
      </w:tr>
    </w:tbl>
    <w:p w14:paraId="4112C5FF" w14:textId="77777777" w:rsidR="00EA1AAE" w:rsidRPr="00093A2C" w:rsidRDefault="00EA1AAE" w:rsidP="00805859">
      <w:pPr>
        <w:spacing w:before="240"/>
        <w:rPr>
          <w:rFonts w:cs="Arial"/>
          <w:i/>
          <w:szCs w:val="20"/>
        </w:rPr>
      </w:pPr>
      <w:r w:rsidRPr="00093A2C">
        <w:rPr>
          <w:rFonts w:cs="Arial"/>
          <w:i/>
          <w:szCs w:val="20"/>
        </w:rPr>
        <w:t xml:space="preserve">[Conditions </w:t>
      </w:r>
      <w:r w:rsidRPr="00093A2C">
        <w:rPr>
          <w:rFonts w:cs="Arial"/>
          <w:i/>
          <w:szCs w:val="20"/>
          <w:u w:val="single"/>
        </w:rPr>
        <w:t>AF</w:t>
      </w:r>
      <w:r w:rsidRPr="00093A2C">
        <w:rPr>
          <w:rFonts w:cs="Arial"/>
          <w:i/>
          <w:szCs w:val="20"/>
        </w:rPr>
        <w:t xml:space="preserve"> </w:t>
      </w:r>
      <w:r>
        <w:rPr>
          <w:rFonts w:cs="Arial"/>
          <w:i/>
          <w:szCs w:val="20"/>
        </w:rPr>
        <w:t>to</w:t>
      </w:r>
      <w:r w:rsidRPr="00093A2C">
        <w:rPr>
          <w:rFonts w:cs="Arial"/>
          <w:i/>
          <w:szCs w:val="20"/>
        </w:rPr>
        <w:t xml:space="preserve"> </w:t>
      </w:r>
      <w:r w:rsidRPr="00093A2C">
        <w:rPr>
          <w:rFonts w:cs="Arial"/>
          <w:i/>
          <w:szCs w:val="20"/>
          <w:u w:val="single"/>
        </w:rPr>
        <w:t>AH</w:t>
      </w:r>
      <w:r w:rsidRPr="00093A2C">
        <w:rPr>
          <w:rFonts w:cs="Arial"/>
          <w:i/>
          <w:szCs w:val="20"/>
        </w:rPr>
        <w:t xml:space="preserve"> describe the </w:t>
      </w:r>
      <w:r w:rsidRPr="00093A2C">
        <w:rPr>
          <w:rFonts w:cs="Arial"/>
          <w:b/>
          <w:i/>
          <w:szCs w:val="20"/>
        </w:rPr>
        <w:t>spurious emission limits</w:t>
      </w:r>
      <w:r w:rsidRPr="00093A2C">
        <w:rPr>
          <w:rFonts w:cs="Arial"/>
          <w:i/>
          <w:szCs w:val="20"/>
        </w:rPr>
        <w:t xml:space="preserve"> that apply to the licence. Spurious emissions are emission</w:t>
      </w:r>
      <w:r>
        <w:rPr>
          <w:rFonts w:cs="Arial"/>
          <w:i/>
          <w:szCs w:val="20"/>
        </w:rPr>
        <w:t>s</w:t>
      </w:r>
      <w:r w:rsidRPr="00093A2C">
        <w:rPr>
          <w:rFonts w:cs="Arial"/>
          <w:i/>
          <w:szCs w:val="20"/>
        </w:rPr>
        <w:t xml:space="preserve"> including intermodulation products, harmonics and frequency conversion products not associated with the transmission of information by the transmitter.]</w:t>
      </w:r>
    </w:p>
    <w:p w14:paraId="08429EC8" w14:textId="77777777" w:rsidR="00EA1AAE" w:rsidRPr="00093A2C" w:rsidRDefault="00EA1AAE" w:rsidP="00805859">
      <w:pPr>
        <w:spacing w:before="120"/>
        <w:rPr>
          <w:rFonts w:cs="Arial"/>
          <w:szCs w:val="20"/>
        </w:rPr>
      </w:pPr>
      <w:r w:rsidRPr="00093A2C">
        <w:rPr>
          <w:rFonts w:cs="Arial"/>
          <w:szCs w:val="20"/>
          <w:u w:val="single"/>
        </w:rPr>
        <w:lastRenderedPageBreak/>
        <w:t>AF:</w:t>
      </w:r>
      <w:r w:rsidRPr="00093A2C">
        <w:rPr>
          <w:rFonts w:cs="Arial"/>
          <w:szCs w:val="20"/>
        </w:rPr>
        <w:t xml:space="preserve"> </w:t>
      </w:r>
      <w:r>
        <w:rPr>
          <w:rFonts w:cs="Arial"/>
          <w:szCs w:val="20"/>
        </w:rPr>
        <w:t>R</w:t>
      </w:r>
      <w:r w:rsidRPr="00093A2C">
        <w:rPr>
          <w:rFonts w:cs="Arial"/>
          <w:szCs w:val="20"/>
        </w:rPr>
        <w:t>adiocommunications devices operated under th</w:t>
      </w:r>
      <w:r>
        <w:rPr>
          <w:rFonts w:cs="Arial"/>
          <w:szCs w:val="20"/>
        </w:rPr>
        <w:t>is</w:t>
      </w:r>
      <w:r w:rsidRPr="00093A2C">
        <w:rPr>
          <w:rFonts w:cs="Arial"/>
          <w:szCs w:val="20"/>
        </w:rPr>
        <w:t xml:space="preserve"> licence must not exceed the spurious emission limits in clauses </w:t>
      </w:r>
      <w:r w:rsidRPr="00093A2C">
        <w:rPr>
          <w:rFonts w:cs="Arial"/>
          <w:szCs w:val="20"/>
          <w:u w:val="single"/>
        </w:rPr>
        <w:t>AG</w:t>
      </w:r>
      <w:r w:rsidRPr="00093A2C">
        <w:rPr>
          <w:rFonts w:cs="Arial"/>
          <w:szCs w:val="20"/>
        </w:rPr>
        <w:t xml:space="preserve"> or </w:t>
      </w:r>
      <w:r w:rsidRPr="00093A2C">
        <w:rPr>
          <w:rFonts w:cs="Arial"/>
          <w:szCs w:val="20"/>
          <w:u w:val="single"/>
        </w:rPr>
        <w:t>AH</w:t>
      </w:r>
      <w:r w:rsidRPr="00093A2C">
        <w:rPr>
          <w:rFonts w:cs="Arial"/>
          <w:szCs w:val="20"/>
        </w:rPr>
        <w:t xml:space="preserve">. </w:t>
      </w:r>
    </w:p>
    <w:p w14:paraId="7ED21BA5" w14:textId="77777777" w:rsidR="00EA1AAE" w:rsidRPr="002A1B5B" w:rsidRDefault="00EA1AAE" w:rsidP="00805859">
      <w:pPr>
        <w:pStyle w:val="CommentText"/>
        <w:spacing w:before="120"/>
        <w:rPr>
          <w:rFonts w:cs="Arial"/>
        </w:rPr>
      </w:pPr>
      <w:r w:rsidRPr="002A1B5B">
        <w:rPr>
          <w:rFonts w:cs="Arial"/>
          <w:u w:val="single"/>
        </w:rPr>
        <w:t>AG:</w:t>
      </w:r>
      <w:r w:rsidRPr="002A1B5B">
        <w:rPr>
          <w:rFonts w:cs="Arial"/>
        </w:rPr>
        <w:t xml:space="preserve"> </w:t>
      </w:r>
      <w:r>
        <w:rPr>
          <w:rFonts w:cs="Arial"/>
        </w:rPr>
        <w:t>F</w:t>
      </w:r>
      <w:r w:rsidRPr="002A1B5B">
        <w:rPr>
          <w:rFonts w:cs="Arial"/>
        </w:rPr>
        <w:t>or radiocommunications transmitters operated under th</w:t>
      </w:r>
      <w:r>
        <w:rPr>
          <w:rFonts w:cs="Arial"/>
        </w:rPr>
        <w:t>is</w:t>
      </w:r>
      <w:r w:rsidRPr="002A1B5B">
        <w:rPr>
          <w:rFonts w:cs="Arial"/>
        </w:rPr>
        <w:t xml:space="preserve"> licence, the spurious emission limits in Table 5 apply at frequencies outside the 1710</w:t>
      </w:r>
      <w:r>
        <w:rPr>
          <w:rFonts w:cs="Arial"/>
        </w:rPr>
        <w:t>–</w:t>
      </w:r>
      <w:r w:rsidRPr="002A1B5B">
        <w:rPr>
          <w:rFonts w:cs="Arial"/>
        </w:rPr>
        <w:t>1785 MHz and 1805</w:t>
      </w:r>
      <w:r>
        <w:rPr>
          <w:rFonts w:cs="Arial"/>
        </w:rPr>
        <w:t>–</w:t>
      </w:r>
      <w:r w:rsidRPr="002A1B5B">
        <w:rPr>
          <w:rFonts w:cs="Arial"/>
        </w:rPr>
        <w:t>1880 MHz frequency bands.</w:t>
      </w:r>
    </w:p>
    <w:p w14:paraId="5D7B8399" w14:textId="77777777" w:rsidR="00EA1AAE" w:rsidRPr="002A1B5B" w:rsidRDefault="00EA1AAE" w:rsidP="00805859">
      <w:pPr>
        <w:pStyle w:val="Tableheading0"/>
      </w:pPr>
      <w:r w:rsidRPr="002A1B5B">
        <w:t>Table 5: Radiocommunications transmitter spurious emission limits</w:t>
      </w:r>
    </w:p>
    <w:tbl>
      <w:tblPr>
        <w:tblStyle w:val="TableGrid"/>
        <w:tblW w:w="0" w:type="auto"/>
        <w:tblLook w:val="04A0" w:firstRow="1" w:lastRow="0" w:firstColumn="1" w:lastColumn="0" w:noHBand="0" w:noVBand="1"/>
        <w:tblCaption w:val="Table 5: Radiocommunications transmitter spurious emission limits"/>
      </w:tblPr>
      <w:tblGrid>
        <w:gridCol w:w="2547"/>
        <w:gridCol w:w="3685"/>
        <w:gridCol w:w="1418"/>
      </w:tblGrid>
      <w:tr w:rsidR="00EA1AAE" w:rsidRPr="002A1B5B" w14:paraId="56A898B3" w14:textId="77777777" w:rsidTr="00805859">
        <w:trPr>
          <w:cantSplit/>
          <w:tblHeader/>
        </w:trPr>
        <w:tc>
          <w:tcPr>
            <w:tcW w:w="2547" w:type="dxa"/>
          </w:tcPr>
          <w:p w14:paraId="66746BC2" w14:textId="77777777" w:rsidR="00EA1AAE" w:rsidRPr="00093A2C" w:rsidRDefault="00EA1AAE">
            <w:pPr>
              <w:ind w:left="40"/>
              <w:rPr>
                <w:rFonts w:eastAsiaTheme="minorEastAsia" w:cs="Arial"/>
                <w:b/>
                <w:szCs w:val="20"/>
              </w:rPr>
            </w:pPr>
            <w:r w:rsidRPr="00093A2C">
              <w:rPr>
                <w:rFonts w:eastAsiaTheme="minorEastAsia" w:cs="Arial"/>
                <w:b/>
                <w:szCs w:val="20"/>
              </w:rPr>
              <w:t>Frequency range</w:t>
            </w:r>
            <w:r>
              <w:rPr>
                <w:rFonts w:eastAsiaTheme="minorEastAsia" w:cs="Arial"/>
                <w:b/>
                <w:szCs w:val="20"/>
              </w:rPr>
              <w:t xml:space="preserve"> </w:t>
            </w:r>
            <w:r w:rsidRPr="00093A2C">
              <w:rPr>
                <w:rFonts w:eastAsiaTheme="minorEastAsia" w:cs="Arial"/>
                <w:b/>
                <w:szCs w:val="20"/>
              </w:rPr>
              <w:t>(f)</w:t>
            </w:r>
          </w:p>
        </w:tc>
        <w:tc>
          <w:tcPr>
            <w:tcW w:w="3685" w:type="dxa"/>
          </w:tcPr>
          <w:p w14:paraId="1B56CFE4" w14:textId="77777777" w:rsidR="00EA1AAE" w:rsidRPr="00093A2C" w:rsidRDefault="00EA1AAE">
            <w:pPr>
              <w:ind w:left="40"/>
              <w:rPr>
                <w:rFonts w:eastAsiaTheme="minorEastAsia" w:cs="Arial"/>
                <w:b/>
                <w:szCs w:val="20"/>
              </w:rPr>
            </w:pPr>
            <w:r w:rsidRPr="00093A2C">
              <w:rPr>
                <w:rFonts w:cs="Arial"/>
                <w:b/>
                <w:szCs w:val="20"/>
              </w:rPr>
              <w:t>Radiated mean power</w:t>
            </w:r>
            <w:r>
              <w:rPr>
                <w:rFonts w:cs="Arial"/>
                <w:b/>
                <w:szCs w:val="20"/>
              </w:rPr>
              <w:t xml:space="preserve"> </w:t>
            </w:r>
            <w:r w:rsidRPr="00093A2C">
              <w:rPr>
                <w:rFonts w:eastAsiaTheme="minorEastAsia" w:cs="Arial"/>
                <w:b/>
                <w:szCs w:val="20"/>
              </w:rPr>
              <w:t>(dBm EIRP)</w:t>
            </w:r>
          </w:p>
        </w:tc>
        <w:tc>
          <w:tcPr>
            <w:tcW w:w="1418" w:type="dxa"/>
          </w:tcPr>
          <w:p w14:paraId="6C720C35" w14:textId="77777777" w:rsidR="00EA1AAE" w:rsidRPr="00093A2C" w:rsidRDefault="00EA1AAE" w:rsidP="00805859">
            <w:pPr>
              <w:ind w:left="40"/>
              <w:rPr>
                <w:rFonts w:eastAsiaTheme="minorEastAsia" w:cs="Arial"/>
                <w:b/>
                <w:szCs w:val="20"/>
              </w:rPr>
            </w:pPr>
            <w:r w:rsidRPr="00093A2C">
              <w:rPr>
                <w:rFonts w:eastAsiaTheme="minorEastAsia" w:cs="Arial"/>
                <w:b/>
                <w:szCs w:val="20"/>
              </w:rPr>
              <w:t>Specified</w:t>
            </w:r>
          </w:p>
          <w:p w14:paraId="6E4B37CD" w14:textId="77777777" w:rsidR="00EA1AAE" w:rsidRPr="00093A2C" w:rsidRDefault="00EA1AAE" w:rsidP="00805859">
            <w:pPr>
              <w:ind w:left="40"/>
              <w:rPr>
                <w:rFonts w:eastAsiaTheme="minorEastAsia" w:cs="Arial"/>
                <w:b/>
                <w:szCs w:val="20"/>
              </w:rPr>
            </w:pPr>
            <w:r>
              <w:rPr>
                <w:rFonts w:eastAsiaTheme="minorEastAsia" w:cs="Arial"/>
                <w:b/>
                <w:szCs w:val="20"/>
              </w:rPr>
              <w:t>b</w:t>
            </w:r>
            <w:r w:rsidRPr="00093A2C">
              <w:rPr>
                <w:rFonts w:eastAsiaTheme="minorEastAsia" w:cs="Arial"/>
                <w:b/>
                <w:szCs w:val="20"/>
              </w:rPr>
              <w:t>andwidth</w:t>
            </w:r>
          </w:p>
        </w:tc>
      </w:tr>
      <w:tr w:rsidR="00EA1AAE" w:rsidRPr="002A1B5B" w14:paraId="75970D4C" w14:textId="77777777" w:rsidTr="00805859">
        <w:trPr>
          <w:cantSplit/>
        </w:trPr>
        <w:tc>
          <w:tcPr>
            <w:tcW w:w="2547" w:type="dxa"/>
          </w:tcPr>
          <w:p w14:paraId="1CF6F427" w14:textId="77777777" w:rsidR="00EA1AAE" w:rsidRPr="00093A2C" w:rsidRDefault="00EA1AAE" w:rsidP="00805859">
            <w:pPr>
              <w:ind w:left="40"/>
              <w:rPr>
                <w:rFonts w:eastAsiaTheme="minorEastAsia" w:cs="Arial"/>
                <w:szCs w:val="20"/>
              </w:rPr>
            </w:pPr>
            <w:r w:rsidRPr="00093A2C">
              <w:rPr>
                <w:rFonts w:eastAsiaTheme="minorEastAsia" w:cs="Arial"/>
                <w:szCs w:val="20"/>
              </w:rPr>
              <w:t>9 kHz ≤ f &lt;150 kHz</w:t>
            </w:r>
          </w:p>
        </w:tc>
        <w:tc>
          <w:tcPr>
            <w:tcW w:w="3685" w:type="dxa"/>
          </w:tcPr>
          <w:p w14:paraId="49014FF0" w14:textId="77777777" w:rsidR="00EA1AAE" w:rsidRPr="00093A2C" w:rsidRDefault="00EA1AAE" w:rsidP="00805859">
            <w:pPr>
              <w:ind w:left="40"/>
              <w:rPr>
                <w:rFonts w:eastAsiaTheme="minorEastAsia" w:cs="Arial"/>
                <w:szCs w:val="20"/>
              </w:rPr>
            </w:pPr>
            <w:r w:rsidRPr="00093A2C">
              <w:rPr>
                <w:rFonts w:eastAsiaTheme="minorEastAsia" w:cs="Arial"/>
                <w:szCs w:val="20"/>
              </w:rPr>
              <w:t>-36</w:t>
            </w:r>
          </w:p>
        </w:tc>
        <w:tc>
          <w:tcPr>
            <w:tcW w:w="1418" w:type="dxa"/>
            <w:vAlign w:val="center"/>
          </w:tcPr>
          <w:p w14:paraId="526486DF" w14:textId="77777777" w:rsidR="00EA1AAE" w:rsidRPr="00093A2C" w:rsidRDefault="00EA1AAE" w:rsidP="00805859">
            <w:pPr>
              <w:ind w:left="40"/>
              <w:rPr>
                <w:rFonts w:eastAsiaTheme="minorEastAsia" w:cs="Arial"/>
                <w:szCs w:val="20"/>
              </w:rPr>
            </w:pPr>
            <w:r w:rsidRPr="00093A2C">
              <w:rPr>
                <w:rFonts w:eastAsiaTheme="minorEastAsia" w:cs="Arial"/>
                <w:szCs w:val="20"/>
              </w:rPr>
              <w:t>1 kHz</w:t>
            </w:r>
          </w:p>
        </w:tc>
      </w:tr>
      <w:tr w:rsidR="00EA1AAE" w:rsidRPr="002A1B5B" w14:paraId="2695ABD3" w14:textId="77777777" w:rsidTr="00805859">
        <w:trPr>
          <w:cantSplit/>
        </w:trPr>
        <w:tc>
          <w:tcPr>
            <w:tcW w:w="2547" w:type="dxa"/>
          </w:tcPr>
          <w:p w14:paraId="3EE61937" w14:textId="77777777" w:rsidR="00EA1AAE" w:rsidRPr="00093A2C" w:rsidRDefault="00EA1AAE" w:rsidP="00805859">
            <w:pPr>
              <w:ind w:left="40"/>
              <w:rPr>
                <w:rFonts w:eastAsiaTheme="minorEastAsia" w:cs="Arial"/>
                <w:szCs w:val="20"/>
              </w:rPr>
            </w:pPr>
            <w:r w:rsidRPr="00093A2C">
              <w:rPr>
                <w:rFonts w:eastAsiaTheme="minorEastAsia" w:cs="Arial"/>
                <w:szCs w:val="20"/>
              </w:rPr>
              <w:t>150 kHz ≤ f &lt;30 MHz</w:t>
            </w:r>
          </w:p>
        </w:tc>
        <w:tc>
          <w:tcPr>
            <w:tcW w:w="3685" w:type="dxa"/>
          </w:tcPr>
          <w:p w14:paraId="1C622F85" w14:textId="77777777" w:rsidR="00EA1AAE" w:rsidRPr="00093A2C" w:rsidRDefault="00EA1AAE" w:rsidP="00805859">
            <w:pPr>
              <w:ind w:left="40"/>
              <w:rPr>
                <w:rFonts w:eastAsiaTheme="minorEastAsia" w:cs="Arial"/>
                <w:szCs w:val="20"/>
              </w:rPr>
            </w:pPr>
            <w:r w:rsidRPr="00093A2C">
              <w:rPr>
                <w:rFonts w:eastAsiaTheme="minorEastAsia" w:cs="Arial"/>
                <w:szCs w:val="20"/>
              </w:rPr>
              <w:t>-36</w:t>
            </w:r>
          </w:p>
        </w:tc>
        <w:tc>
          <w:tcPr>
            <w:tcW w:w="1418" w:type="dxa"/>
            <w:vAlign w:val="center"/>
          </w:tcPr>
          <w:p w14:paraId="7DC5C14D" w14:textId="77777777" w:rsidR="00EA1AAE" w:rsidRPr="00093A2C" w:rsidRDefault="00EA1AAE" w:rsidP="00805859">
            <w:pPr>
              <w:ind w:left="40"/>
              <w:rPr>
                <w:rFonts w:eastAsiaTheme="minorEastAsia" w:cs="Arial"/>
                <w:szCs w:val="20"/>
              </w:rPr>
            </w:pPr>
            <w:r w:rsidRPr="00093A2C">
              <w:rPr>
                <w:rFonts w:eastAsiaTheme="minorEastAsia" w:cs="Arial"/>
                <w:szCs w:val="20"/>
              </w:rPr>
              <w:t>10 kHz</w:t>
            </w:r>
          </w:p>
        </w:tc>
      </w:tr>
      <w:tr w:rsidR="00EA1AAE" w:rsidRPr="002A1B5B" w14:paraId="29255E98" w14:textId="77777777" w:rsidTr="00805859">
        <w:trPr>
          <w:cantSplit/>
        </w:trPr>
        <w:tc>
          <w:tcPr>
            <w:tcW w:w="2547" w:type="dxa"/>
          </w:tcPr>
          <w:p w14:paraId="56ED7313" w14:textId="77777777" w:rsidR="00EA1AAE" w:rsidRPr="00093A2C" w:rsidRDefault="00EA1AAE" w:rsidP="00805859">
            <w:pPr>
              <w:ind w:left="40"/>
              <w:rPr>
                <w:rFonts w:eastAsiaTheme="minorEastAsia" w:cs="Arial"/>
                <w:szCs w:val="20"/>
              </w:rPr>
            </w:pPr>
            <w:r w:rsidRPr="00093A2C">
              <w:rPr>
                <w:rFonts w:eastAsiaTheme="minorEastAsia" w:cs="Arial"/>
                <w:szCs w:val="20"/>
              </w:rPr>
              <w:t>30MHz ≤ f &lt;1 GHz</w:t>
            </w:r>
          </w:p>
        </w:tc>
        <w:tc>
          <w:tcPr>
            <w:tcW w:w="3685" w:type="dxa"/>
          </w:tcPr>
          <w:p w14:paraId="6E648D4C" w14:textId="77777777" w:rsidR="00EA1AAE" w:rsidRPr="00093A2C" w:rsidRDefault="00EA1AAE" w:rsidP="00805859">
            <w:pPr>
              <w:ind w:left="40"/>
              <w:rPr>
                <w:rFonts w:eastAsiaTheme="minorEastAsia" w:cs="Arial"/>
                <w:szCs w:val="20"/>
              </w:rPr>
            </w:pPr>
            <w:r w:rsidRPr="00093A2C">
              <w:rPr>
                <w:rFonts w:eastAsiaTheme="minorEastAsia" w:cs="Arial"/>
                <w:szCs w:val="20"/>
              </w:rPr>
              <w:t>-36</w:t>
            </w:r>
          </w:p>
        </w:tc>
        <w:tc>
          <w:tcPr>
            <w:tcW w:w="1418" w:type="dxa"/>
            <w:vAlign w:val="center"/>
          </w:tcPr>
          <w:p w14:paraId="228D7DF1" w14:textId="77777777" w:rsidR="00EA1AAE" w:rsidRPr="00093A2C" w:rsidRDefault="00EA1AAE" w:rsidP="00805859">
            <w:pPr>
              <w:ind w:left="40"/>
              <w:rPr>
                <w:rFonts w:eastAsiaTheme="minorEastAsia" w:cs="Arial"/>
                <w:szCs w:val="20"/>
              </w:rPr>
            </w:pPr>
            <w:r w:rsidRPr="00093A2C">
              <w:rPr>
                <w:rFonts w:eastAsiaTheme="minorEastAsia" w:cs="Arial"/>
                <w:szCs w:val="20"/>
              </w:rPr>
              <w:t>100 kHz</w:t>
            </w:r>
          </w:p>
        </w:tc>
      </w:tr>
      <w:tr w:rsidR="00EA1AAE" w:rsidRPr="002A1B5B" w14:paraId="410C0B7C" w14:textId="77777777" w:rsidTr="00805859">
        <w:trPr>
          <w:cantSplit/>
        </w:trPr>
        <w:tc>
          <w:tcPr>
            <w:tcW w:w="2547" w:type="dxa"/>
          </w:tcPr>
          <w:p w14:paraId="19AAB11B" w14:textId="77777777" w:rsidR="00EA1AAE" w:rsidRPr="00093A2C" w:rsidRDefault="00EA1AAE" w:rsidP="00805859">
            <w:pPr>
              <w:ind w:left="40"/>
              <w:rPr>
                <w:rFonts w:eastAsiaTheme="minorEastAsia" w:cs="Arial"/>
                <w:szCs w:val="20"/>
              </w:rPr>
            </w:pPr>
            <w:r w:rsidRPr="00093A2C">
              <w:rPr>
                <w:rFonts w:eastAsiaTheme="minorEastAsia" w:cs="Arial"/>
                <w:szCs w:val="20"/>
              </w:rPr>
              <w:t>1 GHz≤ f &lt;3.5 GHz</w:t>
            </w:r>
          </w:p>
        </w:tc>
        <w:tc>
          <w:tcPr>
            <w:tcW w:w="3685" w:type="dxa"/>
          </w:tcPr>
          <w:p w14:paraId="44592203" w14:textId="77777777" w:rsidR="00EA1AAE" w:rsidRPr="00093A2C" w:rsidRDefault="00EA1AAE" w:rsidP="00805859">
            <w:pPr>
              <w:ind w:left="40"/>
              <w:rPr>
                <w:rFonts w:eastAsiaTheme="minorEastAsia" w:cs="Arial"/>
                <w:szCs w:val="20"/>
              </w:rPr>
            </w:pPr>
            <w:r w:rsidRPr="00093A2C">
              <w:rPr>
                <w:rFonts w:eastAsiaTheme="minorEastAsia" w:cs="Arial"/>
                <w:szCs w:val="20"/>
              </w:rPr>
              <w:t>-2</w:t>
            </w:r>
          </w:p>
        </w:tc>
        <w:tc>
          <w:tcPr>
            <w:tcW w:w="1418" w:type="dxa"/>
            <w:vAlign w:val="center"/>
          </w:tcPr>
          <w:p w14:paraId="2A7AB8B0" w14:textId="77777777" w:rsidR="00EA1AAE" w:rsidRPr="00093A2C" w:rsidRDefault="00EA1AAE" w:rsidP="00805859">
            <w:pPr>
              <w:ind w:left="40"/>
              <w:rPr>
                <w:rFonts w:eastAsiaTheme="minorEastAsia" w:cs="Arial"/>
                <w:szCs w:val="20"/>
              </w:rPr>
            </w:pPr>
            <w:r w:rsidRPr="00093A2C">
              <w:rPr>
                <w:rFonts w:eastAsiaTheme="minorEastAsia" w:cs="Arial"/>
                <w:szCs w:val="20"/>
              </w:rPr>
              <w:t>1 MHz</w:t>
            </w:r>
          </w:p>
        </w:tc>
      </w:tr>
      <w:tr w:rsidR="00EA1AAE" w:rsidRPr="002A1B5B" w14:paraId="2DEF382B" w14:textId="77777777" w:rsidTr="00805859">
        <w:trPr>
          <w:cantSplit/>
        </w:trPr>
        <w:tc>
          <w:tcPr>
            <w:tcW w:w="2547" w:type="dxa"/>
          </w:tcPr>
          <w:p w14:paraId="06215BD5" w14:textId="77777777" w:rsidR="00EA1AAE" w:rsidRPr="00093A2C" w:rsidRDefault="00EA1AAE" w:rsidP="00805859">
            <w:pPr>
              <w:ind w:left="40"/>
              <w:rPr>
                <w:rFonts w:eastAsiaTheme="minorEastAsia" w:cs="Arial"/>
                <w:szCs w:val="20"/>
              </w:rPr>
            </w:pPr>
            <w:r w:rsidRPr="00093A2C">
              <w:rPr>
                <w:rFonts w:eastAsiaTheme="minorEastAsia" w:cs="Arial"/>
                <w:szCs w:val="20"/>
              </w:rPr>
              <w:t>3.5 GHz≤ f &lt;12.75 GHz</w:t>
            </w:r>
          </w:p>
        </w:tc>
        <w:tc>
          <w:tcPr>
            <w:tcW w:w="3685" w:type="dxa"/>
          </w:tcPr>
          <w:p w14:paraId="48CCAE4E" w14:textId="77777777" w:rsidR="00EA1AAE" w:rsidRPr="00093A2C" w:rsidRDefault="00EA1AAE" w:rsidP="00805859">
            <w:pPr>
              <w:ind w:left="40"/>
              <w:rPr>
                <w:rFonts w:cs="Arial"/>
                <w:szCs w:val="20"/>
              </w:rPr>
            </w:pPr>
            <w:r w:rsidRPr="00093A2C">
              <w:rPr>
                <w:rFonts w:cs="Arial"/>
                <w:szCs w:val="20"/>
              </w:rPr>
              <w:t>-30</w:t>
            </w:r>
          </w:p>
        </w:tc>
        <w:tc>
          <w:tcPr>
            <w:tcW w:w="1418" w:type="dxa"/>
            <w:vAlign w:val="center"/>
          </w:tcPr>
          <w:p w14:paraId="6F47BB74" w14:textId="77777777" w:rsidR="00EA1AAE" w:rsidRPr="00093A2C" w:rsidRDefault="00EA1AAE" w:rsidP="00805859">
            <w:pPr>
              <w:ind w:left="40"/>
              <w:rPr>
                <w:rFonts w:eastAsiaTheme="minorEastAsia" w:cs="Arial"/>
                <w:szCs w:val="20"/>
              </w:rPr>
            </w:pPr>
            <w:r w:rsidRPr="00093A2C">
              <w:rPr>
                <w:rFonts w:eastAsiaTheme="minorEastAsia" w:cs="Arial"/>
                <w:szCs w:val="20"/>
              </w:rPr>
              <w:t>1 MHz</w:t>
            </w:r>
          </w:p>
        </w:tc>
      </w:tr>
    </w:tbl>
    <w:p w14:paraId="4D4A9A2B" w14:textId="77777777" w:rsidR="00EA1AAE" w:rsidRPr="002A1B5B" w:rsidRDefault="00EA1AAE" w:rsidP="00805859">
      <w:pPr>
        <w:pStyle w:val="CommentText"/>
        <w:spacing w:before="240"/>
        <w:rPr>
          <w:rFonts w:cs="Arial"/>
        </w:rPr>
      </w:pPr>
      <w:r w:rsidRPr="002A1B5B">
        <w:rPr>
          <w:rFonts w:cs="Arial"/>
          <w:u w:val="single"/>
        </w:rPr>
        <w:t>AH:</w:t>
      </w:r>
      <w:r w:rsidRPr="002A1B5B">
        <w:rPr>
          <w:rFonts w:cs="Arial"/>
        </w:rPr>
        <w:t xml:space="preserve"> </w:t>
      </w:r>
      <w:r>
        <w:rPr>
          <w:rFonts w:cs="Arial"/>
        </w:rPr>
        <w:t>F</w:t>
      </w:r>
      <w:r w:rsidRPr="002A1B5B">
        <w:rPr>
          <w:rFonts w:cs="Arial"/>
        </w:rPr>
        <w:t>or radiocommunications receivers operated under th</w:t>
      </w:r>
      <w:r>
        <w:rPr>
          <w:rFonts w:cs="Arial"/>
        </w:rPr>
        <w:t>is</w:t>
      </w:r>
      <w:r w:rsidRPr="002A1B5B">
        <w:rPr>
          <w:rFonts w:cs="Arial"/>
        </w:rPr>
        <w:t xml:space="preserve"> licence, the spurious emission limits in Table 6 apply at frequencies outside the 1710</w:t>
      </w:r>
      <w:r>
        <w:rPr>
          <w:rFonts w:cs="Arial"/>
        </w:rPr>
        <w:t>–</w:t>
      </w:r>
      <w:r w:rsidRPr="002A1B5B">
        <w:rPr>
          <w:rFonts w:cs="Arial"/>
        </w:rPr>
        <w:t>1785 MHz and 1805</w:t>
      </w:r>
      <w:r>
        <w:rPr>
          <w:rFonts w:cs="Arial"/>
        </w:rPr>
        <w:t>–</w:t>
      </w:r>
      <w:r w:rsidRPr="002A1B5B">
        <w:rPr>
          <w:rFonts w:cs="Arial"/>
        </w:rPr>
        <w:t xml:space="preserve">1880 MHz frequency bands. </w:t>
      </w:r>
    </w:p>
    <w:p w14:paraId="42094793" w14:textId="77777777" w:rsidR="00EA1AAE" w:rsidRPr="002A1B5B" w:rsidRDefault="00EA1AAE" w:rsidP="00805859">
      <w:pPr>
        <w:pStyle w:val="Tableheading0"/>
        <w:spacing w:before="240"/>
      </w:pPr>
      <w:r w:rsidRPr="002A1B5B">
        <w:t>Table 6: Radiocommunications receiver spurious emission limits</w:t>
      </w:r>
    </w:p>
    <w:tbl>
      <w:tblPr>
        <w:tblStyle w:val="TableGrid"/>
        <w:tblW w:w="0" w:type="auto"/>
        <w:tblLook w:val="04A0" w:firstRow="1" w:lastRow="0" w:firstColumn="1" w:lastColumn="0" w:noHBand="0" w:noVBand="1"/>
        <w:tblCaption w:val="Table 6: Radiocommunications receiver spurious emission limits"/>
      </w:tblPr>
      <w:tblGrid>
        <w:gridCol w:w="2547"/>
        <w:gridCol w:w="3685"/>
        <w:gridCol w:w="1418"/>
      </w:tblGrid>
      <w:tr w:rsidR="00EA1AAE" w:rsidRPr="002A1B5B" w14:paraId="332DCB9E" w14:textId="77777777" w:rsidTr="00805859">
        <w:trPr>
          <w:cantSplit/>
          <w:tblHeader/>
        </w:trPr>
        <w:tc>
          <w:tcPr>
            <w:tcW w:w="2547" w:type="dxa"/>
          </w:tcPr>
          <w:p w14:paraId="790BB814" w14:textId="77777777" w:rsidR="00EA1AAE" w:rsidRPr="00093A2C" w:rsidRDefault="00EA1AAE">
            <w:pPr>
              <w:ind w:left="40"/>
              <w:rPr>
                <w:rFonts w:eastAsiaTheme="minorEastAsia" w:cs="Arial"/>
                <w:b/>
                <w:szCs w:val="20"/>
              </w:rPr>
            </w:pPr>
            <w:r w:rsidRPr="00093A2C">
              <w:rPr>
                <w:rFonts w:eastAsiaTheme="minorEastAsia" w:cs="Arial"/>
                <w:b/>
                <w:szCs w:val="20"/>
              </w:rPr>
              <w:t>Frequency range</w:t>
            </w:r>
            <w:r>
              <w:rPr>
                <w:rFonts w:eastAsiaTheme="minorEastAsia" w:cs="Arial"/>
                <w:b/>
                <w:szCs w:val="20"/>
              </w:rPr>
              <w:t xml:space="preserve"> </w:t>
            </w:r>
            <w:r w:rsidRPr="00093A2C">
              <w:rPr>
                <w:rFonts w:eastAsiaTheme="minorEastAsia" w:cs="Arial"/>
                <w:b/>
                <w:szCs w:val="20"/>
              </w:rPr>
              <w:t>(f)</w:t>
            </w:r>
          </w:p>
        </w:tc>
        <w:tc>
          <w:tcPr>
            <w:tcW w:w="3685" w:type="dxa"/>
          </w:tcPr>
          <w:p w14:paraId="51A1C3C3" w14:textId="77777777" w:rsidR="00EA1AAE" w:rsidRPr="00093A2C" w:rsidRDefault="00EA1AAE">
            <w:pPr>
              <w:ind w:left="40"/>
              <w:rPr>
                <w:rFonts w:eastAsiaTheme="minorEastAsia" w:cs="Arial"/>
                <w:b/>
                <w:szCs w:val="20"/>
              </w:rPr>
            </w:pPr>
            <w:r w:rsidRPr="00093A2C">
              <w:rPr>
                <w:rFonts w:cs="Arial"/>
                <w:b/>
                <w:szCs w:val="20"/>
              </w:rPr>
              <w:t>Radiated mean power</w:t>
            </w:r>
            <w:r>
              <w:rPr>
                <w:rFonts w:cs="Arial"/>
                <w:b/>
                <w:szCs w:val="20"/>
              </w:rPr>
              <w:t xml:space="preserve"> </w:t>
            </w:r>
            <w:r w:rsidRPr="00093A2C">
              <w:rPr>
                <w:rFonts w:eastAsiaTheme="minorEastAsia" w:cs="Arial"/>
                <w:b/>
                <w:szCs w:val="20"/>
              </w:rPr>
              <w:t>(dBm EIRP)</w:t>
            </w:r>
          </w:p>
        </w:tc>
        <w:tc>
          <w:tcPr>
            <w:tcW w:w="1418" w:type="dxa"/>
          </w:tcPr>
          <w:p w14:paraId="45DFEA47" w14:textId="77777777" w:rsidR="00EA1AAE" w:rsidRPr="00093A2C" w:rsidRDefault="00EA1AAE" w:rsidP="00805859">
            <w:pPr>
              <w:ind w:left="40"/>
              <w:rPr>
                <w:rFonts w:eastAsiaTheme="minorEastAsia" w:cs="Arial"/>
                <w:b/>
                <w:szCs w:val="20"/>
              </w:rPr>
            </w:pPr>
            <w:r w:rsidRPr="00093A2C">
              <w:rPr>
                <w:rFonts w:eastAsiaTheme="minorEastAsia" w:cs="Arial"/>
                <w:b/>
                <w:szCs w:val="20"/>
              </w:rPr>
              <w:t>Specified</w:t>
            </w:r>
          </w:p>
          <w:p w14:paraId="3A2B88D9" w14:textId="77777777" w:rsidR="00EA1AAE" w:rsidRPr="00093A2C" w:rsidRDefault="00EA1AAE" w:rsidP="00805859">
            <w:pPr>
              <w:ind w:left="40"/>
              <w:rPr>
                <w:rFonts w:eastAsiaTheme="minorEastAsia" w:cs="Arial"/>
                <w:b/>
                <w:szCs w:val="20"/>
              </w:rPr>
            </w:pPr>
            <w:r>
              <w:rPr>
                <w:rFonts w:eastAsiaTheme="minorEastAsia" w:cs="Arial"/>
                <w:b/>
                <w:szCs w:val="20"/>
              </w:rPr>
              <w:t>b</w:t>
            </w:r>
            <w:r w:rsidRPr="00093A2C">
              <w:rPr>
                <w:rFonts w:eastAsiaTheme="minorEastAsia" w:cs="Arial"/>
                <w:b/>
                <w:szCs w:val="20"/>
              </w:rPr>
              <w:t>andwidth</w:t>
            </w:r>
          </w:p>
        </w:tc>
      </w:tr>
      <w:tr w:rsidR="00EA1AAE" w:rsidRPr="002A1B5B" w14:paraId="549D1B58" w14:textId="77777777" w:rsidTr="00805859">
        <w:trPr>
          <w:cantSplit/>
        </w:trPr>
        <w:tc>
          <w:tcPr>
            <w:tcW w:w="2547" w:type="dxa"/>
          </w:tcPr>
          <w:p w14:paraId="7EE93D9E" w14:textId="77777777" w:rsidR="00EA1AAE" w:rsidRPr="00093A2C" w:rsidRDefault="00EA1AAE" w:rsidP="00805859">
            <w:pPr>
              <w:ind w:left="40"/>
              <w:rPr>
                <w:rFonts w:eastAsiaTheme="minorEastAsia" w:cs="Arial"/>
                <w:szCs w:val="20"/>
              </w:rPr>
            </w:pPr>
            <w:r w:rsidRPr="00093A2C">
              <w:rPr>
                <w:rFonts w:eastAsiaTheme="minorEastAsia" w:cs="Arial"/>
                <w:szCs w:val="20"/>
              </w:rPr>
              <w:t>9 kHz ≤ f &lt;1 GHz</w:t>
            </w:r>
          </w:p>
        </w:tc>
        <w:tc>
          <w:tcPr>
            <w:tcW w:w="3685" w:type="dxa"/>
          </w:tcPr>
          <w:p w14:paraId="54EDD2B4" w14:textId="77777777" w:rsidR="00EA1AAE" w:rsidRPr="00093A2C" w:rsidRDefault="00EA1AAE" w:rsidP="00805859">
            <w:pPr>
              <w:ind w:left="40"/>
              <w:rPr>
                <w:rFonts w:eastAsiaTheme="minorEastAsia" w:cs="Arial"/>
                <w:szCs w:val="20"/>
              </w:rPr>
            </w:pPr>
            <w:r w:rsidRPr="00093A2C">
              <w:rPr>
                <w:rFonts w:eastAsiaTheme="minorEastAsia" w:cs="Arial"/>
                <w:szCs w:val="20"/>
              </w:rPr>
              <w:t>-57</w:t>
            </w:r>
          </w:p>
        </w:tc>
        <w:tc>
          <w:tcPr>
            <w:tcW w:w="1418" w:type="dxa"/>
            <w:vAlign w:val="center"/>
          </w:tcPr>
          <w:p w14:paraId="42B92A6B" w14:textId="77777777" w:rsidR="00EA1AAE" w:rsidRPr="00093A2C" w:rsidRDefault="00EA1AAE" w:rsidP="00805859">
            <w:pPr>
              <w:ind w:left="40"/>
              <w:rPr>
                <w:rFonts w:eastAsiaTheme="minorEastAsia" w:cs="Arial"/>
                <w:szCs w:val="20"/>
              </w:rPr>
            </w:pPr>
            <w:r w:rsidRPr="00093A2C">
              <w:rPr>
                <w:rFonts w:eastAsiaTheme="minorEastAsia" w:cs="Arial"/>
                <w:szCs w:val="20"/>
              </w:rPr>
              <w:t>100 kHz</w:t>
            </w:r>
          </w:p>
        </w:tc>
      </w:tr>
      <w:tr w:rsidR="00EA1AAE" w:rsidRPr="002A1B5B" w14:paraId="339B5829" w14:textId="77777777" w:rsidTr="00805859">
        <w:trPr>
          <w:cantSplit/>
        </w:trPr>
        <w:tc>
          <w:tcPr>
            <w:tcW w:w="2547" w:type="dxa"/>
          </w:tcPr>
          <w:p w14:paraId="2A2EDBF5" w14:textId="77777777" w:rsidR="00EA1AAE" w:rsidRPr="00093A2C" w:rsidRDefault="00EA1AAE" w:rsidP="00805859">
            <w:pPr>
              <w:ind w:left="40"/>
              <w:rPr>
                <w:rFonts w:eastAsiaTheme="minorEastAsia" w:cs="Arial"/>
                <w:szCs w:val="20"/>
              </w:rPr>
            </w:pPr>
            <w:r w:rsidRPr="00093A2C">
              <w:rPr>
                <w:rFonts w:eastAsiaTheme="minorEastAsia" w:cs="Arial"/>
                <w:szCs w:val="20"/>
              </w:rPr>
              <w:t>1 GHz≤ f &lt;3.5 GHz</w:t>
            </w:r>
          </w:p>
        </w:tc>
        <w:tc>
          <w:tcPr>
            <w:tcW w:w="3685" w:type="dxa"/>
          </w:tcPr>
          <w:p w14:paraId="62B90970" w14:textId="77777777" w:rsidR="00EA1AAE" w:rsidRPr="00093A2C" w:rsidRDefault="00EA1AAE" w:rsidP="00805859">
            <w:pPr>
              <w:ind w:left="40"/>
              <w:rPr>
                <w:rFonts w:eastAsiaTheme="minorEastAsia" w:cs="Arial"/>
                <w:szCs w:val="20"/>
              </w:rPr>
            </w:pPr>
            <w:r w:rsidRPr="00093A2C">
              <w:rPr>
                <w:rFonts w:eastAsiaTheme="minorEastAsia" w:cs="Arial"/>
                <w:szCs w:val="20"/>
              </w:rPr>
              <w:t>-19</w:t>
            </w:r>
          </w:p>
        </w:tc>
        <w:tc>
          <w:tcPr>
            <w:tcW w:w="1418" w:type="dxa"/>
            <w:vAlign w:val="center"/>
          </w:tcPr>
          <w:p w14:paraId="6FABF9CE" w14:textId="77777777" w:rsidR="00EA1AAE" w:rsidRPr="00093A2C" w:rsidRDefault="00EA1AAE" w:rsidP="00805859">
            <w:pPr>
              <w:ind w:left="40"/>
              <w:rPr>
                <w:rFonts w:eastAsiaTheme="minorEastAsia" w:cs="Arial"/>
                <w:szCs w:val="20"/>
              </w:rPr>
            </w:pPr>
            <w:r w:rsidRPr="00093A2C">
              <w:rPr>
                <w:rFonts w:eastAsiaTheme="minorEastAsia" w:cs="Arial"/>
                <w:szCs w:val="20"/>
              </w:rPr>
              <w:t>1 MHz</w:t>
            </w:r>
          </w:p>
        </w:tc>
      </w:tr>
      <w:tr w:rsidR="00EA1AAE" w:rsidRPr="002A1B5B" w14:paraId="2A5AD690" w14:textId="77777777" w:rsidTr="00805859">
        <w:trPr>
          <w:cantSplit/>
        </w:trPr>
        <w:tc>
          <w:tcPr>
            <w:tcW w:w="2547" w:type="dxa"/>
          </w:tcPr>
          <w:p w14:paraId="6991EE57" w14:textId="77777777" w:rsidR="00EA1AAE" w:rsidRPr="00093A2C" w:rsidRDefault="00EA1AAE" w:rsidP="00805859">
            <w:pPr>
              <w:ind w:left="40"/>
              <w:rPr>
                <w:rFonts w:eastAsiaTheme="minorEastAsia" w:cs="Arial"/>
                <w:szCs w:val="20"/>
              </w:rPr>
            </w:pPr>
            <w:r w:rsidRPr="00093A2C">
              <w:rPr>
                <w:rFonts w:eastAsiaTheme="minorEastAsia" w:cs="Arial"/>
                <w:szCs w:val="20"/>
              </w:rPr>
              <w:t>3.5 GHz≤ f &lt;12.75 GHz</w:t>
            </w:r>
          </w:p>
        </w:tc>
        <w:tc>
          <w:tcPr>
            <w:tcW w:w="3685" w:type="dxa"/>
          </w:tcPr>
          <w:p w14:paraId="1E716A75" w14:textId="77777777" w:rsidR="00EA1AAE" w:rsidRPr="00093A2C" w:rsidRDefault="00EA1AAE" w:rsidP="00805859">
            <w:pPr>
              <w:ind w:left="40"/>
              <w:rPr>
                <w:rFonts w:cs="Arial"/>
                <w:szCs w:val="20"/>
              </w:rPr>
            </w:pPr>
            <w:r w:rsidRPr="00093A2C">
              <w:rPr>
                <w:rFonts w:cs="Arial"/>
                <w:szCs w:val="20"/>
              </w:rPr>
              <w:t>-47</w:t>
            </w:r>
          </w:p>
        </w:tc>
        <w:tc>
          <w:tcPr>
            <w:tcW w:w="1418" w:type="dxa"/>
            <w:vAlign w:val="center"/>
          </w:tcPr>
          <w:p w14:paraId="000DBEBC" w14:textId="77777777" w:rsidR="00EA1AAE" w:rsidRPr="00093A2C" w:rsidRDefault="00EA1AAE" w:rsidP="00805859">
            <w:pPr>
              <w:ind w:left="40"/>
              <w:rPr>
                <w:rFonts w:eastAsiaTheme="minorEastAsia" w:cs="Arial"/>
                <w:szCs w:val="20"/>
              </w:rPr>
            </w:pPr>
            <w:r w:rsidRPr="00093A2C">
              <w:rPr>
                <w:rFonts w:eastAsiaTheme="minorEastAsia" w:cs="Arial"/>
                <w:szCs w:val="20"/>
              </w:rPr>
              <w:t>1 MHz</w:t>
            </w:r>
          </w:p>
        </w:tc>
      </w:tr>
    </w:tbl>
    <w:p w14:paraId="79E628DA" w14:textId="77777777" w:rsidR="00EA1AAE" w:rsidRPr="00093A2C" w:rsidRDefault="00EA1AAE" w:rsidP="00805859">
      <w:pPr>
        <w:spacing w:before="240"/>
        <w:rPr>
          <w:rFonts w:cs="Arial"/>
          <w:i/>
          <w:szCs w:val="20"/>
        </w:rPr>
      </w:pPr>
      <w:r w:rsidRPr="00093A2C">
        <w:rPr>
          <w:rFonts w:cs="Arial"/>
          <w:i/>
          <w:szCs w:val="20"/>
        </w:rPr>
        <w:t xml:space="preserve">[Conditions </w:t>
      </w:r>
      <w:r w:rsidRPr="00093A2C">
        <w:rPr>
          <w:rFonts w:cs="Arial"/>
          <w:i/>
          <w:szCs w:val="20"/>
          <w:u w:val="single"/>
        </w:rPr>
        <w:t>AI</w:t>
      </w:r>
      <w:r w:rsidRPr="00093A2C">
        <w:rPr>
          <w:rFonts w:cs="Arial"/>
          <w:i/>
          <w:szCs w:val="20"/>
        </w:rPr>
        <w:t xml:space="preserve"> </w:t>
      </w:r>
      <w:r>
        <w:rPr>
          <w:rFonts w:cs="Arial"/>
          <w:i/>
          <w:szCs w:val="20"/>
        </w:rPr>
        <w:t>to</w:t>
      </w:r>
      <w:r w:rsidRPr="00093A2C">
        <w:rPr>
          <w:rFonts w:cs="Arial"/>
          <w:i/>
          <w:szCs w:val="20"/>
        </w:rPr>
        <w:t xml:space="preserve"> </w:t>
      </w:r>
      <w:r w:rsidRPr="00093A2C">
        <w:rPr>
          <w:rFonts w:cs="Arial"/>
          <w:i/>
          <w:szCs w:val="20"/>
          <w:u w:val="single"/>
        </w:rPr>
        <w:t>AK</w:t>
      </w:r>
      <w:r w:rsidRPr="00093A2C">
        <w:rPr>
          <w:rFonts w:cs="Arial"/>
          <w:i/>
          <w:szCs w:val="20"/>
        </w:rPr>
        <w:t xml:space="preserve"> describe the </w:t>
      </w:r>
      <w:r w:rsidRPr="00093A2C">
        <w:rPr>
          <w:rFonts w:cs="Arial"/>
          <w:b/>
          <w:i/>
          <w:szCs w:val="20"/>
        </w:rPr>
        <w:t>maximum permitted level of radio emission by a radiocommunication</w:t>
      </w:r>
      <w:r>
        <w:rPr>
          <w:rFonts w:cs="Arial"/>
          <w:b/>
          <w:i/>
          <w:szCs w:val="20"/>
        </w:rPr>
        <w:t>s</w:t>
      </w:r>
      <w:r w:rsidRPr="00093A2C">
        <w:rPr>
          <w:rFonts w:cs="Arial"/>
          <w:b/>
          <w:i/>
          <w:szCs w:val="20"/>
        </w:rPr>
        <w:t xml:space="preserve"> device</w:t>
      </w:r>
      <w:r w:rsidRPr="00093A2C">
        <w:rPr>
          <w:rFonts w:cs="Arial"/>
          <w:i/>
          <w:szCs w:val="20"/>
        </w:rPr>
        <w:t xml:space="preserve"> operated under the licence for the purposes of managing intermodulation product interference and receiver overload</w:t>
      </w:r>
      <w:r w:rsidRPr="00093A2C" w:rsidDel="00F4561D">
        <w:rPr>
          <w:rFonts w:cs="Arial"/>
          <w:i/>
          <w:szCs w:val="20"/>
        </w:rPr>
        <w:t>.</w:t>
      </w:r>
      <w:r w:rsidRPr="00093A2C">
        <w:rPr>
          <w:rFonts w:cs="Arial"/>
          <w:i/>
          <w:szCs w:val="20"/>
        </w:rPr>
        <w:t>]</w:t>
      </w:r>
    </w:p>
    <w:p w14:paraId="0DBA392C" w14:textId="77777777" w:rsidR="00EA1AAE" w:rsidRPr="002A1B5B" w:rsidRDefault="00EA1AAE" w:rsidP="00805859">
      <w:pPr>
        <w:pStyle w:val="CommentText"/>
        <w:spacing w:before="120"/>
        <w:rPr>
          <w:rFonts w:cs="Arial"/>
        </w:rPr>
      </w:pPr>
      <w:r w:rsidRPr="002A1B5B">
        <w:rPr>
          <w:rFonts w:cs="Arial"/>
          <w:u w:val="single"/>
        </w:rPr>
        <w:t>AI:</w:t>
      </w:r>
      <w:r w:rsidRPr="002A1B5B">
        <w:rPr>
          <w:rFonts w:cs="Arial"/>
        </w:rPr>
        <w:t xml:space="preserve"> Clauses </w:t>
      </w:r>
      <w:r w:rsidRPr="002A1B5B">
        <w:rPr>
          <w:rFonts w:cs="Arial"/>
          <w:u w:val="single"/>
        </w:rPr>
        <w:t>AJ</w:t>
      </w:r>
      <w:r w:rsidRPr="002A1B5B">
        <w:rPr>
          <w:rFonts w:cs="Arial"/>
        </w:rPr>
        <w:t xml:space="preserve"> and </w:t>
      </w:r>
      <w:r w:rsidRPr="002A1B5B">
        <w:rPr>
          <w:rFonts w:cs="Arial"/>
          <w:u w:val="single"/>
        </w:rPr>
        <w:t>AK</w:t>
      </w:r>
      <w:r w:rsidRPr="002A1B5B">
        <w:rPr>
          <w:rFonts w:cs="Arial"/>
        </w:rPr>
        <w:t xml:space="preserve"> apply in relation to those areas that are outside the geographic areas set out in Table 1.</w:t>
      </w:r>
    </w:p>
    <w:p w14:paraId="3C2FF7C5" w14:textId="77777777" w:rsidR="00EA1AAE" w:rsidRPr="002A1B5B" w:rsidRDefault="00EA1AAE" w:rsidP="00805859">
      <w:pPr>
        <w:pStyle w:val="CommentText"/>
        <w:spacing w:before="120"/>
        <w:rPr>
          <w:rFonts w:cs="Arial"/>
        </w:rPr>
      </w:pPr>
      <w:r w:rsidRPr="002A1B5B">
        <w:rPr>
          <w:rFonts w:cs="Arial"/>
          <w:u w:val="single"/>
        </w:rPr>
        <w:t>AJ:</w:t>
      </w:r>
      <w:r w:rsidRPr="002A1B5B">
        <w:rPr>
          <w:rFonts w:cs="Arial"/>
        </w:rPr>
        <w:t xml:space="preserve"> The maximum permitted level of radio emission for </w:t>
      </w:r>
      <w:r w:rsidRPr="00093A2C">
        <w:rPr>
          <w:rFonts w:cs="Arial"/>
        </w:rPr>
        <w:t>a</w:t>
      </w:r>
      <w:r>
        <w:rPr>
          <w:rFonts w:cs="Arial"/>
        </w:rPr>
        <w:t xml:space="preserve"> geographic</w:t>
      </w:r>
      <w:r w:rsidRPr="002A1B5B">
        <w:rPr>
          <w:rFonts w:cs="Arial"/>
        </w:rPr>
        <w:t xml:space="preserve"> area described in Table 1 caused by operation of radiocommunications devices under th</w:t>
      </w:r>
      <w:r>
        <w:rPr>
          <w:rFonts w:cs="Arial"/>
        </w:rPr>
        <w:t>is</w:t>
      </w:r>
      <w:r w:rsidRPr="002A1B5B">
        <w:rPr>
          <w:rFonts w:cs="Arial"/>
        </w:rPr>
        <w:t xml:space="preserve"> licence </w:t>
      </w:r>
      <w:r w:rsidRPr="00093A2C">
        <w:rPr>
          <w:rFonts w:cs="Arial"/>
        </w:rPr>
        <w:t>must</w:t>
      </w:r>
      <w:r w:rsidRPr="002A1B5B">
        <w:rPr>
          <w:rFonts w:cs="Arial"/>
        </w:rPr>
        <w:t xml:space="preserve"> not exceed a radiated maximum true mean power of 54.5 dBm EIRP per 30 kHz. </w:t>
      </w:r>
    </w:p>
    <w:p w14:paraId="17410F8B" w14:textId="77777777" w:rsidR="00EA1AAE" w:rsidRDefault="00EA1AAE" w:rsidP="00805859">
      <w:pPr>
        <w:pStyle w:val="CommentText"/>
        <w:spacing w:before="120"/>
        <w:rPr>
          <w:rFonts w:cs="Arial"/>
        </w:rPr>
      </w:pPr>
      <w:r w:rsidRPr="002A1B5B">
        <w:rPr>
          <w:rFonts w:cs="Arial"/>
          <w:u w:val="single"/>
        </w:rPr>
        <w:t>AK:</w:t>
      </w:r>
      <w:r w:rsidRPr="002A1B5B">
        <w:rPr>
          <w:rFonts w:cs="Arial"/>
        </w:rPr>
        <w:t xml:space="preserve"> </w:t>
      </w:r>
      <w:r>
        <w:rPr>
          <w:rFonts w:cs="Arial"/>
        </w:rPr>
        <w:t>A</w:t>
      </w:r>
      <w:r w:rsidRPr="002A1B5B">
        <w:rPr>
          <w:rFonts w:cs="Arial"/>
        </w:rPr>
        <w:t xml:space="preserve"> </w:t>
      </w:r>
      <w:r w:rsidRPr="00093A2C">
        <w:rPr>
          <w:rFonts w:cs="Arial"/>
        </w:rPr>
        <w:t xml:space="preserve">person </w:t>
      </w:r>
      <w:r>
        <w:rPr>
          <w:rFonts w:cs="Arial"/>
        </w:rPr>
        <w:t xml:space="preserve">will be deemed to </w:t>
      </w:r>
      <w:r w:rsidRPr="00093A2C">
        <w:rPr>
          <w:rFonts w:cs="Arial"/>
        </w:rPr>
        <w:t>comply</w:t>
      </w:r>
      <w:r w:rsidRPr="002A1B5B">
        <w:rPr>
          <w:rFonts w:cs="Arial"/>
        </w:rPr>
        <w:t xml:space="preserve"> with clause </w:t>
      </w:r>
      <w:r w:rsidRPr="002A1B5B">
        <w:rPr>
          <w:rFonts w:cs="Arial"/>
          <w:u w:val="single"/>
        </w:rPr>
        <w:t>AJ</w:t>
      </w:r>
      <w:r w:rsidRPr="002A1B5B">
        <w:rPr>
          <w:rFonts w:cs="Arial"/>
        </w:rPr>
        <w:t xml:space="preserve"> </w:t>
      </w:r>
      <w:r>
        <w:rPr>
          <w:rFonts w:cs="Arial"/>
        </w:rPr>
        <w:t xml:space="preserve">if they do </w:t>
      </w:r>
      <w:r w:rsidRPr="00093A2C">
        <w:rPr>
          <w:rFonts w:cs="Arial"/>
        </w:rPr>
        <w:t>not operat</w:t>
      </w:r>
      <w:r>
        <w:rPr>
          <w:rFonts w:cs="Arial"/>
        </w:rPr>
        <w:t>e</w:t>
      </w:r>
      <w:r w:rsidRPr="00093A2C">
        <w:rPr>
          <w:rFonts w:cs="Arial"/>
        </w:rPr>
        <w:t xml:space="preserve"> a</w:t>
      </w:r>
      <w:r w:rsidRPr="002A1B5B">
        <w:rPr>
          <w:rFonts w:cs="Arial"/>
        </w:rPr>
        <w:t xml:space="preserve"> radiocommunications device under th</w:t>
      </w:r>
      <w:r>
        <w:rPr>
          <w:rFonts w:cs="Arial"/>
        </w:rPr>
        <w:t>is</w:t>
      </w:r>
      <w:r w:rsidRPr="002A1B5B">
        <w:rPr>
          <w:rFonts w:cs="Arial"/>
        </w:rPr>
        <w:t xml:space="preserve"> licence in excess of a radiated maximum true mean power of 54.5 dBm EIRP per 30 kHz.</w:t>
      </w:r>
    </w:p>
    <w:p w14:paraId="35FE0C35" w14:textId="77777777" w:rsidR="00EA1AAE" w:rsidRPr="002A1B5B" w:rsidRDefault="00EA1AAE" w:rsidP="00805859">
      <w:pPr>
        <w:pStyle w:val="CommentText"/>
        <w:spacing w:before="120"/>
        <w:rPr>
          <w:rFonts w:cs="Arial"/>
        </w:rPr>
      </w:pPr>
      <w:r>
        <w:rPr>
          <w:rFonts w:cs="Arial"/>
          <w:i/>
        </w:rPr>
        <w:t>[</w:t>
      </w:r>
      <w:r w:rsidRPr="00485A44">
        <w:rPr>
          <w:rFonts w:cs="Arial"/>
          <w:i/>
        </w:rPr>
        <w:t>Condition</w:t>
      </w:r>
      <w:r>
        <w:rPr>
          <w:rFonts w:cs="Arial"/>
          <w:i/>
        </w:rPr>
        <w:t>s</w:t>
      </w:r>
      <w:r w:rsidRPr="00485A44">
        <w:rPr>
          <w:rFonts w:cs="Arial"/>
          <w:i/>
        </w:rPr>
        <w:t xml:space="preserve"> </w:t>
      </w:r>
      <w:r>
        <w:rPr>
          <w:rFonts w:cs="Arial"/>
          <w:i/>
          <w:u w:val="single"/>
        </w:rPr>
        <w:t>OC2</w:t>
      </w:r>
      <w:r>
        <w:rPr>
          <w:rFonts w:cs="Arial"/>
          <w:i/>
        </w:rPr>
        <w:t xml:space="preserve"> to O</w:t>
      </w:r>
      <w:r w:rsidRPr="00093A2C">
        <w:rPr>
          <w:rFonts w:cs="Arial"/>
          <w:i/>
          <w:u w:val="single"/>
        </w:rPr>
        <w:t>C</w:t>
      </w:r>
      <w:r>
        <w:rPr>
          <w:rFonts w:cs="Arial"/>
          <w:i/>
          <w:u w:val="single"/>
        </w:rPr>
        <w:t>4</w:t>
      </w:r>
      <w:r>
        <w:rPr>
          <w:rFonts w:cs="Arial"/>
          <w:i/>
        </w:rPr>
        <w:t xml:space="preserve"> describe </w:t>
      </w:r>
      <w:r w:rsidRPr="00093A2C">
        <w:rPr>
          <w:rFonts w:cs="Arial"/>
          <w:b/>
          <w:i/>
        </w:rPr>
        <w:t xml:space="preserve">the </w:t>
      </w:r>
      <w:r>
        <w:rPr>
          <w:rFonts w:cs="Arial"/>
          <w:b/>
          <w:i/>
        </w:rPr>
        <w:t>conditions</w:t>
      </w:r>
      <w:r w:rsidRPr="00093A2C">
        <w:rPr>
          <w:rFonts w:cs="Arial"/>
          <w:b/>
          <w:i/>
        </w:rPr>
        <w:t xml:space="preserve"> the ACMA has placed on the licensee</w:t>
      </w:r>
      <w:r>
        <w:rPr>
          <w:rFonts w:cs="Arial"/>
          <w:i/>
        </w:rPr>
        <w:t xml:space="preserve"> to ensure effective management of the radiofrequency spectrum.] </w:t>
      </w:r>
    </w:p>
    <w:p w14:paraId="6E271662" w14:textId="036B09AB" w:rsidR="00EA1AAE" w:rsidRPr="002A1B5B" w:rsidRDefault="00EA1AAE" w:rsidP="00805859">
      <w:pPr>
        <w:spacing w:before="120"/>
        <w:rPr>
          <w:rFonts w:cs="Arial"/>
          <w:szCs w:val="20"/>
        </w:rPr>
      </w:pPr>
      <w:r>
        <w:rPr>
          <w:rFonts w:cs="Arial"/>
          <w:szCs w:val="20"/>
          <w:u w:val="single"/>
        </w:rPr>
        <w:lastRenderedPageBreak/>
        <w:t>OC2</w:t>
      </w:r>
      <w:r w:rsidRPr="00093A2C">
        <w:rPr>
          <w:rFonts w:cs="Arial"/>
          <w:szCs w:val="20"/>
          <w:u w:val="single"/>
        </w:rPr>
        <w:t>:</w:t>
      </w:r>
      <w:r>
        <w:rPr>
          <w:rFonts w:cs="Arial"/>
          <w:szCs w:val="20"/>
        </w:rPr>
        <w:t xml:space="preserve"> </w:t>
      </w:r>
      <w:r w:rsidRPr="002A1B5B">
        <w:rPr>
          <w:rFonts w:cs="Arial"/>
          <w:szCs w:val="20"/>
        </w:rPr>
        <w:t xml:space="preserve">The licensee must notify any person </w:t>
      </w:r>
      <w:r w:rsidRPr="00093A2C">
        <w:rPr>
          <w:rFonts w:cs="Arial"/>
          <w:szCs w:val="20"/>
        </w:rPr>
        <w:t>who</w:t>
      </w:r>
      <w:r w:rsidRPr="002A1B5B">
        <w:rPr>
          <w:rFonts w:cs="Arial"/>
          <w:szCs w:val="20"/>
        </w:rPr>
        <w:t xml:space="preserve"> the licensee authorises to operate radiocommunications devices under this licence of </w:t>
      </w:r>
      <w:r w:rsidRPr="00093A2C">
        <w:rPr>
          <w:rFonts w:cs="Arial"/>
          <w:szCs w:val="20"/>
        </w:rPr>
        <w:t>the conditions included in th</w:t>
      </w:r>
      <w:r>
        <w:rPr>
          <w:rFonts w:cs="Arial"/>
          <w:szCs w:val="20"/>
        </w:rPr>
        <w:t>is</w:t>
      </w:r>
      <w:r w:rsidRPr="00093A2C">
        <w:rPr>
          <w:rFonts w:cs="Arial"/>
          <w:szCs w:val="20"/>
        </w:rPr>
        <w:t xml:space="preserve"> licence, </w:t>
      </w:r>
      <w:r>
        <w:rPr>
          <w:rFonts w:cs="Arial"/>
          <w:szCs w:val="20"/>
        </w:rPr>
        <w:t xml:space="preserve">and the requirement in section </w:t>
      </w:r>
      <w:r w:rsidR="005A519A">
        <w:rPr>
          <w:rFonts w:cs="Arial"/>
          <w:szCs w:val="20"/>
        </w:rPr>
        <w:t>52</w:t>
      </w:r>
      <w:r w:rsidR="005A519A" w:rsidRPr="00093A2C">
        <w:rPr>
          <w:rFonts w:cs="Arial"/>
          <w:szCs w:val="20"/>
        </w:rPr>
        <w:t xml:space="preserve"> </w:t>
      </w:r>
      <w:r w:rsidRPr="00093A2C">
        <w:rPr>
          <w:rFonts w:cs="Arial"/>
          <w:szCs w:val="20"/>
        </w:rPr>
        <w:t>of the Act that the person not contravene those conditions</w:t>
      </w:r>
      <w:r w:rsidRPr="002A1B5B">
        <w:rPr>
          <w:rFonts w:cs="Arial"/>
          <w:szCs w:val="20"/>
        </w:rPr>
        <w:t xml:space="preserve">. </w:t>
      </w:r>
    </w:p>
    <w:p w14:paraId="6C92923A" w14:textId="3C5E8531" w:rsidR="00EA1AAE" w:rsidRPr="002A1B5B" w:rsidRDefault="00EA1AAE" w:rsidP="00805859">
      <w:pPr>
        <w:spacing w:before="120"/>
        <w:rPr>
          <w:rFonts w:cs="Arial"/>
          <w:szCs w:val="20"/>
        </w:rPr>
      </w:pPr>
      <w:r>
        <w:rPr>
          <w:rFonts w:cs="Arial"/>
          <w:szCs w:val="20"/>
          <w:u w:val="single"/>
        </w:rPr>
        <w:t>OC3</w:t>
      </w:r>
      <w:r w:rsidRPr="00093A2C">
        <w:rPr>
          <w:rFonts w:cs="Arial"/>
          <w:szCs w:val="20"/>
          <w:u w:val="single"/>
        </w:rPr>
        <w:t>:</w:t>
      </w:r>
      <w:r>
        <w:rPr>
          <w:rFonts w:cs="Arial"/>
          <w:szCs w:val="20"/>
        </w:rPr>
        <w:t xml:space="preserve"> If information is specified in Register rules, made under section </w:t>
      </w:r>
      <w:r w:rsidR="005A519A">
        <w:rPr>
          <w:rFonts w:cs="Arial"/>
          <w:szCs w:val="20"/>
        </w:rPr>
        <w:t xml:space="preserve">96 </w:t>
      </w:r>
      <w:r>
        <w:rPr>
          <w:rFonts w:cs="Arial"/>
          <w:szCs w:val="20"/>
        </w:rPr>
        <w:t>of the Act, to be information the Register is required to contain about a licence, the licensee must provide that information to the ACMA.</w:t>
      </w:r>
    </w:p>
    <w:p w14:paraId="4E00B92D" w14:textId="77777777" w:rsidR="00EA1AAE" w:rsidRDefault="00EA1AAE" w:rsidP="00805859">
      <w:pPr>
        <w:spacing w:before="120"/>
        <w:rPr>
          <w:rFonts w:cs="Arial"/>
          <w:szCs w:val="20"/>
        </w:rPr>
      </w:pPr>
      <w:r>
        <w:rPr>
          <w:rFonts w:cs="Arial"/>
          <w:szCs w:val="20"/>
          <w:u w:val="single"/>
        </w:rPr>
        <w:t>OC4</w:t>
      </w:r>
      <w:r w:rsidRPr="00093A2C">
        <w:rPr>
          <w:rFonts w:cs="Arial"/>
          <w:szCs w:val="20"/>
          <w:u w:val="single"/>
        </w:rPr>
        <w:t>:</w:t>
      </w:r>
      <w:r>
        <w:rPr>
          <w:rFonts w:cs="Arial"/>
          <w:szCs w:val="20"/>
        </w:rPr>
        <w:t xml:space="preserve"> </w:t>
      </w:r>
      <w:r w:rsidRPr="002A1B5B">
        <w:rPr>
          <w:rFonts w:cs="Arial"/>
          <w:szCs w:val="20"/>
        </w:rPr>
        <w:t>The licensee must give written notice to the ACMA</w:t>
      </w:r>
      <w:r>
        <w:rPr>
          <w:rFonts w:cs="Arial"/>
          <w:szCs w:val="20"/>
        </w:rPr>
        <w:t xml:space="preserve"> that</w:t>
      </w:r>
      <w:r w:rsidRPr="002A1B5B">
        <w:rPr>
          <w:rFonts w:cs="Arial"/>
          <w:szCs w:val="20"/>
        </w:rPr>
        <w:t xml:space="preserve"> information in the Register about th</w:t>
      </w:r>
      <w:r>
        <w:rPr>
          <w:rFonts w:cs="Arial"/>
          <w:szCs w:val="20"/>
        </w:rPr>
        <w:t>is</w:t>
      </w:r>
      <w:r w:rsidRPr="002A1B5B">
        <w:rPr>
          <w:rFonts w:cs="Arial"/>
          <w:szCs w:val="20"/>
        </w:rPr>
        <w:t xml:space="preserve"> licence is incorrect or incomplete, as soon as practicable after </w:t>
      </w:r>
      <w:r>
        <w:rPr>
          <w:rFonts w:cs="Arial"/>
          <w:szCs w:val="20"/>
        </w:rPr>
        <w:t xml:space="preserve">the licensee </w:t>
      </w:r>
      <w:r w:rsidRPr="002A1B5B">
        <w:rPr>
          <w:rFonts w:cs="Arial"/>
          <w:szCs w:val="20"/>
        </w:rPr>
        <w:t>becom</w:t>
      </w:r>
      <w:r>
        <w:rPr>
          <w:rFonts w:cs="Arial"/>
          <w:szCs w:val="20"/>
        </w:rPr>
        <w:t>es</w:t>
      </w:r>
      <w:r w:rsidRPr="002A1B5B">
        <w:rPr>
          <w:rFonts w:cs="Arial"/>
          <w:szCs w:val="20"/>
        </w:rPr>
        <w:t xml:space="preserve"> aware</w:t>
      </w:r>
      <w:r>
        <w:rPr>
          <w:rFonts w:cs="Arial"/>
          <w:szCs w:val="20"/>
        </w:rPr>
        <w:t xml:space="preserve"> that information in the Register is incorrect or incomplete</w:t>
      </w:r>
      <w:r w:rsidRPr="002A1B5B">
        <w:rPr>
          <w:rFonts w:cs="Arial"/>
          <w:szCs w:val="20"/>
        </w:rPr>
        <w:t xml:space="preserve">. </w:t>
      </w:r>
    </w:p>
    <w:p w14:paraId="0CCCC1CD" w14:textId="77777777" w:rsidR="00EA1AAE" w:rsidRPr="002A1B5B" w:rsidRDefault="00EA1AAE" w:rsidP="00805859">
      <w:pPr>
        <w:pStyle w:val="ListParagraph"/>
        <w:pBdr>
          <w:bottom w:val="dashed" w:sz="18" w:space="1" w:color="auto"/>
        </w:pBdr>
        <w:spacing w:before="120" w:after="0"/>
        <w:ind w:left="0"/>
        <w:contextualSpacing w:val="0"/>
        <w:rPr>
          <w:rFonts w:ascii="Arial" w:hAnsi="Arial" w:cs="Arial"/>
          <w:sz w:val="20"/>
          <w:szCs w:val="20"/>
        </w:rPr>
      </w:pPr>
    </w:p>
    <w:p w14:paraId="26338FC5" w14:textId="77777777" w:rsidR="00EA1AAE" w:rsidRPr="002A1B5B" w:rsidRDefault="00EA1AAE" w:rsidP="00805859">
      <w:pPr>
        <w:rPr>
          <w:rFonts w:cs="Arial"/>
          <w:b/>
          <w:color w:val="F79646" w:themeColor="accent6"/>
          <w:szCs w:val="20"/>
        </w:rPr>
      </w:pPr>
    </w:p>
    <w:p w14:paraId="231F382F" w14:textId="112878C1" w:rsidR="00EA1AAE" w:rsidRPr="00EC7825" w:rsidRDefault="00EA1AAE" w:rsidP="00805859">
      <w:pPr>
        <w:pBdr>
          <w:top w:val="single" w:sz="2" w:space="1" w:color="auto"/>
        </w:pBdr>
        <w:spacing w:before="120" w:after="0" w:line="240" w:lineRule="auto"/>
        <w:rPr>
          <w:rFonts w:cs="Arial"/>
          <w:b/>
          <w:szCs w:val="20"/>
        </w:rPr>
      </w:pPr>
      <w:r w:rsidRPr="00EC7825">
        <w:rPr>
          <w:rFonts w:cs="Arial"/>
          <w:b/>
          <w:szCs w:val="20"/>
        </w:rPr>
        <w:t xml:space="preserve">RENEWAL STATEMENTS section </w:t>
      </w:r>
      <w:r w:rsidR="005A519A">
        <w:rPr>
          <w:rFonts w:cs="Arial"/>
          <w:b/>
          <w:szCs w:val="20"/>
        </w:rPr>
        <w:t>59</w:t>
      </w:r>
    </w:p>
    <w:p w14:paraId="7FBB1EB7" w14:textId="531FBC37" w:rsidR="00EA1AAE" w:rsidRPr="002A1B5B" w:rsidRDefault="00EA1AAE" w:rsidP="00805859">
      <w:pPr>
        <w:rPr>
          <w:rFonts w:cs="Arial"/>
          <w:b/>
          <w:i/>
          <w:szCs w:val="20"/>
        </w:rPr>
      </w:pPr>
      <w:r w:rsidRPr="002A1B5B">
        <w:rPr>
          <w:rFonts w:cs="Arial"/>
          <w:b/>
          <w:i/>
          <w:szCs w:val="20"/>
        </w:rPr>
        <w:t>Statements in relation to the renewal of a licence</w:t>
      </w:r>
      <w:r>
        <w:rPr>
          <w:rFonts w:cs="Arial"/>
          <w:b/>
          <w:i/>
          <w:szCs w:val="20"/>
        </w:rPr>
        <w:t>, including, a statement specifying a renewal application period would be placed in this section.</w:t>
      </w:r>
    </w:p>
    <w:p w14:paraId="489642CC" w14:textId="77777777" w:rsidR="00EA1AAE" w:rsidRPr="00EC7825" w:rsidRDefault="00EA1AAE" w:rsidP="00EC7825">
      <w:pPr>
        <w:spacing w:before="120"/>
        <w:rPr>
          <w:rFonts w:cs="Arial"/>
          <w:szCs w:val="20"/>
        </w:rPr>
      </w:pPr>
      <w:r w:rsidRPr="00EC7825">
        <w:rPr>
          <w:rFonts w:cs="Arial"/>
          <w:szCs w:val="20"/>
        </w:rPr>
        <w:t>[See discussion in the accompanying supporting document]</w:t>
      </w:r>
    </w:p>
    <w:p w14:paraId="478D70BD" w14:textId="1A8AD743" w:rsidR="00EA1AAE" w:rsidRPr="00EC7825" w:rsidRDefault="00EA1AAE" w:rsidP="00EC7825">
      <w:pPr>
        <w:pBdr>
          <w:top w:val="single" w:sz="2" w:space="1" w:color="auto"/>
        </w:pBdr>
        <w:spacing w:before="120" w:after="0" w:line="240" w:lineRule="auto"/>
        <w:rPr>
          <w:rFonts w:cs="Arial"/>
          <w:b/>
          <w:szCs w:val="20"/>
        </w:rPr>
      </w:pPr>
      <w:r w:rsidRPr="00EC7825">
        <w:rPr>
          <w:rFonts w:cs="Arial"/>
          <w:b/>
          <w:szCs w:val="20"/>
        </w:rPr>
        <w:t xml:space="preserve">THIRD PARTY AUTHORISATION STATEMENTS sections </w:t>
      </w:r>
      <w:r w:rsidR="005A519A">
        <w:rPr>
          <w:rFonts w:cs="Arial"/>
          <w:b/>
          <w:szCs w:val="20"/>
        </w:rPr>
        <w:t>42</w:t>
      </w:r>
      <w:r w:rsidRPr="00EC7825">
        <w:rPr>
          <w:rFonts w:cs="Arial"/>
          <w:b/>
          <w:szCs w:val="20"/>
        </w:rPr>
        <w:t xml:space="preserve">, </w:t>
      </w:r>
      <w:r w:rsidR="005A519A">
        <w:rPr>
          <w:rFonts w:cs="Arial"/>
          <w:b/>
          <w:szCs w:val="20"/>
        </w:rPr>
        <w:t>43</w:t>
      </w:r>
    </w:p>
    <w:p w14:paraId="182ADA54" w14:textId="0C577A0A" w:rsidR="00EA1AAE" w:rsidRDefault="00EA1AAE" w:rsidP="00805859">
      <w:pPr>
        <w:spacing w:before="120" w:line="240" w:lineRule="auto"/>
        <w:rPr>
          <w:rFonts w:cs="Arial"/>
          <w:b/>
          <w:i/>
          <w:szCs w:val="20"/>
        </w:rPr>
      </w:pPr>
      <w:r w:rsidRPr="002A1B5B">
        <w:rPr>
          <w:rFonts w:cs="Arial"/>
          <w:b/>
          <w:i/>
          <w:szCs w:val="20"/>
        </w:rPr>
        <w:t xml:space="preserve">Statements </w:t>
      </w:r>
      <w:r>
        <w:rPr>
          <w:rFonts w:cs="Arial"/>
          <w:b/>
          <w:i/>
          <w:szCs w:val="20"/>
        </w:rPr>
        <w:t>as</w:t>
      </w:r>
      <w:r w:rsidRPr="002A1B5B">
        <w:rPr>
          <w:rFonts w:cs="Arial"/>
          <w:b/>
          <w:i/>
          <w:szCs w:val="20"/>
        </w:rPr>
        <w:t xml:space="preserve"> to</w:t>
      </w:r>
      <w:r>
        <w:rPr>
          <w:rFonts w:cs="Arial"/>
          <w:b/>
          <w:i/>
          <w:szCs w:val="20"/>
        </w:rPr>
        <w:t xml:space="preserve"> when a licensee cannot authorise a third party, or</w:t>
      </w:r>
      <w:r w:rsidRPr="002A1B5B">
        <w:rPr>
          <w:rFonts w:cs="Arial"/>
          <w:b/>
          <w:i/>
          <w:szCs w:val="20"/>
        </w:rPr>
        <w:t xml:space="preserve"> restrictions or limitations o</w:t>
      </w:r>
      <w:r>
        <w:rPr>
          <w:rFonts w:cs="Arial"/>
          <w:b/>
          <w:i/>
          <w:szCs w:val="20"/>
        </w:rPr>
        <w:t xml:space="preserve">n when a licensee can authorise </w:t>
      </w:r>
      <w:r w:rsidRPr="00093A2C">
        <w:rPr>
          <w:rFonts w:cs="Arial"/>
          <w:b/>
          <w:i/>
          <w:szCs w:val="20"/>
        </w:rPr>
        <w:t>a</w:t>
      </w:r>
      <w:r w:rsidRPr="002A1B5B">
        <w:rPr>
          <w:rFonts w:cs="Arial"/>
          <w:b/>
          <w:i/>
          <w:szCs w:val="20"/>
        </w:rPr>
        <w:t xml:space="preserve"> third party</w:t>
      </w:r>
      <w:r>
        <w:rPr>
          <w:rFonts w:cs="Arial"/>
          <w:b/>
          <w:i/>
          <w:szCs w:val="20"/>
        </w:rPr>
        <w:t>,</w:t>
      </w:r>
      <w:r w:rsidRPr="002A1B5B">
        <w:rPr>
          <w:rFonts w:cs="Arial"/>
          <w:b/>
          <w:i/>
          <w:szCs w:val="20"/>
        </w:rPr>
        <w:t xml:space="preserve"> would be placed in this section. </w:t>
      </w:r>
    </w:p>
    <w:p w14:paraId="3F068FEC" w14:textId="44703602" w:rsidR="00EA1AAE" w:rsidRPr="00EC7825" w:rsidRDefault="00EA1AAE" w:rsidP="00805859">
      <w:pPr>
        <w:pBdr>
          <w:top w:val="single" w:sz="4" w:space="1" w:color="auto"/>
        </w:pBdr>
        <w:spacing w:before="120" w:after="0" w:line="240" w:lineRule="auto"/>
        <w:rPr>
          <w:rFonts w:cs="Arial"/>
          <w:b/>
          <w:szCs w:val="20"/>
        </w:rPr>
      </w:pPr>
      <w:r w:rsidRPr="00EC7825">
        <w:rPr>
          <w:rFonts w:cs="Arial"/>
          <w:b/>
          <w:szCs w:val="20"/>
        </w:rPr>
        <w:t xml:space="preserve">SUBDIVISION STATEMENTS sections </w:t>
      </w:r>
      <w:r w:rsidR="005A519A">
        <w:rPr>
          <w:rFonts w:cs="Arial"/>
          <w:b/>
          <w:szCs w:val="20"/>
        </w:rPr>
        <w:t>78</w:t>
      </w:r>
      <w:r w:rsidRPr="00EC7825">
        <w:rPr>
          <w:rFonts w:cs="Arial"/>
          <w:b/>
          <w:szCs w:val="20"/>
        </w:rPr>
        <w:t xml:space="preserve">, </w:t>
      </w:r>
      <w:r w:rsidR="005A519A">
        <w:rPr>
          <w:rFonts w:cs="Arial"/>
          <w:b/>
          <w:szCs w:val="20"/>
        </w:rPr>
        <w:t>79</w:t>
      </w:r>
    </w:p>
    <w:p w14:paraId="79CC2E8B" w14:textId="548F8BBC" w:rsidR="00EA1AAE" w:rsidRPr="002A1B5B" w:rsidRDefault="00EA1AAE" w:rsidP="00805859">
      <w:pPr>
        <w:spacing w:before="120" w:after="0" w:line="240" w:lineRule="auto"/>
        <w:rPr>
          <w:rFonts w:cs="Arial"/>
          <w:b/>
          <w:i/>
          <w:szCs w:val="20"/>
        </w:rPr>
      </w:pPr>
      <w:r w:rsidRPr="002A1B5B">
        <w:rPr>
          <w:rFonts w:cs="Arial"/>
          <w:b/>
          <w:i/>
          <w:szCs w:val="20"/>
        </w:rPr>
        <w:t xml:space="preserve">Statements in relation to </w:t>
      </w:r>
      <w:r>
        <w:rPr>
          <w:rFonts w:cs="Arial"/>
          <w:b/>
          <w:i/>
          <w:szCs w:val="20"/>
        </w:rPr>
        <w:t>when a</w:t>
      </w:r>
      <w:r w:rsidRPr="002A1B5B">
        <w:rPr>
          <w:rFonts w:cs="Arial"/>
          <w:b/>
          <w:i/>
          <w:szCs w:val="20"/>
        </w:rPr>
        <w:t xml:space="preserve"> licen</w:t>
      </w:r>
      <w:r>
        <w:rPr>
          <w:rFonts w:cs="Arial"/>
          <w:b/>
          <w:i/>
          <w:szCs w:val="20"/>
        </w:rPr>
        <w:t>se</w:t>
      </w:r>
      <w:r w:rsidRPr="002A1B5B">
        <w:rPr>
          <w:rFonts w:cs="Arial"/>
          <w:b/>
          <w:i/>
          <w:szCs w:val="20"/>
        </w:rPr>
        <w:t xml:space="preserve">e </w:t>
      </w:r>
      <w:r>
        <w:rPr>
          <w:rFonts w:cs="Arial"/>
          <w:b/>
          <w:i/>
          <w:szCs w:val="20"/>
        </w:rPr>
        <w:t xml:space="preserve">cannot subdivide a licence, or restrictions or limitations on when a licensee can subdivide a </w:t>
      </w:r>
      <w:r w:rsidRPr="00093A2C">
        <w:rPr>
          <w:rFonts w:cs="Arial"/>
          <w:b/>
          <w:i/>
          <w:szCs w:val="20"/>
        </w:rPr>
        <w:t>licence</w:t>
      </w:r>
      <w:r>
        <w:rPr>
          <w:rFonts w:cs="Arial"/>
          <w:b/>
          <w:i/>
          <w:szCs w:val="20"/>
        </w:rPr>
        <w:t xml:space="preserve">, </w:t>
      </w:r>
      <w:r w:rsidRPr="002A1B5B">
        <w:rPr>
          <w:rFonts w:cs="Arial"/>
          <w:b/>
          <w:i/>
          <w:szCs w:val="20"/>
        </w:rPr>
        <w:t>would be placed in this section.</w:t>
      </w:r>
    </w:p>
    <w:p w14:paraId="29227439" w14:textId="77777777" w:rsidR="00EA1AAE" w:rsidRPr="00834A25" w:rsidRDefault="00EA1AAE" w:rsidP="00805859">
      <w:pPr>
        <w:spacing w:before="120"/>
        <w:rPr>
          <w:rFonts w:cs="Arial"/>
          <w:szCs w:val="20"/>
          <w:u w:val="single"/>
        </w:rPr>
      </w:pPr>
      <w:r w:rsidRPr="00834A25">
        <w:rPr>
          <w:rFonts w:cs="Arial"/>
          <w:szCs w:val="20"/>
          <w:u w:val="single"/>
        </w:rPr>
        <w:t>Example text:</w:t>
      </w:r>
    </w:p>
    <w:p w14:paraId="29D16D93" w14:textId="77777777" w:rsidR="00EA1AAE" w:rsidRPr="00093A2C" w:rsidRDefault="00EA1AAE" w:rsidP="00805859">
      <w:pPr>
        <w:spacing w:before="120"/>
        <w:rPr>
          <w:rFonts w:cs="Arial"/>
          <w:szCs w:val="20"/>
        </w:rPr>
      </w:pPr>
      <w:r w:rsidRPr="00093A2C">
        <w:rPr>
          <w:rFonts w:cs="Arial"/>
          <w:szCs w:val="20"/>
          <w:u w:val="single"/>
        </w:rPr>
        <w:t>SA1:</w:t>
      </w:r>
      <w:r w:rsidRPr="00093A2C">
        <w:rPr>
          <w:rFonts w:cs="Arial"/>
          <w:szCs w:val="20"/>
        </w:rPr>
        <w:t xml:space="preserve"> The licensee cannot instruct the ACMA to subdivide the licence if the subdivision would result in the ACMA issuing a licence that authorises the use of radiocommunications devices:</w:t>
      </w:r>
    </w:p>
    <w:p w14:paraId="62656316" w14:textId="77777777" w:rsidR="00EA1AAE" w:rsidRPr="00093A2C" w:rsidRDefault="00EA1AAE" w:rsidP="00EC7825">
      <w:pPr>
        <w:pStyle w:val="ListParagraph"/>
        <w:numPr>
          <w:ilvl w:val="0"/>
          <w:numId w:val="42"/>
        </w:numPr>
        <w:spacing w:before="120" w:after="160" w:line="259" w:lineRule="auto"/>
        <w:contextualSpacing w:val="0"/>
        <w:rPr>
          <w:rFonts w:ascii="Arial" w:hAnsi="Arial" w:cs="Arial"/>
          <w:sz w:val="20"/>
          <w:szCs w:val="20"/>
        </w:rPr>
      </w:pPr>
      <w:r w:rsidRPr="00093A2C">
        <w:rPr>
          <w:rFonts w:ascii="Arial" w:hAnsi="Arial" w:cs="Arial"/>
          <w:sz w:val="20"/>
          <w:szCs w:val="20"/>
        </w:rPr>
        <w:t>in a part of the spectrum with a bandwidth that is less than 5 MHz; or</w:t>
      </w:r>
    </w:p>
    <w:p w14:paraId="66973628" w14:textId="77777777" w:rsidR="00EA1AAE" w:rsidRPr="00093A2C" w:rsidRDefault="00EA1AAE" w:rsidP="00EC7825">
      <w:pPr>
        <w:pStyle w:val="ListParagraph"/>
        <w:numPr>
          <w:ilvl w:val="0"/>
          <w:numId w:val="42"/>
        </w:numPr>
        <w:spacing w:before="120" w:line="259" w:lineRule="auto"/>
        <w:contextualSpacing w:val="0"/>
        <w:rPr>
          <w:rFonts w:ascii="Arial" w:hAnsi="Arial" w:cs="Arial"/>
          <w:sz w:val="20"/>
          <w:szCs w:val="20"/>
        </w:rPr>
      </w:pPr>
      <w:r w:rsidRPr="00093A2C">
        <w:rPr>
          <w:rFonts w:ascii="Arial" w:hAnsi="Arial" w:cs="Arial"/>
          <w:sz w:val="20"/>
          <w:szCs w:val="20"/>
        </w:rPr>
        <w:t>in a geographic area smaller than a HCIS Level 1 cell.</w:t>
      </w:r>
    </w:p>
    <w:p w14:paraId="52057D56" w14:textId="49628588" w:rsidR="00EA1AAE" w:rsidRPr="00EC7825" w:rsidRDefault="00EA1AAE">
      <w:pPr>
        <w:pBdr>
          <w:top w:val="single" w:sz="4" w:space="1" w:color="auto"/>
        </w:pBdr>
        <w:spacing w:before="120" w:after="0" w:line="240" w:lineRule="auto"/>
        <w:rPr>
          <w:rFonts w:cs="Arial"/>
          <w:b/>
          <w:szCs w:val="20"/>
        </w:rPr>
      </w:pPr>
      <w:r w:rsidRPr="00EC7825">
        <w:rPr>
          <w:rFonts w:cs="Arial"/>
          <w:b/>
          <w:szCs w:val="20"/>
        </w:rPr>
        <w:t xml:space="preserve">ASSIGNMENT STATEMENTS sections </w:t>
      </w:r>
      <w:r w:rsidR="005A519A">
        <w:rPr>
          <w:rFonts w:cs="Arial"/>
          <w:b/>
          <w:szCs w:val="20"/>
        </w:rPr>
        <w:t>81</w:t>
      </w:r>
      <w:r w:rsidRPr="00EC7825">
        <w:rPr>
          <w:rFonts w:cs="Arial"/>
          <w:b/>
          <w:szCs w:val="20"/>
        </w:rPr>
        <w:t xml:space="preserve">, </w:t>
      </w:r>
      <w:r w:rsidR="005A519A">
        <w:rPr>
          <w:rFonts w:cs="Arial"/>
          <w:b/>
          <w:szCs w:val="20"/>
        </w:rPr>
        <w:t>82</w:t>
      </w:r>
    </w:p>
    <w:p w14:paraId="37A64028" w14:textId="23334142" w:rsidR="00EA1AAE" w:rsidRPr="00093A2C" w:rsidRDefault="00EA1AAE" w:rsidP="00805859">
      <w:pPr>
        <w:spacing w:before="120" w:line="240" w:lineRule="auto"/>
        <w:rPr>
          <w:rFonts w:cs="Arial"/>
          <w:b/>
          <w:i/>
          <w:szCs w:val="20"/>
        </w:rPr>
      </w:pPr>
      <w:r w:rsidRPr="00093A2C">
        <w:rPr>
          <w:rFonts w:cs="Arial"/>
          <w:b/>
          <w:i/>
          <w:szCs w:val="20"/>
        </w:rPr>
        <w:t>Statements in relation to when a licen</w:t>
      </w:r>
      <w:r>
        <w:rPr>
          <w:rFonts w:cs="Arial"/>
          <w:b/>
          <w:i/>
          <w:szCs w:val="20"/>
        </w:rPr>
        <w:t>se</w:t>
      </w:r>
      <w:r w:rsidRPr="00093A2C">
        <w:rPr>
          <w:rFonts w:cs="Arial"/>
          <w:b/>
          <w:i/>
          <w:szCs w:val="20"/>
        </w:rPr>
        <w:t>e cannot assign a licence, or restrictions or limitations on when a licensee can assign a licence</w:t>
      </w:r>
      <w:r>
        <w:rPr>
          <w:rFonts w:cs="Arial"/>
          <w:b/>
          <w:i/>
          <w:szCs w:val="20"/>
        </w:rPr>
        <w:t>,</w:t>
      </w:r>
      <w:r w:rsidRPr="00093A2C">
        <w:rPr>
          <w:rFonts w:cs="Arial"/>
          <w:b/>
          <w:i/>
          <w:szCs w:val="20"/>
        </w:rPr>
        <w:t xml:space="preserve"> would be placed in this section.</w:t>
      </w:r>
    </w:p>
    <w:p w14:paraId="7FF8184B" w14:textId="398EEA33" w:rsidR="00EA1AAE" w:rsidRPr="00EC7825" w:rsidRDefault="00EA1AAE">
      <w:pPr>
        <w:pBdr>
          <w:top w:val="single" w:sz="4" w:space="1" w:color="auto"/>
        </w:pBdr>
        <w:spacing w:before="120" w:after="0" w:line="240" w:lineRule="auto"/>
        <w:rPr>
          <w:rFonts w:cs="Arial"/>
          <w:b/>
          <w:szCs w:val="20"/>
        </w:rPr>
      </w:pPr>
      <w:r w:rsidRPr="00EC7825">
        <w:rPr>
          <w:rFonts w:cs="Arial"/>
          <w:b/>
          <w:szCs w:val="20"/>
        </w:rPr>
        <w:t xml:space="preserve">SUSPENSION STATEMENTS section </w:t>
      </w:r>
      <w:r w:rsidR="005A519A">
        <w:rPr>
          <w:rFonts w:cs="Arial"/>
          <w:b/>
          <w:szCs w:val="20"/>
        </w:rPr>
        <w:t>66</w:t>
      </w:r>
    </w:p>
    <w:p w14:paraId="6BC8E64F" w14:textId="4B087D7C" w:rsidR="00EA1AAE" w:rsidRPr="002A1B5B" w:rsidRDefault="00EA1AAE" w:rsidP="00805859">
      <w:pPr>
        <w:spacing w:before="120" w:line="240" w:lineRule="auto"/>
        <w:rPr>
          <w:rFonts w:cs="Arial"/>
          <w:szCs w:val="20"/>
        </w:rPr>
      </w:pPr>
      <w:r w:rsidRPr="002A1B5B">
        <w:rPr>
          <w:rFonts w:cs="Arial"/>
          <w:b/>
          <w:i/>
          <w:szCs w:val="20"/>
        </w:rPr>
        <w:t>Statements in relation to</w:t>
      </w:r>
      <w:r>
        <w:rPr>
          <w:rFonts w:cs="Arial"/>
          <w:b/>
          <w:i/>
          <w:szCs w:val="20"/>
        </w:rPr>
        <w:t xml:space="preserve"> </w:t>
      </w:r>
      <w:r w:rsidRPr="00485A44">
        <w:rPr>
          <w:rFonts w:cs="Arial"/>
          <w:b/>
          <w:i/>
          <w:szCs w:val="20"/>
        </w:rPr>
        <w:t xml:space="preserve">the </w:t>
      </w:r>
      <w:r>
        <w:rPr>
          <w:rFonts w:cs="Arial"/>
          <w:b/>
          <w:i/>
          <w:szCs w:val="20"/>
        </w:rPr>
        <w:t xml:space="preserve">supplementary circumstances in which </w:t>
      </w:r>
      <w:r w:rsidRPr="002A1B5B">
        <w:rPr>
          <w:rFonts w:cs="Arial"/>
          <w:b/>
          <w:i/>
          <w:szCs w:val="20"/>
        </w:rPr>
        <w:t xml:space="preserve">a licence </w:t>
      </w:r>
      <w:r>
        <w:rPr>
          <w:rFonts w:cs="Arial"/>
          <w:b/>
          <w:i/>
          <w:szCs w:val="20"/>
        </w:rPr>
        <w:t xml:space="preserve">may be suspended </w:t>
      </w:r>
      <w:r w:rsidRPr="002A1B5B">
        <w:rPr>
          <w:rFonts w:cs="Arial"/>
          <w:b/>
          <w:i/>
          <w:szCs w:val="20"/>
        </w:rPr>
        <w:t>would be placed in this section</w:t>
      </w:r>
      <w:r w:rsidRPr="00485A44">
        <w:rPr>
          <w:rFonts w:cs="Arial"/>
          <w:b/>
          <w:i/>
          <w:szCs w:val="20"/>
        </w:rPr>
        <w:t>.</w:t>
      </w:r>
    </w:p>
    <w:p w14:paraId="153868A7" w14:textId="44443E53" w:rsidR="00EA1AAE" w:rsidRPr="00EC7825" w:rsidRDefault="00EA1AAE" w:rsidP="00805859">
      <w:pPr>
        <w:pBdr>
          <w:top w:val="single" w:sz="4" w:space="1" w:color="auto"/>
        </w:pBdr>
        <w:spacing w:before="120" w:after="0" w:line="240" w:lineRule="auto"/>
        <w:rPr>
          <w:rFonts w:cs="Arial"/>
          <w:b/>
          <w:szCs w:val="20"/>
        </w:rPr>
      </w:pPr>
      <w:r w:rsidRPr="00EC7825">
        <w:rPr>
          <w:rFonts w:cs="Arial"/>
          <w:b/>
          <w:szCs w:val="20"/>
        </w:rPr>
        <w:t xml:space="preserve">CANCELLATION STATEMENTS section </w:t>
      </w:r>
      <w:r w:rsidR="005A519A">
        <w:rPr>
          <w:rFonts w:cs="Arial"/>
          <w:b/>
          <w:szCs w:val="20"/>
        </w:rPr>
        <w:t>69</w:t>
      </w:r>
    </w:p>
    <w:p w14:paraId="30137D33" w14:textId="13FD3BB4" w:rsidR="00EA1AAE" w:rsidRPr="002A1B5B" w:rsidRDefault="00EA1AAE" w:rsidP="00805859">
      <w:pPr>
        <w:spacing w:before="120" w:line="240" w:lineRule="auto"/>
        <w:rPr>
          <w:rFonts w:cs="Arial"/>
          <w:b/>
          <w:color w:val="F79646" w:themeColor="accent6"/>
          <w:szCs w:val="20"/>
        </w:rPr>
      </w:pPr>
      <w:r w:rsidRPr="002A1B5B">
        <w:rPr>
          <w:rFonts w:cs="Arial"/>
          <w:b/>
          <w:i/>
          <w:szCs w:val="20"/>
        </w:rPr>
        <w:t xml:space="preserve">Statements in relation to </w:t>
      </w:r>
      <w:r w:rsidRPr="00485A44">
        <w:rPr>
          <w:rFonts w:cs="Arial"/>
          <w:b/>
          <w:i/>
          <w:szCs w:val="20"/>
        </w:rPr>
        <w:t xml:space="preserve">the </w:t>
      </w:r>
      <w:r>
        <w:rPr>
          <w:rFonts w:cs="Arial"/>
          <w:b/>
          <w:i/>
          <w:szCs w:val="20"/>
        </w:rPr>
        <w:t xml:space="preserve">supplementary circumstances in which </w:t>
      </w:r>
      <w:r w:rsidRPr="002A1B5B">
        <w:rPr>
          <w:rFonts w:cs="Arial"/>
          <w:b/>
          <w:i/>
          <w:szCs w:val="20"/>
        </w:rPr>
        <w:t xml:space="preserve">a licence </w:t>
      </w:r>
      <w:r>
        <w:rPr>
          <w:rFonts w:cs="Arial"/>
          <w:b/>
          <w:i/>
          <w:szCs w:val="20"/>
        </w:rPr>
        <w:t xml:space="preserve">may be cancelled </w:t>
      </w:r>
      <w:r w:rsidRPr="002A1B5B">
        <w:rPr>
          <w:rFonts w:cs="Arial"/>
          <w:b/>
          <w:i/>
          <w:szCs w:val="20"/>
        </w:rPr>
        <w:t xml:space="preserve">would be placed in this section. </w:t>
      </w:r>
    </w:p>
    <w:p w14:paraId="76B6DFA5" w14:textId="0917C3B5" w:rsidR="00EA1AAE" w:rsidRPr="00EC7825" w:rsidRDefault="00EA1AAE" w:rsidP="00805859">
      <w:pPr>
        <w:pBdr>
          <w:top w:val="single" w:sz="4" w:space="1" w:color="auto"/>
        </w:pBdr>
        <w:spacing w:before="120" w:after="0" w:line="240" w:lineRule="auto"/>
        <w:rPr>
          <w:rFonts w:cs="Arial"/>
          <w:b/>
          <w:szCs w:val="20"/>
        </w:rPr>
      </w:pPr>
      <w:r w:rsidRPr="00EC7825">
        <w:rPr>
          <w:rFonts w:cs="Arial"/>
          <w:b/>
          <w:szCs w:val="20"/>
        </w:rPr>
        <w:lastRenderedPageBreak/>
        <w:t xml:space="preserve">VARIATION STATEMENTS section </w:t>
      </w:r>
      <w:r w:rsidR="005A519A">
        <w:rPr>
          <w:rFonts w:cs="Arial"/>
          <w:b/>
          <w:szCs w:val="20"/>
        </w:rPr>
        <w:t>58</w:t>
      </w:r>
    </w:p>
    <w:p w14:paraId="60AEC024" w14:textId="081FFE36" w:rsidR="00EA1AAE" w:rsidRDefault="00EA1AAE" w:rsidP="00805859">
      <w:pPr>
        <w:spacing w:before="120" w:after="0" w:line="240" w:lineRule="auto"/>
        <w:rPr>
          <w:rFonts w:cs="Arial"/>
          <w:b/>
          <w:i/>
          <w:szCs w:val="20"/>
        </w:rPr>
      </w:pPr>
      <w:r w:rsidRPr="002A1B5B">
        <w:rPr>
          <w:rFonts w:cs="Arial"/>
          <w:b/>
          <w:i/>
          <w:szCs w:val="20"/>
        </w:rPr>
        <w:t xml:space="preserve">Statements in relation to </w:t>
      </w:r>
      <w:r w:rsidRPr="00093A2C">
        <w:rPr>
          <w:rFonts w:cs="Arial"/>
          <w:b/>
          <w:i/>
          <w:szCs w:val="20"/>
        </w:rPr>
        <w:t>restrictions or limitations on the ACMA’s power to vary the licence</w:t>
      </w:r>
      <w:r w:rsidRPr="002A1B5B">
        <w:rPr>
          <w:rFonts w:cs="Arial"/>
          <w:b/>
          <w:i/>
          <w:szCs w:val="20"/>
        </w:rPr>
        <w:t xml:space="preserve"> </w:t>
      </w:r>
      <w:r>
        <w:rPr>
          <w:rFonts w:cs="Arial"/>
          <w:b/>
          <w:i/>
          <w:szCs w:val="20"/>
        </w:rPr>
        <w:t xml:space="preserve">(by including, revoking or varying any conditions or designated statements) </w:t>
      </w:r>
      <w:r w:rsidRPr="002A1B5B">
        <w:rPr>
          <w:rFonts w:cs="Arial"/>
          <w:b/>
          <w:i/>
          <w:szCs w:val="20"/>
        </w:rPr>
        <w:t>would be placed in this section</w:t>
      </w:r>
      <w:r w:rsidRPr="00CD16AD">
        <w:rPr>
          <w:rFonts w:cs="Arial"/>
          <w:b/>
          <w:i/>
          <w:szCs w:val="20"/>
        </w:rPr>
        <w:t>.</w:t>
      </w:r>
    </w:p>
    <w:p w14:paraId="2B0E0104" w14:textId="77777777" w:rsidR="00EA1AAE" w:rsidRPr="00834A25" w:rsidRDefault="00EA1AAE" w:rsidP="00805859">
      <w:pPr>
        <w:spacing w:before="120"/>
        <w:rPr>
          <w:rFonts w:cs="Arial"/>
          <w:szCs w:val="20"/>
          <w:u w:val="single"/>
        </w:rPr>
      </w:pPr>
      <w:r w:rsidRPr="00834A25">
        <w:rPr>
          <w:rFonts w:cs="Arial"/>
          <w:szCs w:val="20"/>
          <w:u w:val="single"/>
        </w:rPr>
        <w:t>Example text:</w:t>
      </w:r>
    </w:p>
    <w:p w14:paraId="5349CB6C" w14:textId="77777777" w:rsidR="00EA1AAE" w:rsidRPr="00093A2C" w:rsidRDefault="00EA1AAE" w:rsidP="00805859">
      <w:pPr>
        <w:spacing w:before="120"/>
        <w:rPr>
          <w:rFonts w:cs="Arial"/>
          <w:szCs w:val="20"/>
        </w:rPr>
      </w:pPr>
      <w:r w:rsidRPr="00834A25">
        <w:rPr>
          <w:rFonts w:cs="Arial"/>
          <w:szCs w:val="20"/>
          <w:u w:val="single"/>
        </w:rPr>
        <w:t>VS1:</w:t>
      </w:r>
      <w:r w:rsidRPr="00093A2C">
        <w:rPr>
          <w:rFonts w:cs="Arial"/>
          <w:szCs w:val="20"/>
        </w:rPr>
        <w:t xml:space="preserve"> The ACMA must not vary the following conditions of th</w:t>
      </w:r>
      <w:r>
        <w:rPr>
          <w:rFonts w:cs="Arial"/>
          <w:szCs w:val="20"/>
        </w:rPr>
        <w:t>is</w:t>
      </w:r>
      <w:r w:rsidRPr="00093A2C">
        <w:rPr>
          <w:rFonts w:cs="Arial"/>
          <w:szCs w:val="20"/>
        </w:rPr>
        <w:t xml:space="preserve"> licence</w:t>
      </w:r>
      <w:r>
        <w:rPr>
          <w:rFonts w:cs="Arial"/>
          <w:szCs w:val="20"/>
        </w:rPr>
        <w:t xml:space="preserve"> without the prior consent of the licensee</w:t>
      </w:r>
      <w:r w:rsidRPr="00093A2C">
        <w:rPr>
          <w:rFonts w:cs="Arial"/>
          <w:szCs w:val="20"/>
        </w:rPr>
        <w:t xml:space="preserve"> [insert conditions that </w:t>
      </w:r>
      <w:r>
        <w:rPr>
          <w:rFonts w:cs="Arial"/>
          <w:szCs w:val="20"/>
        </w:rPr>
        <w:t>may</w:t>
      </w:r>
      <w:r w:rsidRPr="00093A2C">
        <w:rPr>
          <w:rFonts w:cs="Arial"/>
          <w:szCs w:val="20"/>
        </w:rPr>
        <w:t xml:space="preserve"> not be varied without licensee agreement].</w:t>
      </w:r>
    </w:p>
    <w:p w14:paraId="510DC753" w14:textId="77777777" w:rsidR="00EA1AAE" w:rsidRDefault="00EA1AAE" w:rsidP="00805859">
      <w:pPr>
        <w:spacing w:before="120"/>
        <w:rPr>
          <w:rFonts w:cs="Arial"/>
          <w:szCs w:val="20"/>
        </w:rPr>
      </w:pPr>
      <w:r w:rsidRPr="00093A2C">
        <w:rPr>
          <w:rFonts w:cs="Arial"/>
          <w:szCs w:val="20"/>
          <w:u w:val="single"/>
        </w:rPr>
        <w:t>VS2</w:t>
      </w:r>
      <w:r w:rsidRPr="00834A25">
        <w:rPr>
          <w:rFonts w:cs="Arial"/>
          <w:szCs w:val="20"/>
          <w:u w:val="single"/>
        </w:rPr>
        <w:t>:</w:t>
      </w:r>
      <w:r w:rsidRPr="00093A2C">
        <w:rPr>
          <w:rFonts w:cs="Arial"/>
          <w:szCs w:val="20"/>
        </w:rPr>
        <w:t xml:space="preserve"> The ACMA must not vary the following designated statements of th</w:t>
      </w:r>
      <w:r>
        <w:rPr>
          <w:rFonts w:cs="Arial"/>
          <w:szCs w:val="20"/>
        </w:rPr>
        <w:t>is</w:t>
      </w:r>
      <w:r w:rsidRPr="00093A2C">
        <w:rPr>
          <w:rFonts w:cs="Arial"/>
          <w:szCs w:val="20"/>
        </w:rPr>
        <w:t xml:space="preserve"> licence [insert </w:t>
      </w:r>
      <w:r>
        <w:rPr>
          <w:rFonts w:cs="Arial"/>
          <w:szCs w:val="20"/>
        </w:rPr>
        <w:t>designated statements</w:t>
      </w:r>
      <w:r w:rsidRPr="00093A2C">
        <w:rPr>
          <w:rFonts w:cs="Arial"/>
          <w:szCs w:val="20"/>
        </w:rPr>
        <w:t xml:space="preserve"> that </w:t>
      </w:r>
      <w:r>
        <w:rPr>
          <w:rFonts w:cs="Arial"/>
          <w:szCs w:val="20"/>
        </w:rPr>
        <w:t>may</w:t>
      </w:r>
      <w:r w:rsidRPr="00093A2C">
        <w:rPr>
          <w:rFonts w:cs="Arial"/>
          <w:szCs w:val="20"/>
        </w:rPr>
        <w:t xml:space="preserve"> not be varied without </w:t>
      </w:r>
      <w:r>
        <w:rPr>
          <w:rFonts w:cs="Arial"/>
          <w:szCs w:val="20"/>
        </w:rPr>
        <w:t>the prior consent of the licensee</w:t>
      </w:r>
      <w:r w:rsidRPr="00093A2C">
        <w:rPr>
          <w:rFonts w:cs="Arial"/>
          <w:szCs w:val="20"/>
        </w:rPr>
        <w:t>]</w:t>
      </w:r>
      <w:r>
        <w:rPr>
          <w:rFonts w:cs="Arial"/>
          <w:szCs w:val="20"/>
        </w:rPr>
        <w:t>.</w:t>
      </w:r>
    </w:p>
    <w:p w14:paraId="18A493DF" w14:textId="6FBBAA27" w:rsidR="00EA1AAE" w:rsidRPr="00EC7825" w:rsidRDefault="00EA1AAE" w:rsidP="00805859">
      <w:pPr>
        <w:pBdr>
          <w:top w:val="single" w:sz="4" w:space="1" w:color="auto"/>
        </w:pBdr>
        <w:spacing w:before="120" w:after="0" w:line="240" w:lineRule="auto"/>
        <w:rPr>
          <w:rFonts w:cs="Arial"/>
          <w:b/>
          <w:szCs w:val="20"/>
        </w:rPr>
      </w:pPr>
      <w:r w:rsidRPr="00EC7825">
        <w:rPr>
          <w:rFonts w:cs="Arial"/>
          <w:b/>
          <w:szCs w:val="20"/>
        </w:rPr>
        <w:t xml:space="preserve">REGULATORY UNDERTAKINGS section </w:t>
      </w:r>
      <w:r w:rsidR="005A519A">
        <w:rPr>
          <w:rFonts w:cs="Arial"/>
          <w:b/>
          <w:szCs w:val="20"/>
        </w:rPr>
        <w:t>53</w:t>
      </w:r>
    </w:p>
    <w:p w14:paraId="7CC987E2" w14:textId="77777777" w:rsidR="00EA1AAE" w:rsidRPr="002A1B5B" w:rsidRDefault="00EA1AAE" w:rsidP="00805859">
      <w:pPr>
        <w:spacing w:before="120" w:after="0" w:line="240" w:lineRule="auto"/>
        <w:rPr>
          <w:rFonts w:cs="Arial"/>
          <w:b/>
          <w:color w:val="F79646" w:themeColor="accent6"/>
          <w:szCs w:val="20"/>
        </w:rPr>
      </w:pPr>
      <w:r>
        <w:rPr>
          <w:rFonts w:cs="Arial"/>
          <w:b/>
          <w:i/>
          <w:szCs w:val="20"/>
        </w:rPr>
        <w:t xml:space="preserve">Undertakings that </w:t>
      </w:r>
      <w:r w:rsidRPr="002060AB">
        <w:rPr>
          <w:rFonts w:cs="Arial"/>
          <w:b/>
          <w:i/>
          <w:szCs w:val="20"/>
        </w:rPr>
        <w:t>the spectrum covered by the licence would not be also covered by another licence without the ACMA taking specified steps</w:t>
      </w:r>
      <w:r w:rsidRPr="002A1B5B">
        <w:rPr>
          <w:rFonts w:cs="Arial"/>
          <w:b/>
          <w:i/>
          <w:szCs w:val="20"/>
        </w:rPr>
        <w:t xml:space="preserve">. </w:t>
      </w:r>
    </w:p>
    <w:p w14:paraId="5A6ED9F1" w14:textId="77777777" w:rsidR="00EA1AAE" w:rsidRPr="002A1B5B" w:rsidRDefault="00EA1AAE" w:rsidP="00805859">
      <w:pPr>
        <w:pBdr>
          <w:bottom w:val="dashed" w:sz="18" w:space="1" w:color="auto"/>
        </w:pBdr>
        <w:spacing w:before="120" w:after="0" w:line="240" w:lineRule="auto"/>
        <w:rPr>
          <w:rFonts w:cs="Arial"/>
          <w:b/>
          <w:color w:val="002060"/>
          <w:szCs w:val="20"/>
        </w:rPr>
      </w:pPr>
    </w:p>
    <w:p w14:paraId="69ABE1AB" w14:textId="77777777" w:rsidR="00EA1AAE" w:rsidRPr="00054F5C" w:rsidRDefault="00EA1AAE" w:rsidP="00805859">
      <w:pPr>
        <w:spacing w:after="0"/>
        <w:rPr>
          <w:rFonts w:cs="Arial"/>
          <w:b/>
          <w:i/>
          <w:szCs w:val="20"/>
        </w:rPr>
      </w:pPr>
    </w:p>
    <w:p w14:paraId="6AE9195B" w14:textId="005CC2C1" w:rsidR="001A535A" w:rsidRDefault="001A535A">
      <w:pPr>
        <w:spacing w:after="0" w:line="240" w:lineRule="auto"/>
        <w:rPr>
          <w:rFonts w:cs="Arial"/>
        </w:rPr>
        <w:sectPr w:rsidR="001A535A" w:rsidSect="00B977E8">
          <w:pgSz w:w="11906" w:h="16838" w:code="9"/>
          <w:pgMar w:top="1945" w:right="3101" w:bottom="1134" w:left="1134" w:header="709" w:footer="119" w:gutter="0"/>
          <w:cols w:space="708"/>
          <w:docGrid w:linePitch="360"/>
        </w:sectPr>
      </w:pPr>
    </w:p>
    <w:p w14:paraId="28A22F9F" w14:textId="77777777" w:rsidR="00EA1AAE" w:rsidRPr="009A5F4D" w:rsidRDefault="00EA1AAE" w:rsidP="00805859">
      <w:pPr>
        <w:widowControl w:val="0"/>
        <w:spacing w:before="84" w:after="0" w:line="240" w:lineRule="auto"/>
        <w:rPr>
          <w:rFonts w:eastAsia="Calibri" w:cs="Arial"/>
          <w:b/>
          <w:spacing w:val="-1"/>
          <w:sz w:val="32"/>
          <w:szCs w:val="32"/>
          <w:lang w:val="en-US"/>
        </w:rPr>
      </w:pPr>
      <w:r w:rsidRPr="00EC7825">
        <w:rPr>
          <w:rFonts w:eastAsia="Calibri" w:cs="Arial"/>
          <w:b/>
          <w:noProof/>
          <w:sz w:val="32"/>
          <w:szCs w:val="32"/>
        </w:rPr>
        <w:lastRenderedPageBreak/>
        <w:drawing>
          <wp:anchor distT="0" distB="0" distL="114300" distR="114300" simplePos="0" relativeHeight="251661312" behindDoc="0" locked="0" layoutInCell="1" allowOverlap="1" wp14:anchorId="70D7BDFD" wp14:editId="1FA08B2C">
            <wp:simplePos x="0" y="0"/>
            <wp:positionH relativeFrom="page">
              <wp:posOffset>4368800</wp:posOffset>
            </wp:positionH>
            <wp:positionV relativeFrom="paragraph">
              <wp:posOffset>-727710</wp:posOffset>
            </wp:positionV>
            <wp:extent cx="2725420" cy="628650"/>
            <wp:effectExtent l="0" t="0" r="0" b="0"/>
            <wp:wrapNone/>
            <wp:docPr id="5" name="Picture 8" title="ACMA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2542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5F4D">
        <w:rPr>
          <w:rFonts w:eastAsia="Calibri" w:cs="Arial"/>
          <w:b/>
          <w:spacing w:val="-2"/>
          <w:sz w:val="32"/>
          <w:szCs w:val="32"/>
          <w:lang w:val="en-US"/>
        </w:rPr>
        <w:t xml:space="preserve">Spectrum Access </w:t>
      </w:r>
      <w:r w:rsidRPr="009A5F4D">
        <w:rPr>
          <w:rFonts w:eastAsia="Calibri" w:cs="Arial"/>
          <w:b/>
          <w:spacing w:val="-1"/>
          <w:sz w:val="32"/>
          <w:szCs w:val="32"/>
          <w:lang w:val="en-US"/>
        </w:rPr>
        <w:t>Licence</w:t>
      </w:r>
    </w:p>
    <w:p w14:paraId="7109A254" w14:textId="77777777" w:rsidR="00EA1AAE" w:rsidRPr="009A5F4D" w:rsidRDefault="00EA1AAE" w:rsidP="00805859">
      <w:pPr>
        <w:widowControl w:val="0"/>
        <w:spacing w:before="2" w:after="0" w:line="240" w:lineRule="auto"/>
        <w:rPr>
          <w:rFonts w:eastAsia="Calibri" w:cs="Arial"/>
          <w:i/>
          <w:sz w:val="16"/>
          <w:szCs w:val="16"/>
          <w:lang w:val="en-US"/>
        </w:rPr>
      </w:pPr>
      <w:r w:rsidRPr="009A5F4D">
        <w:rPr>
          <w:rFonts w:eastAsia="Calibri" w:cs="Arial"/>
          <w:i/>
          <w:sz w:val="16"/>
          <w:szCs w:val="16"/>
          <w:lang w:val="en-US"/>
        </w:rPr>
        <w:t>Issued</w:t>
      </w:r>
      <w:r w:rsidRPr="009A5F4D">
        <w:rPr>
          <w:rFonts w:eastAsia="Calibri" w:cs="Arial"/>
          <w:i/>
          <w:spacing w:val="-1"/>
          <w:sz w:val="16"/>
          <w:szCs w:val="16"/>
          <w:lang w:val="en-US"/>
        </w:rPr>
        <w:t xml:space="preserve"> by Delegate</w:t>
      </w:r>
      <w:r w:rsidRPr="009A5F4D">
        <w:rPr>
          <w:rFonts w:eastAsia="Calibri" w:cs="Arial"/>
          <w:i/>
          <w:sz w:val="16"/>
          <w:szCs w:val="16"/>
          <w:lang w:val="en-US"/>
        </w:rPr>
        <w:t xml:space="preserve"> </w:t>
      </w:r>
      <w:r w:rsidRPr="009A5F4D">
        <w:rPr>
          <w:rFonts w:eastAsia="Calibri" w:cs="Arial"/>
          <w:i/>
          <w:spacing w:val="-1"/>
          <w:sz w:val="16"/>
          <w:szCs w:val="16"/>
          <w:lang w:val="en-US"/>
        </w:rPr>
        <w:t xml:space="preserve">of </w:t>
      </w:r>
      <w:r w:rsidRPr="009A5F4D">
        <w:rPr>
          <w:rFonts w:eastAsia="Calibri" w:cs="Arial"/>
          <w:i/>
          <w:sz w:val="16"/>
          <w:szCs w:val="16"/>
          <w:lang w:val="en-US"/>
        </w:rPr>
        <w:t>the</w:t>
      </w:r>
      <w:r w:rsidRPr="009A5F4D">
        <w:rPr>
          <w:rFonts w:eastAsia="Calibri" w:cs="Arial"/>
          <w:i/>
          <w:spacing w:val="-1"/>
          <w:sz w:val="16"/>
          <w:szCs w:val="16"/>
          <w:lang w:val="en-US"/>
        </w:rPr>
        <w:t xml:space="preserve"> </w:t>
      </w:r>
      <w:r w:rsidRPr="009A5F4D">
        <w:rPr>
          <w:rFonts w:eastAsia="Calibri" w:cs="Arial"/>
          <w:i/>
          <w:sz w:val="16"/>
          <w:szCs w:val="16"/>
          <w:lang w:val="en-US"/>
        </w:rPr>
        <w:t xml:space="preserve">Australian </w:t>
      </w:r>
      <w:r w:rsidRPr="009A5F4D">
        <w:rPr>
          <w:rFonts w:eastAsia="Calibri" w:cs="Arial"/>
          <w:i/>
          <w:spacing w:val="-1"/>
          <w:sz w:val="16"/>
          <w:szCs w:val="16"/>
          <w:lang w:val="en-US"/>
        </w:rPr>
        <w:t>Communications</w:t>
      </w:r>
      <w:r w:rsidRPr="009A5F4D">
        <w:rPr>
          <w:rFonts w:eastAsia="Calibri" w:cs="Arial"/>
          <w:i/>
          <w:sz w:val="16"/>
          <w:szCs w:val="16"/>
          <w:lang w:val="en-US"/>
        </w:rPr>
        <w:t xml:space="preserve"> </w:t>
      </w:r>
      <w:r w:rsidRPr="009A5F4D">
        <w:rPr>
          <w:rFonts w:eastAsia="Calibri" w:cs="Arial"/>
          <w:i/>
          <w:spacing w:val="-1"/>
          <w:sz w:val="16"/>
          <w:szCs w:val="16"/>
          <w:lang w:val="en-US"/>
        </w:rPr>
        <w:t xml:space="preserve">and </w:t>
      </w:r>
      <w:r w:rsidRPr="009A5F4D">
        <w:rPr>
          <w:rFonts w:eastAsia="Calibri" w:cs="Arial"/>
          <w:i/>
          <w:sz w:val="16"/>
          <w:szCs w:val="16"/>
          <w:lang w:val="en-US"/>
        </w:rPr>
        <w:t>Media</w:t>
      </w:r>
      <w:r w:rsidRPr="009A5F4D">
        <w:rPr>
          <w:rFonts w:eastAsia="Calibri" w:cs="Arial"/>
          <w:i/>
          <w:spacing w:val="-5"/>
          <w:sz w:val="16"/>
          <w:szCs w:val="16"/>
          <w:lang w:val="en-US"/>
        </w:rPr>
        <w:t xml:space="preserve"> </w:t>
      </w:r>
      <w:r w:rsidRPr="009A5F4D">
        <w:rPr>
          <w:rFonts w:eastAsia="Calibri" w:cs="Arial"/>
          <w:i/>
          <w:sz w:val="16"/>
          <w:szCs w:val="16"/>
          <w:lang w:val="en-US"/>
        </w:rPr>
        <w:t>Authority</w:t>
      </w:r>
    </w:p>
    <w:p w14:paraId="19A559DE" w14:textId="57995A62" w:rsidR="00EA1AAE" w:rsidRPr="009A5F4D" w:rsidRDefault="00EA1AAE" w:rsidP="00805859">
      <w:pPr>
        <w:widowControl w:val="0"/>
        <w:spacing w:before="2" w:line="240" w:lineRule="auto"/>
        <w:rPr>
          <w:rFonts w:eastAsia="Arial" w:cs="Arial"/>
          <w:sz w:val="16"/>
          <w:szCs w:val="16"/>
          <w:lang w:val="en-US"/>
        </w:rPr>
      </w:pPr>
      <w:r w:rsidRPr="009A5F4D">
        <w:rPr>
          <w:rFonts w:eastAsia="Calibri" w:cs="Arial"/>
          <w:i/>
          <w:sz w:val="16"/>
          <w:szCs w:val="16"/>
          <w:lang w:val="en-US"/>
        </w:rPr>
        <w:t xml:space="preserve">Issued in accordance with </w:t>
      </w:r>
      <w:r>
        <w:rPr>
          <w:rFonts w:eastAsia="Calibri" w:cs="Arial"/>
          <w:i/>
          <w:sz w:val="16"/>
          <w:szCs w:val="16"/>
          <w:lang w:val="en-US"/>
        </w:rPr>
        <w:t xml:space="preserve">section </w:t>
      </w:r>
      <w:r w:rsidR="00E774AC">
        <w:rPr>
          <w:rFonts w:eastAsia="Calibri" w:cs="Arial"/>
          <w:i/>
          <w:sz w:val="16"/>
          <w:szCs w:val="16"/>
          <w:lang w:val="en-US"/>
        </w:rPr>
        <w:t xml:space="preserve">33 </w:t>
      </w:r>
      <w:r>
        <w:rPr>
          <w:rFonts w:eastAsia="Calibri" w:cs="Arial"/>
          <w:i/>
          <w:sz w:val="16"/>
          <w:szCs w:val="16"/>
          <w:lang w:val="en-US"/>
        </w:rPr>
        <w:t>of the [Radiocommunications Act]</w:t>
      </w:r>
    </w:p>
    <w:p w14:paraId="77755C1B" w14:textId="77777777" w:rsidR="00EA1AAE" w:rsidRPr="00EC7825" w:rsidRDefault="00EA1AAE" w:rsidP="00805859">
      <w:pPr>
        <w:pBdr>
          <w:top w:val="single" w:sz="4" w:space="1" w:color="auto"/>
        </w:pBdr>
        <w:spacing w:before="120" w:after="120" w:line="240" w:lineRule="auto"/>
        <w:rPr>
          <w:rFonts w:cs="Arial"/>
          <w:b/>
          <w:szCs w:val="20"/>
        </w:rPr>
      </w:pPr>
      <w:r w:rsidRPr="00EC7825">
        <w:rPr>
          <w:rFonts w:cs="Arial"/>
          <w:b/>
          <w:szCs w:val="20"/>
        </w:rPr>
        <w:t>LICENCE DETAILS</w:t>
      </w:r>
    </w:p>
    <w:tbl>
      <w:tblPr>
        <w:tblW w:w="2828" w:type="pct"/>
        <w:tblCellMar>
          <w:left w:w="0" w:type="dxa"/>
          <w:right w:w="0" w:type="dxa"/>
        </w:tblCellMar>
        <w:tblLook w:val="01E0" w:firstRow="1" w:lastRow="1" w:firstColumn="1" w:lastColumn="1" w:noHBand="0" w:noVBand="0"/>
      </w:tblPr>
      <w:tblGrid>
        <w:gridCol w:w="1865"/>
        <w:gridCol w:w="2462"/>
      </w:tblGrid>
      <w:tr w:rsidR="00EA1AAE" w:rsidRPr="009A5F4D" w14:paraId="74BD2598" w14:textId="77777777" w:rsidTr="00805859">
        <w:trPr>
          <w:trHeight w:val="348"/>
        </w:trPr>
        <w:tc>
          <w:tcPr>
            <w:tcW w:w="2155" w:type="pct"/>
            <w:tcBorders>
              <w:top w:val="single" w:sz="8" w:space="0" w:color="000000"/>
              <w:left w:val="single" w:sz="8" w:space="0" w:color="000000"/>
              <w:bottom w:val="single" w:sz="8" w:space="0" w:color="000000"/>
              <w:right w:val="single" w:sz="8" w:space="0" w:color="000000"/>
            </w:tcBorders>
          </w:tcPr>
          <w:p w14:paraId="6C5B7C6E" w14:textId="77777777" w:rsidR="00EA1AAE" w:rsidRPr="009A5F4D" w:rsidRDefault="00EA1AAE" w:rsidP="00805859">
            <w:pPr>
              <w:pStyle w:val="TableParagraph"/>
              <w:ind w:left="40"/>
              <w:rPr>
                <w:rFonts w:ascii="Arial" w:eastAsia="Arial" w:hAnsi="Arial" w:cs="Arial"/>
                <w:sz w:val="20"/>
                <w:szCs w:val="20"/>
              </w:rPr>
            </w:pPr>
            <w:r w:rsidRPr="009A5F4D">
              <w:rPr>
                <w:rFonts w:ascii="Arial" w:hAnsi="Arial" w:cs="Arial"/>
                <w:spacing w:val="-1"/>
                <w:sz w:val="20"/>
                <w:szCs w:val="20"/>
              </w:rPr>
              <w:t>Customer</w:t>
            </w:r>
            <w:r w:rsidRPr="009A5F4D">
              <w:rPr>
                <w:rFonts w:ascii="Arial" w:hAnsi="Arial" w:cs="Arial"/>
                <w:sz w:val="20"/>
                <w:szCs w:val="20"/>
              </w:rPr>
              <w:t xml:space="preserve"> ID</w:t>
            </w:r>
          </w:p>
        </w:tc>
        <w:tc>
          <w:tcPr>
            <w:tcW w:w="2845" w:type="pct"/>
            <w:tcBorders>
              <w:top w:val="single" w:sz="8" w:space="0" w:color="000000"/>
              <w:left w:val="single" w:sz="8" w:space="0" w:color="000000"/>
              <w:bottom w:val="single" w:sz="8" w:space="0" w:color="000000"/>
              <w:right w:val="single" w:sz="8" w:space="0" w:color="000000"/>
            </w:tcBorders>
          </w:tcPr>
          <w:p w14:paraId="0CC17549" w14:textId="77777777" w:rsidR="00EA1AAE" w:rsidRPr="009A5F4D" w:rsidRDefault="00EA1AAE" w:rsidP="00805859">
            <w:pPr>
              <w:pStyle w:val="TableParagraph"/>
              <w:ind w:left="40"/>
              <w:rPr>
                <w:rFonts w:ascii="Arial" w:eastAsia="Arial" w:hAnsi="Arial" w:cs="Arial"/>
                <w:sz w:val="20"/>
                <w:szCs w:val="20"/>
              </w:rPr>
            </w:pPr>
            <w:r w:rsidRPr="009A5F4D">
              <w:rPr>
                <w:rFonts w:ascii="Arial" w:hAnsi="Arial" w:cs="Arial"/>
                <w:spacing w:val="-1"/>
                <w:sz w:val="20"/>
                <w:szCs w:val="20"/>
              </w:rPr>
              <w:t>XXXXX</w:t>
            </w:r>
          </w:p>
        </w:tc>
      </w:tr>
      <w:tr w:rsidR="00EA1AAE" w:rsidRPr="009A5F4D" w14:paraId="6F5B6DF1" w14:textId="77777777" w:rsidTr="00805859">
        <w:trPr>
          <w:trHeight w:val="368"/>
        </w:trPr>
        <w:tc>
          <w:tcPr>
            <w:tcW w:w="2155" w:type="pct"/>
            <w:tcBorders>
              <w:top w:val="single" w:sz="8" w:space="0" w:color="000000"/>
              <w:left w:val="single" w:sz="8" w:space="0" w:color="000000"/>
              <w:bottom w:val="single" w:sz="8" w:space="0" w:color="000000"/>
              <w:right w:val="single" w:sz="8" w:space="0" w:color="000000"/>
            </w:tcBorders>
          </w:tcPr>
          <w:p w14:paraId="17581B47" w14:textId="77777777" w:rsidR="00EA1AAE" w:rsidRPr="009A5F4D" w:rsidRDefault="00EA1AAE" w:rsidP="00805859">
            <w:pPr>
              <w:pStyle w:val="TableParagraph"/>
              <w:ind w:left="40"/>
              <w:rPr>
                <w:rFonts w:ascii="Arial" w:eastAsia="Arial" w:hAnsi="Arial" w:cs="Arial"/>
                <w:sz w:val="20"/>
                <w:szCs w:val="20"/>
              </w:rPr>
            </w:pPr>
            <w:r w:rsidRPr="009A5F4D">
              <w:rPr>
                <w:rFonts w:ascii="Arial" w:hAnsi="Arial" w:cs="Arial"/>
                <w:spacing w:val="-1"/>
                <w:sz w:val="20"/>
                <w:szCs w:val="20"/>
              </w:rPr>
              <w:t>Licensee</w:t>
            </w:r>
          </w:p>
        </w:tc>
        <w:tc>
          <w:tcPr>
            <w:tcW w:w="2845" w:type="pct"/>
            <w:tcBorders>
              <w:top w:val="single" w:sz="8" w:space="0" w:color="000000"/>
              <w:left w:val="single" w:sz="8" w:space="0" w:color="000000"/>
              <w:bottom w:val="single" w:sz="8" w:space="0" w:color="000000"/>
              <w:right w:val="single" w:sz="8" w:space="0" w:color="000000"/>
            </w:tcBorders>
          </w:tcPr>
          <w:p w14:paraId="2A1B2B5E" w14:textId="77777777" w:rsidR="00EA1AAE" w:rsidRPr="009A5F4D" w:rsidRDefault="00EA1AAE" w:rsidP="00805859">
            <w:pPr>
              <w:pStyle w:val="TableParagraph"/>
              <w:ind w:left="40"/>
              <w:rPr>
                <w:rFonts w:ascii="Arial" w:eastAsia="Arial" w:hAnsi="Arial" w:cs="Arial"/>
                <w:sz w:val="20"/>
                <w:szCs w:val="20"/>
              </w:rPr>
            </w:pPr>
            <w:r w:rsidRPr="009A5F4D">
              <w:rPr>
                <w:rFonts w:ascii="Arial" w:hAnsi="Arial" w:cs="Arial"/>
                <w:spacing w:val="-1"/>
                <w:sz w:val="20"/>
                <w:szCs w:val="20"/>
              </w:rPr>
              <w:t>Company XXXXX Pty</w:t>
            </w:r>
            <w:r w:rsidRPr="009A5F4D">
              <w:rPr>
                <w:rFonts w:ascii="Arial" w:hAnsi="Arial" w:cs="Arial"/>
                <w:sz w:val="20"/>
                <w:szCs w:val="20"/>
              </w:rPr>
              <w:t xml:space="preserve"> </w:t>
            </w:r>
            <w:r w:rsidRPr="009A5F4D">
              <w:rPr>
                <w:rFonts w:ascii="Arial" w:hAnsi="Arial" w:cs="Arial"/>
                <w:spacing w:val="-1"/>
                <w:sz w:val="20"/>
                <w:szCs w:val="20"/>
              </w:rPr>
              <w:t>Ltd</w:t>
            </w:r>
          </w:p>
        </w:tc>
      </w:tr>
      <w:tr w:rsidR="00EA1AAE" w:rsidRPr="009A5F4D" w14:paraId="5544625B" w14:textId="77777777" w:rsidTr="00805859">
        <w:trPr>
          <w:trHeight w:val="482"/>
        </w:trPr>
        <w:tc>
          <w:tcPr>
            <w:tcW w:w="2155" w:type="pct"/>
            <w:tcBorders>
              <w:top w:val="single" w:sz="8" w:space="0" w:color="000000"/>
              <w:left w:val="single" w:sz="8" w:space="0" w:color="000000"/>
              <w:bottom w:val="single" w:sz="8" w:space="0" w:color="000000"/>
              <w:right w:val="single" w:sz="8" w:space="0" w:color="000000"/>
            </w:tcBorders>
          </w:tcPr>
          <w:p w14:paraId="2195AA9E" w14:textId="77777777" w:rsidR="00EA1AAE" w:rsidRPr="009A5F4D" w:rsidRDefault="00EA1AAE" w:rsidP="00805859">
            <w:pPr>
              <w:pStyle w:val="TableParagraph"/>
              <w:ind w:left="40"/>
              <w:rPr>
                <w:rFonts w:ascii="Arial" w:eastAsia="Arial" w:hAnsi="Arial" w:cs="Arial"/>
                <w:sz w:val="20"/>
                <w:szCs w:val="20"/>
              </w:rPr>
            </w:pPr>
            <w:r w:rsidRPr="009A5F4D">
              <w:rPr>
                <w:rFonts w:ascii="Arial" w:hAnsi="Arial" w:cs="Arial"/>
                <w:spacing w:val="-1"/>
                <w:sz w:val="20"/>
                <w:szCs w:val="20"/>
              </w:rPr>
              <w:t>Licensee address</w:t>
            </w:r>
          </w:p>
        </w:tc>
        <w:tc>
          <w:tcPr>
            <w:tcW w:w="2845" w:type="pct"/>
            <w:tcBorders>
              <w:top w:val="single" w:sz="8" w:space="0" w:color="000000"/>
              <w:left w:val="single" w:sz="8" w:space="0" w:color="000000"/>
              <w:bottom w:val="single" w:sz="8" w:space="0" w:color="000000"/>
              <w:right w:val="single" w:sz="8" w:space="0" w:color="000000"/>
            </w:tcBorders>
          </w:tcPr>
          <w:p w14:paraId="05BF30D1" w14:textId="77777777" w:rsidR="00EA1AAE" w:rsidRPr="009A5F4D" w:rsidRDefault="00EA1AAE" w:rsidP="00805859">
            <w:pPr>
              <w:pStyle w:val="TableParagraph"/>
              <w:ind w:left="40"/>
              <w:rPr>
                <w:rFonts w:ascii="Arial" w:hAnsi="Arial" w:cs="Arial"/>
                <w:spacing w:val="-2"/>
                <w:sz w:val="20"/>
                <w:szCs w:val="20"/>
              </w:rPr>
            </w:pPr>
            <w:r w:rsidRPr="009A5F4D">
              <w:rPr>
                <w:rFonts w:ascii="Arial" w:hAnsi="Arial" w:cs="Arial"/>
                <w:spacing w:val="-1"/>
                <w:sz w:val="20"/>
                <w:szCs w:val="20"/>
              </w:rPr>
              <w:t>Number Street</w:t>
            </w:r>
            <w:r w:rsidRPr="009A5F4D">
              <w:rPr>
                <w:rFonts w:ascii="Arial" w:hAnsi="Arial" w:cs="Arial"/>
                <w:sz w:val="20"/>
                <w:szCs w:val="20"/>
              </w:rPr>
              <w:t>,</w:t>
            </w:r>
            <w:r w:rsidRPr="009A5F4D">
              <w:rPr>
                <w:rFonts w:ascii="Arial" w:hAnsi="Arial" w:cs="Arial"/>
                <w:spacing w:val="-2"/>
                <w:sz w:val="20"/>
                <w:szCs w:val="20"/>
              </w:rPr>
              <w:t xml:space="preserve"> </w:t>
            </w:r>
          </w:p>
          <w:p w14:paraId="12C064FF" w14:textId="77777777" w:rsidR="00EA1AAE" w:rsidRPr="009A5F4D" w:rsidRDefault="00EA1AAE" w:rsidP="00805859">
            <w:pPr>
              <w:pStyle w:val="TableParagraph"/>
              <w:ind w:left="40"/>
              <w:rPr>
                <w:rFonts w:ascii="Arial" w:hAnsi="Arial" w:cs="Arial"/>
                <w:sz w:val="20"/>
                <w:szCs w:val="20"/>
              </w:rPr>
            </w:pPr>
            <w:r w:rsidRPr="009A5F4D">
              <w:rPr>
                <w:rFonts w:ascii="Arial" w:hAnsi="Arial" w:cs="Arial"/>
                <w:sz w:val="20"/>
                <w:szCs w:val="20"/>
              </w:rPr>
              <w:t>SUBURB,</w:t>
            </w:r>
          </w:p>
          <w:p w14:paraId="79EF3E69" w14:textId="77777777" w:rsidR="00EA1AAE" w:rsidRPr="009A5F4D" w:rsidRDefault="00EA1AAE" w:rsidP="00805859">
            <w:pPr>
              <w:pStyle w:val="TableParagraph"/>
              <w:ind w:left="40"/>
              <w:rPr>
                <w:rFonts w:ascii="Arial" w:hAnsi="Arial" w:cs="Arial"/>
                <w:spacing w:val="-2"/>
                <w:sz w:val="20"/>
                <w:szCs w:val="20"/>
              </w:rPr>
            </w:pPr>
            <w:r w:rsidRPr="009A5F4D">
              <w:rPr>
                <w:rFonts w:ascii="Arial" w:hAnsi="Arial" w:cs="Arial"/>
                <w:sz w:val="20"/>
                <w:szCs w:val="20"/>
              </w:rPr>
              <w:t>TOWN/CITY,</w:t>
            </w:r>
            <w:r w:rsidRPr="009A5F4D">
              <w:rPr>
                <w:rFonts w:ascii="Arial" w:hAnsi="Arial" w:cs="Arial"/>
                <w:spacing w:val="-2"/>
                <w:sz w:val="20"/>
                <w:szCs w:val="20"/>
              </w:rPr>
              <w:t xml:space="preserve"> </w:t>
            </w:r>
          </w:p>
          <w:p w14:paraId="6A3A2FB0" w14:textId="77777777" w:rsidR="00EA1AAE" w:rsidRPr="009A5F4D" w:rsidRDefault="00EA1AAE" w:rsidP="00805859">
            <w:pPr>
              <w:pStyle w:val="TableParagraph"/>
              <w:ind w:left="40"/>
              <w:rPr>
                <w:rFonts w:ascii="Arial" w:eastAsia="Arial" w:hAnsi="Arial" w:cs="Arial"/>
                <w:sz w:val="20"/>
                <w:szCs w:val="20"/>
              </w:rPr>
            </w:pPr>
            <w:r w:rsidRPr="009A5F4D">
              <w:rPr>
                <w:rFonts w:ascii="Arial" w:hAnsi="Arial" w:cs="Arial"/>
                <w:spacing w:val="-1"/>
                <w:sz w:val="20"/>
                <w:szCs w:val="20"/>
              </w:rPr>
              <w:t>STATE POSTCODE</w:t>
            </w:r>
          </w:p>
        </w:tc>
      </w:tr>
    </w:tbl>
    <w:p w14:paraId="3B7E1AB8" w14:textId="77777777" w:rsidR="00EA1AAE" w:rsidRPr="009A5F4D" w:rsidRDefault="00EA1AAE" w:rsidP="00805859">
      <w:pPr>
        <w:spacing w:before="120" w:after="0" w:line="240" w:lineRule="auto"/>
        <w:rPr>
          <w:rFonts w:cs="Arial"/>
          <w:b/>
          <w:szCs w:val="20"/>
          <w:u w:val="single"/>
        </w:rPr>
      </w:pPr>
    </w:p>
    <w:tbl>
      <w:tblPr>
        <w:tblW w:w="2816" w:type="pct"/>
        <w:tblInd w:w="20" w:type="dxa"/>
        <w:tblCellMar>
          <w:left w:w="0" w:type="dxa"/>
          <w:right w:w="0" w:type="dxa"/>
        </w:tblCellMar>
        <w:tblLook w:val="01E0" w:firstRow="1" w:lastRow="1" w:firstColumn="1" w:lastColumn="1" w:noHBand="0" w:noVBand="0"/>
      </w:tblPr>
      <w:tblGrid>
        <w:gridCol w:w="1853"/>
        <w:gridCol w:w="2456"/>
      </w:tblGrid>
      <w:tr w:rsidR="00EA1AAE" w:rsidRPr="009A5F4D" w14:paraId="514D586F" w14:textId="77777777" w:rsidTr="00805859">
        <w:trPr>
          <w:trHeight w:val="348"/>
        </w:trPr>
        <w:tc>
          <w:tcPr>
            <w:tcW w:w="2150" w:type="pct"/>
            <w:tcBorders>
              <w:top w:val="single" w:sz="8" w:space="0" w:color="000000"/>
              <w:left w:val="single" w:sz="8" w:space="0" w:color="000000"/>
              <w:bottom w:val="single" w:sz="8" w:space="0" w:color="000000"/>
              <w:right w:val="single" w:sz="8" w:space="0" w:color="000000"/>
            </w:tcBorders>
          </w:tcPr>
          <w:p w14:paraId="6FD3E0A1" w14:textId="77777777" w:rsidR="00EA1AAE" w:rsidRPr="009A5F4D" w:rsidRDefault="00EA1AAE" w:rsidP="00805859">
            <w:pPr>
              <w:pStyle w:val="TableParagraph"/>
              <w:ind w:left="40"/>
              <w:rPr>
                <w:rFonts w:ascii="Arial" w:eastAsia="Arial" w:hAnsi="Arial" w:cs="Arial"/>
                <w:sz w:val="20"/>
                <w:szCs w:val="20"/>
              </w:rPr>
            </w:pPr>
            <w:r w:rsidRPr="009A5F4D">
              <w:rPr>
                <w:rFonts w:ascii="Arial" w:hAnsi="Arial" w:cs="Arial"/>
                <w:spacing w:val="-1"/>
                <w:sz w:val="20"/>
                <w:szCs w:val="20"/>
              </w:rPr>
              <w:t>Licence number</w:t>
            </w:r>
          </w:p>
        </w:tc>
        <w:tc>
          <w:tcPr>
            <w:tcW w:w="2850" w:type="pct"/>
            <w:tcBorders>
              <w:top w:val="single" w:sz="8" w:space="0" w:color="000000"/>
              <w:left w:val="single" w:sz="8" w:space="0" w:color="000000"/>
              <w:bottom w:val="single" w:sz="8" w:space="0" w:color="000000"/>
              <w:right w:val="single" w:sz="8" w:space="0" w:color="000000"/>
            </w:tcBorders>
          </w:tcPr>
          <w:p w14:paraId="2E5D6DE3" w14:textId="77777777" w:rsidR="00EA1AAE" w:rsidRPr="009A5F4D" w:rsidRDefault="00EA1AAE" w:rsidP="00805859">
            <w:pPr>
              <w:pStyle w:val="TableParagraph"/>
              <w:ind w:left="40"/>
              <w:rPr>
                <w:rFonts w:ascii="Arial" w:eastAsia="Arial" w:hAnsi="Arial" w:cs="Arial"/>
                <w:sz w:val="20"/>
                <w:szCs w:val="20"/>
              </w:rPr>
            </w:pPr>
            <w:r>
              <w:rPr>
                <w:rFonts w:ascii="Arial" w:hAnsi="Arial" w:cs="Arial"/>
                <w:spacing w:val="-1"/>
                <w:sz w:val="20"/>
                <w:szCs w:val="20"/>
              </w:rPr>
              <w:t>XXXXXX</w:t>
            </w:r>
            <w:r w:rsidRPr="009A5F4D">
              <w:rPr>
                <w:rFonts w:ascii="Arial" w:hAnsi="Arial" w:cs="Arial"/>
                <w:spacing w:val="-1"/>
                <w:sz w:val="20"/>
                <w:szCs w:val="20"/>
              </w:rPr>
              <w:t xml:space="preserve"> </w:t>
            </w:r>
          </w:p>
        </w:tc>
      </w:tr>
      <w:tr w:rsidR="00EA1AAE" w:rsidRPr="009A5F4D" w14:paraId="205E6C96" w14:textId="77777777" w:rsidTr="00805859">
        <w:trPr>
          <w:trHeight w:val="366"/>
        </w:trPr>
        <w:tc>
          <w:tcPr>
            <w:tcW w:w="2150" w:type="pct"/>
            <w:tcBorders>
              <w:top w:val="single" w:sz="8" w:space="0" w:color="000000"/>
              <w:left w:val="single" w:sz="8" w:space="0" w:color="000000"/>
              <w:bottom w:val="single" w:sz="8" w:space="0" w:color="000000"/>
              <w:right w:val="single" w:sz="8" w:space="0" w:color="000000"/>
            </w:tcBorders>
          </w:tcPr>
          <w:p w14:paraId="1F46724B" w14:textId="77777777" w:rsidR="00EA1AAE" w:rsidRPr="009A5F4D" w:rsidRDefault="00EA1AAE" w:rsidP="00805859">
            <w:pPr>
              <w:pStyle w:val="TableParagraph"/>
              <w:ind w:left="40"/>
              <w:rPr>
                <w:rFonts w:ascii="Arial" w:hAnsi="Arial" w:cs="Arial"/>
                <w:spacing w:val="-1"/>
                <w:sz w:val="20"/>
                <w:szCs w:val="20"/>
              </w:rPr>
            </w:pPr>
            <w:r w:rsidRPr="009A5F4D">
              <w:rPr>
                <w:rFonts w:ascii="Arial" w:hAnsi="Arial" w:cs="Arial"/>
                <w:spacing w:val="-1"/>
                <w:sz w:val="20"/>
                <w:szCs w:val="20"/>
              </w:rPr>
              <w:t>Callsign (optional)</w:t>
            </w:r>
          </w:p>
        </w:tc>
        <w:tc>
          <w:tcPr>
            <w:tcW w:w="2850" w:type="pct"/>
            <w:tcBorders>
              <w:top w:val="single" w:sz="8" w:space="0" w:color="000000"/>
              <w:left w:val="single" w:sz="8" w:space="0" w:color="000000"/>
              <w:bottom w:val="single" w:sz="8" w:space="0" w:color="000000"/>
              <w:right w:val="single" w:sz="8" w:space="0" w:color="000000"/>
            </w:tcBorders>
          </w:tcPr>
          <w:p w14:paraId="6C9B6429" w14:textId="77777777" w:rsidR="00EA1AAE" w:rsidRPr="009A5F4D" w:rsidRDefault="00EA1AAE" w:rsidP="00805859">
            <w:pPr>
              <w:pStyle w:val="TableParagraph"/>
              <w:ind w:left="40"/>
              <w:rPr>
                <w:rFonts w:ascii="Arial" w:hAnsi="Arial" w:cs="Arial"/>
                <w:spacing w:val="-1"/>
                <w:sz w:val="20"/>
                <w:szCs w:val="20"/>
              </w:rPr>
            </w:pPr>
            <w:r>
              <w:rPr>
                <w:rFonts w:ascii="Arial" w:hAnsi="Arial" w:cs="Arial"/>
                <w:spacing w:val="-1"/>
                <w:sz w:val="20"/>
                <w:szCs w:val="20"/>
              </w:rPr>
              <w:t>XXXXXX</w:t>
            </w:r>
          </w:p>
        </w:tc>
      </w:tr>
      <w:tr w:rsidR="00EA1AAE" w:rsidRPr="009A5F4D" w14:paraId="1B73CF3B" w14:textId="77777777" w:rsidTr="00805859">
        <w:trPr>
          <w:trHeight w:val="366"/>
        </w:trPr>
        <w:tc>
          <w:tcPr>
            <w:tcW w:w="2150" w:type="pct"/>
            <w:tcBorders>
              <w:top w:val="single" w:sz="8" w:space="0" w:color="000000"/>
              <w:left w:val="single" w:sz="8" w:space="0" w:color="000000"/>
              <w:bottom w:val="single" w:sz="8" w:space="0" w:color="000000"/>
              <w:right w:val="single" w:sz="8" w:space="0" w:color="000000"/>
            </w:tcBorders>
          </w:tcPr>
          <w:p w14:paraId="61787B59" w14:textId="77777777" w:rsidR="00EA1AAE" w:rsidRPr="009A5F4D" w:rsidRDefault="00EA1AAE" w:rsidP="00805859">
            <w:pPr>
              <w:pStyle w:val="TableParagraph"/>
              <w:ind w:left="40"/>
              <w:rPr>
                <w:rFonts w:ascii="Arial" w:eastAsia="Arial" w:hAnsi="Arial" w:cs="Arial"/>
                <w:sz w:val="20"/>
                <w:szCs w:val="20"/>
              </w:rPr>
            </w:pPr>
            <w:r w:rsidRPr="009A5F4D">
              <w:rPr>
                <w:rFonts w:ascii="Arial" w:hAnsi="Arial" w:cs="Arial"/>
                <w:spacing w:val="-1"/>
                <w:sz w:val="20"/>
                <w:szCs w:val="20"/>
              </w:rPr>
              <w:t>Date</w:t>
            </w:r>
            <w:r w:rsidRPr="009A5F4D">
              <w:rPr>
                <w:rFonts w:ascii="Arial" w:hAnsi="Arial" w:cs="Arial"/>
                <w:spacing w:val="-2"/>
                <w:sz w:val="20"/>
                <w:szCs w:val="20"/>
              </w:rPr>
              <w:t xml:space="preserve"> </w:t>
            </w:r>
            <w:r w:rsidRPr="009A5F4D">
              <w:rPr>
                <w:rFonts w:ascii="Arial" w:hAnsi="Arial" w:cs="Arial"/>
                <w:spacing w:val="-1"/>
                <w:sz w:val="20"/>
                <w:szCs w:val="20"/>
              </w:rPr>
              <w:t>of issue</w:t>
            </w:r>
          </w:p>
        </w:tc>
        <w:tc>
          <w:tcPr>
            <w:tcW w:w="2850" w:type="pct"/>
            <w:tcBorders>
              <w:top w:val="single" w:sz="8" w:space="0" w:color="000000"/>
              <w:left w:val="single" w:sz="8" w:space="0" w:color="000000"/>
              <w:bottom w:val="single" w:sz="8" w:space="0" w:color="000000"/>
              <w:right w:val="single" w:sz="8" w:space="0" w:color="000000"/>
            </w:tcBorders>
          </w:tcPr>
          <w:p w14:paraId="662102C3" w14:textId="77777777" w:rsidR="00EA1AAE" w:rsidRPr="009A5F4D" w:rsidRDefault="00EA1AAE" w:rsidP="00805859">
            <w:pPr>
              <w:pStyle w:val="TableParagraph"/>
              <w:ind w:left="40"/>
              <w:rPr>
                <w:rFonts w:ascii="Arial" w:eastAsia="Arial" w:hAnsi="Arial" w:cs="Arial"/>
                <w:sz w:val="20"/>
                <w:szCs w:val="20"/>
              </w:rPr>
            </w:pPr>
            <w:r w:rsidRPr="009A5F4D">
              <w:rPr>
                <w:rFonts w:ascii="Arial" w:hAnsi="Arial" w:cs="Arial"/>
                <w:spacing w:val="-1"/>
                <w:sz w:val="20"/>
                <w:szCs w:val="20"/>
              </w:rPr>
              <w:t>Day/Month/Year</w:t>
            </w:r>
          </w:p>
        </w:tc>
      </w:tr>
      <w:tr w:rsidR="00EA1AAE" w:rsidRPr="009A5F4D" w14:paraId="22E4D1E5" w14:textId="77777777" w:rsidTr="00805859">
        <w:trPr>
          <w:trHeight w:val="348"/>
        </w:trPr>
        <w:tc>
          <w:tcPr>
            <w:tcW w:w="2150" w:type="pct"/>
            <w:tcBorders>
              <w:top w:val="single" w:sz="8" w:space="0" w:color="000000"/>
              <w:left w:val="single" w:sz="8" w:space="0" w:color="000000"/>
              <w:bottom w:val="single" w:sz="8" w:space="0" w:color="000000"/>
              <w:right w:val="single" w:sz="8" w:space="0" w:color="000000"/>
            </w:tcBorders>
          </w:tcPr>
          <w:p w14:paraId="44E1BC7C" w14:textId="77777777" w:rsidR="00EA1AAE" w:rsidRPr="009A5F4D" w:rsidRDefault="00EA1AAE" w:rsidP="00805859">
            <w:pPr>
              <w:pStyle w:val="TableParagraph"/>
              <w:ind w:left="40"/>
              <w:rPr>
                <w:rFonts w:ascii="Arial" w:eastAsia="Arial" w:hAnsi="Arial" w:cs="Arial"/>
                <w:sz w:val="20"/>
                <w:szCs w:val="20"/>
              </w:rPr>
            </w:pPr>
            <w:r w:rsidRPr="009A5F4D">
              <w:rPr>
                <w:rFonts w:ascii="Arial" w:hAnsi="Arial" w:cs="Arial"/>
                <w:spacing w:val="-1"/>
                <w:sz w:val="20"/>
                <w:szCs w:val="20"/>
              </w:rPr>
              <w:t>Date</w:t>
            </w:r>
            <w:r w:rsidRPr="009A5F4D">
              <w:rPr>
                <w:rFonts w:ascii="Arial" w:hAnsi="Arial" w:cs="Arial"/>
                <w:spacing w:val="-4"/>
                <w:sz w:val="20"/>
                <w:szCs w:val="20"/>
              </w:rPr>
              <w:t xml:space="preserve"> </w:t>
            </w:r>
            <w:r>
              <w:rPr>
                <w:rFonts w:ascii="Arial" w:hAnsi="Arial" w:cs="Arial"/>
                <w:spacing w:val="-1"/>
                <w:sz w:val="20"/>
                <w:szCs w:val="20"/>
              </w:rPr>
              <w:t>licence comes into force</w:t>
            </w:r>
          </w:p>
        </w:tc>
        <w:tc>
          <w:tcPr>
            <w:tcW w:w="2850" w:type="pct"/>
            <w:tcBorders>
              <w:top w:val="single" w:sz="8" w:space="0" w:color="000000"/>
              <w:left w:val="single" w:sz="8" w:space="0" w:color="000000"/>
              <w:bottom w:val="single" w:sz="8" w:space="0" w:color="000000"/>
              <w:right w:val="single" w:sz="8" w:space="0" w:color="000000"/>
            </w:tcBorders>
          </w:tcPr>
          <w:p w14:paraId="2308C7C7" w14:textId="77777777" w:rsidR="00EA1AAE" w:rsidRPr="009A5F4D" w:rsidRDefault="00EA1AAE" w:rsidP="00805859">
            <w:pPr>
              <w:pStyle w:val="TableParagraph"/>
              <w:ind w:left="40"/>
              <w:rPr>
                <w:rFonts w:ascii="Arial" w:eastAsia="Arial" w:hAnsi="Arial" w:cs="Arial"/>
                <w:sz w:val="20"/>
                <w:szCs w:val="20"/>
              </w:rPr>
            </w:pPr>
            <w:r w:rsidRPr="009A5F4D">
              <w:rPr>
                <w:rFonts w:ascii="Arial" w:hAnsi="Arial" w:cs="Arial"/>
                <w:spacing w:val="-1"/>
                <w:sz w:val="20"/>
                <w:szCs w:val="20"/>
              </w:rPr>
              <w:t>Day/Month/Year</w:t>
            </w:r>
          </w:p>
        </w:tc>
      </w:tr>
      <w:tr w:rsidR="00EA1AAE" w:rsidRPr="009A5F4D" w14:paraId="4796EA7D" w14:textId="77777777" w:rsidTr="00805859">
        <w:trPr>
          <w:trHeight w:val="336"/>
        </w:trPr>
        <w:tc>
          <w:tcPr>
            <w:tcW w:w="2150" w:type="pct"/>
            <w:tcBorders>
              <w:top w:val="single" w:sz="8" w:space="0" w:color="000000"/>
              <w:left w:val="single" w:sz="8" w:space="0" w:color="000000"/>
              <w:bottom w:val="single" w:sz="8" w:space="0" w:color="000000"/>
              <w:right w:val="single" w:sz="8" w:space="0" w:color="000000"/>
            </w:tcBorders>
          </w:tcPr>
          <w:p w14:paraId="3F55054C" w14:textId="77777777" w:rsidR="00EA1AAE" w:rsidRPr="009A5F4D" w:rsidRDefault="00EA1AAE" w:rsidP="00805859">
            <w:pPr>
              <w:pStyle w:val="TableParagraph"/>
              <w:ind w:left="40"/>
              <w:rPr>
                <w:rFonts w:ascii="Arial" w:hAnsi="Arial" w:cs="Arial"/>
                <w:spacing w:val="-1"/>
                <w:sz w:val="20"/>
                <w:szCs w:val="20"/>
              </w:rPr>
            </w:pPr>
            <w:r w:rsidRPr="009A5F4D">
              <w:rPr>
                <w:rFonts w:ascii="Arial" w:hAnsi="Arial" w:cs="Arial"/>
                <w:spacing w:val="-1"/>
                <w:sz w:val="20"/>
                <w:szCs w:val="20"/>
              </w:rPr>
              <w:t>Licence Duration</w:t>
            </w:r>
          </w:p>
        </w:tc>
        <w:tc>
          <w:tcPr>
            <w:tcW w:w="2850" w:type="pct"/>
            <w:tcBorders>
              <w:top w:val="single" w:sz="8" w:space="0" w:color="000000"/>
              <w:left w:val="single" w:sz="8" w:space="0" w:color="000000"/>
              <w:bottom w:val="single" w:sz="8" w:space="0" w:color="000000"/>
              <w:right w:val="single" w:sz="8" w:space="0" w:color="000000"/>
            </w:tcBorders>
          </w:tcPr>
          <w:p w14:paraId="3BB91CE9" w14:textId="77777777" w:rsidR="00EA1AAE" w:rsidRPr="009A5F4D" w:rsidRDefault="00EA1AAE" w:rsidP="00805859">
            <w:pPr>
              <w:pStyle w:val="TableParagraph"/>
              <w:ind w:left="40"/>
              <w:rPr>
                <w:rFonts w:ascii="Arial" w:hAnsi="Arial" w:cs="Arial"/>
                <w:spacing w:val="-1"/>
                <w:sz w:val="20"/>
                <w:szCs w:val="20"/>
              </w:rPr>
            </w:pPr>
            <w:r w:rsidRPr="009A5F4D">
              <w:rPr>
                <w:rFonts w:ascii="Arial" w:hAnsi="Arial" w:cs="Arial"/>
                <w:spacing w:val="-1"/>
                <w:sz w:val="20"/>
                <w:szCs w:val="20"/>
                <w:lang w:val="en-AU"/>
              </w:rPr>
              <w:t>X number days/years</w:t>
            </w:r>
          </w:p>
        </w:tc>
      </w:tr>
      <w:tr w:rsidR="00EA1AAE" w:rsidRPr="009A5F4D" w14:paraId="265BBDCD" w14:textId="77777777" w:rsidTr="00805859">
        <w:trPr>
          <w:trHeight w:val="336"/>
        </w:trPr>
        <w:tc>
          <w:tcPr>
            <w:tcW w:w="2150" w:type="pct"/>
            <w:tcBorders>
              <w:top w:val="single" w:sz="8" w:space="0" w:color="000000"/>
              <w:left w:val="single" w:sz="8" w:space="0" w:color="000000"/>
              <w:bottom w:val="single" w:sz="8" w:space="0" w:color="000000"/>
              <w:right w:val="single" w:sz="8" w:space="0" w:color="000000"/>
            </w:tcBorders>
          </w:tcPr>
          <w:p w14:paraId="03AEA112" w14:textId="77777777" w:rsidR="00EA1AAE" w:rsidRPr="009A5F4D" w:rsidRDefault="00EA1AAE" w:rsidP="00805859">
            <w:pPr>
              <w:pStyle w:val="TableParagraph"/>
              <w:ind w:left="40"/>
              <w:rPr>
                <w:rFonts w:ascii="Arial" w:eastAsia="Arial" w:hAnsi="Arial" w:cs="Arial"/>
                <w:sz w:val="20"/>
                <w:szCs w:val="20"/>
              </w:rPr>
            </w:pPr>
            <w:r w:rsidRPr="009A5F4D">
              <w:rPr>
                <w:rFonts w:ascii="Arial" w:hAnsi="Arial" w:cs="Arial"/>
                <w:spacing w:val="-1"/>
                <w:sz w:val="20"/>
                <w:szCs w:val="20"/>
              </w:rPr>
              <w:t>Date</w:t>
            </w:r>
            <w:r w:rsidRPr="009A5F4D">
              <w:rPr>
                <w:rFonts w:ascii="Arial" w:hAnsi="Arial" w:cs="Arial"/>
                <w:spacing w:val="-2"/>
                <w:sz w:val="20"/>
                <w:szCs w:val="20"/>
              </w:rPr>
              <w:t xml:space="preserve"> </w:t>
            </w:r>
            <w:r w:rsidRPr="009A5F4D">
              <w:rPr>
                <w:rFonts w:ascii="Arial" w:hAnsi="Arial" w:cs="Arial"/>
                <w:spacing w:val="-1"/>
                <w:sz w:val="20"/>
                <w:szCs w:val="20"/>
              </w:rPr>
              <w:t>of expiry</w:t>
            </w:r>
          </w:p>
        </w:tc>
        <w:tc>
          <w:tcPr>
            <w:tcW w:w="2850" w:type="pct"/>
            <w:tcBorders>
              <w:top w:val="single" w:sz="8" w:space="0" w:color="000000"/>
              <w:left w:val="single" w:sz="8" w:space="0" w:color="000000"/>
              <w:bottom w:val="single" w:sz="8" w:space="0" w:color="000000"/>
              <w:right w:val="single" w:sz="8" w:space="0" w:color="000000"/>
            </w:tcBorders>
          </w:tcPr>
          <w:p w14:paraId="5D65D2FB" w14:textId="77777777" w:rsidR="00EA1AAE" w:rsidRPr="009A5F4D" w:rsidRDefault="00EA1AAE" w:rsidP="00805859">
            <w:pPr>
              <w:pStyle w:val="TableParagraph"/>
              <w:ind w:left="40"/>
              <w:rPr>
                <w:rFonts w:ascii="Arial" w:eastAsia="Arial" w:hAnsi="Arial" w:cs="Arial"/>
                <w:sz w:val="20"/>
                <w:szCs w:val="20"/>
              </w:rPr>
            </w:pPr>
            <w:r w:rsidRPr="009A5F4D">
              <w:rPr>
                <w:rFonts w:ascii="Arial" w:hAnsi="Arial" w:cs="Arial"/>
                <w:spacing w:val="-1"/>
                <w:sz w:val="20"/>
                <w:szCs w:val="20"/>
              </w:rPr>
              <w:t>Day/Month/Year</w:t>
            </w:r>
          </w:p>
        </w:tc>
      </w:tr>
    </w:tbl>
    <w:p w14:paraId="288D3A6A" w14:textId="312D366C" w:rsidR="00EA1AAE" w:rsidRPr="00EC7825" w:rsidRDefault="00EA1AAE" w:rsidP="00805859">
      <w:pPr>
        <w:pBdr>
          <w:top w:val="single" w:sz="4" w:space="1" w:color="auto"/>
        </w:pBdr>
        <w:spacing w:before="360" w:after="0" w:line="240" w:lineRule="auto"/>
        <w:rPr>
          <w:rFonts w:cs="Arial"/>
          <w:b/>
          <w:szCs w:val="20"/>
        </w:rPr>
      </w:pPr>
      <w:r w:rsidRPr="00EC7825">
        <w:rPr>
          <w:rFonts w:cs="Arial"/>
          <w:b/>
          <w:szCs w:val="20"/>
        </w:rPr>
        <w:t xml:space="preserve">GENERAL CONDITIONS section </w:t>
      </w:r>
      <w:r w:rsidR="00E774AC">
        <w:rPr>
          <w:rFonts w:cs="Arial"/>
          <w:b/>
          <w:szCs w:val="20"/>
        </w:rPr>
        <w:t>46</w:t>
      </w:r>
    </w:p>
    <w:p w14:paraId="4D06BF49" w14:textId="77777777" w:rsidR="00EA1AAE" w:rsidRPr="009A5F4D" w:rsidRDefault="00EA1AAE" w:rsidP="00805859">
      <w:pPr>
        <w:spacing w:before="120"/>
        <w:rPr>
          <w:rFonts w:cs="Arial"/>
          <w:szCs w:val="20"/>
          <w:u w:val="single"/>
        </w:rPr>
      </w:pPr>
      <w:r w:rsidRPr="009A5F4D">
        <w:rPr>
          <w:rFonts w:cs="Arial"/>
          <w:szCs w:val="20"/>
          <w:u w:val="single"/>
        </w:rPr>
        <w:t>Example text:</w:t>
      </w:r>
    </w:p>
    <w:p w14:paraId="16E53800" w14:textId="77777777" w:rsidR="00EA1AAE" w:rsidRPr="009A5F4D" w:rsidRDefault="00EA1AAE" w:rsidP="00805859">
      <w:pPr>
        <w:spacing w:before="120"/>
        <w:rPr>
          <w:rFonts w:cs="Arial"/>
          <w:szCs w:val="20"/>
        </w:rPr>
      </w:pPr>
      <w:r w:rsidRPr="009A5F4D">
        <w:rPr>
          <w:rFonts w:cs="Arial"/>
          <w:szCs w:val="20"/>
          <w:u w:val="single"/>
        </w:rPr>
        <w:t>GC1:</w:t>
      </w:r>
      <w:r w:rsidRPr="009A5F4D">
        <w:rPr>
          <w:rFonts w:cs="Arial"/>
          <w:szCs w:val="20"/>
        </w:rPr>
        <w:t xml:space="preserve"> This</w:t>
      </w:r>
      <w:r w:rsidRPr="009A5F4D">
        <w:rPr>
          <w:rFonts w:cs="Arial"/>
          <w:spacing w:val="6"/>
          <w:szCs w:val="20"/>
        </w:rPr>
        <w:t xml:space="preserve"> </w:t>
      </w:r>
      <w:r w:rsidRPr="009A5F4D">
        <w:rPr>
          <w:rFonts w:cs="Arial"/>
          <w:szCs w:val="20"/>
        </w:rPr>
        <w:t>licence</w:t>
      </w:r>
      <w:r w:rsidRPr="009A5F4D">
        <w:rPr>
          <w:rFonts w:cs="Arial"/>
          <w:spacing w:val="7"/>
          <w:szCs w:val="20"/>
        </w:rPr>
        <w:t xml:space="preserve"> </w:t>
      </w:r>
      <w:r w:rsidRPr="009A5F4D">
        <w:rPr>
          <w:rFonts w:cs="Arial"/>
          <w:szCs w:val="20"/>
        </w:rPr>
        <w:t>authorises</w:t>
      </w:r>
      <w:r w:rsidRPr="009A5F4D">
        <w:rPr>
          <w:rFonts w:cs="Arial"/>
          <w:spacing w:val="7"/>
          <w:szCs w:val="20"/>
        </w:rPr>
        <w:t xml:space="preserve"> </w:t>
      </w:r>
      <w:r w:rsidRPr="009A5F4D">
        <w:rPr>
          <w:rFonts w:cs="Arial"/>
          <w:szCs w:val="20"/>
        </w:rPr>
        <w:t>the</w:t>
      </w:r>
      <w:r w:rsidRPr="009A5F4D">
        <w:rPr>
          <w:rFonts w:cs="Arial"/>
          <w:spacing w:val="6"/>
          <w:szCs w:val="20"/>
        </w:rPr>
        <w:t xml:space="preserve"> </w:t>
      </w:r>
      <w:r w:rsidRPr="009A5F4D">
        <w:rPr>
          <w:rFonts w:cs="Arial"/>
          <w:szCs w:val="20"/>
        </w:rPr>
        <w:t>operation</w:t>
      </w:r>
      <w:r w:rsidRPr="009A5F4D">
        <w:rPr>
          <w:rFonts w:cs="Arial"/>
          <w:spacing w:val="7"/>
          <w:szCs w:val="20"/>
        </w:rPr>
        <w:t xml:space="preserve"> </w:t>
      </w:r>
      <w:r w:rsidRPr="009A5F4D">
        <w:rPr>
          <w:rFonts w:cs="Arial"/>
          <w:szCs w:val="20"/>
        </w:rPr>
        <w:t>of</w:t>
      </w:r>
      <w:r w:rsidRPr="009A5F4D">
        <w:rPr>
          <w:rFonts w:cs="Arial"/>
          <w:spacing w:val="7"/>
          <w:szCs w:val="20"/>
        </w:rPr>
        <w:t xml:space="preserve"> </w:t>
      </w:r>
      <w:r w:rsidRPr="009A5F4D">
        <w:rPr>
          <w:rFonts w:cs="Arial"/>
          <w:szCs w:val="20"/>
        </w:rPr>
        <w:t>radiocommunications</w:t>
      </w:r>
      <w:r w:rsidRPr="009A5F4D">
        <w:rPr>
          <w:rFonts w:cs="Arial"/>
          <w:spacing w:val="8"/>
          <w:szCs w:val="20"/>
        </w:rPr>
        <w:t xml:space="preserve"> </w:t>
      </w:r>
      <w:r w:rsidRPr="009A5F4D">
        <w:rPr>
          <w:rFonts w:cs="Arial"/>
          <w:szCs w:val="20"/>
        </w:rPr>
        <w:t>devices</w:t>
      </w:r>
      <w:r w:rsidRPr="009A5F4D">
        <w:rPr>
          <w:rFonts w:cs="Arial"/>
          <w:spacing w:val="7"/>
          <w:szCs w:val="20"/>
        </w:rPr>
        <w:t xml:space="preserve"> </w:t>
      </w:r>
      <w:r w:rsidRPr="009A5F4D">
        <w:rPr>
          <w:rFonts w:cs="Arial"/>
          <w:szCs w:val="20"/>
        </w:rPr>
        <w:t>on</w:t>
      </w:r>
      <w:r w:rsidRPr="009A5F4D">
        <w:rPr>
          <w:rFonts w:cs="Arial"/>
          <w:spacing w:val="6"/>
          <w:szCs w:val="20"/>
        </w:rPr>
        <w:t xml:space="preserve"> </w:t>
      </w:r>
      <w:r w:rsidRPr="009A5F4D">
        <w:rPr>
          <w:rFonts w:cs="Arial"/>
          <w:szCs w:val="20"/>
        </w:rPr>
        <w:t>the</w:t>
      </w:r>
      <w:r w:rsidRPr="009A5F4D">
        <w:rPr>
          <w:rFonts w:cs="Arial"/>
          <w:spacing w:val="7"/>
          <w:szCs w:val="20"/>
        </w:rPr>
        <w:t xml:space="preserve"> </w:t>
      </w:r>
      <w:r w:rsidRPr="009A5F4D">
        <w:rPr>
          <w:rFonts w:cs="Arial"/>
          <w:szCs w:val="20"/>
        </w:rPr>
        <w:t>specified assigned frequencies and at the locations set out below:</w:t>
      </w:r>
    </w:p>
    <w:p w14:paraId="72A221BA" w14:textId="77777777" w:rsidR="00EA1AAE" w:rsidRPr="009A5F4D" w:rsidRDefault="00EA1AAE" w:rsidP="00805859">
      <w:pPr>
        <w:spacing w:before="120"/>
        <w:rPr>
          <w:rFonts w:cs="Arial"/>
          <w:b/>
          <w:szCs w:val="20"/>
          <w:u w:val="single"/>
        </w:rPr>
      </w:pPr>
      <w:r w:rsidRPr="009A5F4D">
        <w:rPr>
          <w:rFonts w:cs="Arial"/>
          <w:b/>
          <w:szCs w:val="20"/>
          <w:u w:val="single"/>
        </w:rPr>
        <w:t>LOCATION 1:</w:t>
      </w:r>
    </w:p>
    <w:tbl>
      <w:tblPr>
        <w:tblStyle w:val="TableGrid"/>
        <w:tblW w:w="0" w:type="auto"/>
        <w:tblLook w:val="04A0" w:firstRow="1" w:lastRow="0" w:firstColumn="1" w:lastColumn="0" w:noHBand="0" w:noVBand="1"/>
        <w:tblCaption w:val="Location 1"/>
      </w:tblPr>
      <w:tblGrid>
        <w:gridCol w:w="1972"/>
        <w:gridCol w:w="2608"/>
        <w:gridCol w:w="3081"/>
      </w:tblGrid>
      <w:tr w:rsidR="00EA1AAE" w:rsidRPr="009A5F4D" w14:paraId="245E09C9" w14:textId="77777777" w:rsidTr="00805859">
        <w:trPr>
          <w:tblHeader/>
        </w:trPr>
        <w:tc>
          <w:tcPr>
            <w:tcW w:w="2127" w:type="dxa"/>
            <w:shd w:val="clear" w:color="auto" w:fill="auto"/>
          </w:tcPr>
          <w:p w14:paraId="50F4D295" w14:textId="77777777" w:rsidR="00EA1AAE" w:rsidRPr="009A5F4D" w:rsidRDefault="00EA1AAE" w:rsidP="00805859">
            <w:pPr>
              <w:pStyle w:val="TableParagraph"/>
              <w:ind w:left="40"/>
              <w:rPr>
                <w:rFonts w:ascii="Arial" w:hAnsi="Arial" w:cs="Arial"/>
                <w:spacing w:val="-1"/>
                <w:sz w:val="20"/>
                <w:szCs w:val="20"/>
              </w:rPr>
            </w:pPr>
            <w:r w:rsidRPr="009A5F4D">
              <w:rPr>
                <w:rFonts w:ascii="Arial" w:hAnsi="Arial" w:cs="Arial"/>
                <w:spacing w:val="-1"/>
                <w:sz w:val="20"/>
                <w:szCs w:val="20"/>
              </w:rPr>
              <w:t>Assigned Frequency</w:t>
            </w:r>
          </w:p>
        </w:tc>
        <w:tc>
          <w:tcPr>
            <w:tcW w:w="2976" w:type="dxa"/>
            <w:shd w:val="clear" w:color="auto" w:fill="auto"/>
          </w:tcPr>
          <w:p w14:paraId="5B3F7B43" w14:textId="77777777" w:rsidR="00EA1AAE" w:rsidRPr="009A5F4D" w:rsidRDefault="00EA1AAE" w:rsidP="00805859">
            <w:pPr>
              <w:pStyle w:val="TableParagraph"/>
              <w:ind w:left="40"/>
              <w:rPr>
                <w:rFonts w:ascii="Arial" w:hAnsi="Arial" w:cs="Arial"/>
                <w:spacing w:val="-1"/>
                <w:sz w:val="20"/>
                <w:szCs w:val="20"/>
              </w:rPr>
            </w:pPr>
            <w:r w:rsidRPr="009A5F4D">
              <w:rPr>
                <w:rFonts w:ascii="Arial" w:hAnsi="Arial" w:cs="Arial"/>
                <w:spacing w:val="-1"/>
                <w:sz w:val="20"/>
                <w:szCs w:val="20"/>
              </w:rPr>
              <w:t>461.2 MHz (TX)</w:t>
            </w:r>
          </w:p>
        </w:tc>
        <w:tc>
          <w:tcPr>
            <w:tcW w:w="3544" w:type="dxa"/>
            <w:shd w:val="clear" w:color="auto" w:fill="auto"/>
          </w:tcPr>
          <w:p w14:paraId="2D68B114" w14:textId="77777777" w:rsidR="00EA1AAE" w:rsidRPr="009A5F4D" w:rsidRDefault="00EA1AAE" w:rsidP="00805859">
            <w:pPr>
              <w:pStyle w:val="TableParagraph"/>
              <w:ind w:left="40"/>
              <w:rPr>
                <w:rFonts w:ascii="Arial" w:hAnsi="Arial" w:cs="Arial"/>
                <w:spacing w:val="-1"/>
                <w:sz w:val="20"/>
                <w:szCs w:val="20"/>
              </w:rPr>
            </w:pPr>
            <w:r w:rsidRPr="009A5F4D">
              <w:rPr>
                <w:rFonts w:ascii="Arial" w:hAnsi="Arial" w:cs="Arial"/>
                <w:spacing w:val="-1"/>
                <w:sz w:val="20"/>
                <w:szCs w:val="20"/>
              </w:rPr>
              <w:t>451.7 MHz (RX)</w:t>
            </w:r>
          </w:p>
        </w:tc>
      </w:tr>
      <w:tr w:rsidR="00EA1AAE" w:rsidRPr="009A5F4D" w14:paraId="41E84643" w14:textId="77777777" w:rsidTr="00805859">
        <w:tc>
          <w:tcPr>
            <w:tcW w:w="2127" w:type="dxa"/>
            <w:shd w:val="clear" w:color="auto" w:fill="auto"/>
          </w:tcPr>
          <w:p w14:paraId="46AA1C5E" w14:textId="77777777" w:rsidR="00EA1AAE" w:rsidRPr="009A5F4D" w:rsidRDefault="00EA1AAE" w:rsidP="00805859">
            <w:pPr>
              <w:pStyle w:val="TableParagraph"/>
              <w:ind w:left="40"/>
              <w:rPr>
                <w:rFonts w:ascii="Arial" w:hAnsi="Arial" w:cs="Arial"/>
                <w:spacing w:val="-1"/>
                <w:sz w:val="20"/>
                <w:szCs w:val="20"/>
              </w:rPr>
            </w:pPr>
            <w:r w:rsidRPr="009A5F4D">
              <w:rPr>
                <w:rFonts w:ascii="Arial" w:hAnsi="Arial" w:cs="Arial"/>
                <w:spacing w:val="-1"/>
                <w:sz w:val="20"/>
                <w:szCs w:val="20"/>
              </w:rPr>
              <w:t>Allocated Bandwidth</w:t>
            </w:r>
          </w:p>
        </w:tc>
        <w:tc>
          <w:tcPr>
            <w:tcW w:w="2976" w:type="dxa"/>
            <w:shd w:val="clear" w:color="auto" w:fill="auto"/>
          </w:tcPr>
          <w:p w14:paraId="070F0C68" w14:textId="77777777" w:rsidR="00EA1AAE" w:rsidRPr="009A5F4D" w:rsidRDefault="00EA1AAE" w:rsidP="00805859">
            <w:pPr>
              <w:pStyle w:val="TableParagraph"/>
              <w:ind w:left="40"/>
              <w:rPr>
                <w:rFonts w:ascii="Arial" w:hAnsi="Arial" w:cs="Arial"/>
                <w:spacing w:val="-1"/>
                <w:sz w:val="20"/>
                <w:szCs w:val="20"/>
              </w:rPr>
            </w:pPr>
            <w:r w:rsidRPr="009A5F4D">
              <w:rPr>
                <w:rFonts w:ascii="Arial" w:hAnsi="Arial" w:cs="Arial"/>
                <w:spacing w:val="-1"/>
                <w:sz w:val="20"/>
                <w:szCs w:val="20"/>
              </w:rPr>
              <w:t>25 kHz</w:t>
            </w:r>
          </w:p>
        </w:tc>
        <w:tc>
          <w:tcPr>
            <w:tcW w:w="3544" w:type="dxa"/>
            <w:shd w:val="clear" w:color="auto" w:fill="auto"/>
          </w:tcPr>
          <w:p w14:paraId="675BA57B" w14:textId="77777777" w:rsidR="00EA1AAE" w:rsidRPr="009A5F4D" w:rsidRDefault="00EA1AAE" w:rsidP="00805859">
            <w:pPr>
              <w:pStyle w:val="TableParagraph"/>
              <w:ind w:left="40"/>
              <w:rPr>
                <w:rFonts w:ascii="Arial" w:hAnsi="Arial" w:cs="Arial"/>
                <w:spacing w:val="-1"/>
                <w:sz w:val="20"/>
                <w:szCs w:val="20"/>
              </w:rPr>
            </w:pPr>
            <w:r w:rsidRPr="009A5F4D">
              <w:rPr>
                <w:rFonts w:ascii="Arial" w:hAnsi="Arial" w:cs="Arial"/>
                <w:spacing w:val="-1"/>
                <w:sz w:val="20"/>
                <w:szCs w:val="20"/>
              </w:rPr>
              <w:t>25 kHz</w:t>
            </w:r>
          </w:p>
        </w:tc>
      </w:tr>
      <w:tr w:rsidR="00EA1AAE" w:rsidRPr="009A5F4D" w14:paraId="6EC64DAF" w14:textId="77777777" w:rsidTr="00805859">
        <w:tc>
          <w:tcPr>
            <w:tcW w:w="2127" w:type="dxa"/>
            <w:shd w:val="clear" w:color="auto" w:fill="auto"/>
          </w:tcPr>
          <w:p w14:paraId="06DC455F" w14:textId="77777777" w:rsidR="00EA1AAE" w:rsidRPr="009A5F4D" w:rsidRDefault="00EA1AAE" w:rsidP="00805859">
            <w:pPr>
              <w:pStyle w:val="TableParagraph"/>
              <w:ind w:left="40"/>
              <w:rPr>
                <w:rFonts w:ascii="Arial" w:hAnsi="Arial" w:cs="Arial"/>
                <w:spacing w:val="-1"/>
                <w:sz w:val="20"/>
                <w:szCs w:val="20"/>
              </w:rPr>
            </w:pPr>
            <w:r w:rsidRPr="009A5F4D">
              <w:rPr>
                <w:rFonts w:ascii="Arial" w:hAnsi="Arial" w:cs="Arial"/>
                <w:spacing w:val="-1"/>
                <w:sz w:val="20"/>
                <w:szCs w:val="20"/>
              </w:rPr>
              <w:t>Site ID</w:t>
            </w:r>
          </w:p>
        </w:tc>
        <w:tc>
          <w:tcPr>
            <w:tcW w:w="6520" w:type="dxa"/>
            <w:gridSpan w:val="2"/>
            <w:shd w:val="clear" w:color="auto" w:fill="auto"/>
          </w:tcPr>
          <w:p w14:paraId="4B5DF67F" w14:textId="25293BCE" w:rsidR="00EA1AAE" w:rsidRPr="009A5F4D" w:rsidRDefault="00CA7CB2" w:rsidP="00805859">
            <w:pPr>
              <w:pStyle w:val="TableParagraph"/>
              <w:ind w:left="40"/>
              <w:rPr>
                <w:rFonts w:ascii="Arial" w:hAnsi="Arial" w:cs="Arial"/>
                <w:spacing w:val="-1"/>
                <w:sz w:val="20"/>
                <w:szCs w:val="20"/>
              </w:rPr>
            </w:pPr>
            <w:r>
              <w:rPr>
                <w:rFonts w:ascii="Arial" w:hAnsi="Arial" w:cs="Arial"/>
                <w:spacing w:val="-1"/>
                <w:sz w:val="20"/>
                <w:szCs w:val="20"/>
              </w:rPr>
              <w:t>ACMA1</w:t>
            </w:r>
          </w:p>
        </w:tc>
      </w:tr>
      <w:tr w:rsidR="00EA1AAE" w:rsidRPr="009A5F4D" w14:paraId="6B6C7E37" w14:textId="77777777" w:rsidTr="00805859">
        <w:tc>
          <w:tcPr>
            <w:tcW w:w="2127" w:type="dxa"/>
            <w:shd w:val="clear" w:color="auto" w:fill="auto"/>
          </w:tcPr>
          <w:p w14:paraId="489F33D3" w14:textId="77777777" w:rsidR="00EA1AAE" w:rsidRPr="009A5F4D" w:rsidRDefault="00EA1AAE" w:rsidP="00805859">
            <w:pPr>
              <w:pStyle w:val="TableParagraph"/>
              <w:ind w:left="40"/>
              <w:rPr>
                <w:rFonts w:ascii="Arial" w:hAnsi="Arial" w:cs="Arial"/>
                <w:spacing w:val="-1"/>
                <w:sz w:val="20"/>
                <w:szCs w:val="20"/>
              </w:rPr>
            </w:pPr>
            <w:r w:rsidRPr="009A5F4D">
              <w:rPr>
                <w:rFonts w:ascii="Arial" w:hAnsi="Arial" w:cs="Arial"/>
                <w:spacing w:val="-1"/>
                <w:sz w:val="20"/>
                <w:szCs w:val="20"/>
              </w:rPr>
              <w:t>Site Address</w:t>
            </w:r>
          </w:p>
        </w:tc>
        <w:tc>
          <w:tcPr>
            <w:tcW w:w="6520" w:type="dxa"/>
            <w:gridSpan w:val="2"/>
            <w:shd w:val="clear" w:color="auto" w:fill="auto"/>
          </w:tcPr>
          <w:p w14:paraId="0AB488B0" w14:textId="39E80249" w:rsidR="00CA7CB2" w:rsidRDefault="00CA7CB2" w:rsidP="00805859">
            <w:pPr>
              <w:pStyle w:val="TableParagraph"/>
              <w:ind w:left="40"/>
              <w:rPr>
                <w:rFonts w:ascii="Arial" w:hAnsi="Arial" w:cs="Arial"/>
                <w:spacing w:val="-1"/>
                <w:sz w:val="20"/>
                <w:szCs w:val="20"/>
              </w:rPr>
            </w:pPr>
            <w:r>
              <w:rPr>
                <w:rFonts w:ascii="Arial" w:hAnsi="Arial" w:cs="Arial"/>
                <w:spacing w:val="-1"/>
                <w:sz w:val="20"/>
                <w:szCs w:val="20"/>
              </w:rPr>
              <w:t xml:space="preserve">Red Building Benjamin Offices, 1 Chan Street, </w:t>
            </w:r>
          </w:p>
          <w:p w14:paraId="30A60076" w14:textId="388BD4CD" w:rsidR="00EA1AAE" w:rsidRPr="009A5F4D" w:rsidRDefault="00CA7CB2" w:rsidP="00F72B8B">
            <w:pPr>
              <w:pStyle w:val="TableParagraph"/>
              <w:ind w:left="40"/>
              <w:rPr>
                <w:rFonts w:ascii="Arial" w:hAnsi="Arial" w:cs="Arial"/>
                <w:spacing w:val="-1"/>
                <w:sz w:val="20"/>
                <w:szCs w:val="20"/>
              </w:rPr>
            </w:pPr>
            <w:r>
              <w:rPr>
                <w:rFonts w:ascii="Arial" w:hAnsi="Arial" w:cs="Arial"/>
                <w:spacing w:val="-1"/>
                <w:sz w:val="20"/>
                <w:szCs w:val="20"/>
              </w:rPr>
              <w:t>BELCONNEN ACT 2617</w:t>
            </w:r>
          </w:p>
        </w:tc>
      </w:tr>
      <w:tr w:rsidR="00EA1AAE" w:rsidRPr="009A5F4D" w14:paraId="1592327E" w14:textId="77777777" w:rsidTr="00805859">
        <w:tc>
          <w:tcPr>
            <w:tcW w:w="2127" w:type="dxa"/>
            <w:shd w:val="clear" w:color="auto" w:fill="auto"/>
          </w:tcPr>
          <w:p w14:paraId="3C32EB88" w14:textId="77777777" w:rsidR="00EA1AAE" w:rsidRPr="009A5F4D" w:rsidRDefault="00EA1AAE" w:rsidP="00805859">
            <w:pPr>
              <w:pStyle w:val="TableParagraph"/>
              <w:ind w:left="40"/>
              <w:rPr>
                <w:rFonts w:ascii="Arial" w:hAnsi="Arial" w:cs="Arial"/>
                <w:spacing w:val="-1"/>
                <w:sz w:val="20"/>
                <w:szCs w:val="20"/>
              </w:rPr>
            </w:pPr>
            <w:r w:rsidRPr="009A5F4D">
              <w:rPr>
                <w:rFonts w:ascii="Arial" w:hAnsi="Arial" w:cs="Arial"/>
                <w:spacing w:val="-1"/>
                <w:sz w:val="20"/>
                <w:szCs w:val="20"/>
              </w:rPr>
              <w:t>Co-ordinates</w:t>
            </w:r>
          </w:p>
        </w:tc>
        <w:tc>
          <w:tcPr>
            <w:tcW w:w="6520" w:type="dxa"/>
            <w:gridSpan w:val="2"/>
            <w:shd w:val="clear" w:color="auto" w:fill="auto"/>
          </w:tcPr>
          <w:p w14:paraId="08829B73" w14:textId="0329EB12" w:rsidR="00EA1AAE" w:rsidRPr="009A5F4D" w:rsidRDefault="00EA1AAE" w:rsidP="00F72B8B">
            <w:pPr>
              <w:pStyle w:val="TableParagraph"/>
              <w:ind w:left="40"/>
              <w:rPr>
                <w:rFonts w:ascii="Arial" w:hAnsi="Arial" w:cs="Arial"/>
                <w:spacing w:val="-1"/>
                <w:sz w:val="20"/>
                <w:szCs w:val="20"/>
              </w:rPr>
            </w:pPr>
            <w:r w:rsidRPr="009A5F4D">
              <w:rPr>
                <w:rFonts w:ascii="Arial" w:hAnsi="Arial" w:cs="Arial"/>
                <w:spacing w:val="-1"/>
                <w:sz w:val="20"/>
                <w:szCs w:val="20"/>
              </w:rPr>
              <w:t>Lat  -3</w:t>
            </w:r>
            <w:r w:rsidR="00CA7CB2">
              <w:rPr>
                <w:rFonts w:ascii="Arial" w:hAnsi="Arial" w:cs="Arial"/>
                <w:spacing w:val="-1"/>
                <w:sz w:val="20"/>
                <w:szCs w:val="20"/>
              </w:rPr>
              <w:t>5</w:t>
            </w:r>
            <w:r w:rsidRPr="009A5F4D">
              <w:rPr>
                <w:rFonts w:ascii="Arial" w:hAnsi="Arial" w:cs="Arial"/>
                <w:spacing w:val="-1"/>
                <w:sz w:val="20"/>
                <w:szCs w:val="20"/>
              </w:rPr>
              <w:t>.</w:t>
            </w:r>
            <w:r w:rsidR="00CA7CB2">
              <w:rPr>
                <w:rFonts w:ascii="Arial" w:hAnsi="Arial" w:cs="Arial"/>
                <w:spacing w:val="-1"/>
                <w:sz w:val="20"/>
                <w:szCs w:val="20"/>
              </w:rPr>
              <w:t>241789</w:t>
            </w:r>
            <w:r w:rsidR="00CA7CB2">
              <w:rPr>
                <w:rFonts w:ascii="Arial" w:hAnsi="Arial" w:cs="Arial"/>
                <w:spacing w:val="-1"/>
                <w:sz w:val="20"/>
                <w:szCs w:val="20"/>
              </w:rPr>
              <w:tab/>
            </w:r>
            <w:r w:rsidRPr="009A5F4D">
              <w:rPr>
                <w:rFonts w:ascii="Arial" w:hAnsi="Arial" w:cs="Arial"/>
                <w:spacing w:val="-1"/>
                <w:sz w:val="20"/>
                <w:szCs w:val="20"/>
              </w:rPr>
              <w:t>Long 149.</w:t>
            </w:r>
            <w:r w:rsidR="00CA7CB2">
              <w:rPr>
                <w:rFonts w:ascii="Arial" w:hAnsi="Arial" w:cs="Arial"/>
                <w:spacing w:val="-1"/>
                <w:sz w:val="20"/>
                <w:szCs w:val="20"/>
              </w:rPr>
              <w:t>066836</w:t>
            </w:r>
            <w:r w:rsidR="00CA7CB2" w:rsidRPr="009A5F4D">
              <w:rPr>
                <w:rFonts w:ascii="Arial" w:hAnsi="Arial" w:cs="Arial"/>
                <w:spacing w:val="-1"/>
                <w:sz w:val="20"/>
                <w:szCs w:val="20"/>
              </w:rPr>
              <w:t xml:space="preserve"> </w:t>
            </w:r>
          </w:p>
        </w:tc>
      </w:tr>
    </w:tbl>
    <w:p w14:paraId="24A7C997" w14:textId="77777777" w:rsidR="00EA1AAE" w:rsidRPr="009A5F4D" w:rsidRDefault="00EA1AAE" w:rsidP="00805859">
      <w:pPr>
        <w:spacing w:before="240"/>
        <w:rPr>
          <w:rFonts w:cs="Arial"/>
          <w:b/>
          <w:szCs w:val="20"/>
          <w:u w:val="single"/>
        </w:rPr>
      </w:pPr>
      <w:r w:rsidRPr="009A5F4D">
        <w:rPr>
          <w:rFonts w:cs="Arial"/>
          <w:b/>
          <w:szCs w:val="20"/>
          <w:u w:val="single"/>
        </w:rPr>
        <w:t>LOCATION 2:</w:t>
      </w:r>
    </w:p>
    <w:tbl>
      <w:tblPr>
        <w:tblStyle w:val="TableGrid"/>
        <w:tblW w:w="0" w:type="auto"/>
        <w:tblLook w:val="04A0" w:firstRow="1" w:lastRow="0" w:firstColumn="1" w:lastColumn="0" w:noHBand="0" w:noVBand="1"/>
        <w:tblCaption w:val="Location 2"/>
      </w:tblPr>
      <w:tblGrid>
        <w:gridCol w:w="1972"/>
        <w:gridCol w:w="2608"/>
        <w:gridCol w:w="3081"/>
      </w:tblGrid>
      <w:tr w:rsidR="00EA1AAE" w:rsidRPr="009A5F4D" w14:paraId="25EE4ADF" w14:textId="77777777" w:rsidTr="00805859">
        <w:trPr>
          <w:tblHeader/>
        </w:trPr>
        <w:tc>
          <w:tcPr>
            <w:tcW w:w="2127" w:type="dxa"/>
            <w:shd w:val="clear" w:color="auto" w:fill="auto"/>
          </w:tcPr>
          <w:p w14:paraId="53ED7A13" w14:textId="77777777" w:rsidR="00EA1AAE" w:rsidRPr="009A5F4D" w:rsidRDefault="00EA1AAE" w:rsidP="00805859">
            <w:pPr>
              <w:pStyle w:val="TableParagraph"/>
              <w:ind w:left="40"/>
              <w:rPr>
                <w:rFonts w:ascii="Arial" w:hAnsi="Arial" w:cs="Arial"/>
                <w:spacing w:val="-1"/>
                <w:sz w:val="20"/>
                <w:szCs w:val="20"/>
              </w:rPr>
            </w:pPr>
            <w:r w:rsidRPr="009A5F4D">
              <w:rPr>
                <w:rFonts w:ascii="Arial" w:hAnsi="Arial" w:cs="Arial"/>
                <w:spacing w:val="-1"/>
                <w:sz w:val="20"/>
                <w:szCs w:val="20"/>
              </w:rPr>
              <w:t>Assigned Frequency</w:t>
            </w:r>
          </w:p>
        </w:tc>
        <w:tc>
          <w:tcPr>
            <w:tcW w:w="2976" w:type="dxa"/>
            <w:shd w:val="clear" w:color="auto" w:fill="auto"/>
          </w:tcPr>
          <w:p w14:paraId="58710B09" w14:textId="77777777" w:rsidR="00EA1AAE" w:rsidRPr="009A5F4D" w:rsidRDefault="00EA1AAE" w:rsidP="00805859">
            <w:pPr>
              <w:pStyle w:val="TableParagraph"/>
              <w:ind w:left="40"/>
              <w:rPr>
                <w:rFonts w:ascii="Arial" w:hAnsi="Arial" w:cs="Arial"/>
                <w:spacing w:val="-1"/>
                <w:sz w:val="20"/>
                <w:szCs w:val="20"/>
              </w:rPr>
            </w:pPr>
            <w:r w:rsidRPr="009A5F4D">
              <w:rPr>
                <w:rFonts w:ascii="Arial" w:hAnsi="Arial" w:cs="Arial"/>
                <w:spacing w:val="-1"/>
                <w:sz w:val="20"/>
                <w:szCs w:val="20"/>
              </w:rPr>
              <w:t>451.7 MHz (TX)</w:t>
            </w:r>
          </w:p>
        </w:tc>
        <w:tc>
          <w:tcPr>
            <w:tcW w:w="3544" w:type="dxa"/>
            <w:shd w:val="clear" w:color="auto" w:fill="auto"/>
          </w:tcPr>
          <w:p w14:paraId="03C133D6" w14:textId="77777777" w:rsidR="00EA1AAE" w:rsidRPr="009A5F4D" w:rsidRDefault="00EA1AAE" w:rsidP="00805859">
            <w:pPr>
              <w:pStyle w:val="TableParagraph"/>
              <w:ind w:left="40"/>
              <w:rPr>
                <w:rFonts w:ascii="Arial" w:hAnsi="Arial" w:cs="Arial"/>
                <w:spacing w:val="-1"/>
                <w:sz w:val="20"/>
                <w:szCs w:val="20"/>
              </w:rPr>
            </w:pPr>
            <w:r w:rsidRPr="009A5F4D">
              <w:rPr>
                <w:rFonts w:ascii="Arial" w:hAnsi="Arial" w:cs="Arial"/>
                <w:spacing w:val="-1"/>
                <w:sz w:val="20"/>
                <w:szCs w:val="20"/>
              </w:rPr>
              <w:t>461.2 MHz (RX)</w:t>
            </w:r>
          </w:p>
        </w:tc>
      </w:tr>
      <w:tr w:rsidR="00EA1AAE" w:rsidRPr="009A5F4D" w14:paraId="643BEBC6" w14:textId="77777777" w:rsidTr="00805859">
        <w:tc>
          <w:tcPr>
            <w:tcW w:w="2127" w:type="dxa"/>
            <w:shd w:val="clear" w:color="auto" w:fill="auto"/>
          </w:tcPr>
          <w:p w14:paraId="41BB1458" w14:textId="77777777" w:rsidR="00EA1AAE" w:rsidRPr="009A5F4D" w:rsidRDefault="00EA1AAE" w:rsidP="00805859">
            <w:pPr>
              <w:pStyle w:val="TableParagraph"/>
              <w:ind w:left="40"/>
              <w:rPr>
                <w:rFonts w:ascii="Arial" w:hAnsi="Arial" w:cs="Arial"/>
                <w:spacing w:val="-1"/>
                <w:sz w:val="20"/>
                <w:szCs w:val="20"/>
              </w:rPr>
            </w:pPr>
            <w:r w:rsidRPr="009A5F4D">
              <w:rPr>
                <w:rFonts w:ascii="Arial" w:hAnsi="Arial" w:cs="Arial"/>
                <w:spacing w:val="-1"/>
                <w:sz w:val="20"/>
                <w:szCs w:val="20"/>
              </w:rPr>
              <w:t>Allocated Bandwidth</w:t>
            </w:r>
          </w:p>
        </w:tc>
        <w:tc>
          <w:tcPr>
            <w:tcW w:w="2976" w:type="dxa"/>
            <w:shd w:val="clear" w:color="auto" w:fill="auto"/>
          </w:tcPr>
          <w:p w14:paraId="41084AD0" w14:textId="77777777" w:rsidR="00EA1AAE" w:rsidRPr="009A5F4D" w:rsidRDefault="00EA1AAE" w:rsidP="00805859">
            <w:pPr>
              <w:pStyle w:val="TableParagraph"/>
              <w:ind w:left="40"/>
              <w:rPr>
                <w:rFonts w:ascii="Arial" w:hAnsi="Arial" w:cs="Arial"/>
                <w:spacing w:val="-1"/>
                <w:sz w:val="20"/>
                <w:szCs w:val="20"/>
              </w:rPr>
            </w:pPr>
            <w:r w:rsidRPr="009A5F4D">
              <w:rPr>
                <w:rFonts w:ascii="Arial" w:hAnsi="Arial" w:cs="Arial"/>
                <w:spacing w:val="-1"/>
                <w:sz w:val="20"/>
                <w:szCs w:val="20"/>
              </w:rPr>
              <w:t>25 kHz</w:t>
            </w:r>
          </w:p>
        </w:tc>
        <w:tc>
          <w:tcPr>
            <w:tcW w:w="3544" w:type="dxa"/>
            <w:shd w:val="clear" w:color="auto" w:fill="auto"/>
          </w:tcPr>
          <w:p w14:paraId="762AD50B" w14:textId="77777777" w:rsidR="00EA1AAE" w:rsidRPr="009A5F4D" w:rsidRDefault="00EA1AAE" w:rsidP="00805859">
            <w:pPr>
              <w:pStyle w:val="TableParagraph"/>
              <w:ind w:left="40"/>
              <w:rPr>
                <w:rFonts w:ascii="Arial" w:hAnsi="Arial" w:cs="Arial"/>
                <w:spacing w:val="-1"/>
                <w:sz w:val="20"/>
                <w:szCs w:val="20"/>
              </w:rPr>
            </w:pPr>
            <w:r w:rsidRPr="009A5F4D">
              <w:rPr>
                <w:rFonts w:ascii="Arial" w:hAnsi="Arial" w:cs="Arial"/>
                <w:spacing w:val="-1"/>
                <w:sz w:val="20"/>
                <w:szCs w:val="20"/>
              </w:rPr>
              <w:t>25 kHz</w:t>
            </w:r>
          </w:p>
        </w:tc>
      </w:tr>
      <w:tr w:rsidR="00EA1AAE" w:rsidRPr="009A5F4D" w14:paraId="3B2DF746" w14:textId="77777777" w:rsidTr="00805859">
        <w:tc>
          <w:tcPr>
            <w:tcW w:w="2127" w:type="dxa"/>
            <w:shd w:val="clear" w:color="auto" w:fill="auto"/>
          </w:tcPr>
          <w:p w14:paraId="69D0F09B" w14:textId="77777777" w:rsidR="00EA1AAE" w:rsidRPr="009A5F4D" w:rsidRDefault="00EA1AAE" w:rsidP="00805859">
            <w:pPr>
              <w:pStyle w:val="TableParagraph"/>
              <w:ind w:left="40"/>
              <w:rPr>
                <w:rFonts w:ascii="Arial" w:hAnsi="Arial" w:cs="Arial"/>
                <w:spacing w:val="-1"/>
                <w:sz w:val="20"/>
                <w:szCs w:val="20"/>
              </w:rPr>
            </w:pPr>
            <w:r w:rsidRPr="009A5F4D">
              <w:rPr>
                <w:rFonts w:ascii="Arial" w:hAnsi="Arial" w:cs="Arial"/>
                <w:spacing w:val="-1"/>
                <w:sz w:val="20"/>
                <w:szCs w:val="20"/>
              </w:rPr>
              <w:t>Site ID</w:t>
            </w:r>
          </w:p>
        </w:tc>
        <w:tc>
          <w:tcPr>
            <w:tcW w:w="6520" w:type="dxa"/>
            <w:gridSpan w:val="2"/>
            <w:shd w:val="clear" w:color="auto" w:fill="auto"/>
          </w:tcPr>
          <w:p w14:paraId="0FAB56CF" w14:textId="7A2BC0F7" w:rsidR="00EA1AAE" w:rsidRPr="009A5F4D" w:rsidRDefault="00CA7CB2" w:rsidP="00805859">
            <w:pPr>
              <w:pStyle w:val="TableParagraph"/>
              <w:ind w:left="40"/>
              <w:rPr>
                <w:rFonts w:ascii="Arial" w:hAnsi="Arial" w:cs="Arial"/>
                <w:spacing w:val="-1"/>
                <w:sz w:val="20"/>
                <w:szCs w:val="20"/>
              </w:rPr>
            </w:pPr>
            <w:r>
              <w:rPr>
                <w:rFonts w:ascii="Arial" w:hAnsi="Arial" w:cs="Arial"/>
                <w:spacing w:val="-1"/>
                <w:sz w:val="20"/>
                <w:szCs w:val="20"/>
              </w:rPr>
              <w:t>ACMA2</w:t>
            </w:r>
          </w:p>
        </w:tc>
      </w:tr>
      <w:tr w:rsidR="00EA1AAE" w:rsidRPr="009A5F4D" w14:paraId="0843E7C3" w14:textId="77777777" w:rsidTr="00805859">
        <w:tc>
          <w:tcPr>
            <w:tcW w:w="2127" w:type="dxa"/>
            <w:shd w:val="clear" w:color="auto" w:fill="auto"/>
          </w:tcPr>
          <w:p w14:paraId="6D741B7C" w14:textId="77777777" w:rsidR="00EA1AAE" w:rsidRPr="009A5F4D" w:rsidRDefault="00EA1AAE" w:rsidP="00805859">
            <w:pPr>
              <w:pStyle w:val="TableParagraph"/>
              <w:ind w:left="40"/>
              <w:rPr>
                <w:rFonts w:ascii="Arial" w:hAnsi="Arial" w:cs="Arial"/>
                <w:spacing w:val="-1"/>
                <w:sz w:val="20"/>
                <w:szCs w:val="20"/>
              </w:rPr>
            </w:pPr>
            <w:r w:rsidRPr="009A5F4D">
              <w:rPr>
                <w:rFonts w:ascii="Arial" w:hAnsi="Arial" w:cs="Arial"/>
                <w:spacing w:val="-1"/>
                <w:sz w:val="20"/>
                <w:szCs w:val="20"/>
              </w:rPr>
              <w:t>Site Address</w:t>
            </w:r>
          </w:p>
        </w:tc>
        <w:tc>
          <w:tcPr>
            <w:tcW w:w="6520" w:type="dxa"/>
            <w:gridSpan w:val="2"/>
            <w:shd w:val="clear" w:color="auto" w:fill="auto"/>
          </w:tcPr>
          <w:p w14:paraId="6DC3B6AC" w14:textId="29CD151B" w:rsidR="00EA1AAE" w:rsidRPr="009A5F4D" w:rsidRDefault="00CA7CB2" w:rsidP="00805859">
            <w:pPr>
              <w:pStyle w:val="TableParagraph"/>
              <w:ind w:left="40"/>
              <w:rPr>
                <w:rFonts w:ascii="Arial" w:hAnsi="Arial" w:cs="Arial"/>
                <w:spacing w:val="-1"/>
                <w:sz w:val="20"/>
                <w:szCs w:val="20"/>
              </w:rPr>
            </w:pPr>
            <w:r w:rsidRPr="00CA7CB2">
              <w:rPr>
                <w:rFonts w:ascii="Arial" w:hAnsi="Arial" w:cs="Arial"/>
                <w:spacing w:val="-1"/>
                <w:sz w:val="20"/>
                <w:szCs w:val="20"/>
                <w:lang w:val="en-AU"/>
              </w:rPr>
              <w:t>Melbourne Central Tower</w:t>
            </w:r>
            <w:r>
              <w:rPr>
                <w:rFonts w:ascii="Arial" w:hAnsi="Arial" w:cs="Arial"/>
                <w:spacing w:val="-1"/>
                <w:sz w:val="20"/>
                <w:szCs w:val="20"/>
                <w:lang w:val="en-AU"/>
              </w:rPr>
              <w:t xml:space="preserve">, </w:t>
            </w:r>
            <w:r w:rsidRPr="00CA7CB2">
              <w:rPr>
                <w:rFonts w:ascii="Arial" w:hAnsi="Arial" w:cs="Arial"/>
                <w:spacing w:val="-1"/>
                <w:sz w:val="20"/>
                <w:szCs w:val="20"/>
                <w:lang w:val="en-AU"/>
              </w:rPr>
              <w:t>360 Elizabeth Street</w:t>
            </w:r>
            <w:r>
              <w:rPr>
                <w:rFonts w:ascii="Arial" w:hAnsi="Arial" w:cs="Arial"/>
                <w:spacing w:val="-1"/>
                <w:sz w:val="20"/>
                <w:szCs w:val="20"/>
                <w:lang w:val="en-AU"/>
              </w:rPr>
              <w:t>, M</w:t>
            </w:r>
            <w:r w:rsidRPr="00CA7CB2">
              <w:rPr>
                <w:rFonts w:ascii="Arial" w:hAnsi="Arial" w:cs="Arial"/>
                <w:spacing w:val="-1"/>
                <w:sz w:val="20"/>
                <w:szCs w:val="20"/>
                <w:lang w:val="en-AU"/>
              </w:rPr>
              <w:t>ELBOURNE VIC</w:t>
            </w:r>
            <w:r>
              <w:rPr>
                <w:rFonts w:ascii="Arial" w:hAnsi="Arial" w:cs="Arial"/>
                <w:spacing w:val="-1"/>
                <w:sz w:val="20"/>
                <w:szCs w:val="20"/>
                <w:lang w:val="en-AU"/>
              </w:rPr>
              <w:t xml:space="preserve"> 3004</w:t>
            </w:r>
            <w:r w:rsidRPr="00CA7CB2" w:rsidDel="00CA7CB2">
              <w:rPr>
                <w:rFonts w:ascii="Arial" w:hAnsi="Arial" w:cs="Arial"/>
                <w:spacing w:val="-1"/>
                <w:sz w:val="20"/>
                <w:szCs w:val="20"/>
                <w:lang w:val="en-AU"/>
              </w:rPr>
              <w:t xml:space="preserve"> </w:t>
            </w:r>
          </w:p>
        </w:tc>
      </w:tr>
      <w:tr w:rsidR="00EA1AAE" w:rsidRPr="009A5F4D" w14:paraId="4E730B5A" w14:textId="77777777" w:rsidTr="00805859">
        <w:tc>
          <w:tcPr>
            <w:tcW w:w="2127" w:type="dxa"/>
            <w:shd w:val="clear" w:color="auto" w:fill="auto"/>
          </w:tcPr>
          <w:p w14:paraId="301EE04F" w14:textId="77777777" w:rsidR="00EA1AAE" w:rsidRPr="009A5F4D" w:rsidRDefault="00EA1AAE" w:rsidP="00805859">
            <w:pPr>
              <w:pStyle w:val="TableParagraph"/>
              <w:ind w:left="40"/>
              <w:rPr>
                <w:rFonts w:ascii="Arial" w:hAnsi="Arial" w:cs="Arial"/>
                <w:spacing w:val="-1"/>
                <w:sz w:val="20"/>
                <w:szCs w:val="20"/>
              </w:rPr>
            </w:pPr>
            <w:r w:rsidRPr="009A5F4D">
              <w:rPr>
                <w:rFonts w:ascii="Arial" w:hAnsi="Arial" w:cs="Arial"/>
                <w:spacing w:val="-1"/>
                <w:sz w:val="20"/>
                <w:szCs w:val="20"/>
              </w:rPr>
              <w:t>Co-ordinates</w:t>
            </w:r>
          </w:p>
        </w:tc>
        <w:tc>
          <w:tcPr>
            <w:tcW w:w="6520" w:type="dxa"/>
            <w:gridSpan w:val="2"/>
            <w:shd w:val="clear" w:color="auto" w:fill="auto"/>
          </w:tcPr>
          <w:p w14:paraId="2B900095" w14:textId="65F60556" w:rsidR="00EA1AAE" w:rsidRPr="009A5F4D" w:rsidRDefault="00EA1AAE" w:rsidP="00F72B8B">
            <w:pPr>
              <w:pStyle w:val="TableParagraph"/>
              <w:ind w:left="40"/>
              <w:rPr>
                <w:rFonts w:ascii="Arial" w:hAnsi="Arial" w:cs="Arial"/>
                <w:spacing w:val="-1"/>
                <w:sz w:val="20"/>
                <w:szCs w:val="20"/>
              </w:rPr>
            </w:pPr>
            <w:r w:rsidRPr="009A5F4D">
              <w:rPr>
                <w:rFonts w:ascii="Arial" w:hAnsi="Arial" w:cs="Arial"/>
                <w:spacing w:val="-1"/>
                <w:sz w:val="20"/>
                <w:szCs w:val="20"/>
              </w:rPr>
              <w:t>Lat -37.</w:t>
            </w:r>
            <w:r w:rsidR="00CA7CB2">
              <w:rPr>
                <w:rFonts w:ascii="Arial" w:hAnsi="Arial" w:cs="Arial"/>
                <w:spacing w:val="-1"/>
                <w:sz w:val="20"/>
                <w:szCs w:val="20"/>
              </w:rPr>
              <w:t>810639</w:t>
            </w:r>
            <w:r w:rsidR="00CA7CB2">
              <w:rPr>
                <w:rFonts w:ascii="Arial" w:hAnsi="Arial" w:cs="Arial"/>
                <w:spacing w:val="-1"/>
                <w:sz w:val="20"/>
                <w:szCs w:val="20"/>
              </w:rPr>
              <w:tab/>
            </w:r>
            <w:r w:rsidR="00CA7CB2">
              <w:rPr>
                <w:rFonts w:ascii="Arial" w:hAnsi="Arial" w:cs="Arial"/>
                <w:spacing w:val="-1"/>
                <w:sz w:val="20"/>
                <w:szCs w:val="20"/>
              </w:rPr>
              <w:tab/>
            </w:r>
            <w:r w:rsidRPr="009A5F4D">
              <w:rPr>
                <w:rFonts w:ascii="Arial" w:hAnsi="Arial" w:cs="Arial"/>
                <w:spacing w:val="-1"/>
                <w:sz w:val="20"/>
                <w:szCs w:val="20"/>
              </w:rPr>
              <w:t xml:space="preserve">Long </w:t>
            </w:r>
            <w:r w:rsidR="00CA7CB2" w:rsidRPr="009A5F4D">
              <w:rPr>
                <w:rFonts w:ascii="Arial" w:hAnsi="Arial" w:cs="Arial"/>
                <w:spacing w:val="-1"/>
                <w:sz w:val="20"/>
                <w:szCs w:val="20"/>
              </w:rPr>
              <w:t>14</w:t>
            </w:r>
            <w:r w:rsidR="00CA7CB2">
              <w:rPr>
                <w:rFonts w:ascii="Arial" w:hAnsi="Arial" w:cs="Arial"/>
                <w:spacing w:val="-1"/>
                <w:sz w:val="20"/>
                <w:szCs w:val="20"/>
              </w:rPr>
              <w:t>4</w:t>
            </w:r>
            <w:r w:rsidRPr="009A5F4D">
              <w:rPr>
                <w:rFonts w:ascii="Arial" w:hAnsi="Arial" w:cs="Arial"/>
                <w:spacing w:val="-1"/>
                <w:sz w:val="20"/>
                <w:szCs w:val="20"/>
              </w:rPr>
              <w:t>.</w:t>
            </w:r>
            <w:r w:rsidR="00CA7CB2">
              <w:rPr>
                <w:rFonts w:ascii="Arial" w:hAnsi="Arial" w:cs="Arial"/>
                <w:spacing w:val="-1"/>
                <w:sz w:val="20"/>
                <w:szCs w:val="20"/>
              </w:rPr>
              <w:t>962032</w:t>
            </w:r>
          </w:p>
        </w:tc>
      </w:tr>
    </w:tbl>
    <w:p w14:paraId="21A77631" w14:textId="77777777" w:rsidR="00737439" w:rsidRDefault="00737439" w:rsidP="00805859">
      <w:pPr>
        <w:pBdr>
          <w:top w:val="single" w:sz="4" w:space="1" w:color="auto"/>
        </w:pBdr>
        <w:spacing w:before="360" w:after="0" w:line="240" w:lineRule="auto"/>
        <w:rPr>
          <w:rFonts w:cs="Arial"/>
          <w:b/>
          <w:szCs w:val="20"/>
        </w:rPr>
        <w:sectPr w:rsidR="00737439" w:rsidSect="00B977E8">
          <w:pgSz w:w="11906" w:h="16838" w:code="9"/>
          <w:pgMar w:top="1945" w:right="3101" w:bottom="1134" w:left="1134" w:header="709" w:footer="119" w:gutter="0"/>
          <w:cols w:space="708"/>
          <w:docGrid w:linePitch="360"/>
        </w:sectPr>
      </w:pPr>
    </w:p>
    <w:p w14:paraId="2E875084" w14:textId="2E8D9864" w:rsidR="00EA1AAE" w:rsidRPr="00EC7825" w:rsidRDefault="00EA1AAE" w:rsidP="00805859">
      <w:pPr>
        <w:pBdr>
          <w:top w:val="single" w:sz="4" w:space="1" w:color="auto"/>
        </w:pBdr>
        <w:spacing w:before="360" w:after="0" w:line="240" w:lineRule="auto"/>
        <w:rPr>
          <w:rFonts w:cs="Arial"/>
          <w:b/>
          <w:szCs w:val="20"/>
        </w:rPr>
      </w:pPr>
      <w:r w:rsidRPr="00EC7825">
        <w:rPr>
          <w:rFonts w:cs="Arial"/>
          <w:b/>
          <w:szCs w:val="20"/>
        </w:rPr>
        <w:lastRenderedPageBreak/>
        <w:t xml:space="preserve">REGISTRABLE DEVICES CONDITION section </w:t>
      </w:r>
      <w:r w:rsidR="00E774AC">
        <w:rPr>
          <w:rFonts w:cs="Arial"/>
          <w:b/>
          <w:szCs w:val="20"/>
        </w:rPr>
        <w:t>47</w:t>
      </w:r>
    </w:p>
    <w:p w14:paraId="1828A31C" w14:textId="77A4F2D9" w:rsidR="00EA1AAE" w:rsidRPr="009A5F4D" w:rsidRDefault="00EA1AAE" w:rsidP="00805859">
      <w:pPr>
        <w:spacing w:before="120" w:after="0" w:line="240" w:lineRule="auto"/>
        <w:rPr>
          <w:rFonts w:cs="Arial"/>
          <w:b/>
          <w:i/>
          <w:szCs w:val="20"/>
        </w:rPr>
      </w:pPr>
      <w:r w:rsidRPr="009A5F4D">
        <w:rPr>
          <w:rFonts w:cs="Arial"/>
          <w:b/>
          <w:i/>
          <w:szCs w:val="20"/>
        </w:rPr>
        <w:t>Conditions in relation to the registrable devices would be placed in this section</w:t>
      </w:r>
    </w:p>
    <w:p w14:paraId="6A0623C3" w14:textId="77777777" w:rsidR="00EA1AAE" w:rsidRPr="009A5F4D" w:rsidRDefault="00EA1AAE" w:rsidP="00805859">
      <w:pPr>
        <w:spacing w:before="120"/>
        <w:rPr>
          <w:rFonts w:cs="Arial"/>
          <w:szCs w:val="20"/>
          <w:u w:val="single"/>
        </w:rPr>
      </w:pPr>
      <w:r w:rsidRPr="009A5F4D">
        <w:rPr>
          <w:rFonts w:cs="Arial"/>
          <w:szCs w:val="20"/>
          <w:u w:val="single"/>
        </w:rPr>
        <w:t>Example text:</w:t>
      </w:r>
    </w:p>
    <w:p w14:paraId="0896F1B2" w14:textId="7BB3EF3A" w:rsidR="00EA1AAE" w:rsidRPr="009A5F4D" w:rsidRDefault="00EA1AAE" w:rsidP="00805859">
      <w:pPr>
        <w:spacing w:before="120"/>
        <w:rPr>
          <w:rFonts w:cs="Arial"/>
          <w:szCs w:val="20"/>
        </w:rPr>
      </w:pPr>
      <w:r w:rsidRPr="009A5F4D">
        <w:rPr>
          <w:rFonts w:cs="Arial"/>
          <w:szCs w:val="20"/>
          <w:u w:val="single"/>
        </w:rPr>
        <w:t>RD1:</w:t>
      </w:r>
      <w:r w:rsidRPr="009A5F4D">
        <w:rPr>
          <w:rFonts w:cs="Arial"/>
          <w:szCs w:val="20"/>
        </w:rPr>
        <w:t xml:space="preserve"> The licensee must not operate a registrable device under this licence unless the information in the Register about this licence includes such information about the device as is specified in Register rules made for the purposes of section</w:t>
      </w:r>
      <w:r>
        <w:rPr>
          <w:rFonts w:cs="Arial"/>
          <w:szCs w:val="20"/>
        </w:rPr>
        <w:t>s</w:t>
      </w:r>
      <w:r w:rsidRPr="009A5F4D">
        <w:rPr>
          <w:rFonts w:cs="Arial"/>
          <w:szCs w:val="20"/>
        </w:rPr>
        <w:t xml:space="preserve"> </w:t>
      </w:r>
      <w:r w:rsidR="00E774AC">
        <w:rPr>
          <w:rFonts w:cs="Arial"/>
          <w:szCs w:val="20"/>
        </w:rPr>
        <w:t>92</w:t>
      </w:r>
      <w:r w:rsidRPr="009A5F4D">
        <w:rPr>
          <w:rFonts w:cs="Arial"/>
          <w:szCs w:val="20"/>
        </w:rPr>
        <w:t xml:space="preserve"> of the Act.</w:t>
      </w:r>
    </w:p>
    <w:p w14:paraId="21C2E4D3" w14:textId="40ED75E3" w:rsidR="00EA1AAE" w:rsidRPr="00EC7825" w:rsidRDefault="00EA1AAE" w:rsidP="00805859">
      <w:pPr>
        <w:pBdr>
          <w:top w:val="single" w:sz="4" w:space="1" w:color="auto"/>
        </w:pBdr>
        <w:spacing w:before="240" w:after="0" w:line="240" w:lineRule="auto"/>
        <w:rPr>
          <w:rFonts w:cs="Arial"/>
          <w:b/>
          <w:szCs w:val="20"/>
        </w:rPr>
      </w:pPr>
      <w:r w:rsidRPr="00EC7825">
        <w:rPr>
          <w:rFonts w:cs="Arial"/>
          <w:b/>
          <w:szCs w:val="20"/>
        </w:rPr>
        <w:t xml:space="preserve">PAYMENT CONDITIONS section </w:t>
      </w:r>
      <w:r w:rsidR="00E774AC">
        <w:rPr>
          <w:rFonts w:cs="Arial"/>
          <w:b/>
          <w:szCs w:val="20"/>
        </w:rPr>
        <w:t>48</w:t>
      </w:r>
    </w:p>
    <w:p w14:paraId="4CD13E1B" w14:textId="698CEE58" w:rsidR="00EA1AAE" w:rsidRPr="009A5F4D" w:rsidRDefault="00EA1AAE" w:rsidP="00805859">
      <w:pPr>
        <w:spacing w:before="120" w:after="0" w:line="240" w:lineRule="auto"/>
        <w:rPr>
          <w:rFonts w:cs="Arial"/>
          <w:b/>
          <w:szCs w:val="20"/>
        </w:rPr>
      </w:pPr>
      <w:r w:rsidRPr="009A5F4D">
        <w:rPr>
          <w:rFonts w:cs="Arial"/>
          <w:b/>
          <w:i/>
          <w:szCs w:val="20"/>
        </w:rPr>
        <w:t>Conditions in relation to the payment of a licence would be placed in this section</w:t>
      </w:r>
    </w:p>
    <w:p w14:paraId="12486847" w14:textId="77777777" w:rsidR="00EA1AAE" w:rsidRPr="009A5F4D" w:rsidRDefault="00EA1AAE" w:rsidP="00805859">
      <w:pPr>
        <w:spacing w:before="120"/>
        <w:rPr>
          <w:rFonts w:cs="Arial"/>
          <w:szCs w:val="20"/>
          <w:u w:val="single"/>
        </w:rPr>
      </w:pPr>
      <w:r w:rsidRPr="009A5F4D">
        <w:rPr>
          <w:rFonts w:cs="Arial"/>
          <w:szCs w:val="20"/>
          <w:u w:val="single"/>
        </w:rPr>
        <w:t>Example Text:</w:t>
      </w:r>
    </w:p>
    <w:p w14:paraId="7ED536CB" w14:textId="77777777" w:rsidR="00EA1AAE" w:rsidRPr="009A5F4D" w:rsidRDefault="00EA1AAE" w:rsidP="00805859">
      <w:pPr>
        <w:spacing w:before="120"/>
        <w:rPr>
          <w:rFonts w:cs="Arial"/>
          <w:spacing w:val="5"/>
          <w:szCs w:val="20"/>
        </w:rPr>
      </w:pPr>
      <w:r w:rsidRPr="009A5F4D">
        <w:rPr>
          <w:rFonts w:cs="Arial"/>
          <w:szCs w:val="20"/>
          <w:u w:val="single"/>
        </w:rPr>
        <w:t>PC1:</w:t>
      </w:r>
      <w:r w:rsidRPr="009A5F4D">
        <w:rPr>
          <w:rFonts w:cs="Arial"/>
          <w:szCs w:val="20"/>
        </w:rPr>
        <w:t xml:space="preserve"> The licensee</w:t>
      </w:r>
      <w:r w:rsidRPr="009A5F4D">
        <w:rPr>
          <w:rFonts w:cs="Arial"/>
          <w:spacing w:val="5"/>
          <w:szCs w:val="20"/>
        </w:rPr>
        <w:t xml:space="preserve"> </w:t>
      </w:r>
      <w:r w:rsidRPr="009A5F4D">
        <w:rPr>
          <w:rFonts w:cs="Arial"/>
          <w:szCs w:val="20"/>
        </w:rPr>
        <w:t>must</w:t>
      </w:r>
      <w:r w:rsidRPr="009A5F4D">
        <w:rPr>
          <w:rFonts w:cs="Arial"/>
          <w:spacing w:val="5"/>
          <w:szCs w:val="20"/>
        </w:rPr>
        <w:t xml:space="preserve"> </w:t>
      </w:r>
      <w:r w:rsidRPr="009A5F4D">
        <w:rPr>
          <w:rFonts w:cs="Arial"/>
          <w:szCs w:val="20"/>
        </w:rPr>
        <w:t>meet all</w:t>
      </w:r>
      <w:r w:rsidRPr="009A5F4D">
        <w:rPr>
          <w:rFonts w:cs="Arial"/>
          <w:spacing w:val="5"/>
          <w:szCs w:val="20"/>
        </w:rPr>
        <w:t xml:space="preserve"> of </w:t>
      </w:r>
      <w:r w:rsidRPr="009A5F4D">
        <w:rPr>
          <w:rFonts w:cs="Arial"/>
          <w:szCs w:val="20"/>
        </w:rPr>
        <w:t>its</w:t>
      </w:r>
      <w:r w:rsidRPr="009A5F4D">
        <w:rPr>
          <w:rFonts w:cs="Arial"/>
          <w:spacing w:val="5"/>
          <w:szCs w:val="20"/>
        </w:rPr>
        <w:t xml:space="preserve"> </w:t>
      </w:r>
      <w:r w:rsidRPr="009A5F4D">
        <w:rPr>
          <w:rFonts w:cs="Arial"/>
          <w:szCs w:val="20"/>
        </w:rPr>
        <w:t>obligations</w:t>
      </w:r>
      <w:r w:rsidRPr="009A5F4D">
        <w:rPr>
          <w:rFonts w:cs="Arial"/>
          <w:spacing w:val="5"/>
          <w:szCs w:val="20"/>
        </w:rPr>
        <w:t xml:space="preserve"> </w:t>
      </w:r>
      <w:r w:rsidRPr="009A5F4D">
        <w:rPr>
          <w:rFonts w:cs="Arial"/>
          <w:spacing w:val="4"/>
          <w:szCs w:val="20"/>
        </w:rPr>
        <w:t>to pay</w:t>
      </w:r>
      <w:r w:rsidRPr="009A5F4D">
        <w:rPr>
          <w:rFonts w:cs="Arial"/>
          <w:szCs w:val="20"/>
        </w:rPr>
        <w:t>:</w:t>
      </w:r>
    </w:p>
    <w:p w14:paraId="54A40321" w14:textId="04668AB4" w:rsidR="00EA1AAE" w:rsidRPr="009A5F4D" w:rsidRDefault="00EA1AAE" w:rsidP="00EC7825">
      <w:pPr>
        <w:pStyle w:val="ListParagraph"/>
        <w:numPr>
          <w:ilvl w:val="0"/>
          <w:numId w:val="19"/>
        </w:numPr>
        <w:spacing w:before="120" w:after="160" w:line="259" w:lineRule="auto"/>
        <w:ind w:left="714" w:hanging="357"/>
        <w:contextualSpacing w:val="0"/>
        <w:rPr>
          <w:rFonts w:ascii="Arial" w:hAnsi="Arial" w:cs="Arial"/>
          <w:sz w:val="20"/>
          <w:szCs w:val="20"/>
        </w:rPr>
      </w:pPr>
      <w:r w:rsidRPr="009A5F4D">
        <w:rPr>
          <w:rFonts w:ascii="Arial" w:hAnsi="Arial" w:cs="Arial"/>
          <w:sz w:val="20"/>
          <w:szCs w:val="20"/>
        </w:rPr>
        <w:t xml:space="preserve">charges fixed by determinations made under section </w:t>
      </w:r>
      <w:r w:rsidR="00D7458C">
        <w:rPr>
          <w:rFonts w:ascii="Arial" w:hAnsi="Arial" w:cs="Arial"/>
          <w:sz w:val="20"/>
          <w:szCs w:val="20"/>
        </w:rPr>
        <w:t>60</w:t>
      </w:r>
      <w:r w:rsidR="00E774AC" w:rsidRPr="009A5F4D">
        <w:rPr>
          <w:rFonts w:ascii="Arial" w:hAnsi="Arial" w:cs="Arial"/>
          <w:sz w:val="20"/>
          <w:szCs w:val="20"/>
        </w:rPr>
        <w:t xml:space="preserve"> </w:t>
      </w:r>
      <w:r w:rsidRPr="009A5F4D">
        <w:rPr>
          <w:rFonts w:ascii="Arial" w:hAnsi="Arial" w:cs="Arial"/>
          <w:sz w:val="20"/>
          <w:szCs w:val="20"/>
        </w:rPr>
        <w:t xml:space="preserve">of the </w:t>
      </w:r>
      <w:r w:rsidRPr="009A5F4D">
        <w:rPr>
          <w:rFonts w:ascii="Arial" w:hAnsi="Arial" w:cs="Arial"/>
          <w:i/>
          <w:sz w:val="20"/>
          <w:szCs w:val="20"/>
        </w:rPr>
        <w:t>Australian Communications and Media Authority Act 2005</w:t>
      </w:r>
      <w:r w:rsidRPr="009A5F4D">
        <w:rPr>
          <w:rFonts w:ascii="Arial" w:hAnsi="Arial" w:cs="Arial"/>
          <w:sz w:val="20"/>
          <w:szCs w:val="20"/>
        </w:rPr>
        <w:t>;</w:t>
      </w:r>
    </w:p>
    <w:p w14:paraId="3318ECB8" w14:textId="6CE3C413" w:rsidR="00EA1AAE" w:rsidRPr="009A5F4D" w:rsidRDefault="00EA1AAE" w:rsidP="00EC7825">
      <w:pPr>
        <w:pStyle w:val="ListParagraph"/>
        <w:numPr>
          <w:ilvl w:val="0"/>
          <w:numId w:val="19"/>
        </w:numPr>
        <w:spacing w:before="120" w:after="160" w:line="259" w:lineRule="auto"/>
        <w:contextualSpacing w:val="0"/>
        <w:rPr>
          <w:rFonts w:ascii="Arial" w:hAnsi="Arial" w:cs="Arial"/>
          <w:sz w:val="20"/>
          <w:szCs w:val="20"/>
        </w:rPr>
      </w:pPr>
      <w:r w:rsidRPr="009A5F4D">
        <w:rPr>
          <w:rFonts w:ascii="Arial" w:hAnsi="Arial" w:cs="Arial"/>
          <w:sz w:val="20"/>
          <w:szCs w:val="20"/>
        </w:rPr>
        <w:t xml:space="preserve">spectrum access charges fixed by determinations made under section </w:t>
      </w:r>
      <w:r w:rsidR="00E774AC">
        <w:rPr>
          <w:rFonts w:ascii="Arial" w:hAnsi="Arial" w:cs="Arial"/>
          <w:sz w:val="20"/>
          <w:szCs w:val="20"/>
        </w:rPr>
        <w:t xml:space="preserve">193 </w:t>
      </w:r>
      <w:r w:rsidRPr="009A5F4D">
        <w:rPr>
          <w:rFonts w:ascii="Arial" w:hAnsi="Arial" w:cs="Arial"/>
          <w:sz w:val="20"/>
          <w:szCs w:val="20"/>
        </w:rPr>
        <w:t>of the Act.</w:t>
      </w:r>
    </w:p>
    <w:p w14:paraId="5E3E1F9D" w14:textId="78E5FEF1" w:rsidR="00EA1AAE" w:rsidRPr="00EC7825" w:rsidRDefault="00EA1AAE" w:rsidP="00805859">
      <w:pPr>
        <w:pBdr>
          <w:top w:val="single" w:sz="4" w:space="1" w:color="auto"/>
        </w:pBdr>
        <w:spacing w:before="240" w:after="0" w:line="240" w:lineRule="auto"/>
        <w:rPr>
          <w:rFonts w:cs="Arial"/>
          <w:b/>
          <w:szCs w:val="20"/>
        </w:rPr>
      </w:pPr>
      <w:r w:rsidRPr="00EC7825">
        <w:rPr>
          <w:rFonts w:cs="Arial"/>
          <w:b/>
          <w:szCs w:val="20"/>
        </w:rPr>
        <w:t xml:space="preserve">OTHER CONDITIONS section </w:t>
      </w:r>
      <w:r w:rsidR="00E774AC">
        <w:rPr>
          <w:rFonts w:cs="Arial"/>
          <w:b/>
          <w:szCs w:val="20"/>
        </w:rPr>
        <w:t>51</w:t>
      </w:r>
    </w:p>
    <w:p w14:paraId="104FC2E6" w14:textId="6123F730" w:rsidR="00EA1AAE" w:rsidRPr="009A5F4D" w:rsidRDefault="00EA1AAE">
      <w:pPr>
        <w:pStyle w:val="CommentText"/>
        <w:spacing w:before="120" w:after="0"/>
        <w:rPr>
          <w:rFonts w:cs="Arial"/>
        </w:rPr>
      </w:pPr>
      <w:r w:rsidRPr="009A5F4D">
        <w:rPr>
          <w:rFonts w:cs="Arial"/>
          <w:b/>
          <w:i/>
        </w:rPr>
        <w:t xml:space="preserve">Any other condition included in </w:t>
      </w:r>
      <w:r>
        <w:rPr>
          <w:rFonts w:cs="Arial"/>
          <w:b/>
          <w:i/>
        </w:rPr>
        <w:t>the licence</w:t>
      </w:r>
      <w:r w:rsidRPr="009A5F4D">
        <w:rPr>
          <w:rFonts w:cs="Arial"/>
          <w:b/>
          <w:i/>
        </w:rPr>
        <w:t xml:space="preserve"> would be placed in this section. </w:t>
      </w:r>
    </w:p>
    <w:p w14:paraId="5EF4A481" w14:textId="77777777" w:rsidR="00EA1AAE" w:rsidRPr="009A5F4D" w:rsidRDefault="00EA1AAE" w:rsidP="00737439">
      <w:pPr>
        <w:pStyle w:val="ListParagraph"/>
        <w:autoSpaceDE w:val="0"/>
        <w:autoSpaceDN w:val="0"/>
        <w:adjustRightInd w:val="0"/>
        <w:spacing w:before="120"/>
        <w:ind w:left="0" w:firstLine="0"/>
        <w:contextualSpacing w:val="0"/>
        <w:rPr>
          <w:rFonts w:ascii="Arial" w:hAnsi="Arial" w:cs="Arial"/>
          <w:sz w:val="20"/>
          <w:szCs w:val="20"/>
          <w:u w:val="single"/>
        </w:rPr>
      </w:pPr>
      <w:r w:rsidRPr="009A5F4D">
        <w:rPr>
          <w:rFonts w:ascii="Arial" w:hAnsi="Arial" w:cs="Arial"/>
          <w:sz w:val="20"/>
          <w:szCs w:val="20"/>
          <w:u w:val="single"/>
        </w:rPr>
        <w:t>Example Text:</w:t>
      </w:r>
    </w:p>
    <w:p w14:paraId="6A57D67B" w14:textId="77777777" w:rsidR="00EA1AAE" w:rsidRPr="009A5F4D" w:rsidRDefault="00EA1AAE" w:rsidP="00737439">
      <w:pPr>
        <w:pStyle w:val="ListParagraph"/>
        <w:autoSpaceDE w:val="0"/>
        <w:autoSpaceDN w:val="0"/>
        <w:adjustRightInd w:val="0"/>
        <w:spacing w:before="120"/>
        <w:ind w:left="0" w:firstLine="0"/>
        <w:contextualSpacing w:val="0"/>
        <w:rPr>
          <w:rFonts w:ascii="Arial" w:hAnsi="Arial" w:cs="Arial"/>
          <w:sz w:val="20"/>
          <w:szCs w:val="20"/>
        </w:rPr>
      </w:pPr>
      <w:r w:rsidRPr="009A5F4D">
        <w:rPr>
          <w:rFonts w:ascii="Arial" w:hAnsi="Arial" w:cs="Arial"/>
          <w:sz w:val="20"/>
          <w:szCs w:val="20"/>
          <w:u w:val="single"/>
        </w:rPr>
        <w:t>OC</w:t>
      </w:r>
      <w:r>
        <w:rPr>
          <w:rFonts w:ascii="Arial" w:hAnsi="Arial" w:cs="Arial"/>
          <w:sz w:val="20"/>
          <w:szCs w:val="20"/>
          <w:u w:val="single"/>
        </w:rPr>
        <w:t>1</w:t>
      </w:r>
      <w:r w:rsidRPr="009A5F4D">
        <w:rPr>
          <w:rFonts w:ascii="Arial" w:hAnsi="Arial" w:cs="Arial"/>
          <w:sz w:val="20"/>
          <w:szCs w:val="20"/>
          <w:u w:val="single"/>
        </w:rPr>
        <w:t>:</w:t>
      </w:r>
      <w:r w:rsidRPr="009A5F4D">
        <w:rPr>
          <w:rFonts w:ascii="Arial" w:hAnsi="Arial" w:cs="Arial"/>
          <w:sz w:val="20"/>
          <w:szCs w:val="20"/>
        </w:rPr>
        <w:t xml:space="preserve"> When the radiocommunications transmitter is coupled to an antenna the level of all discrete spurious components caused by the radiocommunications transmitter when measured at the connection to the antenna must not exceed -30 dBM. The broadband noise floor of the radiocommunications transmitter measured at the same point must not exceed -47 dBM in a 16 kHz bandwidth for frequency offsets greater than 300 kHz from the transmit frequency.</w:t>
      </w:r>
    </w:p>
    <w:p w14:paraId="46CC22EC" w14:textId="2A724F13" w:rsidR="00EA1AAE" w:rsidRPr="009A5F4D" w:rsidRDefault="00EA1AAE" w:rsidP="00805859">
      <w:pPr>
        <w:spacing w:before="120"/>
        <w:rPr>
          <w:rFonts w:cs="Arial"/>
          <w:szCs w:val="20"/>
        </w:rPr>
      </w:pPr>
      <w:r w:rsidRPr="009A5F4D">
        <w:rPr>
          <w:rFonts w:cs="Arial"/>
          <w:szCs w:val="20"/>
          <w:u w:val="single"/>
        </w:rPr>
        <w:t>OC</w:t>
      </w:r>
      <w:r>
        <w:rPr>
          <w:rFonts w:cs="Arial"/>
          <w:szCs w:val="20"/>
          <w:u w:val="single"/>
        </w:rPr>
        <w:t>2</w:t>
      </w:r>
      <w:r w:rsidRPr="009A5F4D">
        <w:rPr>
          <w:rFonts w:cs="Arial"/>
          <w:szCs w:val="20"/>
          <w:u w:val="single"/>
        </w:rPr>
        <w:t>:</w:t>
      </w:r>
      <w:r w:rsidRPr="009A5F4D">
        <w:rPr>
          <w:rFonts w:cs="Arial"/>
          <w:szCs w:val="20"/>
        </w:rPr>
        <w:t xml:space="preserve"> The licensee must notify any person who the licensee authorises to operate radiocommunications devices under this licence of the conditions included in </w:t>
      </w:r>
      <w:r>
        <w:rPr>
          <w:rFonts w:cs="Arial"/>
          <w:szCs w:val="20"/>
        </w:rPr>
        <w:t>this licence</w:t>
      </w:r>
      <w:r w:rsidRPr="009A5F4D">
        <w:rPr>
          <w:rFonts w:cs="Arial"/>
          <w:szCs w:val="20"/>
        </w:rPr>
        <w:t xml:space="preserve">, and the requirement in section </w:t>
      </w:r>
      <w:r w:rsidR="00E774AC">
        <w:rPr>
          <w:rFonts w:cs="Arial"/>
          <w:szCs w:val="20"/>
        </w:rPr>
        <w:t>52</w:t>
      </w:r>
      <w:r w:rsidR="00E774AC" w:rsidRPr="009A5F4D">
        <w:rPr>
          <w:rFonts w:cs="Arial"/>
          <w:szCs w:val="20"/>
        </w:rPr>
        <w:t xml:space="preserve"> </w:t>
      </w:r>
      <w:r w:rsidRPr="009A5F4D">
        <w:rPr>
          <w:rFonts w:cs="Arial"/>
          <w:szCs w:val="20"/>
        </w:rPr>
        <w:t>of the Act that the person not contravene those conditions.</w:t>
      </w:r>
      <w:r w:rsidRPr="009A5F4D" w:rsidDel="007A464C">
        <w:rPr>
          <w:rFonts w:cs="Arial"/>
          <w:szCs w:val="20"/>
        </w:rPr>
        <w:t xml:space="preserve"> </w:t>
      </w:r>
    </w:p>
    <w:p w14:paraId="20648357" w14:textId="7E50588D" w:rsidR="00EA1AAE" w:rsidRPr="009A5F4D" w:rsidRDefault="00EA1AAE" w:rsidP="00805859">
      <w:pPr>
        <w:spacing w:before="120"/>
        <w:rPr>
          <w:rFonts w:cs="Arial"/>
          <w:szCs w:val="20"/>
        </w:rPr>
      </w:pPr>
      <w:r w:rsidRPr="009A5F4D">
        <w:rPr>
          <w:rFonts w:cs="Arial"/>
          <w:szCs w:val="20"/>
          <w:u w:val="single"/>
        </w:rPr>
        <w:t>OC</w:t>
      </w:r>
      <w:r>
        <w:rPr>
          <w:rFonts w:cs="Arial"/>
          <w:szCs w:val="20"/>
          <w:u w:val="single"/>
        </w:rPr>
        <w:t>3</w:t>
      </w:r>
      <w:r w:rsidRPr="009A5F4D">
        <w:rPr>
          <w:rFonts w:cs="Arial"/>
          <w:szCs w:val="20"/>
          <w:u w:val="single"/>
        </w:rPr>
        <w:t>:</w:t>
      </w:r>
      <w:r w:rsidRPr="009A5F4D">
        <w:rPr>
          <w:rFonts w:cs="Arial"/>
          <w:szCs w:val="20"/>
        </w:rPr>
        <w:t xml:space="preserve"> </w:t>
      </w:r>
      <w:r>
        <w:rPr>
          <w:rFonts w:cs="Arial"/>
          <w:szCs w:val="20"/>
        </w:rPr>
        <w:t xml:space="preserve">If information is specified in Register rules, made under section </w:t>
      </w:r>
      <w:r w:rsidR="00E774AC">
        <w:rPr>
          <w:rFonts w:cs="Arial"/>
          <w:szCs w:val="20"/>
        </w:rPr>
        <w:t xml:space="preserve">96 </w:t>
      </w:r>
      <w:r>
        <w:rPr>
          <w:rFonts w:cs="Arial"/>
          <w:szCs w:val="20"/>
        </w:rPr>
        <w:t>of the Act, to be information the Register is required to contain about a licence, the licensee must provide that information to the ACMA.</w:t>
      </w:r>
    </w:p>
    <w:p w14:paraId="4B0F5EA5" w14:textId="77777777" w:rsidR="00EA1AAE" w:rsidRPr="009A5F4D" w:rsidRDefault="00EA1AAE" w:rsidP="00805859">
      <w:pPr>
        <w:spacing w:before="120"/>
        <w:rPr>
          <w:rFonts w:cs="Arial"/>
          <w:szCs w:val="20"/>
        </w:rPr>
      </w:pPr>
      <w:r w:rsidRPr="009A5F4D">
        <w:rPr>
          <w:rFonts w:cs="Arial"/>
          <w:szCs w:val="20"/>
          <w:u w:val="single"/>
        </w:rPr>
        <w:t>OC</w:t>
      </w:r>
      <w:r>
        <w:rPr>
          <w:rFonts w:cs="Arial"/>
          <w:szCs w:val="20"/>
          <w:u w:val="single"/>
        </w:rPr>
        <w:t>4</w:t>
      </w:r>
      <w:r w:rsidRPr="009A5F4D">
        <w:rPr>
          <w:rFonts w:cs="Arial"/>
          <w:szCs w:val="20"/>
          <w:u w:val="single"/>
        </w:rPr>
        <w:t>:</w:t>
      </w:r>
      <w:r w:rsidRPr="009A5F4D">
        <w:rPr>
          <w:rFonts w:cs="Arial"/>
          <w:szCs w:val="20"/>
        </w:rPr>
        <w:t xml:space="preserve"> </w:t>
      </w:r>
      <w:r w:rsidRPr="002A1B5B">
        <w:rPr>
          <w:rFonts w:cs="Arial"/>
          <w:szCs w:val="20"/>
        </w:rPr>
        <w:t>The licensee must give written notice to the ACMA</w:t>
      </w:r>
      <w:r>
        <w:rPr>
          <w:rFonts w:cs="Arial"/>
          <w:szCs w:val="20"/>
        </w:rPr>
        <w:t xml:space="preserve"> that</w:t>
      </w:r>
      <w:r w:rsidRPr="002A1B5B">
        <w:rPr>
          <w:rFonts w:cs="Arial"/>
          <w:szCs w:val="20"/>
        </w:rPr>
        <w:t xml:space="preserve"> information in the Register about </w:t>
      </w:r>
      <w:r>
        <w:rPr>
          <w:rFonts w:cs="Arial"/>
          <w:szCs w:val="20"/>
        </w:rPr>
        <w:t>this licence</w:t>
      </w:r>
      <w:r w:rsidRPr="002A1B5B">
        <w:rPr>
          <w:rFonts w:cs="Arial"/>
          <w:szCs w:val="20"/>
        </w:rPr>
        <w:t xml:space="preserve"> is incorrect or incomplete, as soon as practicable after </w:t>
      </w:r>
      <w:r>
        <w:rPr>
          <w:rFonts w:cs="Arial"/>
          <w:szCs w:val="20"/>
        </w:rPr>
        <w:t xml:space="preserve">the licensee </w:t>
      </w:r>
      <w:r w:rsidRPr="002A1B5B">
        <w:rPr>
          <w:rFonts w:cs="Arial"/>
          <w:szCs w:val="20"/>
        </w:rPr>
        <w:t>becom</w:t>
      </w:r>
      <w:r>
        <w:rPr>
          <w:rFonts w:cs="Arial"/>
          <w:szCs w:val="20"/>
        </w:rPr>
        <w:t>es</w:t>
      </w:r>
      <w:r w:rsidRPr="002A1B5B">
        <w:rPr>
          <w:rFonts w:cs="Arial"/>
          <w:szCs w:val="20"/>
        </w:rPr>
        <w:t xml:space="preserve"> aware</w:t>
      </w:r>
      <w:r>
        <w:rPr>
          <w:rFonts w:cs="Arial"/>
          <w:szCs w:val="20"/>
        </w:rPr>
        <w:t xml:space="preserve"> that information in the Register is incorrect or incomplete</w:t>
      </w:r>
    </w:p>
    <w:p w14:paraId="27AEC911" w14:textId="77777777" w:rsidR="00EA1AAE" w:rsidRPr="009A5F4D" w:rsidRDefault="00EA1AAE" w:rsidP="00805859">
      <w:pPr>
        <w:pStyle w:val="ListParagraph"/>
        <w:pBdr>
          <w:bottom w:val="dashed" w:sz="18" w:space="1" w:color="auto"/>
        </w:pBdr>
        <w:spacing w:before="120" w:after="0"/>
        <w:ind w:left="0"/>
        <w:contextualSpacing w:val="0"/>
        <w:rPr>
          <w:rFonts w:ascii="Arial" w:hAnsi="Arial" w:cs="Arial"/>
          <w:sz w:val="20"/>
          <w:szCs w:val="20"/>
        </w:rPr>
      </w:pPr>
    </w:p>
    <w:p w14:paraId="776464F1" w14:textId="77777777" w:rsidR="00EA1AAE" w:rsidRPr="009A5F4D" w:rsidRDefault="00EA1AAE" w:rsidP="00805859">
      <w:pPr>
        <w:spacing w:before="120" w:after="0" w:line="240" w:lineRule="auto"/>
        <w:rPr>
          <w:rFonts w:cs="Arial"/>
          <w:b/>
          <w:color w:val="F79646" w:themeColor="accent6"/>
          <w:szCs w:val="20"/>
        </w:rPr>
      </w:pPr>
    </w:p>
    <w:p w14:paraId="3C2859E0" w14:textId="77777777" w:rsidR="00737439" w:rsidRDefault="00737439" w:rsidP="00805859">
      <w:pPr>
        <w:pBdr>
          <w:top w:val="single" w:sz="2" w:space="1" w:color="auto"/>
        </w:pBdr>
        <w:spacing w:before="120" w:after="0" w:line="240" w:lineRule="auto"/>
        <w:rPr>
          <w:rFonts w:cs="Arial"/>
          <w:b/>
          <w:szCs w:val="20"/>
        </w:rPr>
        <w:sectPr w:rsidR="00737439" w:rsidSect="00B977E8">
          <w:pgSz w:w="11906" w:h="16838" w:code="9"/>
          <w:pgMar w:top="1945" w:right="3101" w:bottom="1134" w:left="1134" w:header="709" w:footer="119" w:gutter="0"/>
          <w:cols w:space="708"/>
          <w:docGrid w:linePitch="360"/>
        </w:sectPr>
      </w:pPr>
    </w:p>
    <w:p w14:paraId="61817499" w14:textId="6B621274" w:rsidR="00EA1AAE" w:rsidRPr="00EC7825" w:rsidRDefault="00EA1AAE" w:rsidP="00805859">
      <w:pPr>
        <w:pBdr>
          <w:top w:val="single" w:sz="2" w:space="1" w:color="auto"/>
        </w:pBdr>
        <w:spacing w:before="120" w:after="0" w:line="240" w:lineRule="auto"/>
        <w:rPr>
          <w:rFonts w:cs="Arial"/>
          <w:b/>
          <w:szCs w:val="20"/>
        </w:rPr>
      </w:pPr>
      <w:r w:rsidRPr="00EC7825">
        <w:rPr>
          <w:rFonts w:cs="Arial"/>
          <w:b/>
          <w:szCs w:val="20"/>
        </w:rPr>
        <w:lastRenderedPageBreak/>
        <w:t xml:space="preserve">RENEWAL STATEMENTS section </w:t>
      </w:r>
      <w:r w:rsidR="00E774AC">
        <w:rPr>
          <w:rFonts w:cs="Arial"/>
          <w:b/>
          <w:szCs w:val="20"/>
        </w:rPr>
        <w:t>59</w:t>
      </w:r>
    </w:p>
    <w:p w14:paraId="3E6305F2" w14:textId="0760FEBC" w:rsidR="00EA1AAE" w:rsidRPr="009A5F4D" w:rsidRDefault="00EA1AAE" w:rsidP="00805859">
      <w:pPr>
        <w:rPr>
          <w:rFonts w:cs="Arial"/>
          <w:b/>
          <w:i/>
          <w:szCs w:val="20"/>
        </w:rPr>
      </w:pPr>
      <w:r w:rsidRPr="009A5F4D">
        <w:rPr>
          <w:rFonts w:cs="Arial"/>
          <w:b/>
          <w:i/>
          <w:szCs w:val="20"/>
        </w:rPr>
        <w:t>Statements in relation to the renewal of a licence, including, a statement specifying a renewal application period would be placed in this section.</w:t>
      </w:r>
    </w:p>
    <w:p w14:paraId="77E7F21F" w14:textId="77777777" w:rsidR="00EA1AAE" w:rsidRPr="00EC7825" w:rsidRDefault="00EA1AAE" w:rsidP="00EC7825">
      <w:pPr>
        <w:spacing w:before="120"/>
        <w:rPr>
          <w:rFonts w:cs="Arial"/>
          <w:szCs w:val="20"/>
          <w:u w:val="single"/>
        </w:rPr>
      </w:pPr>
      <w:r w:rsidRPr="00EC7825">
        <w:rPr>
          <w:rFonts w:cs="Arial"/>
          <w:szCs w:val="20"/>
          <w:u w:val="single"/>
        </w:rPr>
        <w:t>[See discussion in the accompanying supporting document]</w:t>
      </w:r>
    </w:p>
    <w:p w14:paraId="18408DF8" w14:textId="38AF7BF7" w:rsidR="00EA1AAE" w:rsidRPr="00EC7825" w:rsidRDefault="00EA1AAE" w:rsidP="00EC7825">
      <w:pPr>
        <w:pBdr>
          <w:top w:val="single" w:sz="2" w:space="1" w:color="auto"/>
        </w:pBdr>
        <w:spacing w:before="120" w:after="0" w:line="240" w:lineRule="auto"/>
        <w:rPr>
          <w:rFonts w:cs="Arial"/>
          <w:b/>
          <w:szCs w:val="20"/>
        </w:rPr>
      </w:pPr>
      <w:r w:rsidRPr="00EC7825">
        <w:rPr>
          <w:rFonts w:cs="Arial"/>
          <w:b/>
          <w:szCs w:val="20"/>
        </w:rPr>
        <w:t>THIRD PARTY AUTHORISATION STATEMENTS section</w:t>
      </w:r>
      <w:r w:rsidR="009D06A3">
        <w:rPr>
          <w:rFonts w:cs="Arial"/>
          <w:b/>
          <w:szCs w:val="20"/>
        </w:rPr>
        <w:t>s</w:t>
      </w:r>
      <w:r w:rsidRPr="00EC7825">
        <w:rPr>
          <w:rFonts w:cs="Arial"/>
          <w:b/>
          <w:szCs w:val="20"/>
        </w:rPr>
        <w:t xml:space="preserve"> </w:t>
      </w:r>
      <w:r w:rsidR="00E774AC">
        <w:rPr>
          <w:rFonts w:cs="Arial"/>
          <w:b/>
          <w:szCs w:val="20"/>
        </w:rPr>
        <w:t>42</w:t>
      </w:r>
      <w:r w:rsidRPr="00EC7825">
        <w:rPr>
          <w:rFonts w:cs="Arial"/>
          <w:b/>
          <w:szCs w:val="20"/>
        </w:rPr>
        <w:t xml:space="preserve">, </w:t>
      </w:r>
      <w:r w:rsidR="00E774AC">
        <w:rPr>
          <w:rFonts w:cs="Arial"/>
          <w:b/>
          <w:szCs w:val="20"/>
        </w:rPr>
        <w:t>43</w:t>
      </w:r>
    </w:p>
    <w:p w14:paraId="7F931C8F" w14:textId="6B4D2AD8" w:rsidR="00EA1AAE" w:rsidRPr="009A5F4D" w:rsidRDefault="00EA1AAE">
      <w:pPr>
        <w:spacing w:before="120" w:after="0" w:line="240" w:lineRule="auto"/>
        <w:rPr>
          <w:rFonts w:cs="Arial"/>
          <w:b/>
          <w:i/>
          <w:szCs w:val="20"/>
        </w:rPr>
      </w:pPr>
      <w:r w:rsidRPr="009A5F4D">
        <w:rPr>
          <w:rFonts w:cs="Arial"/>
          <w:b/>
          <w:i/>
          <w:szCs w:val="20"/>
        </w:rPr>
        <w:t>Statements in relation to when a licensee cannot authorise a third party, or restrictions or limitations on when a licensee can authorise a third party</w:t>
      </w:r>
      <w:r>
        <w:rPr>
          <w:rFonts w:cs="Arial"/>
          <w:b/>
          <w:i/>
          <w:szCs w:val="20"/>
        </w:rPr>
        <w:t>,</w:t>
      </w:r>
      <w:r w:rsidRPr="009A5F4D">
        <w:rPr>
          <w:rFonts w:cs="Arial"/>
          <w:b/>
          <w:i/>
          <w:szCs w:val="20"/>
        </w:rPr>
        <w:t xml:space="preserve"> would be placed in this section. </w:t>
      </w:r>
    </w:p>
    <w:p w14:paraId="49BBA65D" w14:textId="77777777" w:rsidR="00EA1AAE" w:rsidRPr="009A5F4D" w:rsidRDefault="00EA1AAE" w:rsidP="00805859">
      <w:pPr>
        <w:spacing w:before="120"/>
        <w:rPr>
          <w:rFonts w:cs="Arial"/>
          <w:szCs w:val="20"/>
          <w:u w:val="single"/>
        </w:rPr>
      </w:pPr>
      <w:r w:rsidRPr="009A5F4D">
        <w:rPr>
          <w:rFonts w:cs="Arial"/>
          <w:szCs w:val="20"/>
          <w:u w:val="single"/>
        </w:rPr>
        <w:t>Example text:</w:t>
      </w:r>
    </w:p>
    <w:p w14:paraId="3EEA26E9" w14:textId="77777777" w:rsidR="00EA1AAE" w:rsidRPr="009A5F4D" w:rsidRDefault="00EA1AAE" w:rsidP="00805859">
      <w:pPr>
        <w:spacing w:before="120"/>
        <w:rPr>
          <w:rFonts w:cs="Arial"/>
          <w:szCs w:val="20"/>
          <w:lang w:val="en"/>
        </w:rPr>
      </w:pPr>
      <w:r w:rsidRPr="009A5F4D">
        <w:rPr>
          <w:rFonts w:cs="Arial"/>
          <w:szCs w:val="20"/>
          <w:u w:val="single"/>
        </w:rPr>
        <w:t>TP1:</w:t>
      </w:r>
      <w:r w:rsidRPr="009A5F4D">
        <w:rPr>
          <w:rFonts w:cs="Arial"/>
          <w:szCs w:val="20"/>
        </w:rPr>
        <w:t xml:space="preserve"> The licensee can</w:t>
      </w:r>
      <w:r w:rsidRPr="009A5F4D">
        <w:rPr>
          <w:rFonts w:cs="Arial"/>
          <w:szCs w:val="20"/>
          <w:lang w:val="en"/>
        </w:rPr>
        <w:t>not authorise a person to operate radiocommunications devices under this licence if both the following circumstances exist:</w:t>
      </w:r>
    </w:p>
    <w:p w14:paraId="37E38C6A" w14:textId="77777777" w:rsidR="00EA1AAE" w:rsidRPr="009A5F4D" w:rsidRDefault="00EA1AAE" w:rsidP="00EC7825">
      <w:pPr>
        <w:pStyle w:val="ListParagraph"/>
        <w:numPr>
          <w:ilvl w:val="0"/>
          <w:numId w:val="43"/>
        </w:numPr>
        <w:spacing w:before="120" w:after="160" w:line="259" w:lineRule="auto"/>
        <w:rPr>
          <w:rFonts w:ascii="Arial" w:eastAsia="Times New Roman" w:hAnsi="Arial" w:cs="Arial"/>
          <w:sz w:val="20"/>
          <w:szCs w:val="20"/>
          <w:lang w:eastAsia="en-AU"/>
        </w:rPr>
      </w:pPr>
      <w:r w:rsidRPr="009A5F4D">
        <w:rPr>
          <w:rFonts w:ascii="Arial" w:hAnsi="Arial" w:cs="Arial"/>
          <w:sz w:val="20"/>
          <w:szCs w:val="20"/>
          <w:lang w:val="en"/>
        </w:rPr>
        <w:t>the person was the licensee of a licence of the same type</w:t>
      </w:r>
      <w:r>
        <w:rPr>
          <w:rFonts w:ascii="Arial" w:hAnsi="Arial" w:cs="Arial"/>
          <w:sz w:val="20"/>
          <w:szCs w:val="20"/>
          <w:lang w:val="en"/>
        </w:rPr>
        <w:t>,</w:t>
      </w:r>
      <w:r w:rsidRPr="009A5F4D">
        <w:rPr>
          <w:rFonts w:ascii="Arial" w:hAnsi="Arial" w:cs="Arial"/>
          <w:sz w:val="20"/>
          <w:szCs w:val="20"/>
          <w:lang w:val="en"/>
        </w:rPr>
        <w:t xml:space="preserve"> or a licence for the same type of radiocommunications device, that was suspended or cancelled,</w:t>
      </w:r>
    </w:p>
    <w:p w14:paraId="2F8E9B32" w14:textId="77777777" w:rsidR="00EA1AAE" w:rsidRPr="009A5F4D" w:rsidRDefault="00EA1AAE" w:rsidP="00EC7825">
      <w:pPr>
        <w:pStyle w:val="ListParagraph"/>
        <w:numPr>
          <w:ilvl w:val="0"/>
          <w:numId w:val="43"/>
        </w:numPr>
        <w:spacing w:before="120" w:after="160" w:line="259" w:lineRule="auto"/>
        <w:rPr>
          <w:rFonts w:ascii="Arial" w:eastAsia="Times New Roman" w:hAnsi="Arial" w:cs="Arial"/>
          <w:sz w:val="20"/>
          <w:szCs w:val="20"/>
          <w:lang w:eastAsia="en-AU"/>
        </w:rPr>
      </w:pPr>
      <w:r w:rsidRPr="009A5F4D">
        <w:rPr>
          <w:rFonts w:ascii="Arial" w:hAnsi="Arial" w:cs="Arial"/>
          <w:sz w:val="20"/>
          <w:szCs w:val="20"/>
          <w:lang w:val="en"/>
        </w:rPr>
        <w:t>the authorisation occurs not later than two years aft</w:t>
      </w:r>
      <w:r>
        <w:rPr>
          <w:rFonts w:ascii="Arial" w:hAnsi="Arial" w:cs="Arial"/>
          <w:sz w:val="20"/>
          <w:szCs w:val="20"/>
          <w:lang w:val="en"/>
        </w:rPr>
        <w:t>er that licence was suspended or</w:t>
      </w:r>
      <w:r w:rsidRPr="009A5F4D">
        <w:rPr>
          <w:rFonts w:ascii="Arial" w:hAnsi="Arial" w:cs="Arial"/>
          <w:sz w:val="20"/>
          <w:szCs w:val="20"/>
          <w:lang w:val="en"/>
        </w:rPr>
        <w:t xml:space="preserve"> cancelled.</w:t>
      </w:r>
    </w:p>
    <w:p w14:paraId="0CE49B18" w14:textId="3F7CA734" w:rsidR="00EA1AAE" w:rsidRPr="00EC7825" w:rsidRDefault="00EA1AAE" w:rsidP="00805859">
      <w:pPr>
        <w:pBdr>
          <w:top w:val="single" w:sz="2" w:space="1" w:color="auto"/>
        </w:pBdr>
        <w:spacing w:before="240" w:after="0" w:line="240" w:lineRule="auto"/>
        <w:rPr>
          <w:rFonts w:cs="Arial"/>
          <w:b/>
          <w:szCs w:val="20"/>
        </w:rPr>
      </w:pPr>
      <w:r w:rsidRPr="00EC7825">
        <w:rPr>
          <w:rFonts w:cs="Arial"/>
          <w:b/>
          <w:szCs w:val="20"/>
        </w:rPr>
        <w:t>SUBDIVISION STATEMENTS section</w:t>
      </w:r>
      <w:r w:rsidR="009D06A3">
        <w:rPr>
          <w:rFonts w:cs="Arial"/>
          <w:b/>
          <w:szCs w:val="20"/>
        </w:rPr>
        <w:t>s</w:t>
      </w:r>
      <w:r w:rsidRPr="00EC7825">
        <w:rPr>
          <w:rFonts w:cs="Arial"/>
          <w:b/>
          <w:szCs w:val="20"/>
        </w:rPr>
        <w:t xml:space="preserve"> </w:t>
      </w:r>
      <w:r w:rsidR="00E774AC">
        <w:rPr>
          <w:rFonts w:cs="Arial"/>
          <w:b/>
          <w:szCs w:val="20"/>
        </w:rPr>
        <w:t>78</w:t>
      </w:r>
      <w:r w:rsidRPr="00EC7825">
        <w:rPr>
          <w:rFonts w:cs="Arial"/>
          <w:b/>
          <w:szCs w:val="20"/>
        </w:rPr>
        <w:t xml:space="preserve">, </w:t>
      </w:r>
      <w:r w:rsidR="00E774AC">
        <w:rPr>
          <w:rFonts w:cs="Arial"/>
          <w:b/>
          <w:szCs w:val="20"/>
        </w:rPr>
        <w:t>79</w:t>
      </w:r>
    </w:p>
    <w:p w14:paraId="391E9799" w14:textId="720F0DFE" w:rsidR="00EA1AAE" w:rsidRPr="009A5F4D" w:rsidRDefault="00EA1AAE">
      <w:pPr>
        <w:spacing w:before="120" w:after="0" w:line="240" w:lineRule="auto"/>
        <w:rPr>
          <w:rFonts w:cs="Arial"/>
          <w:b/>
          <w:i/>
          <w:szCs w:val="20"/>
        </w:rPr>
      </w:pPr>
      <w:r w:rsidRPr="009A5F4D">
        <w:rPr>
          <w:rFonts w:cs="Arial"/>
          <w:b/>
          <w:i/>
          <w:szCs w:val="20"/>
        </w:rPr>
        <w:t>Statements in relation to when a licensee cannot subdivide a licence, or restrictions or limitations on when a licensee can subdivide a licence would be placed in this section.</w:t>
      </w:r>
    </w:p>
    <w:p w14:paraId="65AAA50B" w14:textId="77777777" w:rsidR="00EA1AAE" w:rsidRPr="009A5F4D" w:rsidRDefault="00EA1AAE" w:rsidP="00805859">
      <w:pPr>
        <w:spacing w:before="120"/>
        <w:rPr>
          <w:rFonts w:cs="Arial"/>
          <w:szCs w:val="20"/>
          <w:u w:val="single"/>
        </w:rPr>
      </w:pPr>
      <w:r w:rsidRPr="009A5F4D">
        <w:rPr>
          <w:rFonts w:cs="Arial"/>
          <w:szCs w:val="20"/>
          <w:u w:val="single"/>
        </w:rPr>
        <w:t>Example text:</w:t>
      </w:r>
    </w:p>
    <w:p w14:paraId="5E8A7661" w14:textId="77777777" w:rsidR="00EA1AAE" w:rsidRPr="009A5F4D" w:rsidRDefault="00EA1AAE" w:rsidP="00805859">
      <w:pPr>
        <w:spacing w:before="120"/>
        <w:rPr>
          <w:rFonts w:cs="Arial"/>
          <w:szCs w:val="20"/>
        </w:rPr>
      </w:pPr>
      <w:r w:rsidRPr="009A5F4D">
        <w:rPr>
          <w:rFonts w:cs="Arial"/>
          <w:szCs w:val="20"/>
          <w:u w:val="single"/>
        </w:rPr>
        <w:t>SS1:</w:t>
      </w:r>
      <w:r w:rsidRPr="009A5F4D">
        <w:rPr>
          <w:rFonts w:cs="Arial"/>
          <w:szCs w:val="20"/>
        </w:rPr>
        <w:t xml:space="preserve"> This licence cannot be subdivided.</w:t>
      </w:r>
    </w:p>
    <w:p w14:paraId="00EC49D9" w14:textId="5B15D894" w:rsidR="00EA1AAE" w:rsidRPr="00EC7825" w:rsidRDefault="00EA1AAE" w:rsidP="00805859">
      <w:pPr>
        <w:pBdr>
          <w:top w:val="single" w:sz="4" w:space="1" w:color="auto"/>
        </w:pBdr>
        <w:spacing w:before="240" w:after="0" w:line="240" w:lineRule="auto"/>
        <w:rPr>
          <w:rFonts w:cs="Arial"/>
          <w:b/>
          <w:szCs w:val="20"/>
        </w:rPr>
      </w:pPr>
      <w:r w:rsidRPr="00EC7825">
        <w:rPr>
          <w:rFonts w:cs="Arial"/>
          <w:b/>
          <w:szCs w:val="20"/>
        </w:rPr>
        <w:t>ASSIGNMENT STATEMENTS section</w:t>
      </w:r>
      <w:r w:rsidR="009D06A3">
        <w:rPr>
          <w:rFonts w:cs="Arial"/>
          <w:b/>
          <w:szCs w:val="20"/>
        </w:rPr>
        <w:t>s</w:t>
      </w:r>
      <w:r w:rsidRPr="00EC7825">
        <w:rPr>
          <w:rFonts w:cs="Arial"/>
          <w:b/>
          <w:szCs w:val="20"/>
        </w:rPr>
        <w:t xml:space="preserve"> </w:t>
      </w:r>
      <w:r w:rsidR="00E774AC">
        <w:rPr>
          <w:rFonts w:cs="Arial"/>
          <w:b/>
          <w:szCs w:val="20"/>
        </w:rPr>
        <w:t>81</w:t>
      </w:r>
      <w:r w:rsidRPr="00EC7825">
        <w:rPr>
          <w:rFonts w:cs="Arial"/>
          <w:b/>
          <w:szCs w:val="20"/>
        </w:rPr>
        <w:t xml:space="preserve">, </w:t>
      </w:r>
      <w:r w:rsidR="00E774AC">
        <w:rPr>
          <w:rFonts w:cs="Arial"/>
          <w:b/>
          <w:szCs w:val="20"/>
        </w:rPr>
        <w:t>82</w:t>
      </w:r>
    </w:p>
    <w:p w14:paraId="03D9BECF" w14:textId="1B2C9CE9" w:rsidR="00EA1AAE" w:rsidRPr="009A5F4D" w:rsidRDefault="00EA1AAE" w:rsidP="00805859">
      <w:pPr>
        <w:spacing w:before="120" w:after="0" w:line="240" w:lineRule="auto"/>
        <w:rPr>
          <w:rFonts w:cs="Arial"/>
          <w:b/>
          <w:i/>
          <w:szCs w:val="20"/>
        </w:rPr>
      </w:pPr>
      <w:r w:rsidRPr="009A5F4D">
        <w:rPr>
          <w:rFonts w:cs="Arial"/>
          <w:b/>
          <w:i/>
          <w:szCs w:val="20"/>
        </w:rPr>
        <w:t>Statements in relation to when a licensee cannot assign a licence, or restrictions or limitations on when a licensee can assign a licence would be placed in this section.</w:t>
      </w:r>
    </w:p>
    <w:p w14:paraId="5379CEC9" w14:textId="77777777" w:rsidR="00EA1AAE" w:rsidRPr="009A5F4D" w:rsidRDefault="00EA1AAE" w:rsidP="00805859">
      <w:pPr>
        <w:spacing w:before="120"/>
        <w:rPr>
          <w:rFonts w:cs="Arial"/>
          <w:szCs w:val="20"/>
          <w:u w:val="single"/>
        </w:rPr>
      </w:pPr>
      <w:r w:rsidRPr="009A5F4D">
        <w:rPr>
          <w:rFonts w:cs="Arial"/>
          <w:szCs w:val="20"/>
          <w:u w:val="single"/>
        </w:rPr>
        <w:t>Example text:</w:t>
      </w:r>
    </w:p>
    <w:p w14:paraId="02FED437" w14:textId="77777777" w:rsidR="00EA1AAE" w:rsidRPr="009A5F4D" w:rsidRDefault="00EA1AAE" w:rsidP="00805859">
      <w:pPr>
        <w:spacing w:before="120"/>
        <w:rPr>
          <w:rFonts w:cs="Arial"/>
          <w:szCs w:val="20"/>
        </w:rPr>
      </w:pPr>
      <w:r w:rsidRPr="009A5F4D">
        <w:rPr>
          <w:rFonts w:cs="Arial"/>
          <w:szCs w:val="20"/>
          <w:u w:val="single"/>
        </w:rPr>
        <w:t>AS1:</w:t>
      </w:r>
      <w:r w:rsidRPr="009A5F4D">
        <w:rPr>
          <w:rFonts w:cs="Arial"/>
          <w:szCs w:val="20"/>
        </w:rPr>
        <w:t xml:space="preserve"> </w:t>
      </w:r>
      <w:r>
        <w:rPr>
          <w:rFonts w:cs="Arial"/>
          <w:szCs w:val="20"/>
        </w:rPr>
        <w:t>This licence</w:t>
      </w:r>
      <w:r w:rsidRPr="009A5F4D">
        <w:rPr>
          <w:rFonts w:cs="Arial"/>
          <w:szCs w:val="20"/>
        </w:rPr>
        <w:t xml:space="preserve"> cannot be assigned</w:t>
      </w:r>
      <w:r>
        <w:rPr>
          <w:rFonts w:cs="Arial"/>
          <w:szCs w:val="20"/>
        </w:rPr>
        <w:t xml:space="preserve"> to a person (the </w:t>
      </w:r>
      <w:r w:rsidRPr="00F00FC0">
        <w:rPr>
          <w:rFonts w:cs="Arial"/>
          <w:b/>
          <w:i/>
          <w:szCs w:val="20"/>
        </w:rPr>
        <w:t>intended assignee</w:t>
      </w:r>
      <w:r>
        <w:rPr>
          <w:rFonts w:cs="Arial"/>
          <w:szCs w:val="20"/>
        </w:rPr>
        <w:t>)</w:t>
      </w:r>
      <w:r w:rsidRPr="009A5F4D">
        <w:rPr>
          <w:rFonts w:cs="Arial"/>
          <w:szCs w:val="20"/>
        </w:rPr>
        <w:t xml:space="preserve"> if both the following circumstances exist:</w:t>
      </w:r>
    </w:p>
    <w:p w14:paraId="051FF862" w14:textId="77777777" w:rsidR="00EA1AAE" w:rsidRPr="009A5F4D" w:rsidRDefault="00EA1AAE" w:rsidP="00EC7825">
      <w:pPr>
        <w:pStyle w:val="ListParagraph"/>
        <w:numPr>
          <w:ilvl w:val="0"/>
          <w:numId w:val="44"/>
        </w:numPr>
        <w:spacing w:before="120" w:after="160" w:line="259" w:lineRule="auto"/>
        <w:contextualSpacing w:val="0"/>
        <w:rPr>
          <w:rFonts w:ascii="Arial" w:hAnsi="Arial" w:cs="Arial"/>
          <w:sz w:val="20"/>
          <w:szCs w:val="20"/>
        </w:rPr>
      </w:pPr>
      <w:r w:rsidRPr="009A5F4D">
        <w:rPr>
          <w:rFonts w:ascii="Arial" w:hAnsi="Arial" w:cs="Arial"/>
          <w:sz w:val="20"/>
          <w:szCs w:val="20"/>
        </w:rPr>
        <w:t xml:space="preserve">the licensee is exempt from the payment of licence tax, </w:t>
      </w:r>
    </w:p>
    <w:p w14:paraId="36887623" w14:textId="77777777" w:rsidR="00EA1AAE" w:rsidRPr="009A5F4D" w:rsidRDefault="00EA1AAE" w:rsidP="00EC7825">
      <w:pPr>
        <w:pStyle w:val="ListParagraph"/>
        <w:numPr>
          <w:ilvl w:val="0"/>
          <w:numId w:val="44"/>
        </w:numPr>
        <w:spacing w:before="120" w:after="160" w:line="259" w:lineRule="auto"/>
        <w:contextualSpacing w:val="0"/>
        <w:rPr>
          <w:rFonts w:ascii="Arial" w:hAnsi="Arial" w:cs="Arial"/>
          <w:sz w:val="20"/>
          <w:szCs w:val="20"/>
        </w:rPr>
      </w:pPr>
      <w:r w:rsidRPr="009A5F4D">
        <w:rPr>
          <w:rFonts w:ascii="Arial" w:hAnsi="Arial" w:cs="Arial"/>
          <w:sz w:val="20"/>
          <w:szCs w:val="20"/>
        </w:rPr>
        <w:t xml:space="preserve">the intended assignee of </w:t>
      </w:r>
      <w:r>
        <w:rPr>
          <w:rFonts w:ascii="Arial" w:hAnsi="Arial" w:cs="Arial"/>
          <w:sz w:val="20"/>
          <w:szCs w:val="20"/>
        </w:rPr>
        <w:t>this licence</w:t>
      </w:r>
      <w:r w:rsidRPr="009A5F4D">
        <w:rPr>
          <w:rFonts w:ascii="Arial" w:hAnsi="Arial" w:cs="Arial"/>
          <w:sz w:val="20"/>
          <w:szCs w:val="20"/>
        </w:rPr>
        <w:t xml:space="preserve"> is not also exempt from the payment of licence tax.</w:t>
      </w:r>
    </w:p>
    <w:p w14:paraId="2C28DF78" w14:textId="77777777" w:rsidR="00EA1AAE" w:rsidRPr="009A5F4D" w:rsidRDefault="00EA1AAE" w:rsidP="00805859">
      <w:pPr>
        <w:spacing w:before="120"/>
        <w:rPr>
          <w:rFonts w:cs="Arial"/>
          <w:szCs w:val="20"/>
        </w:rPr>
      </w:pPr>
      <w:r w:rsidRPr="009A5F4D">
        <w:rPr>
          <w:rFonts w:cs="Arial"/>
          <w:szCs w:val="20"/>
          <w:u w:val="single"/>
        </w:rPr>
        <w:t>AS2:</w:t>
      </w:r>
      <w:r w:rsidRPr="009A5F4D">
        <w:rPr>
          <w:rFonts w:cs="Arial"/>
          <w:szCs w:val="20"/>
        </w:rPr>
        <w:t xml:space="preserve"> </w:t>
      </w:r>
      <w:r>
        <w:rPr>
          <w:rFonts w:cs="Arial"/>
          <w:szCs w:val="20"/>
        </w:rPr>
        <w:t>This licence</w:t>
      </w:r>
      <w:r w:rsidRPr="009A5F4D">
        <w:rPr>
          <w:rFonts w:cs="Arial"/>
          <w:szCs w:val="20"/>
        </w:rPr>
        <w:t xml:space="preserve"> cannot be assigned</w:t>
      </w:r>
      <w:r>
        <w:rPr>
          <w:rFonts w:cs="Arial"/>
          <w:szCs w:val="20"/>
        </w:rPr>
        <w:t xml:space="preserve"> to a person (the </w:t>
      </w:r>
      <w:r w:rsidRPr="00CC23EA">
        <w:rPr>
          <w:rFonts w:cs="Arial"/>
          <w:b/>
          <w:i/>
          <w:szCs w:val="20"/>
        </w:rPr>
        <w:t>intended assignee</w:t>
      </w:r>
      <w:r>
        <w:rPr>
          <w:rFonts w:cs="Arial"/>
          <w:szCs w:val="20"/>
        </w:rPr>
        <w:t>)</w:t>
      </w:r>
      <w:r w:rsidRPr="009A5F4D">
        <w:rPr>
          <w:rFonts w:cs="Arial"/>
          <w:szCs w:val="20"/>
        </w:rPr>
        <w:t xml:space="preserve"> if both the following circumstances exist:</w:t>
      </w:r>
    </w:p>
    <w:p w14:paraId="3711C314" w14:textId="77777777" w:rsidR="00EA1AAE" w:rsidRPr="009A5F4D" w:rsidRDefault="00EA1AAE" w:rsidP="00EC7825">
      <w:pPr>
        <w:pStyle w:val="ListParagraph"/>
        <w:numPr>
          <w:ilvl w:val="0"/>
          <w:numId w:val="45"/>
        </w:numPr>
        <w:spacing w:before="120" w:after="160" w:line="259" w:lineRule="auto"/>
        <w:contextualSpacing w:val="0"/>
        <w:rPr>
          <w:rFonts w:ascii="Arial" w:hAnsi="Arial" w:cs="Arial"/>
          <w:sz w:val="20"/>
          <w:szCs w:val="20"/>
        </w:rPr>
      </w:pPr>
      <w:r w:rsidRPr="009A5F4D">
        <w:rPr>
          <w:rFonts w:ascii="Arial" w:hAnsi="Arial" w:cs="Arial"/>
          <w:sz w:val="20"/>
          <w:szCs w:val="20"/>
        </w:rPr>
        <w:t>the licensee</w:t>
      </w:r>
      <w:r>
        <w:rPr>
          <w:rFonts w:ascii="Arial" w:hAnsi="Arial" w:cs="Arial"/>
          <w:sz w:val="20"/>
          <w:szCs w:val="20"/>
        </w:rPr>
        <w:t xml:space="preserve"> </w:t>
      </w:r>
      <w:r w:rsidRPr="009A5F4D">
        <w:rPr>
          <w:rFonts w:ascii="Arial" w:hAnsi="Arial" w:cs="Arial"/>
          <w:sz w:val="20"/>
          <w:szCs w:val="20"/>
        </w:rPr>
        <w:t xml:space="preserve">is eligible for a licence </w:t>
      </w:r>
      <w:r>
        <w:rPr>
          <w:rFonts w:ascii="Arial" w:hAnsi="Arial" w:cs="Arial"/>
          <w:sz w:val="20"/>
          <w:szCs w:val="20"/>
        </w:rPr>
        <w:t>tax</w:t>
      </w:r>
      <w:r w:rsidRPr="009A5F4D">
        <w:rPr>
          <w:rFonts w:ascii="Arial" w:hAnsi="Arial" w:cs="Arial"/>
          <w:sz w:val="20"/>
          <w:szCs w:val="20"/>
        </w:rPr>
        <w:t xml:space="preserve"> concession, and</w:t>
      </w:r>
    </w:p>
    <w:p w14:paraId="3F75B0DB" w14:textId="77777777" w:rsidR="00EA1AAE" w:rsidRPr="009A5F4D" w:rsidRDefault="00EA1AAE" w:rsidP="00EC7825">
      <w:pPr>
        <w:pStyle w:val="ListParagraph"/>
        <w:numPr>
          <w:ilvl w:val="0"/>
          <w:numId w:val="45"/>
        </w:numPr>
        <w:spacing w:before="120" w:after="160" w:line="259" w:lineRule="auto"/>
        <w:contextualSpacing w:val="0"/>
        <w:rPr>
          <w:rFonts w:ascii="Arial" w:hAnsi="Arial" w:cs="Arial"/>
          <w:sz w:val="20"/>
          <w:szCs w:val="20"/>
        </w:rPr>
      </w:pPr>
      <w:r w:rsidRPr="009A5F4D">
        <w:rPr>
          <w:rFonts w:ascii="Arial" w:hAnsi="Arial" w:cs="Arial"/>
          <w:sz w:val="20"/>
          <w:szCs w:val="20"/>
        </w:rPr>
        <w:t>the intended assignee is not either:</w:t>
      </w:r>
    </w:p>
    <w:p w14:paraId="210E8C30" w14:textId="77777777" w:rsidR="00EA1AAE" w:rsidRDefault="00EA1AAE" w:rsidP="00EC7825">
      <w:pPr>
        <w:pStyle w:val="ListParagraph"/>
        <w:numPr>
          <w:ilvl w:val="0"/>
          <w:numId w:val="46"/>
        </w:numPr>
        <w:spacing w:before="120" w:after="0"/>
        <w:contextualSpacing w:val="0"/>
        <w:rPr>
          <w:rFonts w:ascii="Arial" w:hAnsi="Arial" w:cs="Arial"/>
          <w:sz w:val="20"/>
          <w:szCs w:val="20"/>
        </w:rPr>
      </w:pPr>
      <w:r w:rsidRPr="00582344">
        <w:rPr>
          <w:rFonts w:ascii="Arial" w:hAnsi="Arial" w:cs="Arial"/>
          <w:sz w:val="20"/>
          <w:szCs w:val="20"/>
        </w:rPr>
        <w:t xml:space="preserve">also eligible for a licence tax </w:t>
      </w:r>
      <w:r w:rsidRPr="00F53FD9">
        <w:rPr>
          <w:rFonts w:ascii="Arial" w:hAnsi="Arial" w:cs="Arial"/>
          <w:sz w:val="20"/>
          <w:szCs w:val="20"/>
        </w:rPr>
        <w:t>concession; or</w:t>
      </w:r>
    </w:p>
    <w:p w14:paraId="4624E3FB" w14:textId="77777777" w:rsidR="00EA1AAE" w:rsidRPr="00582344" w:rsidRDefault="00EA1AAE" w:rsidP="00EC7825">
      <w:pPr>
        <w:pStyle w:val="ListParagraph"/>
        <w:numPr>
          <w:ilvl w:val="0"/>
          <w:numId w:val="46"/>
        </w:numPr>
        <w:spacing w:before="120" w:after="0"/>
        <w:contextualSpacing w:val="0"/>
        <w:rPr>
          <w:rFonts w:ascii="Arial" w:hAnsi="Arial" w:cs="Arial"/>
          <w:sz w:val="20"/>
          <w:szCs w:val="20"/>
        </w:rPr>
      </w:pPr>
      <w:r w:rsidRPr="00582344">
        <w:rPr>
          <w:rFonts w:ascii="Arial" w:hAnsi="Arial" w:cs="Arial"/>
          <w:sz w:val="20"/>
          <w:szCs w:val="20"/>
        </w:rPr>
        <w:t>exempt from the payment of licence tax.</w:t>
      </w:r>
    </w:p>
    <w:p w14:paraId="47851A33" w14:textId="77777777" w:rsidR="00737439" w:rsidRDefault="00737439" w:rsidP="00805859">
      <w:pPr>
        <w:pBdr>
          <w:top w:val="single" w:sz="2" w:space="1" w:color="auto"/>
        </w:pBdr>
        <w:spacing w:before="240" w:after="0" w:line="240" w:lineRule="auto"/>
        <w:rPr>
          <w:rFonts w:cs="Arial"/>
          <w:b/>
          <w:szCs w:val="20"/>
        </w:rPr>
        <w:sectPr w:rsidR="00737439" w:rsidSect="00B977E8">
          <w:pgSz w:w="11906" w:h="16838" w:code="9"/>
          <w:pgMar w:top="1945" w:right="3101" w:bottom="1134" w:left="1134" w:header="709" w:footer="119" w:gutter="0"/>
          <w:cols w:space="708"/>
          <w:docGrid w:linePitch="360"/>
        </w:sectPr>
      </w:pPr>
    </w:p>
    <w:p w14:paraId="104AE629" w14:textId="70227AA8" w:rsidR="00EA1AAE" w:rsidRPr="00EC7825" w:rsidRDefault="00EA1AAE" w:rsidP="00805859">
      <w:pPr>
        <w:pBdr>
          <w:top w:val="single" w:sz="2" w:space="1" w:color="auto"/>
        </w:pBdr>
        <w:spacing w:before="240" w:after="0" w:line="240" w:lineRule="auto"/>
        <w:rPr>
          <w:rFonts w:cs="Arial"/>
          <w:b/>
          <w:szCs w:val="20"/>
        </w:rPr>
      </w:pPr>
      <w:r w:rsidRPr="00EC7825">
        <w:rPr>
          <w:rFonts w:cs="Arial"/>
          <w:b/>
          <w:szCs w:val="20"/>
        </w:rPr>
        <w:lastRenderedPageBreak/>
        <w:t xml:space="preserve">SUSPENSION STATEMENTS section </w:t>
      </w:r>
      <w:r w:rsidR="00E774AC">
        <w:rPr>
          <w:rFonts w:cs="Arial"/>
          <w:b/>
          <w:szCs w:val="20"/>
        </w:rPr>
        <w:t>66</w:t>
      </w:r>
    </w:p>
    <w:p w14:paraId="246C5B6F" w14:textId="3AC7221A" w:rsidR="00EA1AAE" w:rsidRPr="009A5F4D" w:rsidRDefault="00EA1AAE" w:rsidP="00805859">
      <w:pPr>
        <w:spacing w:before="120" w:line="240" w:lineRule="auto"/>
        <w:rPr>
          <w:rFonts w:cs="Arial"/>
          <w:b/>
          <w:szCs w:val="20"/>
        </w:rPr>
      </w:pPr>
      <w:r w:rsidRPr="009A5F4D">
        <w:rPr>
          <w:rFonts w:cs="Arial"/>
          <w:b/>
          <w:i/>
          <w:szCs w:val="20"/>
        </w:rPr>
        <w:t xml:space="preserve">Statements in relation to the supplementary circumstances in which a licence may be suspended would be placed in this section. </w:t>
      </w:r>
    </w:p>
    <w:p w14:paraId="6BFC6F10" w14:textId="269DDFCB" w:rsidR="00EA1AAE" w:rsidRPr="00EC7825" w:rsidRDefault="00EA1AAE" w:rsidP="00805859">
      <w:pPr>
        <w:pBdr>
          <w:top w:val="single" w:sz="2" w:space="1" w:color="auto"/>
        </w:pBdr>
        <w:spacing w:before="120" w:after="0" w:line="240" w:lineRule="auto"/>
        <w:rPr>
          <w:rFonts w:cs="Arial"/>
          <w:b/>
          <w:szCs w:val="20"/>
        </w:rPr>
      </w:pPr>
      <w:r w:rsidRPr="00EC7825">
        <w:rPr>
          <w:rFonts w:cs="Arial"/>
          <w:b/>
          <w:szCs w:val="20"/>
        </w:rPr>
        <w:t xml:space="preserve">CANCELLATION STATEMENTS section </w:t>
      </w:r>
      <w:r w:rsidR="00E774AC">
        <w:rPr>
          <w:rFonts w:cs="Arial"/>
          <w:b/>
          <w:szCs w:val="20"/>
        </w:rPr>
        <w:t>69</w:t>
      </w:r>
    </w:p>
    <w:p w14:paraId="4E3DAC6D" w14:textId="71C4BC2D" w:rsidR="00EA1AAE" w:rsidRPr="009A5F4D" w:rsidRDefault="00EA1AAE" w:rsidP="00805859">
      <w:pPr>
        <w:spacing w:before="120" w:line="240" w:lineRule="auto"/>
        <w:rPr>
          <w:rFonts w:cs="Arial"/>
          <w:b/>
          <w:color w:val="F79646" w:themeColor="accent6"/>
          <w:szCs w:val="20"/>
        </w:rPr>
      </w:pPr>
      <w:r w:rsidRPr="009A5F4D">
        <w:rPr>
          <w:rFonts w:cs="Arial"/>
          <w:b/>
          <w:i/>
          <w:szCs w:val="20"/>
        </w:rPr>
        <w:t xml:space="preserve">Statements in relation to the supplementary circumstances in which a licence may be cancelled would be placed in this section. </w:t>
      </w:r>
    </w:p>
    <w:p w14:paraId="2F0CB5EE" w14:textId="119F2453" w:rsidR="00EA1AAE" w:rsidRPr="00EC7825" w:rsidRDefault="00EA1AAE" w:rsidP="00805859">
      <w:pPr>
        <w:pBdr>
          <w:top w:val="single" w:sz="2" w:space="1" w:color="auto"/>
        </w:pBdr>
        <w:spacing w:before="120" w:after="0" w:line="240" w:lineRule="auto"/>
        <w:rPr>
          <w:rFonts w:cs="Arial"/>
          <w:b/>
          <w:szCs w:val="20"/>
        </w:rPr>
      </w:pPr>
      <w:r w:rsidRPr="00EC7825">
        <w:rPr>
          <w:rFonts w:cs="Arial"/>
          <w:b/>
          <w:szCs w:val="20"/>
        </w:rPr>
        <w:t xml:space="preserve">VARIATION STATEMENTS section </w:t>
      </w:r>
      <w:r w:rsidR="00E774AC">
        <w:rPr>
          <w:rFonts w:cs="Arial"/>
          <w:b/>
          <w:szCs w:val="20"/>
        </w:rPr>
        <w:t>58</w:t>
      </w:r>
    </w:p>
    <w:p w14:paraId="15AC2742" w14:textId="341C281C" w:rsidR="00EA1AAE" w:rsidRPr="009A5F4D" w:rsidRDefault="00EA1AAE" w:rsidP="00805859">
      <w:pPr>
        <w:spacing w:before="120" w:after="0" w:line="240" w:lineRule="auto"/>
        <w:rPr>
          <w:rFonts w:cs="Arial"/>
          <w:b/>
          <w:i/>
          <w:szCs w:val="20"/>
        </w:rPr>
      </w:pPr>
      <w:r w:rsidRPr="009A5F4D">
        <w:rPr>
          <w:rFonts w:cs="Arial"/>
          <w:b/>
          <w:i/>
          <w:szCs w:val="20"/>
        </w:rPr>
        <w:t xml:space="preserve">Statements in relation to restrictions or limitations on the ACMA’s power to vary </w:t>
      </w:r>
      <w:r>
        <w:rPr>
          <w:rFonts w:cs="Arial"/>
          <w:b/>
          <w:i/>
          <w:szCs w:val="20"/>
        </w:rPr>
        <w:t>this licence</w:t>
      </w:r>
      <w:r w:rsidRPr="009A5F4D">
        <w:rPr>
          <w:rFonts w:cs="Arial"/>
          <w:b/>
          <w:i/>
          <w:szCs w:val="20"/>
        </w:rPr>
        <w:t xml:space="preserve"> (by including, revoking or varying any conditions or designated statements) would be placed in this section. </w:t>
      </w:r>
    </w:p>
    <w:p w14:paraId="086AC082" w14:textId="77777777" w:rsidR="00EA1AAE" w:rsidRPr="009A5F4D" w:rsidRDefault="00EA1AAE" w:rsidP="00805859">
      <w:pPr>
        <w:spacing w:before="120"/>
        <w:rPr>
          <w:rFonts w:cs="Arial"/>
          <w:szCs w:val="20"/>
          <w:u w:val="single"/>
        </w:rPr>
      </w:pPr>
      <w:r w:rsidRPr="009A5F4D">
        <w:rPr>
          <w:rFonts w:cs="Arial"/>
          <w:szCs w:val="20"/>
          <w:u w:val="single"/>
        </w:rPr>
        <w:t>Example text:</w:t>
      </w:r>
    </w:p>
    <w:p w14:paraId="0267F12E" w14:textId="77777777" w:rsidR="00EA1AAE" w:rsidRPr="009A5F4D" w:rsidRDefault="00EA1AAE" w:rsidP="00805859">
      <w:pPr>
        <w:spacing w:before="120"/>
        <w:rPr>
          <w:rFonts w:cs="Arial"/>
          <w:szCs w:val="20"/>
        </w:rPr>
      </w:pPr>
      <w:r w:rsidRPr="009A5F4D">
        <w:rPr>
          <w:rFonts w:cs="Arial"/>
          <w:szCs w:val="20"/>
          <w:u w:val="single"/>
        </w:rPr>
        <w:t>VS1:</w:t>
      </w:r>
      <w:r w:rsidRPr="009A5F4D">
        <w:rPr>
          <w:rFonts w:cs="Arial"/>
          <w:szCs w:val="20"/>
        </w:rPr>
        <w:t xml:space="preserve"> The ACMA must not vary the following conditions of </w:t>
      </w:r>
      <w:r>
        <w:rPr>
          <w:rFonts w:cs="Arial"/>
          <w:szCs w:val="20"/>
        </w:rPr>
        <w:t>this licence without the prior consent of the licensee</w:t>
      </w:r>
      <w:r w:rsidRPr="009A5F4D">
        <w:rPr>
          <w:rFonts w:cs="Arial"/>
          <w:szCs w:val="20"/>
        </w:rPr>
        <w:t xml:space="preserve"> [</w:t>
      </w:r>
      <w:r w:rsidRPr="009A5F4D">
        <w:rPr>
          <w:rFonts w:cs="Arial"/>
          <w:i/>
          <w:szCs w:val="20"/>
        </w:rPr>
        <w:t xml:space="preserve">insert conditions that </w:t>
      </w:r>
      <w:r>
        <w:rPr>
          <w:rFonts w:cs="Arial"/>
          <w:i/>
          <w:szCs w:val="20"/>
        </w:rPr>
        <w:t xml:space="preserve">may </w:t>
      </w:r>
      <w:r w:rsidRPr="009A5F4D">
        <w:rPr>
          <w:rFonts w:cs="Arial"/>
          <w:i/>
          <w:szCs w:val="20"/>
        </w:rPr>
        <w:t>not be varied without licensee agreement</w:t>
      </w:r>
      <w:r w:rsidRPr="009A5F4D">
        <w:rPr>
          <w:rFonts w:cs="Arial"/>
          <w:szCs w:val="20"/>
        </w:rPr>
        <w:t>].</w:t>
      </w:r>
    </w:p>
    <w:p w14:paraId="689C1CCB" w14:textId="77777777" w:rsidR="00EA1AAE" w:rsidRPr="009A5F4D" w:rsidRDefault="00EA1AAE" w:rsidP="00805859">
      <w:pPr>
        <w:spacing w:before="120"/>
        <w:rPr>
          <w:rFonts w:cs="Arial"/>
          <w:szCs w:val="20"/>
        </w:rPr>
      </w:pPr>
      <w:r w:rsidRPr="009A5F4D">
        <w:rPr>
          <w:rFonts w:cs="Arial"/>
          <w:szCs w:val="20"/>
          <w:u w:val="single"/>
        </w:rPr>
        <w:t>VS2:</w:t>
      </w:r>
      <w:r w:rsidRPr="009A5F4D">
        <w:rPr>
          <w:rFonts w:cs="Arial"/>
          <w:szCs w:val="20"/>
        </w:rPr>
        <w:t xml:space="preserve"> The ACMA must not vary the following designated statements of </w:t>
      </w:r>
      <w:r>
        <w:rPr>
          <w:rFonts w:cs="Arial"/>
          <w:szCs w:val="20"/>
        </w:rPr>
        <w:t>this licence without the prior consent of the licensee</w:t>
      </w:r>
      <w:r w:rsidRPr="009A5F4D">
        <w:rPr>
          <w:rFonts w:cs="Arial"/>
          <w:szCs w:val="20"/>
        </w:rPr>
        <w:t xml:space="preserve"> [</w:t>
      </w:r>
      <w:r w:rsidRPr="009A5F4D">
        <w:rPr>
          <w:rFonts w:cs="Arial"/>
          <w:i/>
          <w:szCs w:val="20"/>
        </w:rPr>
        <w:t xml:space="preserve">insert conditions that </w:t>
      </w:r>
      <w:r>
        <w:rPr>
          <w:rFonts w:cs="Arial"/>
          <w:i/>
          <w:szCs w:val="20"/>
        </w:rPr>
        <w:t>may</w:t>
      </w:r>
      <w:r w:rsidRPr="009A5F4D">
        <w:rPr>
          <w:rFonts w:cs="Arial"/>
          <w:i/>
          <w:szCs w:val="20"/>
        </w:rPr>
        <w:t xml:space="preserve"> not be varied without licensee agreement</w:t>
      </w:r>
      <w:r w:rsidRPr="009A5F4D">
        <w:rPr>
          <w:rFonts w:cs="Arial"/>
          <w:szCs w:val="20"/>
        </w:rPr>
        <w:t>].</w:t>
      </w:r>
    </w:p>
    <w:p w14:paraId="48098299" w14:textId="214132C3" w:rsidR="00EA1AAE" w:rsidRPr="00EC7825" w:rsidRDefault="00EA1AAE" w:rsidP="00805859">
      <w:pPr>
        <w:pBdr>
          <w:top w:val="single" w:sz="4" w:space="1" w:color="auto"/>
        </w:pBdr>
        <w:spacing w:before="120" w:after="0" w:line="240" w:lineRule="auto"/>
        <w:rPr>
          <w:rFonts w:cs="Arial"/>
          <w:b/>
          <w:szCs w:val="20"/>
        </w:rPr>
      </w:pPr>
      <w:r w:rsidRPr="00EC7825">
        <w:rPr>
          <w:rFonts w:cs="Arial"/>
          <w:b/>
          <w:szCs w:val="20"/>
        </w:rPr>
        <w:t xml:space="preserve">REGULATORY UNDERTAKINGS section </w:t>
      </w:r>
      <w:r w:rsidR="00E774AC">
        <w:rPr>
          <w:rFonts w:cs="Arial"/>
          <w:b/>
          <w:szCs w:val="20"/>
        </w:rPr>
        <w:t>53</w:t>
      </w:r>
    </w:p>
    <w:p w14:paraId="2FE3F2D0" w14:textId="77777777" w:rsidR="00EA1AAE" w:rsidRPr="002A1B5B" w:rsidRDefault="00EA1AAE" w:rsidP="00805859">
      <w:pPr>
        <w:spacing w:before="120" w:after="0" w:line="240" w:lineRule="auto"/>
        <w:rPr>
          <w:rFonts w:cs="Arial"/>
          <w:b/>
          <w:color w:val="F79646" w:themeColor="accent6"/>
          <w:szCs w:val="20"/>
        </w:rPr>
      </w:pPr>
      <w:r>
        <w:rPr>
          <w:rFonts w:cs="Arial"/>
          <w:b/>
          <w:i/>
          <w:szCs w:val="20"/>
        </w:rPr>
        <w:t xml:space="preserve">Undertakings that </w:t>
      </w:r>
      <w:r w:rsidRPr="002060AB">
        <w:rPr>
          <w:rFonts w:cs="Arial"/>
          <w:b/>
          <w:i/>
          <w:szCs w:val="20"/>
        </w:rPr>
        <w:t xml:space="preserve">the spectrum covered by </w:t>
      </w:r>
      <w:r>
        <w:rPr>
          <w:rFonts w:cs="Arial"/>
          <w:b/>
          <w:i/>
          <w:szCs w:val="20"/>
        </w:rPr>
        <w:t>the licence</w:t>
      </w:r>
      <w:r w:rsidRPr="002060AB">
        <w:rPr>
          <w:rFonts w:cs="Arial"/>
          <w:b/>
          <w:i/>
          <w:szCs w:val="20"/>
        </w:rPr>
        <w:t xml:space="preserve"> would not be also covered by another licence without the ACMA taking specified steps</w:t>
      </w:r>
      <w:r w:rsidRPr="002A1B5B">
        <w:rPr>
          <w:rFonts w:cs="Arial"/>
          <w:b/>
          <w:i/>
          <w:szCs w:val="20"/>
        </w:rPr>
        <w:t xml:space="preserve">. </w:t>
      </w:r>
    </w:p>
    <w:p w14:paraId="56E6D720" w14:textId="77777777" w:rsidR="00EA1AAE" w:rsidRPr="009A5F4D" w:rsidRDefault="00EA1AAE" w:rsidP="00805859">
      <w:pPr>
        <w:pBdr>
          <w:bottom w:val="dashed" w:sz="18" w:space="1" w:color="auto"/>
        </w:pBdr>
        <w:autoSpaceDE w:val="0"/>
        <w:autoSpaceDN w:val="0"/>
        <w:adjustRightInd w:val="0"/>
        <w:rPr>
          <w:rFonts w:cs="Arial"/>
          <w:szCs w:val="20"/>
        </w:rPr>
      </w:pPr>
    </w:p>
    <w:p w14:paraId="1CFF3329" w14:textId="77777777" w:rsidR="00525A24" w:rsidRDefault="00525A24" w:rsidP="00B14FA4">
      <w:pPr>
        <w:rPr>
          <w:rFonts w:cs="Arial"/>
        </w:rPr>
        <w:sectPr w:rsidR="00525A24" w:rsidSect="00B977E8">
          <w:pgSz w:w="11906" w:h="16838" w:code="9"/>
          <w:pgMar w:top="1945" w:right="3101" w:bottom="1134" w:left="1134" w:header="709" w:footer="119" w:gutter="0"/>
          <w:cols w:space="708"/>
          <w:docGrid w:linePitch="360"/>
        </w:sectPr>
      </w:pPr>
    </w:p>
    <w:p w14:paraId="6BEC486E" w14:textId="78EA1121" w:rsidR="00172E19" w:rsidRDefault="00385DA7" w:rsidP="00385DA7">
      <w:pPr>
        <w:pStyle w:val="Heading1"/>
      </w:pPr>
      <w:bookmarkStart w:id="62" w:name="_Toc467581375"/>
      <w:bookmarkStart w:id="63" w:name="_Toc481057144"/>
      <w:r>
        <w:lastRenderedPageBreak/>
        <w:t>Appendix B</w:t>
      </w:r>
      <w:bookmarkEnd w:id="62"/>
      <w:r w:rsidR="001F25B0">
        <w:t>—C</w:t>
      </w:r>
      <w:r w:rsidR="00EA49F6">
        <w:t>haracteristics of licences</w:t>
      </w:r>
      <w:bookmarkEnd w:id="63"/>
    </w:p>
    <w:p w14:paraId="536B914F" w14:textId="5D451591" w:rsidR="0065472B" w:rsidRPr="0065472B" w:rsidRDefault="0065472B" w:rsidP="006331D5">
      <w:r>
        <w:t xml:space="preserve">NB: In addition to conditions included in individual licences, </w:t>
      </w:r>
      <w:r w:rsidR="00805859">
        <w:t>clause</w:t>
      </w:r>
      <w:r>
        <w:t xml:space="preserve"> </w:t>
      </w:r>
      <w:r w:rsidR="00337F11">
        <w:t xml:space="preserve">50 </w:t>
      </w:r>
      <w:r>
        <w:t xml:space="preserve">of the Bill </w:t>
      </w:r>
      <w:r w:rsidR="00551AA7">
        <w:t xml:space="preserve">would </w:t>
      </w:r>
      <w:r>
        <w:t xml:space="preserve">provide the ACMA with the capacity to determine conditions by legislative instrument, that are </w:t>
      </w:r>
      <w:r w:rsidR="008319CD">
        <w:t>taken to be included in</w:t>
      </w:r>
      <w:r>
        <w:t xml:space="preserve"> each licence or </w:t>
      </w:r>
      <w:r w:rsidR="008319CD">
        <w:t>to be included in a specified class of licences.</w:t>
      </w:r>
      <w:r>
        <w:t xml:space="preserve"> </w:t>
      </w:r>
    </w:p>
    <w:tbl>
      <w:tblPr>
        <w:tblStyle w:val="TableGrid"/>
        <w:tblW w:w="92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98" w:type="dxa"/>
          <w:left w:w="57" w:type="dxa"/>
          <w:bottom w:w="57" w:type="dxa"/>
          <w:right w:w="57" w:type="dxa"/>
        </w:tblCellMar>
        <w:tblLook w:val="04A0" w:firstRow="1" w:lastRow="0" w:firstColumn="1" w:lastColumn="0" w:noHBand="0" w:noVBand="1"/>
        <w:tblCaption w:val="Characteristics of licences"/>
      </w:tblPr>
      <w:tblGrid>
        <w:gridCol w:w="4604"/>
        <w:gridCol w:w="4605"/>
      </w:tblGrid>
      <w:tr w:rsidR="007E39CA" w14:paraId="6EF7C256" w14:textId="77777777" w:rsidTr="00492F29">
        <w:trPr>
          <w:tblHeader/>
        </w:trPr>
        <w:tc>
          <w:tcPr>
            <w:tcW w:w="4604" w:type="dxa"/>
            <w:shd w:val="clear" w:color="auto" w:fill="404040" w:themeFill="text1" w:themeFillTint="BF"/>
            <w:tcMar>
              <w:top w:w="28" w:type="dxa"/>
              <w:bottom w:w="28" w:type="dxa"/>
            </w:tcMar>
          </w:tcPr>
          <w:p w14:paraId="03675DA7" w14:textId="0ED36AD2" w:rsidR="007E39CA" w:rsidRPr="007E39CA" w:rsidRDefault="007E39CA" w:rsidP="007E39CA">
            <w:pPr>
              <w:pStyle w:val="TableHeading"/>
              <w:rPr>
                <w:color w:val="FFFFFF" w:themeColor="background1"/>
              </w:rPr>
            </w:pPr>
            <w:r w:rsidRPr="007E39CA">
              <w:rPr>
                <w:color w:val="FFFFFF" w:themeColor="background1"/>
              </w:rPr>
              <w:t>Characteristic</w:t>
            </w:r>
          </w:p>
        </w:tc>
        <w:tc>
          <w:tcPr>
            <w:tcW w:w="4605" w:type="dxa"/>
            <w:shd w:val="clear" w:color="auto" w:fill="404040" w:themeFill="text1" w:themeFillTint="BF"/>
            <w:tcMar>
              <w:top w:w="28" w:type="dxa"/>
              <w:bottom w:w="28" w:type="dxa"/>
            </w:tcMar>
          </w:tcPr>
          <w:p w14:paraId="2F807AE7" w14:textId="39105290" w:rsidR="007E39CA" w:rsidRPr="007E39CA" w:rsidRDefault="007E39CA" w:rsidP="007E39CA">
            <w:pPr>
              <w:pStyle w:val="TableHeading"/>
              <w:rPr>
                <w:color w:val="FFFFFF" w:themeColor="background1"/>
              </w:rPr>
            </w:pPr>
            <w:r w:rsidRPr="007E39CA">
              <w:rPr>
                <w:color w:val="FFFFFF" w:themeColor="background1"/>
              </w:rPr>
              <w:t>ACMA considerations</w:t>
            </w:r>
          </w:p>
        </w:tc>
      </w:tr>
      <w:tr w:rsidR="007E39CA" w14:paraId="33099830" w14:textId="77777777" w:rsidTr="00492F29">
        <w:tc>
          <w:tcPr>
            <w:tcW w:w="4604" w:type="dxa"/>
            <w:tcMar>
              <w:top w:w="28" w:type="dxa"/>
              <w:bottom w:w="28" w:type="dxa"/>
            </w:tcMar>
          </w:tcPr>
          <w:p w14:paraId="0C46F74F" w14:textId="3E593464" w:rsidR="007E39CA" w:rsidRPr="007E39CA" w:rsidRDefault="007E39CA" w:rsidP="00492F29">
            <w:pPr>
              <w:pStyle w:val="ListNumber"/>
              <w:numPr>
                <w:ilvl w:val="0"/>
                <w:numId w:val="15"/>
              </w:numPr>
              <w:spacing w:before="120"/>
              <w:rPr>
                <w:b/>
              </w:rPr>
            </w:pPr>
            <w:r w:rsidRPr="007E39CA">
              <w:rPr>
                <w:b/>
              </w:rPr>
              <w:t xml:space="preserve">DURATION </w:t>
            </w:r>
            <w:r w:rsidR="00D92F3E">
              <w:rPr>
                <w:b/>
              </w:rPr>
              <w:t>sub</w:t>
            </w:r>
            <w:r w:rsidR="00805859">
              <w:rPr>
                <w:b/>
              </w:rPr>
              <w:t>clause</w:t>
            </w:r>
            <w:r w:rsidR="00946C2A">
              <w:rPr>
                <w:b/>
              </w:rPr>
              <w:t>s</w:t>
            </w:r>
            <w:r w:rsidR="009F4B36">
              <w:rPr>
                <w:b/>
              </w:rPr>
              <w:t xml:space="preserve"> </w:t>
            </w:r>
            <w:r w:rsidR="00337F11">
              <w:rPr>
                <w:b/>
              </w:rPr>
              <w:t>33</w:t>
            </w:r>
            <w:r w:rsidRPr="007E39CA">
              <w:rPr>
                <w:b/>
              </w:rPr>
              <w:t>(</w:t>
            </w:r>
            <w:r w:rsidR="00946C2A">
              <w:rPr>
                <w:b/>
              </w:rPr>
              <w:t>4</w:t>
            </w:r>
            <w:r w:rsidRPr="007E39CA">
              <w:rPr>
                <w:b/>
              </w:rPr>
              <w:t>)</w:t>
            </w:r>
            <w:r w:rsidR="00946C2A">
              <w:rPr>
                <w:b/>
              </w:rPr>
              <w:t>-(6)</w:t>
            </w:r>
          </w:p>
          <w:p w14:paraId="198A4F5E" w14:textId="77777777" w:rsidR="007E39CA" w:rsidRPr="007E39CA" w:rsidRDefault="007E39CA" w:rsidP="007E39CA">
            <w:pPr>
              <w:pStyle w:val="TableBody"/>
            </w:pPr>
            <w:r w:rsidRPr="007E39CA">
              <w:t>A licence comes into force on the day on which it is issued or such later date as is specified in the licence, and subject to the legislation remains in force for the period specified in the licence.</w:t>
            </w:r>
          </w:p>
          <w:p w14:paraId="31E755F4" w14:textId="77777777" w:rsidR="007E39CA" w:rsidRDefault="007E39CA" w:rsidP="007E39CA">
            <w:pPr>
              <w:pStyle w:val="TableBody"/>
            </w:pPr>
          </w:p>
        </w:tc>
        <w:tc>
          <w:tcPr>
            <w:tcW w:w="4605" w:type="dxa"/>
            <w:tcMar>
              <w:top w:w="28" w:type="dxa"/>
              <w:bottom w:w="28" w:type="dxa"/>
            </w:tcMar>
          </w:tcPr>
          <w:p w14:paraId="6A138F6E" w14:textId="77777777" w:rsidR="007E39CA" w:rsidRPr="006244E6" w:rsidRDefault="007E39CA" w:rsidP="00492F29">
            <w:pPr>
              <w:pStyle w:val="TableBody"/>
              <w:spacing w:before="120" w:after="80"/>
            </w:pPr>
            <w:r w:rsidRPr="006244E6">
              <w:t xml:space="preserve">Licences may be issued for up to 20 years. The considerations that may be relevant to determining the duration of licences under the new single licensing </w:t>
            </w:r>
            <w:r>
              <w:t>system</w:t>
            </w:r>
            <w:r w:rsidRPr="006244E6">
              <w:t xml:space="preserve"> include:</w:t>
            </w:r>
          </w:p>
          <w:p w14:paraId="0B725757" w14:textId="77777777" w:rsidR="007E39CA" w:rsidRPr="006244E6" w:rsidRDefault="007E39CA" w:rsidP="007E39CA">
            <w:pPr>
              <w:pStyle w:val="ListBullet"/>
            </w:pPr>
            <w:r w:rsidRPr="006244E6">
              <w:t>the purpose of the licence;</w:t>
            </w:r>
          </w:p>
          <w:p w14:paraId="3C8D590E" w14:textId="77777777" w:rsidR="007E39CA" w:rsidRPr="006244E6" w:rsidRDefault="007E39CA" w:rsidP="007E39CA">
            <w:pPr>
              <w:pStyle w:val="ListBullet"/>
            </w:pPr>
            <w:r w:rsidRPr="006244E6">
              <w:t>forward spectrum planning considerations (including international developments);</w:t>
            </w:r>
          </w:p>
          <w:p w14:paraId="159E4D9F" w14:textId="669E1D88" w:rsidR="007E39CA" w:rsidRDefault="007E39CA" w:rsidP="007E39CA">
            <w:pPr>
              <w:pStyle w:val="ListBullet"/>
            </w:pPr>
            <w:r w:rsidRPr="006244E6">
              <w:t>indicators of change in the highest value use of bands (and the need for future re</w:t>
            </w:r>
            <w:r>
              <w:t>-</w:t>
            </w:r>
            <w:r w:rsidRPr="006244E6">
              <w:t>farming)</w:t>
            </w:r>
          </w:p>
          <w:p w14:paraId="12D93D19" w14:textId="751496F0" w:rsidR="007E39CA" w:rsidRDefault="007E39CA" w:rsidP="00492F29">
            <w:pPr>
              <w:pStyle w:val="ListBulletLast"/>
              <w:spacing w:after="120"/>
            </w:pPr>
            <w:r w:rsidRPr="006244E6">
              <w:t>the period of time over which investments in associated infrastructure and business models could be expected to be amortised.</w:t>
            </w:r>
          </w:p>
        </w:tc>
      </w:tr>
      <w:tr w:rsidR="007E39CA" w14:paraId="2D57E445" w14:textId="77777777" w:rsidTr="00492F29">
        <w:tc>
          <w:tcPr>
            <w:tcW w:w="4604" w:type="dxa"/>
            <w:tcMar>
              <w:top w:w="28" w:type="dxa"/>
              <w:bottom w:w="28" w:type="dxa"/>
            </w:tcMar>
          </w:tcPr>
          <w:p w14:paraId="756461E9" w14:textId="7F3BBC90" w:rsidR="007E39CA" w:rsidRPr="007E39CA" w:rsidRDefault="007E39CA" w:rsidP="00492F29">
            <w:pPr>
              <w:pStyle w:val="ListNumber"/>
              <w:numPr>
                <w:ilvl w:val="0"/>
                <w:numId w:val="15"/>
              </w:numPr>
              <w:spacing w:before="120"/>
              <w:rPr>
                <w:b/>
              </w:rPr>
            </w:pPr>
            <w:r w:rsidRPr="007E39CA">
              <w:rPr>
                <w:b/>
              </w:rPr>
              <w:t xml:space="preserve">GENERAL CONDITIONS </w:t>
            </w:r>
            <w:r w:rsidR="00805859">
              <w:rPr>
                <w:b/>
              </w:rPr>
              <w:t>clause</w:t>
            </w:r>
            <w:r w:rsidR="009F4B36">
              <w:rPr>
                <w:b/>
              </w:rPr>
              <w:t xml:space="preserve"> </w:t>
            </w:r>
            <w:r w:rsidR="00337F11">
              <w:rPr>
                <w:b/>
              </w:rPr>
              <w:t>46</w:t>
            </w:r>
          </w:p>
          <w:p w14:paraId="270D0D66" w14:textId="77777777" w:rsidR="007E39CA" w:rsidRPr="007E39CA" w:rsidRDefault="007E39CA" w:rsidP="007E39CA">
            <w:pPr>
              <w:pStyle w:val="TableBody"/>
              <w:spacing w:after="120"/>
            </w:pPr>
            <w:r w:rsidRPr="007E39CA">
              <w:t>A licence must include a condition specifying the part or parts of the spectrum in which the radiocommunications devices are authorised to operate.</w:t>
            </w:r>
          </w:p>
          <w:p w14:paraId="3AC7CF4E" w14:textId="61FFB880" w:rsidR="007E39CA" w:rsidRPr="007E39CA" w:rsidRDefault="007E39CA" w:rsidP="007E39CA">
            <w:pPr>
              <w:pStyle w:val="TableBody"/>
              <w:spacing w:after="120"/>
            </w:pPr>
            <w:r w:rsidRPr="007E39CA">
              <w:t>A licence must also include</w:t>
            </w:r>
            <w:r w:rsidR="00004B89">
              <w:t>, for each part of the spectrum in which radiocommunications devices are authorised to operate,</w:t>
            </w:r>
            <w:r w:rsidRPr="007E39CA">
              <w:t xml:space="preserve"> either a condition specifying the area within which radiocommunications devices are authorised to operate, or a condition specifying the location at which radiocommunications devices are authorised to operate.</w:t>
            </w:r>
          </w:p>
          <w:p w14:paraId="34BDC70B" w14:textId="31BDD128" w:rsidR="007E39CA" w:rsidRPr="007E39CA" w:rsidRDefault="007E39CA" w:rsidP="007E39CA">
            <w:pPr>
              <w:pStyle w:val="TableBody"/>
              <w:spacing w:after="120"/>
            </w:pPr>
            <w:r w:rsidRPr="007E39CA">
              <w:t>The part of the spectrum specified may be the same as, or overlap, a part that is specified in another licence, or in a condition of a spectrum authorisation referred to in paragraph</w:t>
            </w:r>
            <w:r w:rsidR="009F4B36">
              <w:t xml:space="preserve"> </w:t>
            </w:r>
            <w:r w:rsidRPr="007E39CA">
              <w:t>10</w:t>
            </w:r>
            <w:r w:rsidR="00C62CBC">
              <w:t>0</w:t>
            </w:r>
            <w:r w:rsidRPr="007E39CA">
              <w:t>(2)(a).</w:t>
            </w:r>
          </w:p>
          <w:p w14:paraId="12203472" w14:textId="0C9B5BEF" w:rsidR="007E39CA" w:rsidRDefault="007E39CA" w:rsidP="00011F10">
            <w:pPr>
              <w:pStyle w:val="TableBody"/>
              <w:spacing w:after="120"/>
            </w:pPr>
            <w:r w:rsidRPr="007E39CA">
              <w:t>This applies even if the operation of radiocommunications devices is authorised under another licence or under a spectrum authorisation in the same or overlapping area in which, or is in the vicinity of the location at which operation of radiocommunications devices is authorised under another licence.</w:t>
            </w:r>
          </w:p>
        </w:tc>
        <w:tc>
          <w:tcPr>
            <w:tcW w:w="4605" w:type="dxa"/>
            <w:tcMar>
              <w:top w:w="28" w:type="dxa"/>
              <w:bottom w:w="28" w:type="dxa"/>
            </w:tcMar>
          </w:tcPr>
          <w:p w14:paraId="55CCE027" w14:textId="5ACA3CAB" w:rsidR="007E39CA" w:rsidRPr="006244E6" w:rsidRDefault="007E39CA" w:rsidP="00492F29">
            <w:pPr>
              <w:pStyle w:val="TableBody"/>
              <w:spacing w:before="120" w:after="120"/>
              <w:rPr>
                <w:b/>
              </w:rPr>
            </w:pPr>
            <w:r w:rsidRPr="006244E6">
              <w:t>Licences can either be area</w:t>
            </w:r>
            <w:r w:rsidR="00233A9B">
              <w:t>-</w:t>
            </w:r>
            <w:r w:rsidRPr="006244E6">
              <w:t>based (</w:t>
            </w:r>
            <w:r w:rsidR="00D92F3E">
              <w:t>sub-paragraph</w:t>
            </w:r>
            <w:r w:rsidR="009F4B36">
              <w:t xml:space="preserve"> </w:t>
            </w:r>
            <w:r w:rsidR="00C62CBC">
              <w:t>4</w:t>
            </w:r>
            <w:r w:rsidRPr="006244E6">
              <w:t>6</w:t>
            </w:r>
            <w:r>
              <w:t>(1)</w:t>
            </w:r>
            <w:r w:rsidRPr="006244E6">
              <w:t>(b)(i)) or location</w:t>
            </w:r>
            <w:r w:rsidR="00233A9B">
              <w:t>-</w:t>
            </w:r>
            <w:r w:rsidRPr="006244E6">
              <w:t>based (</w:t>
            </w:r>
            <w:r w:rsidR="00D92F3E">
              <w:t>sub-paragraph</w:t>
            </w:r>
            <w:r w:rsidR="009F4B36">
              <w:t xml:space="preserve"> </w:t>
            </w:r>
            <w:r w:rsidR="00C62CBC">
              <w:t>46</w:t>
            </w:r>
            <w:r>
              <w:t>(1)</w:t>
            </w:r>
            <w:r w:rsidRPr="006244E6">
              <w:t>(b)(ii)). The ACMA expects it will consider the most appropriate option depending on the intended use of the licence and consistent</w:t>
            </w:r>
            <w:r>
              <w:t>ly</w:t>
            </w:r>
            <w:r w:rsidRPr="006244E6">
              <w:t xml:space="preserve"> with the objects of the Bill, including efficient management and use of spectrum. </w:t>
            </w:r>
          </w:p>
          <w:p w14:paraId="2FC02A5C" w14:textId="7285D9E5" w:rsidR="007E39CA" w:rsidRPr="006244E6" w:rsidRDefault="007E39CA" w:rsidP="007E39CA">
            <w:pPr>
              <w:pStyle w:val="TableBody"/>
              <w:spacing w:after="120"/>
            </w:pPr>
            <w:r w:rsidRPr="006244E6">
              <w:t xml:space="preserve">In establishing general conditions </w:t>
            </w:r>
            <w:r w:rsidR="00230085">
              <w:t xml:space="preserve">that may be included </w:t>
            </w:r>
            <w:r w:rsidR="00551AA7">
              <w:t>i</w:t>
            </w:r>
            <w:r w:rsidR="00230085">
              <w:t xml:space="preserve">n </w:t>
            </w:r>
            <w:r w:rsidRPr="006244E6">
              <w:t>a licence, the ACMA expects to consider the importance of ensuring the efficient coordination of devices authorised under the licence with other devices and consistency with Australia’s international treaty obligations. To the extent possible, the ACMA would seek to minimise service</w:t>
            </w:r>
            <w:r w:rsidR="00233A9B">
              <w:t>-</w:t>
            </w:r>
            <w:r w:rsidRPr="006244E6">
              <w:t>specific licence conditions in order to maximise the trad</w:t>
            </w:r>
            <w:r>
              <w:t>a</w:t>
            </w:r>
            <w:r w:rsidRPr="006244E6">
              <w:t xml:space="preserve">bility of the licence. </w:t>
            </w:r>
          </w:p>
          <w:p w14:paraId="19D098EA" w14:textId="77777777" w:rsidR="007E39CA" w:rsidRPr="006244E6" w:rsidRDefault="007E39CA" w:rsidP="007E39CA">
            <w:pPr>
              <w:pStyle w:val="TableBody"/>
              <w:spacing w:after="80"/>
            </w:pPr>
            <w:r w:rsidRPr="006244E6">
              <w:t>In determining whether a licence should be location</w:t>
            </w:r>
            <w:r>
              <w:t>-</w:t>
            </w:r>
            <w:r w:rsidRPr="006244E6">
              <w:t>based or area</w:t>
            </w:r>
            <w:r>
              <w:t>-</w:t>
            </w:r>
            <w:r w:rsidRPr="006244E6">
              <w:t>based, the ACMA would consider a number of factors including the following:</w:t>
            </w:r>
          </w:p>
          <w:p w14:paraId="3ED8FAFF" w14:textId="3AD01674" w:rsidR="007E39CA" w:rsidRPr="006244E6" w:rsidRDefault="007E39CA" w:rsidP="007E39CA">
            <w:pPr>
              <w:pStyle w:val="ListBullet"/>
            </w:pPr>
            <w:r w:rsidRPr="006244E6">
              <w:t xml:space="preserve">Location-based licences usually operate in bands where </w:t>
            </w:r>
            <w:r w:rsidR="00233A9B">
              <w:t xml:space="preserve">the </w:t>
            </w:r>
            <w:r w:rsidRPr="006244E6">
              <w:t xml:space="preserve">ACMA </w:t>
            </w:r>
            <w:r>
              <w:t xml:space="preserve">intends to </w:t>
            </w:r>
            <w:r w:rsidRPr="006244E6">
              <w:t>retain overall responsibility for coordination of multiple different uses and users.</w:t>
            </w:r>
          </w:p>
          <w:p w14:paraId="2521DD62" w14:textId="05577587" w:rsidR="007E39CA" w:rsidRPr="006244E6" w:rsidRDefault="007E39CA" w:rsidP="007E39CA">
            <w:pPr>
              <w:pStyle w:val="ListBullet"/>
            </w:pPr>
            <w:r w:rsidRPr="006244E6">
              <w:t xml:space="preserve">Area-based licences are appropriate for services where flexibility about </w:t>
            </w:r>
            <w:r>
              <w:t xml:space="preserve">transmitter </w:t>
            </w:r>
            <w:r w:rsidRPr="006244E6">
              <w:t>siting or use is desirable</w:t>
            </w:r>
            <w:r w:rsidR="00233A9B">
              <w:t>; for example,</w:t>
            </w:r>
            <w:r w:rsidRPr="006244E6">
              <w:t xml:space="preserve"> where an application is mobile or nomadic in nature.</w:t>
            </w:r>
          </w:p>
          <w:p w14:paraId="1F36BCCA" w14:textId="07447C1C" w:rsidR="007E39CA" w:rsidRPr="006244E6" w:rsidRDefault="007E39CA" w:rsidP="00492F29">
            <w:pPr>
              <w:pStyle w:val="ListBullet"/>
              <w:spacing w:after="0"/>
            </w:pPr>
            <w:r w:rsidRPr="006244E6">
              <w:lastRenderedPageBreak/>
              <w:t xml:space="preserve">Depending on geographical area, spectrum bandwidth and other design features, other potential advantages of area-based licences include increased flexibility for licensees as to siting and use, opportunities for greater tradability via licence aggregation and splitting, and greater flexibility to accommodate changes in future use. </w:t>
            </w:r>
          </w:p>
          <w:p w14:paraId="11F5501A" w14:textId="77777777" w:rsidR="007E39CA" w:rsidRPr="006244E6" w:rsidRDefault="007E39CA" w:rsidP="007E39CA">
            <w:pPr>
              <w:pStyle w:val="ListBulletLast"/>
              <w:rPr>
                <w:b/>
              </w:rPr>
            </w:pPr>
            <w:r w:rsidRPr="006244E6">
              <w:t>Area-based licen</w:t>
            </w:r>
            <w:r>
              <w:t>c</w:t>
            </w:r>
            <w:r w:rsidRPr="006244E6">
              <w:t xml:space="preserve">es potentially </w:t>
            </w:r>
            <w:r>
              <w:t xml:space="preserve">devolve responsibility for </w:t>
            </w:r>
            <w:r w:rsidRPr="006244E6">
              <w:t>the coordination of uses, and users, to licensees.</w:t>
            </w:r>
          </w:p>
          <w:p w14:paraId="4CA41535" w14:textId="77777777" w:rsidR="007E39CA" w:rsidRPr="00275B9C" w:rsidRDefault="007E39CA" w:rsidP="00275B9C">
            <w:pPr>
              <w:pStyle w:val="TableBody"/>
              <w:rPr>
                <w:b/>
              </w:rPr>
            </w:pPr>
            <w:r w:rsidRPr="00275B9C">
              <w:rPr>
                <w:b/>
              </w:rPr>
              <w:t>Sample area-based licence</w:t>
            </w:r>
          </w:p>
          <w:p w14:paraId="4DCE7250" w14:textId="29EDFF97" w:rsidR="007E39CA" w:rsidRPr="00275B9C" w:rsidRDefault="007E39CA" w:rsidP="00845D94">
            <w:pPr>
              <w:pStyle w:val="TableBody"/>
              <w:spacing w:after="120"/>
            </w:pPr>
            <w:r w:rsidRPr="00275B9C">
              <w:t>The sample licence identifies a block of spectrum in the 1800</w:t>
            </w:r>
            <w:r w:rsidR="00233A9B">
              <w:t> </w:t>
            </w:r>
            <w:r w:rsidRPr="00275B9C">
              <w:t>MHz band covering the geographic area specified in the list of HCIS</w:t>
            </w:r>
            <w:r w:rsidRPr="009F4B36">
              <w:rPr>
                <w:vertAlign w:val="superscript"/>
              </w:rPr>
              <w:footnoteReference w:id="17"/>
            </w:r>
            <w:r w:rsidRPr="00275B9C">
              <w:t xml:space="preserve"> identifiers. The particular spectrum block and geographic areas chosen for this example are arbitrary.</w:t>
            </w:r>
          </w:p>
          <w:p w14:paraId="317178A5" w14:textId="77777777" w:rsidR="007E39CA" w:rsidRPr="00275B9C" w:rsidRDefault="007E39CA" w:rsidP="00275B9C">
            <w:pPr>
              <w:pStyle w:val="TableBody"/>
              <w:rPr>
                <w:b/>
              </w:rPr>
            </w:pPr>
            <w:r w:rsidRPr="00275B9C">
              <w:rPr>
                <w:b/>
              </w:rPr>
              <w:t>Sample location-based licence</w:t>
            </w:r>
          </w:p>
          <w:p w14:paraId="7888A611" w14:textId="3C55CAEE" w:rsidR="007E39CA" w:rsidRDefault="007E39CA" w:rsidP="00492F29">
            <w:pPr>
              <w:pStyle w:val="TableBody"/>
              <w:spacing w:after="120"/>
            </w:pPr>
            <w:r w:rsidRPr="00275B9C">
              <w:t>The sample licence identifies two locations and two specific assigned frequencies in the 400</w:t>
            </w:r>
            <w:r w:rsidR="00233A9B">
              <w:t> </w:t>
            </w:r>
            <w:r w:rsidRPr="00275B9C">
              <w:t>MHz band, as may be appropriate for a fixed</w:t>
            </w:r>
            <w:r w:rsidR="00233A9B">
              <w:t>-</w:t>
            </w:r>
            <w:r w:rsidRPr="00275B9C">
              <w:t>link service. The particular locations and frequency chosen for this example are arbitrary.</w:t>
            </w:r>
          </w:p>
        </w:tc>
      </w:tr>
      <w:tr w:rsidR="00845D94" w14:paraId="07130C28" w14:textId="77777777" w:rsidTr="00492F29">
        <w:tc>
          <w:tcPr>
            <w:tcW w:w="4604" w:type="dxa"/>
            <w:tcMar>
              <w:top w:w="28" w:type="dxa"/>
              <w:bottom w:w="28" w:type="dxa"/>
            </w:tcMar>
          </w:tcPr>
          <w:p w14:paraId="3FD4B325" w14:textId="1B865865" w:rsidR="00845D94" w:rsidRPr="00845D94" w:rsidRDefault="00845D94" w:rsidP="00492F29">
            <w:pPr>
              <w:pStyle w:val="ListNumber"/>
              <w:numPr>
                <w:ilvl w:val="0"/>
                <w:numId w:val="15"/>
              </w:numPr>
              <w:spacing w:before="120"/>
              <w:rPr>
                <w:b/>
              </w:rPr>
            </w:pPr>
            <w:r w:rsidRPr="00845D94">
              <w:rPr>
                <w:b/>
              </w:rPr>
              <w:lastRenderedPageBreak/>
              <w:t xml:space="preserve">REGISTRABLE DEVICES CONDITION </w:t>
            </w:r>
            <w:r w:rsidR="00805859">
              <w:rPr>
                <w:b/>
              </w:rPr>
              <w:t>clause</w:t>
            </w:r>
            <w:r w:rsidR="00A1464A">
              <w:rPr>
                <w:b/>
              </w:rPr>
              <w:t xml:space="preserve"> </w:t>
            </w:r>
            <w:r w:rsidR="00337F11">
              <w:rPr>
                <w:b/>
              </w:rPr>
              <w:t>47</w:t>
            </w:r>
          </w:p>
          <w:p w14:paraId="5DE95C3F" w14:textId="31778E7D" w:rsidR="00845D94" w:rsidRPr="00845D94" w:rsidRDefault="00845D94" w:rsidP="00845D94">
            <w:pPr>
              <w:pStyle w:val="TableBody"/>
              <w:spacing w:after="80"/>
            </w:pPr>
            <w:r w:rsidRPr="00845D94">
              <w:t xml:space="preserve">A licence must include a condition that a </w:t>
            </w:r>
            <w:r w:rsidR="00FD6FA4">
              <w:t>radiocommunications transmitter</w:t>
            </w:r>
            <w:r w:rsidRPr="00845D94">
              <w:t xml:space="preserve"> must not be operated under the licence unless</w:t>
            </w:r>
            <w:r w:rsidR="00233A9B">
              <w:t xml:space="preserve"> </w:t>
            </w:r>
            <w:r w:rsidR="00E06C85">
              <w:t>either</w:t>
            </w:r>
            <w:r w:rsidRPr="00845D94">
              <w:t>:</w:t>
            </w:r>
          </w:p>
          <w:p w14:paraId="5C84B381" w14:textId="0BF9E03A" w:rsidR="00845D94" w:rsidRPr="00845D94" w:rsidRDefault="00FD6FA4" w:rsidP="00A033FA">
            <w:pPr>
              <w:pStyle w:val="ListBullet"/>
            </w:pPr>
            <w:r>
              <w:t xml:space="preserve">the transmitter is registered, under </w:t>
            </w:r>
            <w:r w:rsidR="00805859">
              <w:t>clause</w:t>
            </w:r>
            <w:r>
              <w:t xml:space="preserve"> </w:t>
            </w:r>
            <w:r w:rsidR="00337F11">
              <w:t>92</w:t>
            </w:r>
            <w:r>
              <w:t>, in relation to the licence</w:t>
            </w:r>
          </w:p>
          <w:p w14:paraId="651D39BA" w14:textId="05D5575F" w:rsidR="00FD6FA4" w:rsidRDefault="00FD6FA4" w:rsidP="00AE15CD">
            <w:pPr>
              <w:pStyle w:val="ListBulletLast"/>
              <w:spacing w:after="80"/>
            </w:pPr>
            <w:r>
              <w:t>the transmitter</w:t>
            </w:r>
            <w:r w:rsidR="00845D94" w:rsidRPr="00845D94">
              <w:t xml:space="preserve"> is included in a class of </w:t>
            </w:r>
            <w:r>
              <w:t>radiocommunications transmitters</w:t>
            </w:r>
            <w:r w:rsidR="00845D94" w:rsidRPr="00845D94">
              <w:t xml:space="preserve"> specified in the licence for the purposes of this </w:t>
            </w:r>
            <w:r w:rsidR="00805859">
              <w:t>clause</w:t>
            </w:r>
          </w:p>
          <w:p w14:paraId="1FDCFBEB" w14:textId="0C1BDA21" w:rsidR="00845D94" w:rsidRDefault="00FD6FA4" w:rsidP="00FD6FA4">
            <w:pPr>
              <w:pStyle w:val="ListBulletLast"/>
            </w:pPr>
            <w:r>
              <w:t>the transmitter is included in a class of radiocommunications transmitters specified in a determination under sub</w:t>
            </w:r>
            <w:r w:rsidR="00805859">
              <w:t>clause</w:t>
            </w:r>
            <w:r>
              <w:t xml:space="preserve"> </w:t>
            </w:r>
            <w:r w:rsidR="00337F11">
              <w:t>47</w:t>
            </w:r>
            <w:r>
              <w:t>(2)</w:t>
            </w:r>
            <w:r w:rsidR="00845D94" w:rsidRPr="00845D94">
              <w:t>.</w:t>
            </w:r>
          </w:p>
        </w:tc>
        <w:tc>
          <w:tcPr>
            <w:tcW w:w="4605" w:type="dxa"/>
            <w:tcMar>
              <w:top w:w="28" w:type="dxa"/>
              <w:bottom w:w="28" w:type="dxa"/>
            </w:tcMar>
          </w:tcPr>
          <w:p w14:paraId="65E18D9D" w14:textId="77777777" w:rsidR="00845D94" w:rsidRPr="006244E6" w:rsidRDefault="00845D94" w:rsidP="00492F29">
            <w:pPr>
              <w:pStyle w:val="TableBody"/>
              <w:spacing w:before="120"/>
            </w:pPr>
            <w:r w:rsidRPr="006244E6">
              <w:t xml:space="preserve">This condition is critical to coordinating the location and technical configuration of transmitters and receivers in adjacent spectrum. Registration in a public database creates </w:t>
            </w:r>
            <w:r>
              <w:t xml:space="preserve">a </w:t>
            </w:r>
            <w:r w:rsidRPr="006244E6">
              <w:t>resource for planning and the management of interference to and from stations operating under that licence, aids efficient investigation and resolution of interference complaints by the ACMA, and aids coordination of other services.</w:t>
            </w:r>
          </w:p>
          <w:p w14:paraId="156E25AF" w14:textId="5A2FB53E" w:rsidR="00845D94" w:rsidRPr="006244E6" w:rsidRDefault="00845D94" w:rsidP="00492F29">
            <w:pPr>
              <w:pStyle w:val="TableBody"/>
            </w:pPr>
            <w:r>
              <w:t xml:space="preserve">In formulating the applicable </w:t>
            </w:r>
            <w:r w:rsidR="00233A9B">
              <w:t>r</w:t>
            </w:r>
            <w:r>
              <w:t>egister rules, t</w:t>
            </w:r>
            <w:r w:rsidRPr="006244E6">
              <w:t>he ACMA expects to consider the most appropriate registration requirements to meet coordination requirements to support efficient spectrum management.</w:t>
            </w:r>
          </w:p>
          <w:p w14:paraId="0365B9C6" w14:textId="77777777" w:rsidR="00845D94" w:rsidRPr="006244E6" w:rsidRDefault="00845D94" w:rsidP="00492F29">
            <w:pPr>
              <w:pStyle w:val="TableBody"/>
            </w:pPr>
            <w:r w:rsidRPr="006244E6">
              <w:t>These conditions may also assist in implementing measures to use ‘white space’.</w:t>
            </w:r>
          </w:p>
          <w:p w14:paraId="0CBE0619" w14:textId="47685B4E" w:rsidR="00845D94" w:rsidRDefault="00845D94" w:rsidP="00737439">
            <w:pPr>
              <w:pStyle w:val="TableBody"/>
              <w:spacing w:after="120"/>
            </w:pPr>
            <w:r w:rsidRPr="006244E6">
              <w:t xml:space="preserve">The Bill provides the ACMA with the flexibility to exempt some </w:t>
            </w:r>
            <w:r w:rsidR="00FD6FA4">
              <w:t>radiocommunications transmitters</w:t>
            </w:r>
            <w:r w:rsidRPr="006244E6">
              <w:t xml:space="preserve"> from the requirement for registration through specification </w:t>
            </w:r>
            <w:r>
              <w:t>in</w:t>
            </w:r>
            <w:r w:rsidRPr="006244E6">
              <w:t xml:space="preserve"> the licence itself (</w:t>
            </w:r>
            <w:r w:rsidR="00D92F3E">
              <w:t>paragraph</w:t>
            </w:r>
            <w:r w:rsidR="00A1464A">
              <w:t xml:space="preserve"> </w:t>
            </w:r>
            <w:r w:rsidR="00337F11">
              <w:t>47</w:t>
            </w:r>
            <w:r w:rsidR="00551AA7">
              <w:t>(1)</w:t>
            </w:r>
            <w:r w:rsidRPr="006244E6">
              <w:t>(b)</w:t>
            </w:r>
            <w:r w:rsidR="00FD6FA4">
              <w:t xml:space="preserve"> or in a determination (sub</w:t>
            </w:r>
            <w:r w:rsidR="00805859">
              <w:t>clause</w:t>
            </w:r>
            <w:r w:rsidR="00FD6FA4">
              <w:t xml:space="preserve"> </w:t>
            </w:r>
            <w:r w:rsidR="00337F11">
              <w:t>47</w:t>
            </w:r>
            <w:r w:rsidR="00FD6FA4">
              <w:t>(2))</w:t>
            </w:r>
            <w:r w:rsidRPr="006244E6">
              <w:t xml:space="preserve">. </w:t>
            </w:r>
          </w:p>
          <w:p w14:paraId="2754D7DD" w14:textId="15C725FA" w:rsidR="00845D94" w:rsidRPr="00845D94" w:rsidRDefault="00845D94" w:rsidP="00845D94">
            <w:pPr>
              <w:pStyle w:val="TableBody"/>
              <w:rPr>
                <w:b/>
              </w:rPr>
            </w:pPr>
            <w:r w:rsidRPr="00845D94">
              <w:rPr>
                <w:b/>
              </w:rPr>
              <w:t>Sample area-based licence</w:t>
            </w:r>
          </w:p>
          <w:p w14:paraId="7CEA01BD" w14:textId="2E52DF49" w:rsidR="00845D94" w:rsidRPr="00845D94" w:rsidRDefault="00845D94" w:rsidP="00845D94">
            <w:pPr>
              <w:pStyle w:val="TableBody"/>
              <w:spacing w:after="120"/>
            </w:pPr>
            <w:r w:rsidRPr="00845D94">
              <w:t xml:space="preserve">The sample licence places a condition on the licence requiring that </w:t>
            </w:r>
            <w:r w:rsidR="00FD6FA4">
              <w:t>radiocommunications transmitters</w:t>
            </w:r>
            <w:r w:rsidR="00FD6FA4" w:rsidRPr="00845D94">
              <w:t xml:space="preserve"> </w:t>
            </w:r>
            <w:r w:rsidRPr="00845D94">
              <w:t xml:space="preserve">not be operated under the licence unless they have been registered in accordance </w:t>
            </w:r>
            <w:r w:rsidRPr="00845D94">
              <w:lastRenderedPageBreak/>
              <w:t xml:space="preserve">with the </w:t>
            </w:r>
            <w:r w:rsidR="00233A9B">
              <w:t>r</w:t>
            </w:r>
            <w:r w:rsidRPr="00845D94">
              <w:t>egister rules, and also provides for exemptions from the registration requirement for certain mobile and fixed transmitters. (These are provided as examples only and should not be taken to be indicative of likely conditions for any particular licence that may be issued.)</w:t>
            </w:r>
          </w:p>
          <w:p w14:paraId="2ECC3A84" w14:textId="77777777" w:rsidR="00845D94" w:rsidRPr="00845D94" w:rsidRDefault="00845D94" w:rsidP="00845D94">
            <w:pPr>
              <w:pStyle w:val="TableBody"/>
              <w:rPr>
                <w:b/>
              </w:rPr>
            </w:pPr>
            <w:r w:rsidRPr="00845D94">
              <w:rPr>
                <w:b/>
              </w:rPr>
              <w:t>Sample location-based licence</w:t>
            </w:r>
          </w:p>
          <w:p w14:paraId="7BB91978" w14:textId="73027456" w:rsidR="00845D94" w:rsidRDefault="00845D94" w:rsidP="00FD6FA4">
            <w:pPr>
              <w:pStyle w:val="TableBody"/>
              <w:spacing w:after="120"/>
            </w:pPr>
            <w:r w:rsidRPr="00845D94">
              <w:t xml:space="preserve">The sample licence places a condition on the licence requiring that </w:t>
            </w:r>
            <w:r w:rsidR="00FD6FA4">
              <w:t>radiocommunications transmitters</w:t>
            </w:r>
            <w:r w:rsidR="00FD6FA4" w:rsidRPr="00845D94">
              <w:t xml:space="preserve"> </w:t>
            </w:r>
            <w:r w:rsidRPr="00845D94">
              <w:t xml:space="preserve">not be operated under the licence unless they have been registered in accordance with the </w:t>
            </w:r>
            <w:r w:rsidR="00233A9B">
              <w:t>r</w:t>
            </w:r>
            <w:r w:rsidRPr="00845D94">
              <w:t>egister rules.</w:t>
            </w:r>
          </w:p>
        </w:tc>
      </w:tr>
      <w:tr w:rsidR="00845D94" w14:paraId="689AECE7" w14:textId="77777777" w:rsidTr="00492F29">
        <w:tc>
          <w:tcPr>
            <w:tcW w:w="4604" w:type="dxa"/>
            <w:tcMar>
              <w:top w:w="28" w:type="dxa"/>
              <w:bottom w:w="28" w:type="dxa"/>
            </w:tcMar>
          </w:tcPr>
          <w:p w14:paraId="41B477B7" w14:textId="0983ACBC" w:rsidR="00845D94" w:rsidRPr="00845D94" w:rsidRDefault="00845D94" w:rsidP="00492F29">
            <w:pPr>
              <w:pStyle w:val="ListNumber"/>
              <w:numPr>
                <w:ilvl w:val="0"/>
                <w:numId w:val="15"/>
              </w:numPr>
              <w:spacing w:before="120"/>
              <w:rPr>
                <w:b/>
              </w:rPr>
            </w:pPr>
            <w:r w:rsidRPr="00845D94">
              <w:rPr>
                <w:b/>
              </w:rPr>
              <w:lastRenderedPageBreak/>
              <w:t xml:space="preserve">PAYMENT CONDITION </w:t>
            </w:r>
            <w:r w:rsidR="00805859">
              <w:rPr>
                <w:b/>
              </w:rPr>
              <w:t>clause</w:t>
            </w:r>
            <w:r w:rsidR="00A1464A">
              <w:rPr>
                <w:b/>
              </w:rPr>
              <w:t xml:space="preserve"> </w:t>
            </w:r>
            <w:r w:rsidR="00337F11">
              <w:rPr>
                <w:b/>
              </w:rPr>
              <w:t>48</w:t>
            </w:r>
          </w:p>
          <w:p w14:paraId="43619121" w14:textId="77777777" w:rsidR="00845D94" w:rsidRPr="00845D94" w:rsidRDefault="00845D94" w:rsidP="00845D94">
            <w:pPr>
              <w:pStyle w:val="TableBody"/>
              <w:spacing w:after="80"/>
            </w:pPr>
            <w:r w:rsidRPr="00845D94">
              <w:t>A licence must include a condition that the licensee meet all obligations (if any) of the licensee to pay:</w:t>
            </w:r>
          </w:p>
          <w:p w14:paraId="11097D2D" w14:textId="1B866345" w:rsidR="00845D94" w:rsidRPr="009F7DFA" w:rsidRDefault="00845D94" w:rsidP="00845D94">
            <w:pPr>
              <w:pStyle w:val="ListBullet"/>
            </w:pPr>
            <w:r w:rsidRPr="009F7DFA">
              <w:t xml:space="preserve">charges fixed by determinations made under </w:t>
            </w:r>
            <w:r w:rsidR="00A03A6C">
              <w:t>section</w:t>
            </w:r>
            <w:r w:rsidRPr="009F7DFA">
              <w:t xml:space="preserve"> 60 of the </w:t>
            </w:r>
            <w:r w:rsidRPr="00533214">
              <w:rPr>
                <w:i/>
              </w:rPr>
              <w:t>Australian Communications and Media Authority Act 2005</w:t>
            </w:r>
          </w:p>
          <w:p w14:paraId="00C5FBE1" w14:textId="0D9AFFAC" w:rsidR="00845D94" w:rsidRDefault="00845D94" w:rsidP="005F10F4">
            <w:pPr>
              <w:pStyle w:val="ListBulletLast"/>
            </w:pPr>
            <w:r w:rsidRPr="009F7DFA">
              <w:t>the spectrum access charges fixed by</w:t>
            </w:r>
            <w:r w:rsidRPr="006244E6">
              <w:rPr>
                <w:szCs w:val="20"/>
              </w:rPr>
              <w:t xml:space="preserve"> </w:t>
            </w:r>
            <w:r w:rsidRPr="009F7DFA">
              <w:t xml:space="preserve">determinations made under </w:t>
            </w:r>
            <w:r w:rsidR="00805859">
              <w:t>clause</w:t>
            </w:r>
            <w:r w:rsidR="00A1464A">
              <w:t xml:space="preserve"> </w:t>
            </w:r>
            <w:r w:rsidR="00337F11">
              <w:t>193</w:t>
            </w:r>
            <w:r w:rsidRPr="009F7DFA">
              <w:t>.</w:t>
            </w:r>
          </w:p>
        </w:tc>
        <w:tc>
          <w:tcPr>
            <w:tcW w:w="4605" w:type="dxa"/>
            <w:tcMar>
              <w:top w:w="28" w:type="dxa"/>
              <w:bottom w:w="28" w:type="dxa"/>
            </w:tcMar>
          </w:tcPr>
          <w:p w14:paraId="3D9E0B54" w14:textId="47A3334E" w:rsidR="00845D94" w:rsidRPr="006244E6" w:rsidRDefault="00845D94" w:rsidP="00492F29">
            <w:pPr>
              <w:pStyle w:val="TableBody"/>
              <w:spacing w:before="120"/>
            </w:pPr>
            <w:r w:rsidRPr="006244E6">
              <w:t xml:space="preserve">Following the </w:t>
            </w:r>
            <w:r w:rsidR="00233A9B">
              <w:t>g</w:t>
            </w:r>
            <w:r w:rsidRPr="006244E6">
              <w:t>overnment’s review of spectrum pricing, the ACMA expects to consider the method of payment of charges and taxes</w:t>
            </w:r>
            <w:r w:rsidR="00233A9B">
              <w:t>;</w:t>
            </w:r>
            <w:r w:rsidRPr="006244E6">
              <w:t xml:space="preserve"> for example</w:t>
            </w:r>
            <w:r w:rsidR="00233A9B">
              <w:t>,</w:t>
            </w:r>
            <w:r w:rsidRPr="006244E6">
              <w:t xml:space="preserve"> whether an upfront amount is payable.</w:t>
            </w:r>
          </w:p>
          <w:p w14:paraId="465C93B2" w14:textId="559E419E" w:rsidR="00845D94" w:rsidRDefault="00845D94" w:rsidP="00492F29">
            <w:pPr>
              <w:pStyle w:val="TableBody"/>
              <w:spacing w:after="120"/>
            </w:pPr>
            <w:r w:rsidRPr="006244E6">
              <w:t xml:space="preserve">The ACMA’s approach or approaches may be influenced by outcomes of the </w:t>
            </w:r>
            <w:r w:rsidR="007F2C97">
              <w:t>g</w:t>
            </w:r>
            <w:r w:rsidRPr="006244E6">
              <w:t xml:space="preserve">overnment’s review of spectrum pricing and any ministerial policy statements. </w:t>
            </w:r>
            <w:r>
              <w:t>The ACMA</w:t>
            </w:r>
            <w:r w:rsidRPr="006244E6">
              <w:t xml:space="preserve"> also expects to undertake further </w:t>
            </w:r>
            <w:r>
              <w:t>analysis</w:t>
            </w:r>
            <w:r w:rsidRPr="006244E6">
              <w:t xml:space="preserve"> to consider the appropriate combination of licence terms, payment points and </w:t>
            </w:r>
            <w:r>
              <w:t>processes preceding licence expiry</w:t>
            </w:r>
            <w:r w:rsidRPr="006244E6" w:rsidDel="00895041">
              <w:t xml:space="preserve"> </w:t>
            </w:r>
            <w:r w:rsidRPr="006244E6">
              <w:t>(</w:t>
            </w:r>
            <w:r w:rsidR="007F2C97">
              <w:t xml:space="preserve">for example, </w:t>
            </w:r>
            <w:r w:rsidRPr="006244E6">
              <w:t xml:space="preserve">options concerning renewal) </w:t>
            </w:r>
            <w:r w:rsidR="007F2C97">
              <w:t>that</w:t>
            </w:r>
            <w:r w:rsidR="007F2C97" w:rsidRPr="006244E6">
              <w:t xml:space="preserve"> </w:t>
            </w:r>
            <w:r w:rsidRPr="006244E6">
              <w:t>best support</w:t>
            </w:r>
            <w:r w:rsidR="007C6345">
              <w:t>s</w:t>
            </w:r>
            <w:r w:rsidRPr="006244E6">
              <w:t xml:space="preserve"> the efficient allocation of spectrum.</w:t>
            </w:r>
            <w:r w:rsidRPr="006244E6" w:rsidDel="001F41C5">
              <w:t xml:space="preserve"> </w:t>
            </w:r>
          </w:p>
        </w:tc>
      </w:tr>
      <w:tr w:rsidR="003B457B" w14:paraId="05C66EC6" w14:textId="77777777" w:rsidTr="00492F29">
        <w:tc>
          <w:tcPr>
            <w:tcW w:w="4604" w:type="dxa"/>
            <w:tcMar>
              <w:top w:w="28" w:type="dxa"/>
              <w:bottom w:w="28" w:type="dxa"/>
            </w:tcMar>
          </w:tcPr>
          <w:p w14:paraId="4C30E81A" w14:textId="0E4F2668" w:rsidR="003B457B" w:rsidRPr="003B457B" w:rsidRDefault="003B457B" w:rsidP="00492F29">
            <w:pPr>
              <w:pStyle w:val="ListNumber"/>
              <w:numPr>
                <w:ilvl w:val="0"/>
                <w:numId w:val="15"/>
              </w:numPr>
              <w:spacing w:before="120"/>
              <w:rPr>
                <w:b/>
              </w:rPr>
            </w:pPr>
            <w:r w:rsidRPr="003B457B">
              <w:rPr>
                <w:b/>
              </w:rPr>
              <w:t xml:space="preserve">OTHER CONDITIONS </w:t>
            </w:r>
            <w:r w:rsidR="00805859">
              <w:rPr>
                <w:b/>
              </w:rPr>
              <w:t>clause</w:t>
            </w:r>
            <w:r w:rsidR="00A1464A">
              <w:rPr>
                <w:b/>
              </w:rPr>
              <w:t xml:space="preserve"> </w:t>
            </w:r>
            <w:r w:rsidR="00337F11">
              <w:rPr>
                <w:b/>
              </w:rPr>
              <w:t>51</w:t>
            </w:r>
          </w:p>
          <w:p w14:paraId="0B450737" w14:textId="77777777" w:rsidR="003B457B" w:rsidRPr="003B457B" w:rsidRDefault="003B457B" w:rsidP="00492F29">
            <w:pPr>
              <w:pStyle w:val="TableBody"/>
            </w:pPr>
            <w:r w:rsidRPr="003B457B">
              <w:t>The ACMA may include such other conditions in a licence as it thinks appropriate.</w:t>
            </w:r>
          </w:p>
          <w:p w14:paraId="72326D51" w14:textId="77777777" w:rsidR="003B457B" w:rsidRPr="003B457B" w:rsidRDefault="003B457B" w:rsidP="003B457B">
            <w:pPr>
              <w:pStyle w:val="TableBody"/>
              <w:spacing w:after="80"/>
            </w:pPr>
            <w:r w:rsidRPr="003B457B">
              <w:t>The following are examples of conditions that may be included:</w:t>
            </w:r>
          </w:p>
          <w:p w14:paraId="1398C04D" w14:textId="016B7942" w:rsidR="003B457B" w:rsidRPr="006244E6" w:rsidRDefault="007F2C97" w:rsidP="003B457B">
            <w:pPr>
              <w:pStyle w:val="ListBullet"/>
            </w:pPr>
            <w:r>
              <w:t>A</w:t>
            </w:r>
            <w:r w:rsidR="003B457B" w:rsidRPr="006244E6">
              <w:t xml:space="preserve"> condition specifying the maximum permitted level of radio emission, in parts of the spectrum outside the part or parts of the spectrum in which operation of radiocommunications devices is authorised under the licence, that may be caused by operation of radiocommunications devices under the licence</w:t>
            </w:r>
            <w:r>
              <w:t>.</w:t>
            </w:r>
          </w:p>
          <w:p w14:paraId="661617D2" w14:textId="2423D8E9" w:rsidR="003B457B" w:rsidRPr="006244E6" w:rsidRDefault="007F2C97" w:rsidP="00A1464A">
            <w:pPr>
              <w:pStyle w:val="ListBullet"/>
              <w:keepLines/>
            </w:pPr>
            <w:r>
              <w:t>A</w:t>
            </w:r>
            <w:r w:rsidR="003B457B" w:rsidRPr="006244E6">
              <w:t xml:space="preserve"> condition specifying the maximum permitted level of radio emission, outside the area within which operation of radiocommunications devices is authorised under the licence, that may be caused by operation of radiocommunications devices under the licence</w:t>
            </w:r>
            <w:r>
              <w:t>.</w:t>
            </w:r>
          </w:p>
          <w:p w14:paraId="1A7F4C09" w14:textId="51177E39" w:rsidR="003B457B" w:rsidRDefault="003B457B" w:rsidP="00FC271D">
            <w:pPr>
              <w:pStyle w:val="ListBulletLast"/>
              <w:numPr>
                <w:ilvl w:val="0"/>
                <w:numId w:val="0"/>
              </w:numPr>
            </w:pPr>
          </w:p>
        </w:tc>
        <w:tc>
          <w:tcPr>
            <w:tcW w:w="4605" w:type="dxa"/>
            <w:tcMar>
              <w:top w:w="28" w:type="dxa"/>
              <w:bottom w:w="28" w:type="dxa"/>
            </w:tcMar>
          </w:tcPr>
          <w:p w14:paraId="31D50CAE" w14:textId="77777777" w:rsidR="003B457B" w:rsidRPr="006244E6" w:rsidRDefault="003B457B" w:rsidP="00492F29">
            <w:pPr>
              <w:pStyle w:val="TableBody"/>
              <w:spacing w:before="120"/>
            </w:pPr>
            <w:r w:rsidRPr="006244E6">
              <w:t xml:space="preserve">There is wide scope for other conditions to be included </w:t>
            </w:r>
            <w:r>
              <w:t>in</w:t>
            </w:r>
            <w:r w:rsidRPr="006244E6">
              <w:t xml:space="preserve"> a licence.</w:t>
            </w:r>
          </w:p>
          <w:p w14:paraId="55544E4B" w14:textId="13B13B2D" w:rsidR="003B457B" w:rsidRPr="006244E6" w:rsidRDefault="003B457B" w:rsidP="00492F29">
            <w:pPr>
              <w:pStyle w:val="TableBody"/>
            </w:pPr>
            <w:r w:rsidRPr="006244E6">
              <w:t>These conditions can relate to applications or uses permitted by the licence and can describe how the spectrum or technology can be used under th</w:t>
            </w:r>
            <w:r w:rsidR="0060732F">
              <w:t>e</w:t>
            </w:r>
            <w:r w:rsidRPr="006244E6">
              <w:t xml:space="preserve"> licence</w:t>
            </w:r>
            <w:r>
              <w:t>,</w:t>
            </w:r>
            <w:r w:rsidRPr="006244E6">
              <w:t xml:space="preserve"> whether on a technical (quantitative) or descriptive (qualitative) basis.</w:t>
            </w:r>
          </w:p>
          <w:p w14:paraId="1E4C8058" w14:textId="49021ABA" w:rsidR="003B457B" w:rsidRPr="006244E6" w:rsidRDefault="003B457B" w:rsidP="00492F29">
            <w:pPr>
              <w:pStyle w:val="TableBody"/>
            </w:pPr>
            <w:r w:rsidRPr="006244E6">
              <w:t>This provision will allow the ACMA the discretion to include both</w:t>
            </w:r>
            <w:r w:rsidR="007F2C97">
              <w:t xml:space="preserve"> </w:t>
            </w:r>
            <w:r w:rsidRPr="006244E6">
              <w:t xml:space="preserve">conditions </w:t>
            </w:r>
            <w:r>
              <w:t>specific to individual licences and conditions applying to multiple licences</w:t>
            </w:r>
            <w:r w:rsidRPr="006244E6">
              <w:t>.</w:t>
            </w:r>
          </w:p>
          <w:p w14:paraId="77E4756D" w14:textId="70C826B0" w:rsidR="003B457B" w:rsidRPr="006244E6" w:rsidRDefault="003B457B" w:rsidP="00492F29">
            <w:pPr>
              <w:pStyle w:val="TableBody"/>
            </w:pPr>
            <w:r w:rsidRPr="006244E6">
              <w:t>In determining the technical conditions applying to a licence, the ACMA expects to be guided by the objects of the Bill including overall efficient management of spectrum and the desirability of creating licences that are as techn</w:t>
            </w:r>
            <w:r>
              <w:t>ologically</w:t>
            </w:r>
            <w:r w:rsidR="007F2C97">
              <w:t xml:space="preserve"> </w:t>
            </w:r>
            <w:r w:rsidRPr="006244E6">
              <w:t>neutral as possible.</w:t>
            </w:r>
          </w:p>
          <w:p w14:paraId="1279BF0D" w14:textId="77777777" w:rsidR="003B457B" w:rsidRPr="00492F29" w:rsidRDefault="003B457B" w:rsidP="00737439">
            <w:pPr>
              <w:pStyle w:val="TableBody"/>
              <w:spacing w:after="120"/>
            </w:pPr>
            <w:r w:rsidRPr="001816C3">
              <w:t xml:space="preserve">Generic conditions that apply to distinct groups of </w:t>
            </w:r>
            <w:r w:rsidRPr="00492F29">
              <w:t>licences may be applied through a legislative instrument while specific conditions would continue to be applied on the licence itself.</w:t>
            </w:r>
          </w:p>
          <w:p w14:paraId="63A3114A" w14:textId="77777777" w:rsidR="003B457B" w:rsidRPr="00492F29" w:rsidRDefault="003B457B" w:rsidP="00492F29">
            <w:pPr>
              <w:pStyle w:val="TableBody"/>
              <w:spacing w:after="80"/>
              <w:rPr>
                <w:b/>
              </w:rPr>
            </w:pPr>
            <w:r w:rsidRPr="00492F29">
              <w:rPr>
                <w:b/>
              </w:rPr>
              <w:t>Sample area-based licence</w:t>
            </w:r>
          </w:p>
          <w:p w14:paraId="01DB2D3C" w14:textId="77777777" w:rsidR="003B457B" w:rsidRPr="003B457B" w:rsidRDefault="003B457B" w:rsidP="00492F29">
            <w:pPr>
              <w:pStyle w:val="TableBody"/>
            </w:pPr>
            <w:r w:rsidRPr="003B457B">
              <w:t>The sample licence includes technical conditions relating to non-spurious and spurious emissions, and the maximum permitted level of emission, in line with international standards defining mobile broadband services.</w:t>
            </w:r>
          </w:p>
          <w:p w14:paraId="04C71780" w14:textId="498114F7" w:rsidR="003B457B" w:rsidRPr="003B457B" w:rsidRDefault="003B457B" w:rsidP="00492F29">
            <w:pPr>
              <w:pStyle w:val="TableBody"/>
              <w:spacing w:after="80"/>
            </w:pPr>
            <w:r w:rsidRPr="003B457B">
              <w:t xml:space="preserve">The sample licence also includes a condition requiring a licensee to inform authorised third </w:t>
            </w:r>
            <w:r w:rsidRPr="003B457B">
              <w:lastRenderedPageBreak/>
              <w:t xml:space="preserve">parties about their obligations under the licence, and a condition about the provision of information to the ACMA to maintain the integrity of the </w:t>
            </w:r>
            <w:r w:rsidR="007F2C97">
              <w:t>r</w:t>
            </w:r>
            <w:r w:rsidRPr="003B457B">
              <w:t>egister.</w:t>
            </w:r>
          </w:p>
          <w:p w14:paraId="184D9F6A" w14:textId="77777777" w:rsidR="003B457B" w:rsidRPr="00492F29" w:rsidRDefault="003B457B" w:rsidP="00492F29">
            <w:pPr>
              <w:pStyle w:val="TableBody"/>
              <w:rPr>
                <w:b/>
              </w:rPr>
            </w:pPr>
            <w:r w:rsidRPr="00492F29">
              <w:rPr>
                <w:b/>
              </w:rPr>
              <w:t>Sample location-based licence</w:t>
            </w:r>
          </w:p>
          <w:p w14:paraId="74E96B57" w14:textId="780E1846" w:rsidR="003B457B" w:rsidRPr="003B457B" w:rsidRDefault="003B457B" w:rsidP="00492F29">
            <w:pPr>
              <w:pStyle w:val="TableBody"/>
              <w:spacing w:after="80"/>
            </w:pPr>
            <w:r w:rsidRPr="003B457B">
              <w:t>The sample licence places technical conditions relating to spurious emissions and the broadband noise floor.</w:t>
            </w:r>
          </w:p>
          <w:p w14:paraId="2094C140" w14:textId="4FC63FBF" w:rsidR="003B457B" w:rsidRDefault="003B457B" w:rsidP="00492F29">
            <w:pPr>
              <w:pStyle w:val="TableBody"/>
              <w:spacing w:after="120"/>
            </w:pPr>
            <w:r w:rsidRPr="003B457B">
              <w:t xml:space="preserve">The sample licence also includes a condition requiring a licensee to inform authorised third parties about their obligations under the licence, and a condition about the provision of information to the ACMA to maintain the integrity of the </w:t>
            </w:r>
            <w:r w:rsidR="007F2C97">
              <w:t>r</w:t>
            </w:r>
            <w:r w:rsidRPr="003B457B">
              <w:t>egister.</w:t>
            </w:r>
          </w:p>
        </w:tc>
      </w:tr>
      <w:tr w:rsidR="003B457B" w14:paraId="606A054B" w14:textId="77777777" w:rsidTr="00492F29">
        <w:tc>
          <w:tcPr>
            <w:tcW w:w="4604" w:type="dxa"/>
            <w:tcMar>
              <w:top w:w="28" w:type="dxa"/>
              <w:bottom w:w="28" w:type="dxa"/>
            </w:tcMar>
          </w:tcPr>
          <w:p w14:paraId="00AA268A" w14:textId="0D810ABF" w:rsidR="003B457B" w:rsidRPr="003B457B" w:rsidRDefault="003B457B" w:rsidP="00492F29">
            <w:pPr>
              <w:pStyle w:val="ListNumber"/>
              <w:numPr>
                <w:ilvl w:val="0"/>
                <w:numId w:val="15"/>
              </w:numPr>
              <w:spacing w:before="120"/>
              <w:rPr>
                <w:b/>
              </w:rPr>
            </w:pPr>
            <w:r w:rsidRPr="003B457B">
              <w:rPr>
                <w:b/>
              </w:rPr>
              <w:lastRenderedPageBreak/>
              <w:t xml:space="preserve">RENEWAL STATEMENTS </w:t>
            </w:r>
            <w:r w:rsidR="00805859">
              <w:rPr>
                <w:b/>
              </w:rPr>
              <w:t>clause</w:t>
            </w:r>
            <w:r w:rsidR="00D80EAA">
              <w:rPr>
                <w:b/>
              </w:rPr>
              <w:t xml:space="preserve"> </w:t>
            </w:r>
            <w:r w:rsidR="00337F11">
              <w:rPr>
                <w:b/>
              </w:rPr>
              <w:t>59</w:t>
            </w:r>
          </w:p>
          <w:p w14:paraId="7A9D5BB9" w14:textId="51B5B65A" w:rsidR="000C7010" w:rsidRPr="003446A9" w:rsidRDefault="000C7010" w:rsidP="000C7010">
            <w:pPr>
              <w:spacing w:after="120"/>
              <w:rPr>
                <w:rFonts w:cs="Arial"/>
                <w:szCs w:val="20"/>
              </w:rPr>
            </w:pPr>
            <w:r>
              <w:rPr>
                <w:rFonts w:cs="Arial"/>
                <w:szCs w:val="20"/>
              </w:rPr>
              <w:t>A</w:t>
            </w:r>
            <w:r w:rsidRPr="003446A9">
              <w:rPr>
                <w:rFonts w:cs="Arial"/>
                <w:szCs w:val="20"/>
              </w:rPr>
              <w:t xml:space="preserve"> licence must include a statement to the effect that:</w:t>
            </w:r>
          </w:p>
          <w:p w14:paraId="01D4CD5C" w14:textId="77777777" w:rsidR="000C7010" w:rsidRPr="00434F93" w:rsidRDefault="000C7010" w:rsidP="00AE15CD">
            <w:pPr>
              <w:pStyle w:val="ListBullet"/>
            </w:pPr>
            <w:r w:rsidRPr="00434F93">
              <w:t>there is a right to renew the licence in specified circumstances, or</w:t>
            </w:r>
          </w:p>
          <w:p w14:paraId="5BD6F8E5" w14:textId="77777777" w:rsidR="000C7010" w:rsidRPr="00434F93" w:rsidRDefault="000C7010" w:rsidP="00AE15CD">
            <w:pPr>
              <w:pStyle w:val="ListBullet"/>
            </w:pPr>
            <w:r w:rsidRPr="00434F93">
              <w:t>the licence may be renewed at the discretion of the ACMA, or</w:t>
            </w:r>
          </w:p>
          <w:p w14:paraId="6117450E" w14:textId="77777777" w:rsidR="000C7010" w:rsidRPr="00434F93" w:rsidRDefault="000C7010" w:rsidP="00AE15CD">
            <w:pPr>
              <w:pStyle w:val="ListBulletLast"/>
            </w:pPr>
            <w:r w:rsidRPr="00434F93">
              <w:t>the licence cannot be renewed.</w:t>
            </w:r>
          </w:p>
          <w:p w14:paraId="28945016" w14:textId="31AAA514" w:rsidR="003B457B" w:rsidRDefault="000C7010" w:rsidP="000C7010">
            <w:r>
              <w:rPr>
                <w:rFonts w:cs="Arial"/>
                <w:szCs w:val="20"/>
              </w:rPr>
              <w:t>A licence must</w:t>
            </w:r>
            <w:r w:rsidRPr="003446A9">
              <w:rPr>
                <w:rFonts w:cs="Arial"/>
                <w:szCs w:val="20"/>
              </w:rPr>
              <w:t xml:space="preserve"> specify the period during which licensees may apply for renewal, as well as allowing the original licence to include a statement regarding the characteristics of the renewed licence.</w:t>
            </w:r>
          </w:p>
        </w:tc>
        <w:tc>
          <w:tcPr>
            <w:tcW w:w="4605" w:type="dxa"/>
            <w:tcMar>
              <w:top w:w="28" w:type="dxa"/>
              <w:bottom w:w="28" w:type="dxa"/>
            </w:tcMar>
          </w:tcPr>
          <w:p w14:paraId="087DE01B" w14:textId="03D802D4" w:rsidR="003B457B" w:rsidRPr="006244E6" w:rsidRDefault="003B457B" w:rsidP="00492F29">
            <w:pPr>
              <w:spacing w:before="120" w:after="80"/>
            </w:pPr>
            <w:r w:rsidRPr="006244E6">
              <w:t>Please see page</w:t>
            </w:r>
            <w:r w:rsidR="00967992">
              <w:t>s</w:t>
            </w:r>
            <w:r w:rsidRPr="006244E6">
              <w:t xml:space="preserve"> </w:t>
            </w:r>
            <w:r w:rsidR="00967992">
              <w:t>11-13</w:t>
            </w:r>
            <w:r w:rsidRPr="006244E6">
              <w:t xml:space="preserve"> of this paper (</w:t>
            </w:r>
            <w:r>
              <w:t>above</w:t>
            </w:r>
            <w:r w:rsidRPr="006244E6">
              <w:t>) for a detailed discussion of the considerations that might guide the development of a renewal statement.</w:t>
            </w:r>
          </w:p>
          <w:p w14:paraId="2437F6A7" w14:textId="77777777" w:rsidR="003B457B" w:rsidRPr="003B457B" w:rsidRDefault="003B457B" w:rsidP="003B457B">
            <w:pPr>
              <w:spacing w:after="0"/>
              <w:rPr>
                <w:b/>
              </w:rPr>
            </w:pPr>
            <w:r w:rsidRPr="003B457B">
              <w:rPr>
                <w:b/>
              </w:rPr>
              <w:t>Sample area-based licence</w:t>
            </w:r>
          </w:p>
          <w:p w14:paraId="11FE2AF4" w14:textId="77777777" w:rsidR="003B457B" w:rsidRPr="003B457B" w:rsidRDefault="003B457B" w:rsidP="003B457B">
            <w:pPr>
              <w:spacing w:after="80"/>
            </w:pPr>
            <w:r w:rsidRPr="003B457B">
              <w:t>No example text</w:t>
            </w:r>
          </w:p>
          <w:p w14:paraId="69CDA57B" w14:textId="77777777" w:rsidR="003B457B" w:rsidRPr="003B457B" w:rsidRDefault="003B457B" w:rsidP="003B457B">
            <w:pPr>
              <w:spacing w:after="0"/>
              <w:rPr>
                <w:b/>
              </w:rPr>
            </w:pPr>
            <w:r w:rsidRPr="003B457B">
              <w:rPr>
                <w:b/>
              </w:rPr>
              <w:t>Sample location-based licence</w:t>
            </w:r>
          </w:p>
          <w:p w14:paraId="5CD131A2" w14:textId="4EB1FC1F" w:rsidR="003B457B" w:rsidRDefault="003B457B" w:rsidP="00492F29">
            <w:pPr>
              <w:spacing w:after="120"/>
            </w:pPr>
            <w:r w:rsidRPr="006244E6">
              <w:t>No example text</w:t>
            </w:r>
          </w:p>
        </w:tc>
      </w:tr>
      <w:tr w:rsidR="003B457B" w14:paraId="3DBAD7EE" w14:textId="77777777" w:rsidTr="00492F29">
        <w:tc>
          <w:tcPr>
            <w:tcW w:w="4604" w:type="dxa"/>
            <w:tcMar>
              <w:top w:w="28" w:type="dxa"/>
              <w:bottom w:w="28" w:type="dxa"/>
            </w:tcMar>
          </w:tcPr>
          <w:p w14:paraId="7F0F957D" w14:textId="2A86063F" w:rsidR="003B457B" w:rsidRPr="003B457B" w:rsidRDefault="003B457B" w:rsidP="00492F29">
            <w:pPr>
              <w:pStyle w:val="ListNumber"/>
              <w:numPr>
                <w:ilvl w:val="0"/>
                <w:numId w:val="15"/>
              </w:numPr>
              <w:spacing w:before="120"/>
              <w:rPr>
                <w:b/>
              </w:rPr>
            </w:pPr>
            <w:r w:rsidRPr="003B457B">
              <w:rPr>
                <w:b/>
              </w:rPr>
              <w:t>THIRD</w:t>
            </w:r>
            <w:r w:rsidR="007F2C97">
              <w:rPr>
                <w:b/>
              </w:rPr>
              <w:t>-</w:t>
            </w:r>
            <w:r w:rsidRPr="003B457B">
              <w:rPr>
                <w:b/>
              </w:rPr>
              <w:t xml:space="preserve">PARTY AUTHORISATION STATEMENTS </w:t>
            </w:r>
            <w:r w:rsidR="00805859">
              <w:rPr>
                <w:b/>
              </w:rPr>
              <w:t>clause</w:t>
            </w:r>
            <w:r w:rsidR="00A1464A">
              <w:rPr>
                <w:b/>
              </w:rPr>
              <w:t xml:space="preserve"> </w:t>
            </w:r>
            <w:r w:rsidR="00337F11">
              <w:rPr>
                <w:b/>
              </w:rPr>
              <w:t>41</w:t>
            </w:r>
            <w:r w:rsidR="00993E0C">
              <w:rPr>
                <w:b/>
              </w:rPr>
              <w:t>, clause 42, clause 43</w:t>
            </w:r>
          </w:p>
          <w:p w14:paraId="13E6D785" w14:textId="77777777" w:rsidR="003B457B" w:rsidRPr="003B457B" w:rsidRDefault="003B457B" w:rsidP="00492F29">
            <w:pPr>
              <w:pStyle w:val="TableBody"/>
            </w:pPr>
            <w:r w:rsidRPr="003B457B">
              <w:t>The licensee of a licence may authorise one or more other persons to operate radiocommunications devices under the licence.</w:t>
            </w:r>
          </w:p>
          <w:p w14:paraId="19E6CD94" w14:textId="72AA75F3" w:rsidR="003B457B" w:rsidRPr="003B457B" w:rsidRDefault="003B457B" w:rsidP="00492F29">
            <w:pPr>
              <w:pStyle w:val="TableBody"/>
              <w:spacing w:after="80"/>
            </w:pPr>
            <w:r w:rsidRPr="003B457B">
              <w:t>However, the licensee is not entitled to authorise a person under sub</w:t>
            </w:r>
            <w:r w:rsidR="00805859">
              <w:t>clause</w:t>
            </w:r>
            <w:r w:rsidR="00A1464A">
              <w:t xml:space="preserve"> </w:t>
            </w:r>
            <w:r w:rsidR="00337F11">
              <w:t>41</w:t>
            </w:r>
            <w:r w:rsidRPr="003B457B">
              <w:t>(1) if</w:t>
            </w:r>
            <w:r w:rsidR="007F2C97">
              <w:t xml:space="preserve"> either</w:t>
            </w:r>
            <w:r w:rsidRPr="003B457B">
              <w:t>:</w:t>
            </w:r>
          </w:p>
          <w:p w14:paraId="46696C73" w14:textId="18898B17" w:rsidR="003B457B" w:rsidRPr="003B457B" w:rsidRDefault="003B457B" w:rsidP="003B457B">
            <w:pPr>
              <w:pStyle w:val="ListBullet"/>
            </w:pPr>
            <w:r w:rsidRPr="003B457B">
              <w:t>the licence includes a statement to the effect that the licence cannot authorise one or more other persons to operate radiocommunications devices under the licence</w:t>
            </w:r>
          </w:p>
          <w:p w14:paraId="55724EC5" w14:textId="0DC62F6C" w:rsidR="003B457B" w:rsidRPr="00442975" w:rsidRDefault="003B457B" w:rsidP="00442975">
            <w:pPr>
              <w:pStyle w:val="ListBullet"/>
            </w:pPr>
            <w:r w:rsidRPr="00442975">
              <w:t>both:</w:t>
            </w:r>
          </w:p>
          <w:p w14:paraId="1D44B0FD" w14:textId="6FA9BFBA" w:rsidR="003B457B" w:rsidRPr="006244E6" w:rsidRDefault="003B457B" w:rsidP="00442975">
            <w:pPr>
              <w:pStyle w:val="ListBullet2"/>
            </w:pPr>
            <w:r w:rsidRPr="006244E6">
              <w:t>the licence includes a statement setting out restrictions or limitations on the licensee’s right to authorise one or more other persons to operate radiocommunications devices under the licence</w:t>
            </w:r>
          </w:p>
          <w:p w14:paraId="5E59E83C" w14:textId="11C3075D" w:rsidR="003B457B" w:rsidRDefault="003B457B" w:rsidP="00442975">
            <w:pPr>
              <w:pStyle w:val="ListBullet2"/>
            </w:pPr>
            <w:r w:rsidRPr="006244E6">
              <w:t>the authorisation would contravene any of those restrictions or limitations.</w:t>
            </w:r>
          </w:p>
        </w:tc>
        <w:tc>
          <w:tcPr>
            <w:tcW w:w="4605" w:type="dxa"/>
            <w:tcMar>
              <w:top w:w="28" w:type="dxa"/>
              <w:bottom w:w="28" w:type="dxa"/>
            </w:tcMar>
          </w:tcPr>
          <w:p w14:paraId="01125BFC" w14:textId="5E2D429F" w:rsidR="003B457B" w:rsidRPr="006244E6" w:rsidRDefault="003B457B" w:rsidP="00492F29">
            <w:pPr>
              <w:pStyle w:val="TableBody"/>
              <w:spacing w:before="120" w:after="80"/>
            </w:pPr>
            <w:r w:rsidRPr="006244E6">
              <w:t>Third</w:t>
            </w:r>
            <w:r w:rsidR="007F2C97">
              <w:t>-</w:t>
            </w:r>
            <w:r w:rsidRPr="006244E6">
              <w:t>party authorisations are generally permitted, unless there is a designated statement on the licence that limits such authorisations.</w:t>
            </w:r>
          </w:p>
          <w:p w14:paraId="445D5D93" w14:textId="04DA346E" w:rsidR="003B457B" w:rsidRPr="006244E6" w:rsidRDefault="003B457B" w:rsidP="00492F29">
            <w:pPr>
              <w:pStyle w:val="TableBody"/>
              <w:spacing w:after="80"/>
            </w:pPr>
            <w:r w:rsidRPr="006244E6">
              <w:t xml:space="preserve">The ACMA would expect that </w:t>
            </w:r>
            <w:r>
              <w:t xml:space="preserve">it would set </w:t>
            </w:r>
            <w:r w:rsidRPr="006244E6">
              <w:t>limits to the licensee’s ability to authorise third</w:t>
            </w:r>
            <w:r w:rsidR="007F2C97">
              <w:t>-</w:t>
            </w:r>
            <w:r w:rsidRPr="006244E6">
              <w:t>party users only in limited circumstances</w:t>
            </w:r>
            <w:r w:rsidR="007F2C97">
              <w:t>;</w:t>
            </w:r>
            <w:r w:rsidRPr="006244E6">
              <w:t xml:space="preserve"> for example</w:t>
            </w:r>
            <w:r>
              <w:t>:</w:t>
            </w:r>
            <w:r w:rsidRPr="006244E6">
              <w:t xml:space="preserve"> </w:t>
            </w:r>
          </w:p>
          <w:p w14:paraId="247D62E9" w14:textId="77777777" w:rsidR="003B457B" w:rsidRPr="006244E6" w:rsidRDefault="003B457B" w:rsidP="00442975">
            <w:pPr>
              <w:pStyle w:val="ListBullet"/>
            </w:pPr>
            <w:r w:rsidRPr="006244E6">
              <w:t>if the licen</w:t>
            </w:r>
            <w:r>
              <w:t>se</w:t>
            </w:r>
            <w:r w:rsidRPr="006244E6">
              <w:t xml:space="preserve">e was exempt from taxation or </w:t>
            </w:r>
            <w:r>
              <w:t xml:space="preserve">the licence was not subject to a </w:t>
            </w:r>
            <w:r w:rsidRPr="006244E6">
              <w:t>spectrum access charge</w:t>
            </w:r>
          </w:p>
          <w:p w14:paraId="7948447B" w14:textId="421A02F4" w:rsidR="003B457B" w:rsidRPr="006244E6" w:rsidRDefault="007F2C97" w:rsidP="00442975">
            <w:pPr>
              <w:pStyle w:val="ListBullet"/>
            </w:pPr>
            <w:r>
              <w:t>i</w:t>
            </w:r>
            <w:r w:rsidR="003B457B" w:rsidRPr="006244E6">
              <w:t>f the licence was issued in the public interest for a particular purpose</w:t>
            </w:r>
          </w:p>
          <w:p w14:paraId="64781998" w14:textId="7AF01DCF" w:rsidR="003B457B" w:rsidRPr="006244E6" w:rsidRDefault="007F2C97" w:rsidP="00442975">
            <w:pPr>
              <w:pStyle w:val="ListBullet"/>
            </w:pPr>
            <w:r>
              <w:t>i</w:t>
            </w:r>
            <w:r w:rsidR="003B457B" w:rsidRPr="006244E6">
              <w:t xml:space="preserve">f the licensee was a member of a class of licensees that received </w:t>
            </w:r>
            <w:r w:rsidR="003B457B">
              <w:t xml:space="preserve">tax or charges </w:t>
            </w:r>
            <w:r w:rsidR="003B457B" w:rsidRPr="006244E6">
              <w:t>concessions</w:t>
            </w:r>
          </w:p>
          <w:p w14:paraId="6E7AC03F" w14:textId="68B47FDD" w:rsidR="003B457B" w:rsidRPr="006244E6" w:rsidRDefault="007F2C97" w:rsidP="00442975">
            <w:pPr>
              <w:pStyle w:val="ListBulletLast"/>
            </w:pPr>
            <w:r>
              <w:t>i</w:t>
            </w:r>
            <w:r w:rsidR="003B457B" w:rsidRPr="006244E6">
              <w:t>f the licence related to a particular type of service and the third party was not qualified or certified in relation to that type of service</w:t>
            </w:r>
            <w:r>
              <w:t>.</w:t>
            </w:r>
          </w:p>
          <w:p w14:paraId="622FD2EE" w14:textId="77777777" w:rsidR="003B457B" w:rsidRPr="00492F29" w:rsidRDefault="003B457B" w:rsidP="00AE15CD">
            <w:pPr>
              <w:pStyle w:val="TableBody"/>
              <w:keepNext/>
              <w:spacing w:after="80"/>
              <w:rPr>
                <w:b/>
              </w:rPr>
            </w:pPr>
            <w:r w:rsidRPr="00492F29">
              <w:rPr>
                <w:b/>
              </w:rPr>
              <w:lastRenderedPageBreak/>
              <w:t>Sample area-based licence</w:t>
            </w:r>
          </w:p>
          <w:p w14:paraId="5FBBDD49" w14:textId="6F9A3040" w:rsidR="003B457B" w:rsidRPr="00442975" w:rsidRDefault="003B457B" w:rsidP="00AE15CD">
            <w:pPr>
              <w:pStyle w:val="TableBody"/>
              <w:keepNext/>
              <w:spacing w:after="80"/>
            </w:pPr>
            <w:r w:rsidRPr="00442975">
              <w:t>It is unlikely that for a spectrum space licence such as this sample licence</w:t>
            </w:r>
            <w:r w:rsidR="00AA752F">
              <w:t>,</w:t>
            </w:r>
            <w:r w:rsidRPr="00442975">
              <w:t xml:space="preserve"> that there would be any restrictions on third</w:t>
            </w:r>
            <w:r w:rsidR="00AA752F">
              <w:t>-</w:t>
            </w:r>
            <w:r w:rsidRPr="00442975">
              <w:t>party authorisations</w:t>
            </w:r>
            <w:r w:rsidR="00AA752F">
              <w:t>.</w:t>
            </w:r>
          </w:p>
          <w:p w14:paraId="3B0E1A77" w14:textId="77777777" w:rsidR="003B457B" w:rsidRPr="00492F29" w:rsidRDefault="003B457B" w:rsidP="00492F29">
            <w:pPr>
              <w:pStyle w:val="TableBody"/>
              <w:rPr>
                <w:b/>
              </w:rPr>
            </w:pPr>
            <w:r w:rsidRPr="00492F29">
              <w:rPr>
                <w:b/>
              </w:rPr>
              <w:t>Sample location-based licence</w:t>
            </w:r>
          </w:p>
          <w:p w14:paraId="3A2F2568" w14:textId="6A95034D" w:rsidR="003B457B" w:rsidRDefault="003B457B" w:rsidP="00492F29">
            <w:pPr>
              <w:pStyle w:val="TableBody"/>
              <w:spacing w:after="120"/>
            </w:pPr>
            <w:r w:rsidRPr="00442975">
              <w:t>The sample licence restricts the ability of the licensee to authorise certa</w:t>
            </w:r>
            <w:r w:rsidR="00B57706">
              <w:t xml:space="preserve">in persons to use the licence. </w:t>
            </w:r>
            <w:r w:rsidRPr="00442975">
              <w:t>These examples have been chosen arbitrarily and should not be taken to reflect likely restrictions the ACMA may include in any future licences.</w:t>
            </w:r>
          </w:p>
        </w:tc>
      </w:tr>
      <w:tr w:rsidR="00442975" w14:paraId="7D0E5B0E" w14:textId="77777777" w:rsidTr="00492F29">
        <w:tc>
          <w:tcPr>
            <w:tcW w:w="4604" w:type="dxa"/>
            <w:tcMar>
              <w:top w:w="28" w:type="dxa"/>
              <w:bottom w:w="28" w:type="dxa"/>
            </w:tcMar>
          </w:tcPr>
          <w:p w14:paraId="286A0E35" w14:textId="011C2F9B" w:rsidR="00442975" w:rsidRPr="00442975" w:rsidRDefault="00442975" w:rsidP="00492F29">
            <w:pPr>
              <w:pStyle w:val="ListNumber"/>
              <w:numPr>
                <w:ilvl w:val="0"/>
                <w:numId w:val="15"/>
              </w:numPr>
              <w:spacing w:before="120"/>
              <w:rPr>
                <w:b/>
              </w:rPr>
            </w:pPr>
            <w:r w:rsidRPr="00442975">
              <w:rPr>
                <w:b/>
              </w:rPr>
              <w:lastRenderedPageBreak/>
              <w:t>SUBDIV</w:t>
            </w:r>
            <w:r w:rsidR="00B57706">
              <w:rPr>
                <w:b/>
              </w:rPr>
              <w:t xml:space="preserve">ISION STATEMENTS, </w:t>
            </w:r>
            <w:r w:rsidR="00805859">
              <w:rPr>
                <w:b/>
              </w:rPr>
              <w:t>clause</w:t>
            </w:r>
            <w:r w:rsidR="00FC271D">
              <w:rPr>
                <w:b/>
              </w:rPr>
              <w:t xml:space="preserve"> 77, </w:t>
            </w:r>
            <w:r w:rsidR="00805859">
              <w:rPr>
                <w:b/>
              </w:rPr>
              <w:t>clause</w:t>
            </w:r>
            <w:r w:rsidR="00A1464A">
              <w:rPr>
                <w:b/>
              </w:rPr>
              <w:t> </w:t>
            </w:r>
            <w:r w:rsidR="00B57706">
              <w:rPr>
                <w:b/>
              </w:rPr>
              <w:t>7</w:t>
            </w:r>
            <w:r w:rsidR="00337F11">
              <w:rPr>
                <w:b/>
              </w:rPr>
              <w:t>8</w:t>
            </w:r>
            <w:r w:rsidR="00B57706">
              <w:rPr>
                <w:b/>
              </w:rPr>
              <w:t xml:space="preserve">, </w:t>
            </w:r>
            <w:r w:rsidR="00805859">
              <w:rPr>
                <w:b/>
              </w:rPr>
              <w:t>clause</w:t>
            </w:r>
            <w:r w:rsidR="00462147">
              <w:rPr>
                <w:b/>
              </w:rPr>
              <w:t xml:space="preserve"> </w:t>
            </w:r>
            <w:r w:rsidR="00B57706">
              <w:rPr>
                <w:b/>
              </w:rPr>
              <w:t>7</w:t>
            </w:r>
            <w:r w:rsidR="00337F11">
              <w:rPr>
                <w:b/>
              </w:rPr>
              <w:t>9</w:t>
            </w:r>
          </w:p>
          <w:p w14:paraId="07AFC692" w14:textId="77777777" w:rsidR="00442975" w:rsidRPr="00442975" w:rsidRDefault="00442975" w:rsidP="00492F29">
            <w:pPr>
              <w:pStyle w:val="TableBody"/>
              <w:spacing w:after="80"/>
            </w:pPr>
            <w:r w:rsidRPr="00442975">
              <w:t>A licence may include a statement to the effect that the licence cannot be subdivided.</w:t>
            </w:r>
          </w:p>
          <w:p w14:paraId="22C87F30" w14:textId="21E6616E" w:rsidR="00442975" w:rsidRDefault="00442975" w:rsidP="00492F29">
            <w:pPr>
              <w:pStyle w:val="TableBody"/>
            </w:pPr>
            <w:r w:rsidRPr="00442975">
              <w:t>A licence may include a statement setting out restrictions or limitations on the licensee’s right to instruct the ACMA to subdivide the licence.</w:t>
            </w:r>
          </w:p>
        </w:tc>
        <w:tc>
          <w:tcPr>
            <w:tcW w:w="4605" w:type="dxa"/>
            <w:tcMar>
              <w:top w:w="28" w:type="dxa"/>
              <w:bottom w:w="28" w:type="dxa"/>
            </w:tcMar>
          </w:tcPr>
          <w:p w14:paraId="23A4936D" w14:textId="10CECA38" w:rsidR="00442975" w:rsidRPr="006244E6" w:rsidRDefault="00442975" w:rsidP="00492F29">
            <w:pPr>
              <w:pStyle w:val="TableBody"/>
              <w:spacing w:before="120" w:after="80"/>
            </w:pPr>
            <w:r w:rsidRPr="006244E6">
              <w:t>Subdivision of licen</w:t>
            </w:r>
            <w:r w:rsidR="0024007B">
              <w:t>ce</w:t>
            </w:r>
            <w:r w:rsidRPr="006244E6">
              <w:t>s can assist in allowing market forces to move spectrum to t</w:t>
            </w:r>
            <w:r w:rsidR="00B57706">
              <w:t>he highest value use or uses.</w:t>
            </w:r>
          </w:p>
          <w:p w14:paraId="6F14CA89" w14:textId="23DE2EB2" w:rsidR="00442975" w:rsidRPr="006244E6" w:rsidRDefault="00442975" w:rsidP="00492F29">
            <w:pPr>
              <w:pStyle w:val="TableBody"/>
              <w:spacing w:after="80"/>
            </w:pPr>
            <w:r w:rsidRPr="006244E6">
              <w:t xml:space="preserve">In considering whether to include restrictions on the </w:t>
            </w:r>
            <w:r>
              <w:t>subdivision</w:t>
            </w:r>
            <w:r w:rsidRPr="006244E6">
              <w:t xml:space="preserve"> of licen</w:t>
            </w:r>
            <w:r w:rsidR="0024007B">
              <w:t>c</w:t>
            </w:r>
            <w:r w:rsidRPr="006244E6">
              <w:t>es, the ACMA expects to limit issuing licences that are too small (in frequency range) to be practical</w:t>
            </w:r>
            <w:r w:rsidR="00AA752F">
              <w:t>,</w:t>
            </w:r>
            <w:r w:rsidRPr="006244E6">
              <w:t xml:space="preserve"> and to adopt a consistent </w:t>
            </w:r>
            <w:r w:rsidR="009C2875">
              <w:t>approach</w:t>
            </w:r>
            <w:r w:rsidR="009C2875" w:rsidRPr="006244E6">
              <w:t xml:space="preserve"> </w:t>
            </w:r>
            <w:r w:rsidRPr="006244E6">
              <w:t>to the geographic division of licences (</w:t>
            </w:r>
            <w:r w:rsidR="00AA752F">
              <w:t>for example,</w:t>
            </w:r>
            <w:r w:rsidRPr="006244E6">
              <w:t xml:space="preserve"> in accordance with the HCIS), which would support greater trading.</w:t>
            </w:r>
          </w:p>
          <w:p w14:paraId="34FBDCEE" w14:textId="77777777" w:rsidR="00442975" w:rsidRPr="00442975" w:rsidRDefault="00442975" w:rsidP="00492F29">
            <w:pPr>
              <w:pStyle w:val="TableBody"/>
              <w:rPr>
                <w:b/>
              </w:rPr>
            </w:pPr>
            <w:r w:rsidRPr="00442975">
              <w:rPr>
                <w:b/>
              </w:rPr>
              <w:t>Sample area-based licence</w:t>
            </w:r>
          </w:p>
          <w:p w14:paraId="3D57789E" w14:textId="77777777" w:rsidR="00442975" w:rsidRPr="00442975" w:rsidRDefault="00442975" w:rsidP="00492F29">
            <w:pPr>
              <w:pStyle w:val="TableBody"/>
              <w:spacing w:after="80"/>
            </w:pPr>
            <w:r w:rsidRPr="00442975">
              <w:t>The sample licence provides for a minimum bandwidth of 5 MHz for any subdivision. This is to guard against the risk of spectrum being subdivided into inefficiently small blocks. This is an example only and should not be taken to reflect likely restrictions the ACMA may include in any future licences.</w:t>
            </w:r>
          </w:p>
          <w:p w14:paraId="722C5B9C" w14:textId="77777777" w:rsidR="00442975" w:rsidRPr="00442975" w:rsidRDefault="00442975" w:rsidP="00492F29">
            <w:pPr>
              <w:pStyle w:val="TableBody"/>
              <w:rPr>
                <w:b/>
              </w:rPr>
            </w:pPr>
            <w:r w:rsidRPr="00442975">
              <w:rPr>
                <w:b/>
              </w:rPr>
              <w:t>Sample location-based licence</w:t>
            </w:r>
          </w:p>
          <w:p w14:paraId="00C412B5" w14:textId="746559ED" w:rsidR="00442975" w:rsidRDefault="00442975" w:rsidP="00492F29">
            <w:pPr>
              <w:pStyle w:val="TableBody"/>
              <w:spacing w:after="120"/>
            </w:pPr>
            <w:r w:rsidRPr="00442975">
              <w:t>The sample licence prevents the licence from being subdivided, in keeping with the technical characteristics of the authorisation (for a point</w:t>
            </w:r>
            <w:r w:rsidR="00AA752F">
              <w:t>-</w:t>
            </w:r>
            <w:r w:rsidRPr="00442975">
              <w:t>to</w:t>
            </w:r>
            <w:r w:rsidR="00AA752F">
              <w:t>-</w:t>
            </w:r>
            <w:r w:rsidRPr="00442975">
              <w:t>point service).</w:t>
            </w:r>
          </w:p>
        </w:tc>
      </w:tr>
      <w:tr w:rsidR="00442975" w14:paraId="3E049BD4" w14:textId="77777777" w:rsidTr="00492F29">
        <w:tc>
          <w:tcPr>
            <w:tcW w:w="4604" w:type="dxa"/>
            <w:tcMar>
              <w:top w:w="28" w:type="dxa"/>
              <w:bottom w:w="28" w:type="dxa"/>
            </w:tcMar>
          </w:tcPr>
          <w:p w14:paraId="5EAC599A" w14:textId="0DD30F92" w:rsidR="00442975" w:rsidRPr="00442975" w:rsidRDefault="00442975" w:rsidP="00492F29">
            <w:pPr>
              <w:pStyle w:val="ListNumber"/>
              <w:numPr>
                <w:ilvl w:val="0"/>
                <w:numId w:val="15"/>
              </w:numPr>
              <w:spacing w:before="120"/>
              <w:rPr>
                <w:b/>
              </w:rPr>
            </w:pPr>
            <w:r w:rsidRPr="00442975">
              <w:rPr>
                <w:b/>
              </w:rPr>
              <w:t xml:space="preserve">ASSIGNMENT STATEMENTS, </w:t>
            </w:r>
            <w:r w:rsidR="00805859">
              <w:rPr>
                <w:b/>
              </w:rPr>
              <w:t>clause</w:t>
            </w:r>
            <w:r w:rsidR="00FC271D">
              <w:rPr>
                <w:b/>
              </w:rPr>
              <w:t xml:space="preserve"> </w:t>
            </w:r>
            <w:r w:rsidR="00337F11">
              <w:rPr>
                <w:b/>
              </w:rPr>
              <w:t>80</w:t>
            </w:r>
            <w:r w:rsidR="00FC271D">
              <w:rPr>
                <w:b/>
              </w:rPr>
              <w:t xml:space="preserve">, </w:t>
            </w:r>
            <w:r w:rsidR="00805859">
              <w:rPr>
                <w:b/>
              </w:rPr>
              <w:t>clause</w:t>
            </w:r>
            <w:r w:rsidR="00A1464A">
              <w:rPr>
                <w:b/>
              </w:rPr>
              <w:t> </w:t>
            </w:r>
            <w:r w:rsidR="00337F11">
              <w:rPr>
                <w:b/>
              </w:rPr>
              <w:t>81</w:t>
            </w:r>
            <w:r w:rsidRPr="00442975">
              <w:rPr>
                <w:b/>
              </w:rPr>
              <w:t xml:space="preserve">, </w:t>
            </w:r>
            <w:r w:rsidR="00805859">
              <w:rPr>
                <w:b/>
              </w:rPr>
              <w:t>clause</w:t>
            </w:r>
            <w:r w:rsidR="00927A67">
              <w:rPr>
                <w:b/>
              </w:rPr>
              <w:t xml:space="preserve"> </w:t>
            </w:r>
            <w:r w:rsidR="00337F11">
              <w:rPr>
                <w:b/>
              </w:rPr>
              <w:t>82</w:t>
            </w:r>
            <w:r w:rsidRPr="00442975">
              <w:rPr>
                <w:b/>
              </w:rPr>
              <w:t xml:space="preserve"> </w:t>
            </w:r>
          </w:p>
          <w:p w14:paraId="14F646C2" w14:textId="77777777" w:rsidR="00442975" w:rsidRPr="00442975" w:rsidRDefault="00442975" w:rsidP="00492F29">
            <w:pPr>
              <w:pStyle w:val="TableBody"/>
              <w:spacing w:after="80"/>
            </w:pPr>
            <w:r w:rsidRPr="00442975">
              <w:t>A licence may include a statement to the effect that the licence cannot be assigned.</w:t>
            </w:r>
          </w:p>
          <w:p w14:paraId="2AC815DC" w14:textId="009855DF" w:rsidR="00442975" w:rsidRDefault="00442975" w:rsidP="00492F29">
            <w:pPr>
              <w:pStyle w:val="TableBody"/>
            </w:pPr>
            <w:r w:rsidRPr="00442975">
              <w:t>A licence may include a statement setting out restrictions or limitations on the licensee’s right to assign the licence.</w:t>
            </w:r>
          </w:p>
        </w:tc>
        <w:tc>
          <w:tcPr>
            <w:tcW w:w="4605" w:type="dxa"/>
            <w:tcMar>
              <w:top w:w="28" w:type="dxa"/>
              <w:bottom w:w="28" w:type="dxa"/>
            </w:tcMar>
          </w:tcPr>
          <w:p w14:paraId="30084DE6" w14:textId="264F05B2" w:rsidR="00442975" w:rsidRPr="00442975" w:rsidRDefault="00442975" w:rsidP="00492F29">
            <w:pPr>
              <w:pStyle w:val="TableBody"/>
              <w:spacing w:before="120" w:after="80"/>
            </w:pPr>
            <w:r w:rsidRPr="00442975">
              <w:t>The ACMA considers that facilitating trades (</w:t>
            </w:r>
            <w:r w:rsidR="00AA752F">
              <w:t>for example,</w:t>
            </w:r>
            <w:r w:rsidRPr="00442975">
              <w:t xml:space="preserve"> assignment) of licen</w:t>
            </w:r>
            <w:r w:rsidR="0024007B">
              <w:t>ce</w:t>
            </w:r>
            <w:r w:rsidRPr="00442975">
              <w:t>s</w:t>
            </w:r>
            <w:r w:rsidR="005516D9">
              <w:t xml:space="preserve"> </w:t>
            </w:r>
            <w:r w:rsidRPr="00442975">
              <w:t>assists in allowing market forces to move spectrum to t</w:t>
            </w:r>
            <w:r w:rsidR="00B57706">
              <w:t>he highest value use or uses.</w:t>
            </w:r>
          </w:p>
          <w:p w14:paraId="472C4A5A" w14:textId="77777777" w:rsidR="00442975" w:rsidRPr="00442975" w:rsidRDefault="00442975" w:rsidP="00492F29">
            <w:pPr>
              <w:pStyle w:val="TableBody"/>
              <w:rPr>
                <w:b/>
              </w:rPr>
            </w:pPr>
            <w:r w:rsidRPr="00442975">
              <w:rPr>
                <w:b/>
              </w:rPr>
              <w:t>Sample area-based licence</w:t>
            </w:r>
          </w:p>
          <w:p w14:paraId="092D3F22" w14:textId="728F4F2E" w:rsidR="00442975" w:rsidRPr="00442975" w:rsidRDefault="00442975" w:rsidP="00492F29">
            <w:pPr>
              <w:pStyle w:val="TableBody"/>
              <w:spacing w:after="80"/>
            </w:pPr>
            <w:r w:rsidRPr="00442975">
              <w:t>It is unlikely that for a spectrum space licence such as this sample licence that there would be any restrictions on assignment.</w:t>
            </w:r>
          </w:p>
          <w:p w14:paraId="307E7BD2" w14:textId="77777777" w:rsidR="00442975" w:rsidRPr="00442975" w:rsidRDefault="00442975" w:rsidP="00492F29">
            <w:pPr>
              <w:pStyle w:val="TableBody"/>
              <w:rPr>
                <w:b/>
              </w:rPr>
            </w:pPr>
            <w:r w:rsidRPr="00442975">
              <w:rPr>
                <w:b/>
              </w:rPr>
              <w:t>Sample location-based licence</w:t>
            </w:r>
          </w:p>
          <w:p w14:paraId="58FB5BFB" w14:textId="2354A05A" w:rsidR="00442975" w:rsidRDefault="00442975" w:rsidP="00492F29">
            <w:pPr>
              <w:pStyle w:val="TableBody"/>
              <w:spacing w:after="120"/>
            </w:pPr>
            <w:r w:rsidRPr="00442975">
              <w:t>The sample licence restricts the ability of the licensee to assign the licence to another person if the licensee benefits from exemptions or concessions in relation to licence taxes and charges. This is an example only and should not be taken to reflect likely restrictions the ACMA may include in any future licences.</w:t>
            </w:r>
          </w:p>
        </w:tc>
      </w:tr>
      <w:tr w:rsidR="00B419EC" w14:paraId="13A9B4BA" w14:textId="77777777" w:rsidTr="00492F29">
        <w:tc>
          <w:tcPr>
            <w:tcW w:w="4604" w:type="dxa"/>
            <w:tcMar>
              <w:top w:w="28" w:type="dxa"/>
              <w:bottom w:w="28" w:type="dxa"/>
            </w:tcMar>
          </w:tcPr>
          <w:p w14:paraId="3AE8701A" w14:textId="74A7A940" w:rsidR="00B419EC" w:rsidRPr="00B419EC" w:rsidRDefault="00B419EC" w:rsidP="00492F29">
            <w:pPr>
              <w:pStyle w:val="ListNumber"/>
              <w:numPr>
                <w:ilvl w:val="0"/>
                <w:numId w:val="15"/>
              </w:numPr>
              <w:spacing w:before="120"/>
              <w:rPr>
                <w:b/>
              </w:rPr>
            </w:pPr>
            <w:r w:rsidRPr="00B419EC">
              <w:rPr>
                <w:b/>
              </w:rPr>
              <w:lastRenderedPageBreak/>
              <w:t>SUSPENSION STATEMENTS</w:t>
            </w:r>
            <w:r w:rsidR="00DA068E">
              <w:rPr>
                <w:b/>
              </w:rPr>
              <w:t>,</w:t>
            </w:r>
            <w:r w:rsidRPr="00B419EC">
              <w:rPr>
                <w:b/>
              </w:rPr>
              <w:t xml:space="preserve"> </w:t>
            </w:r>
            <w:r w:rsidR="00805859">
              <w:rPr>
                <w:b/>
              </w:rPr>
              <w:t>clause</w:t>
            </w:r>
            <w:r w:rsidR="00FC271D">
              <w:rPr>
                <w:b/>
              </w:rPr>
              <w:t xml:space="preserve"> </w:t>
            </w:r>
            <w:r w:rsidR="00337F11">
              <w:rPr>
                <w:b/>
              </w:rPr>
              <w:t>64</w:t>
            </w:r>
            <w:r w:rsidR="00FC271D">
              <w:rPr>
                <w:b/>
              </w:rPr>
              <w:t xml:space="preserve">, </w:t>
            </w:r>
            <w:r w:rsidR="00805859">
              <w:rPr>
                <w:b/>
              </w:rPr>
              <w:t>clause</w:t>
            </w:r>
            <w:r w:rsidR="00927A67">
              <w:rPr>
                <w:b/>
              </w:rPr>
              <w:t xml:space="preserve"> </w:t>
            </w:r>
            <w:r w:rsidR="00337F11">
              <w:rPr>
                <w:b/>
              </w:rPr>
              <w:t>66</w:t>
            </w:r>
          </w:p>
          <w:p w14:paraId="02215A29" w14:textId="77777777" w:rsidR="00B419EC" w:rsidRPr="006244E6" w:rsidRDefault="00B419EC" w:rsidP="00492F29">
            <w:pPr>
              <w:pStyle w:val="TableBody"/>
              <w:spacing w:after="80"/>
            </w:pPr>
            <w:r w:rsidRPr="006244E6">
              <w:t>A licence may include a statement setting out supplementary circumstances in which the licence may be suspended</w:t>
            </w:r>
            <w:r>
              <w:t>.</w:t>
            </w:r>
          </w:p>
          <w:p w14:paraId="2C242D07" w14:textId="656FDCD0" w:rsidR="00B419EC" w:rsidRPr="00B419EC" w:rsidRDefault="00B419EC" w:rsidP="00492F29">
            <w:pPr>
              <w:pStyle w:val="ListNumber"/>
              <w:keepNext/>
              <w:keepLines/>
              <w:numPr>
                <w:ilvl w:val="0"/>
                <w:numId w:val="15"/>
              </w:numPr>
              <w:rPr>
                <w:b/>
              </w:rPr>
            </w:pPr>
            <w:r w:rsidRPr="00B419EC">
              <w:rPr>
                <w:b/>
              </w:rPr>
              <w:t xml:space="preserve">CANCELLATION STATEMENTS </w:t>
            </w:r>
            <w:r w:rsidR="00805859">
              <w:rPr>
                <w:b/>
              </w:rPr>
              <w:t>clause</w:t>
            </w:r>
            <w:r w:rsidR="00FC271D">
              <w:rPr>
                <w:b/>
              </w:rPr>
              <w:t xml:space="preserve"> </w:t>
            </w:r>
            <w:r w:rsidR="00337F11">
              <w:rPr>
                <w:b/>
              </w:rPr>
              <w:t>67</w:t>
            </w:r>
            <w:r w:rsidR="00FC271D">
              <w:rPr>
                <w:b/>
              </w:rPr>
              <w:t xml:space="preserve">, </w:t>
            </w:r>
            <w:r w:rsidR="00805859">
              <w:rPr>
                <w:b/>
              </w:rPr>
              <w:t>clause</w:t>
            </w:r>
            <w:r w:rsidR="00A1464A">
              <w:rPr>
                <w:b/>
              </w:rPr>
              <w:t> </w:t>
            </w:r>
            <w:r w:rsidR="00337F11">
              <w:rPr>
                <w:b/>
              </w:rPr>
              <w:t>69</w:t>
            </w:r>
          </w:p>
          <w:p w14:paraId="51DAE038" w14:textId="02E02DDA" w:rsidR="00B419EC" w:rsidRDefault="00B419EC" w:rsidP="00492F29">
            <w:pPr>
              <w:pStyle w:val="TableBody"/>
              <w:keepNext/>
              <w:keepLines/>
            </w:pPr>
            <w:r w:rsidRPr="006244E6">
              <w:t>A licence may include a statement setting out supplementary circumstances in which the licence may be cancelled</w:t>
            </w:r>
            <w:r>
              <w:t>.</w:t>
            </w:r>
          </w:p>
        </w:tc>
        <w:tc>
          <w:tcPr>
            <w:tcW w:w="4605" w:type="dxa"/>
            <w:tcMar>
              <w:top w:w="28" w:type="dxa"/>
              <w:bottom w:w="28" w:type="dxa"/>
            </w:tcMar>
          </w:tcPr>
          <w:p w14:paraId="6D4BC289" w14:textId="21296A46" w:rsidR="00B419EC" w:rsidRPr="006244E6" w:rsidRDefault="00B419EC" w:rsidP="00492F29">
            <w:pPr>
              <w:pStyle w:val="TableBody"/>
              <w:spacing w:before="120" w:after="80"/>
            </w:pPr>
            <w:r w:rsidRPr="006244E6">
              <w:t xml:space="preserve">In addition to the ability in the new Bill for the ACMA to suspend or cancel a licence if a condition of the licence has been contravened, the designated statements </w:t>
            </w:r>
            <w:r w:rsidR="002C1AC3">
              <w:t>i</w:t>
            </w:r>
            <w:r w:rsidRPr="006244E6">
              <w:t>n a licence could set out any supplementary circumstances in which suspension or cancellation may occur.</w:t>
            </w:r>
          </w:p>
          <w:p w14:paraId="6817D011" w14:textId="1075CD4B" w:rsidR="00B419EC" w:rsidRPr="006244E6" w:rsidRDefault="00B419EC" w:rsidP="00492F29">
            <w:pPr>
              <w:pStyle w:val="TableBody"/>
              <w:spacing w:after="80"/>
            </w:pPr>
            <w:r w:rsidRPr="006244E6">
              <w:t xml:space="preserve">In considering whether to include such statements, the ACMA may take into account the present arrangements under the 1992 Act where the ACMA may suspend or cancel a spectrum licence if a licensee or an authorised third party has operated a device in breach of any other Commonwealth, </w:t>
            </w:r>
            <w:r w:rsidR="002804C9">
              <w:t>S</w:t>
            </w:r>
            <w:r w:rsidRPr="006244E6">
              <w:t xml:space="preserve">tate or </w:t>
            </w:r>
            <w:r w:rsidR="002804C9">
              <w:t>T</w:t>
            </w:r>
            <w:r w:rsidR="002804C9" w:rsidRPr="006244E6">
              <w:t xml:space="preserve">erritory </w:t>
            </w:r>
            <w:r w:rsidRPr="006244E6">
              <w:t xml:space="preserve">law whether statutory or </w:t>
            </w:r>
            <w:r>
              <w:t>otherwise</w:t>
            </w:r>
            <w:r w:rsidRPr="006244E6">
              <w:t>.</w:t>
            </w:r>
          </w:p>
          <w:p w14:paraId="3D166F0F" w14:textId="77777777" w:rsidR="00B419EC" w:rsidRPr="006244E6" w:rsidRDefault="00B419EC" w:rsidP="00492F29">
            <w:pPr>
              <w:pStyle w:val="TableBody"/>
              <w:spacing w:after="80"/>
            </w:pPr>
            <w:r w:rsidRPr="006244E6">
              <w:t xml:space="preserve">The </w:t>
            </w:r>
            <w:r>
              <w:t xml:space="preserve">reasons for the </w:t>
            </w:r>
            <w:r w:rsidRPr="006244E6">
              <w:t>suspension (or cancellation) will be set out in a written notice.</w:t>
            </w:r>
          </w:p>
          <w:p w14:paraId="0375B498" w14:textId="77777777" w:rsidR="00B419EC" w:rsidRPr="00B419EC" w:rsidRDefault="00B419EC" w:rsidP="00492F29">
            <w:pPr>
              <w:pStyle w:val="TableBody"/>
              <w:rPr>
                <w:b/>
              </w:rPr>
            </w:pPr>
            <w:r w:rsidRPr="00B419EC">
              <w:rPr>
                <w:b/>
              </w:rPr>
              <w:t>Sample area-based licence</w:t>
            </w:r>
          </w:p>
          <w:p w14:paraId="559DEA88" w14:textId="77777777" w:rsidR="00B419EC" w:rsidRPr="00B419EC" w:rsidRDefault="00B419EC" w:rsidP="00492F29">
            <w:pPr>
              <w:pStyle w:val="TableBody"/>
              <w:spacing w:after="80"/>
            </w:pPr>
            <w:r w:rsidRPr="00B419EC">
              <w:t>No example text</w:t>
            </w:r>
          </w:p>
          <w:p w14:paraId="4C752B5B" w14:textId="77777777" w:rsidR="00B419EC" w:rsidRPr="00B419EC" w:rsidRDefault="00B419EC" w:rsidP="00492F29">
            <w:pPr>
              <w:pStyle w:val="TableBody"/>
              <w:rPr>
                <w:b/>
              </w:rPr>
            </w:pPr>
            <w:r w:rsidRPr="00B419EC">
              <w:rPr>
                <w:b/>
              </w:rPr>
              <w:t>Sample location-based licence</w:t>
            </w:r>
          </w:p>
          <w:p w14:paraId="54D893C4" w14:textId="00C28BB8" w:rsidR="00B419EC" w:rsidRDefault="00B419EC" w:rsidP="00492F29">
            <w:pPr>
              <w:pStyle w:val="TableBody"/>
              <w:spacing w:after="120"/>
            </w:pPr>
            <w:r w:rsidRPr="006244E6">
              <w:t>No example text</w:t>
            </w:r>
          </w:p>
        </w:tc>
      </w:tr>
      <w:tr w:rsidR="0018468D" w14:paraId="38DD6BDB" w14:textId="77777777" w:rsidTr="00492F29">
        <w:tc>
          <w:tcPr>
            <w:tcW w:w="4604" w:type="dxa"/>
            <w:tcMar>
              <w:top w:w="28" w:type="dxa"/>
              <w:bottom w:w="28" w:type="dxa"/>
            </w:tcMar>
          </w:tcPr>
          <w:p w14:paraId="33FD1ECF" w14:textId="6533DEC1" w:rsidR="0018468D" w:rsidRPr="0018468D" w:rsidRDefault="0018468D" w:rsidP="00492F29">
            <w:pPr>
              <w:pStyle w:val="ListNumber"/>
              <w:numPr>
                <w:ilvl w:val="0"/>
                <w:numId w:val="15"/>
              </w:numPr>
              <w:spacing w:before="120"/>
              <w:rPr>
                <w:b/>
              </w:rPr>
            </w:pPr>
            <w:r w:rsidRPr="0018468D">
              <w:rPr>
                <w:b/>
              </w:rPr>
              <w:t>VARIATION STATEMENTS</w:t>
            </w:r>
            <w:r w:rsidR="00DA068E">
              <w:rPr>
                <w:b/>
              </w:rPr>
              <w:t>,</w:t>
            </w:r>
            <w:r w:rsidRPr="0018468D">
              <w:rPr>
                <w:b/>
              </w:rPr>
              <w:t xml:space="preserve"> </w:t>
            </w:r>
            <w:r w:rsidR="00805859">
              <w:rPr>
                <w:b/>
              </w:rPr>
              <w:t>clause</w:t>
            </w:r>
            <w:r w:rsidR="00FC271D">
              <w:rPr>
                <w:b/>
              </w:rPr>
              <w:t xml:space="preserve"> </w:t>
            </w:r>
            <w:r w:rsidR="00337F11">
              <w:rPr>
                <w:b/>
              </w:rPr>
              <w:t>57</w:t>
            </w:r>
            <w:r w:rsidR="00FC271D">
              <w:rPr>
                <w:b/>
              </w:rPr>
              <w:t xml:space="preserve">, </w:t>
            </w:r>
            <w:r w:rsidR="00805859">
              <w:rPr>
                <w:b/>
              </w:rPr>
              <w:t>clause</w:t>
            </w:r>
            <w:r w:rsidR="00927A67">
              <w:rPr>
                <w:b/>
              </w:rPr>
              <w:t xml:space="preserve"> </w:t>
            </w:r>
            <w:r w:rsidR="00337F11">
              <w:rPr>
                <w:b/>
              </w:rPr>
              <w:t>58</w:t>
            </w:r>
          </w:p>
          <w:p w14:paraId="7086F3F9" w14:textId="10472942" w:rsidR="0018468D" w:rsidRDefault="0018468D" w:rsidP="00492F29">
            <w:pPr>
              <w:pStyle w:val="TableBody"/>
            </w:pPr>
            <w:r w:rsidRPr="006244E6">
              <w:t>A licence may include a statement setting out restrictions or limitations on the ACMA’s power to vary the licence.</w:t>
            </w:r>
          </w:p>
        </w:tc>
        <w:tc>
          <w:tcPr>
            <w:tcW w:w="4605" w:type="dxa"/>
            <w:tcMar>
              <w:top w:w="28" w:type="dxa"/>
              <w:bottom w:w="28" w:type="dxa"/>
            </w:tcMar>
          </w:tcPr>
          <w:p w14:paraId="0BC7D2AD" w14:textId="7FEFE2F1" w:rsidR="0018468D" w:rsidRPr="0018468D" w:rsidRDefault="0018468D" w:rsidP="00492F29">
            <w:pPr>
              <w:pStyle w:val="TableBody"/>
              <w:spacing w:before="120" w:after="80"/>
            </w:pPr>
            <w:r w:rsidRPr="0018468D">
              <w:t xml:space="preserve">Variation statements can provide assurance to licensees that the ACMA may not vary conditions or statements </w:t>
            </w:r>
            <w:r w:rsidR="003B7146">
              <w:t>in</w:t>
            </w:r>
            <w:r w:rsidRPr="0018468D">
              <w:t xml:space="preserve"> the licence without the licensees</w:t>
            </w:r>
            <w:r w:rsidR="00D77641">
              <w:t>’</w:t>
            </w:r>
            <w:r w:rsidRPr="0018468D">
              <w:t xml:space="preserve"> agreement, or except in particular circumstances.</w:t>
            </w:r>
          </w:p>
          <w:p w14:paraId="28C0B8F6" w14:textId="11F585BB" w:rsidR="0018468D" w:rsidRPr="0018468D" w:rsidRDefault="0018468D" w:rsidP="00492F29">
            <w:pPr>
              <w:pStyle w:val="TableBody"/>
            </w:pPr>
            <w:r w:rsidRPr="0018468D">
              <w:t xml:space="preserve">It should be noted that, in the absence of a statement restricting or limiting the ACMA’s power to vary a licence, all conditions and statements </w:t>
            </w:r>
            <w:r w:rsidR="00DE4CDB">
              <w:t>in</w:t>
            </w:r>
            <w:r w:rsidRPr="0018468D">
              <w:t xml:space="preserve"> the licence can be varied under </w:t>
            </w:r>
            <w:r w:rsidR="00805859">
              <w:t>clause</w:t>
            </w:r>
            <w:r w:rsidR="00927A67">
              <w:t xml:space="preserve"> </w:t>
            </w:r>
            <w:r w:rsidR="00337F11">
              <w:t>57</w:t>
            </w:r>
            <w:r w:rsidRPr="0018468D">
              <w:t xml:space="preserve"> of the Bill. The duration of a licence cannot be varied (though the licence may be cancelled, surrendered or resumed</w:t>
            </w:r>
            <w:r w:rsidR="009C2875">
              <w:t xml:space="preserve"> under particular circumstances</w:t>
            </w:r>
            <w:r w:rsidRPr="0018468D">
              <w:t>, thereby bringing the licence to an earlier end).</w:t>
            </w:r>
            <w:r w:rsidRPr="0018468D" w:rsidDel="00CA1B00">
              <w:t xml:space="preserve"> </w:t>
            </w:r>
          </w:p>
          <w:p w14:paraId="6C42F840" w14:textId="77777777" w:rsidR="0018468D" w:rsidRPr="0018468D" w:rsidRDefault="0018468D" w:rsidP="00492F29">
            <w:pPr>
              <w:pStyle w:val="TableBody"/>
            </w:pPr>
            <w:r w:rsidRPr="0018468D">
              <w:t>In considering whether to include a variation statement on a licence, the ACMA expects to consider:</w:t>
            </w:r>
          </w:p>
          <w:p w14:paraId="603AAC74" w14:textId="77777777" w:rsidR="0018468D" w:rsidRPr="006244E6" w:rsidRDefault="0018468D" w:rsidP="00622C99">
            <w:pPr>
              <w:pStyle w:val="ListBullet"/>
            </w:pPr>
            <w:r>
              <w:t xml:space="preserve">the benefits of </w:t>
            </w:r>
            <w:r w:rsidRPr="006244E6">
              <w:t>predictability for licensees;</w:t>
            </w:r>
          </w:p>
          <w:p w14:paraId="45F6CC0F" w14:textId="4CDEBCB8" w:rsidR="0018468D" w:rsidRPr="006244E6" w:rsidRDefault="0018468D" w:rsidP="00622C99">
            <w:pPr>
              <w:pStyle w:val="ListBullet"/>
            </w:pPr>
            <w:r w:rsidRPr="006244E6">
              <w:t>whether certain conditions are fundamental to the licence and so should not be varied without the licensee</w:t>
            </w:r>
            <w:r w:rsidR="002C1AC3">
              <w:t>’</w:t>
            </w:r>
            <w:r w:rsidRPr="006244E6">
              <w:t>s agreement (</w:t>
            </w:r>
            <w:r w:rsidR="00DE4CDB">
              <w:t xml:space="preserve">perhaps, </w:t>
            </w:r>
            <w:r w:rsidR="00D77641">
              <w:t>for example,</w:t>
            </w:r>
            <w:r w:rsidRPr="006244E6">
              <w:t xml:space="preserve"> those conditions nominated as ‘core conditions</w:t>
            </w:r>
            <w:r w:rsidR="00637856">
              <w:t>’</w:t>
            </w:r>
            <w:r w:rsidRPr="006244E6">
              <w:t xml:space="preserve"> of spectrum licences in the 1992 Act)</w:t>
            </w:r>
          </w:p>
          <w:p w14:paraId="27FF4733" w14:textId="17FACF04" w:rsidR="0018468D" w:rsidRPr="006244E6" w:rsidRDefault="0018468D" w:rsidP="00622C99">
            <w:pPr>
              <w:pStyle w:val="ListBulletLast"/>
            </w:pPr>
            <w:r w:rsidRPr="006244E6">
              <w:t>whether certain statements are fundamental to the licence and so should not be varied without the licensee</w:t>
            </w:r>
            <w:r w:rsidR="002C1AC3">
              <w:t>’</w:t>
            </w:r>
            <w:r w:rsidRPr="006244E6">
              <w:t>s agreement. The renewal statement may be such a statement for some licences.</w:t>
            </w:r>
          </w:p>
          <w:p w14:paraId="4F7FE1D8" w14:textId="77777777" w:rsidR="0018468D" w:rsidRPr="00492F29" w:rsidRDefault="0018468D">
            <w:pPr>
              <w:pStyle w:val="TableBody"/>
              <w:rPr>
                <w:b/>
              </w:rPr>
            </w:pPr>
            <w:r w:rsidRPr="00492F29">
              <w:rPr>
                <w:b/>
              </w:rPr>
              <w:t>Sample area-based licence</w:t>
            </w:r>
          </w:p>
          <w:p w14:paraId="7807F681" w14:textId="0BE47CB6" w:rsidR="0018468D" w:rsidRPr="006244E6" w:rsidRDefault="0018468D" w:rsidP="00492F29">
            <w:pPr>
              <w:pStyle w:val="TableBody"/>
              <w:spacing w:after="80"/>
            </w:pPr>
            <w:r w:rsidRPr="006244E6">
              <w:t xml:space="preserve">The </w:t>
            </w:r>
            <w:r>
              <w:t>sample licence</w:t>
            </w:r>
            <w:r w:rsidRPr="006244E6">
              <w:t xml:space="preserve"> provides that the ACMA will not vary or revoke specified conditions or statements without the licensee</w:t>
            </w:r>
            <w:r w:rsidR="002C1AC3">
              <w:t>’</w:t>
            </w:r>
            <w:r w:rsidRPr="006244E6">
              <w:t>s agreement.</w:t>
            </w:r>
          </w:p>
          <w:p w14:paraId="6987194D" w14:textId="77777777" w:rsidR="0018468D" w:rsidRPr="00492F29" w:rsidRDefault="0018468D" w:rsidP="00492F29">
            <w:pPr>
              <w:pStyle w:val="TableBody"/>
              <w:rPr>
                <w:b/>
              </w:rPr>
            </w:pPr>
            <w:r w:rsidRPr="00492F29">
              <w:rPr>
                <w:b/>
              </w:rPr>
              <w:lastRenderedPageBreak/>
              <w:t>Sample location-based licence</w:t>
            </w:r>
          </w:p>
          <w:p w14:paraId="044A7E56" w14:textId="165525F9" w:rsidR="0018468D" w:rsidRDefault="0018468D" w:rsidP="00492F29">
            <w:pPr>
              <w:pStyle w:val="TableBody"/>
              <w:spacing w:after="120"/>
            </w:pPr>
            <w:r w:rsidRPr="006244E6">
              <w:t xml:space="preserve">The </w:t>
            </w:r>
            <w:r>
              <w:t>sample licence</w:t>
            </w:r>
            <w:r w:rsidRPr="006244E6">
              <w:t xml:space="preserve"> provides that the ACMA will not vary or revoke specified conditions or statements without the licensees</w:t>
            </w:r>
            <w:r w:rsidR="00D77641">
              <w:t>’</w:t>
            </w:r>
            <w:r w:rsidRPr="006244E6">
              <w:t xml:space="preserve"> agreement.</w:t>
            </w:r>
          </w:p>
        </w:tc>
      </w:tr>
      <w:tr w:rsidR="00885A9F" w14:paraId="08CF1428" w14:textId="77777777" w:rsidTr="00492F29">
        <w:tc>
          <w:tcPr>
            <w:tcW w:w="4604" w:type="dxa"/>
            <w:tcMar>
              <w:top w:w="28" w:type="dxa"/>
              <w:bottom w:w="28" w:type="dxa"/>
            </w:tcMar>
          </w:tcPr>
          <w:p w14:paraId="57029ADD" w14:textId="1DE3BDD8" w:rsidR="00885A9F" w:rsidRPr="006244E6" w:rsidRDefault="00885A9F" w:rsidP="00492F29">
            <w:pPr>
              <w:pStyle w:val="ListNumber"/>
              <w:numPr>
                <w:ilvl w:val="0"/>
                <w:numId w:val="15"/>
              </w:numPr>
              <w:spacing w:before="120" w:after="40"/>
            </w:pPr>
            <w:r w:rsidRPr="00885A9F">
              <w:rPr>
                <w:b/>
              </w:rPr>
              <w:lastRenderedPageBreak/>
              <w:t>REGULATORY UNDERTAKINGS</w:t>
            </w:r>
            <w:r w:rsidR="00DA068E">
              <w:rPr>
                <w:b/>
              </w:rPr>
              <w:t>,</w:t>
            </w:r>
            <w:r w:rsidRPr="00885A9F">
              <w:rPr>
                <w:b/>
              </w:rPr>
              <w:t xml:space="preserve"> </w:t>
            </w:r>
            <w:r w:rsidR="00805859">
              <w:rPr>
                <w:b/>
              </w:rPr>
              <w:t>clause</w:t>
            </w:r>
            <w:r w:rsidR="00610145">
              <w:rPr>
                <w:b/>
              </w:rPr>
              <w:t xml:space="preserve"> </w:t>
            </w:r>
            <w:r w:rsidR="00337F11">
              <w:rPr>
                <w:b/>
              </w:rPr>
              <w:t>53</w:t>
            </w:r>
            <w:r w:rsidR="00FC271D">
              <w:rPr>
                <w:b/>
              </w:rPr>
              <w:t xml:space="preserve">, </w:t>
            </w:r>
            <w:r w:rsidR="00805859">
              <w:rPr>
                <w:b/>
              </w:rPr>
              <w:t>clause</w:t>
            </w:r>
            <w:r w:rsidR="00FC271D">
              <w:rPr>
                <w:b/>
              </w:rPr>
              <w:t xml:space="preserve"> </w:t>
            </w:r>
            <w:r w:rsidR="00337F11">
              <w:rPr>
                <w:b/>
              </w:rPr>
              <w:t>54</w:t>
            </w:r>
            <w:r w:rsidR="00DA068E">
              <w:rPr>
                <w:b/>
              </w:rPr>
              <w:t>, clause 55, clause 56</w:t>
            </w:r>
          </w:p>
          <w:p w14:paraId="217F7665" w14:textId="77777777" w:rsidR="00885A9F" w:rsidRDefault="00885A9F" w:rsidP="00885A9F"/>
        </w:tc>
        <w:tc>
          <w:tcPr>
            <w:tcW w:w="4605" w:type="dxa"/>
            <w:tcMar>
              <w:top w:w="28" w:type="dxa"/>
              <w:bottom w:w="28" w:type="dxa"/>
            </w:tcMar>
          </w:tcPr>
          <w:p w14:paraId="705D1EC7" w14:textId="5B9E7A8D" w:rsidR="00885A9F" w:rsidRPr="00492F29" w:rsidRDefault="00885A9F" w:rsidP="00492F29">
            <w:pPr>
              <w:pStyle w:val="TableBody"/>
              <w:spacing w:before="120"/>
              <w:rPr>
                <w:b/>
              </w:rPr>
            </w:pPr>
            <w:r w:rsidRPr="00492F29">
              <w:rPr>
                <w:b/>
              </w:rPr>
              <w:t>Ability to facilitate coexistence and sharing</w:t>
            </w:r>
          </w:p>
          <w:p w14:paraId="3F72A790" w14:textId="77777777" w:rsidR="00885A9F" w:rsidRPr="006244E6" w:rsidRDefault="00885A9F" w:rsidP="00492F29">
            <w:pPr>
              <w:pStyle w:val="TableBody"/>
              <w:spacing w:after="80"/>
            </w:pPr>
            <w:r>
              <w:t xml:space="preserve">Regulatory undertakings </w:t>
            </w:r>
            <w:r w:rsidRPr="006244E6">
              <w:t>could enhance licensees’ confidence that the spectrum covered by the licence would not be also covered by another licence</w:t>
            </w:r>
            <w:r>
              <w:t xml:space="preserve"> without the ACMA taking specified steps</w:t>
            </w:r>
            <w:r w:rsidRPr="006244E6">
              <w:t xml:space="preserve">. </w:t>
            </w:r>
          </w:p>
          <w:p w14:paraId="20B7902C" w14:textId="579104B1" w:rsidR="00885A9F" w:rsidRPr="006244E6" w:rsidRDefault="00885A9F" w:rsidP="00492F29">
            <w:pPr>
              <w:pStyle w:val="TableBody"/>
              <w:spacing w:after="80"/>
            </w:pPr>
            <w:r w:rsidRPr="006244E6">
              <w:t xml:space="preserve">In considering whether to include a </w:t>
            </w:r>
            <w:r>
              <w:t>regulatory undertaking relating to sharing</w:t>
            </w:r>
            <w:r w:rsidR="00123CEE">
              <w:t xml:space="preserve"> spectrum</w:t>
            </w:r>
            <w:r w:rsidRPr="006244E6">
              <w:t>, the ACMA would expect to consider issues including the feasibility of issuing licences for other services in encumbered spectrum, and the effect sharing will have on the existing licensee</w:t>
            </w:r>
            <w:r w:rsidR="002C1AC3">
              <w:t>’</w:t>
            </w:r>
            <w:r w:rsidRPr="006244E6">
              <w:t>s ability to provide its service.</w:t>
            </w:r>
          </w:p>
          <w:p w14:paraId="31EDBF42" w14:textId="6D155535" w:rsidR="00885A9F" w:rsidRDefault="00885A9F" w:rsidP="00AE15CD">
            <w:pPr>
              <w:pStyle w:val="TableBody"/>
            </w:pPr>
            <w:r w:rsidRPr="00885A9F">
              <w:t>The ACMA expects to develop a policy statement about this potential.</w:t>
            </w:r>
          </w:p>
        </w:tc>
      </w:tr>
    </w:tbl>
    <w:p w14:paraId="62DEA136" w14:textId="1CB2B8B0" w:rsidR="00FF3C69" w:rsidRDefault="00FF3C69" w:rsidP="00B977E8"/>
    <w:sectPr w:rsidR="00FF3C69" w:rsidSect="00B977E8">
      <w:headerReference w:type="even" r:id="rId41"/>
      <w:headerReference w:type="default" r:id="rId42"/>
      <w:pgSz w:w="11906" w:h="16838" w:code="9"/>
      <w:pgMar w:top="1945" w:right="3101" w:bottom="1134" w:left="1134" w:header="709"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18E08" w14:textId="77777777" w:rsidR="00F6138D" w:rsidRDefault="00F6138D">
      <w:r>
        <w:separator/>
      </w:r>
    </w:p>
  </w:endnote>
  <w:endnote w:type="continuationSeparator" w:id="0">
    <w:p w14:paraId="2273D4C7" w14:textId="77777777" w:rsidR="00F6138D" w:rsidRDefault="00F6138D">
      <w:r>
        <w:continuationSeparator/>
      </w:r>
    </w:p>
  </w:endnote>
  <w:endnote w:type="continuationNotice" w:id="1">
    <w:p w14:paraId="07120DC2" w14:textId="77777777" w:rsidR="00F6138D" w:rsidRDefault="00F613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elveticaNeueLT Std Lt">
    <w:altName w:val="Times New Roman"/>
    <w:panose1 w:val="00000000000000000000"/>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ABDA1" w14:textId="77777777" w:rsidR="00F6138D" w:rsidRPr="00A5474E" w:rsidRDefault="00F6138D" w:rsidP="00A5474E">
    <w:pPr>
      <w:pStyle w:val="Footer"/>
    </w:pPr>
    <w:r>
      <w:rPr>
        <w:noProof/>
      </w:rPr>
      <w:drawing>
        <wp:inline distT="0" distB="0" distL="0" distR="0" wp14:anchorId="23799190" wp14:editId="09D1F458">
          <wp:extent cx="3483864" cy="249613"/>
          <wp:effectExtent l="0" t="0" r="0" b="0"/>
          <wp:docPr id="24" name="Picture 24"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7D1CA" w14:textId="77777777" w:rsidR="00F6138D" w:rsidRDefault="00F613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C87B3" w14:textId="77777777" w:rsidR="00F6138D" w:rsidRDefault="00F6138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1353B" w14:textId="77777777" w:rsidR="00F6138D" w:rsidRPr="00622A3B" w:rsidRDefault="00F6138D"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11A3FBCB" w14:textId="77777777" w:rsidR="00F6138D" w:rsidRPr="00A5474E" w:rsidRDefault="00F6138D" w:rsidP="00A5474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3FBF4" w14:textId="77777777" w:rsidR="00F6138D" w:rsidRPr="00622A3B" w:rsidRDefault="00F6138D"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5E3570B8" w14:textId="77777777" w:rsidR="00F6138D" w:rsidRPr="00A5474E" w:rsidRDefault="00F6138D" w:rsidP="00A5474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DD8ED" w14:textId="77777777" w:rsidR="00F6138D" w:rsidRPr="00622A3B" w:rsidRDefault="00F6138D"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65BFA">
      <w:rPr>
        <w:noProof/>
        <w:color w:val="505050"/>
      </w:rPr>
      <w:t>iii</w:t>
    </w:r>
    <w:r w:rsidRPr="002E4DDC">
      <w:rPr>
        <w:color w:val="505050"/>
      </w:rPr>
      <w:fldChar w:fldCharType="end"/>
    </w:r>
  </w:p>
  <w:p w14:paraId="4F57E4B2" w14:textId="77777777" w:rsidR="00F6138D" w:rsidRPr="00A5474E" w:rsidRDefault="00F6138D" w:rsidP="00A5474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42C6C" w14:textId="77777777" w:rsidR="00F6138D" w:rsidRPr="00622A3B" w:rsidRDefault="00F6138D"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65BFA">
      <w:rPr>
        <w:noProof/>
      </w:rPr>
      <w:t>18</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36A904B3" w14:textId="77777777" w:rsidR="00F6138D" w:rsidRPr="00A5474E" w:rsidRDefault="00F6138D" w:rsidP="00A5474E">
    <w:pPr>
      <w:pStyle w:val="Footer"/>
    </w:pPr>
  </w:p>
  <w:p w14:paraId="0D261C39" w14:textId="77777777" w:rsidR="00F6138D" w:rsidRDefault="00F6138D"/>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C9BF4" w14:textId="77777777" w:rsidR="00F6138D" w:rsidRPr="00622A3B" w:rsidRDefault="00F6138D"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65BFA">
      <w:rPr>
        <w:noProof/>
        <w:color w:val="505050"/>
      </w:rPr>
      <w:t>17</w:t>
    </w:r>
    <w:r w:rsidRPr="00575AC5">
      <w:rPr>
        <w:color w:val="505050"/>
      </w:rPr>
      <w:fldChar w:fldCharType="end"/>
    </w:r>
  </w:p>
  <w:p w14:paraId="1417E35E" w14:textId="77777777" w:rsidR="00F6138D" w:rsidRPr="00A5474E" w:rsidRDefault="00F6138D" w:rsidP="00A5474E">
    <w:pPr>
      <w:pStyle w:val="Footer"/>
    </w:pPr>
  </w:p>
  <w:p w14:paraId="737A4D36" w14:textId="77777777" w:rsidR="00F6138D" w:rsidRDefault="00F613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7D746" w14:textId="77777777" w:rsidR="00F6138D" w:rsidRDefault="00F6138D">
      <w:r>
        <w:separator/>
      </w:r>
    </w:p>
  </w:footnote>
  <w:footnote w:type="continuationSeparator" w:id="0">
    <w:p w14:paraId="0EE7EACC" w14:textId="77777777" w:rsidR="00F6138D" w:rsidRDefault="00F6138D">
      <w:r>
        <w:continuationSeparator/>
      </w:r>
    </w:p>
  </w:footnote>
  <w:footnote w:type="continuationNotice" w:id="1">
    <w:p w14:paraId="67C4193B" w14:textId="77777777" w:rsidR="00F6138D" w:rsidRDefault="00F6138D">
      <w:pPr>
        <w:spacing w:after="0" w:line="240" w:lineRule="auto"/>
      </w:pPr>
    </w:p>
  </w:footnote>
  <w:footnote w:id="2">
    <w:p w14:paraId="56977BD4" w14:textId="48C203D6" w:rsidR="00F6138D" w:rsidRPr="00A0417A" w:rsidRDefault="00F6138D" w:rsidP="00F36359">
      <w:pPr>
        <w:pStyle w:val="FootnoteText"/>
        <w:spacing w:after="0"/>
      </w:pPr>
      <w:r w:rsidRPr="00A0417A">
        <w:rPr>
          <w:rStyle w:val="FootnoteReference"/>
        </w:rPr>
        <w:footnoteRef/>
      </w:r>
      <w:r w:rsidRPr="00A0417A">
        <w:t xml:space="preserve"> It is also possible that licences would include regulatory undertakings. Such undertakings</w:t>
      </w:r>
      <w:r>
        <w:t>, if included in a licence (the original licence),</w:t>
      </w:r>
      <w:r w:rsidRPr="00A0417A">
        <w:t xml:space="preserve"> would </w:t>
      </w:r>
      <w:r w:rsidRPr="00E21A92">
        <w:t xml:space="preserve">require the ACMA to </w:t>
      </w:r>
      <w:r>
        <w:t>ensure that specified steps have been undertaken</w:t>
      </w:r>
      <w:r w:rsidRPr="00E21A92">
        <w:t xml:space="preserve"> before </w:t>
      </w:r>
      <w:r w:rsidRPr="00A0417A">
        <w:t xml:space="preserve">issuing </w:t>
      </w:r>
      <w:r w:rsidRPr="00675841">
        <w:t>other licences or making spectrum authorisations</w:t>
      </w:r>
      <w:r w:rsidRPr="00FE4982">
        <w:t xml:space="preserve"> in relation to the </w:t>
      </w:r>
      <w:r w:rsidRPr="00A0417A">
        <w:t>operation of radiocommunications transmitters in the part or parts of the spectrum to which the original licence authorises the operation of radiocommunications devices.</w:t>
      </w:r>
    </w:p>
  </w:footnote>
  <w:footnote w:id="3">
    <w:p w14:paraId="0C766623" w14:textId="010F16A2" w:rsidR="00F6138D" w:rsidRDefault="00F6138D" w:rsidP="00F36359">
      <w:pPr>
        <w:pStyle w:val="FootnoteText"/>
        <w:spacing w:after="0"/>
      </w:pPr>
      <w:r>
        <w:rPr>
          <w:rStyle w:val="FootnoteReference"/>
        </w:rPr>
        <w:footnoteRef/>
      </w:r>
      <w:r>
        <w:t xml:space="preserve"> ‘Spectrum space licence’ refers to a wide-area licence that is defined by a geographical boundary and an upper and a lower frequency boundary. Typically, the licensee must avoid causing interference outside the boundaries of the ‘spectrum space’ thus defined, but enjoys flexibility as to how and where it operates within its spectrum space.</w:t>
      </w:r>
    </w:p>
  </w:footnote>
  <w:footnote w:id="4">
    <w:p w14:paraId="3538F254" w14:textId="1C3D0792" w:rsidR="00F6138D" w:rsidRDefault="00F6138D" w:rsidP="00F36359">
      <w:pPr>
        <w:pStyle w:val="FootnoteText"/>
        <w:spacing w:after="0"/>
      </w:pPr>
      <w:r>
        <w:rPr>
          <w:rStyle w:val="FootnoteReference"/>
        </w:rPr>
        <w:footnoteRef/>
      </w:r>
      <w:r>
        <w:t xml:space="preserve"> See, for example, </w:t>
      </w:r>
      <w:hyperlink r:id="rId1" w:history="1">
        <w:r w:rsidRPr="00504B3A">
          <w:rPr>
            <w:rStyle w:val="Hyperlink"/>
          </w:rPr>
          <w:t>http://telecoms.com/461372/france-claims-first-licensed-shared-access-pilot/</w:t>
        </w:r>
      </w:hyperlink>
      <w:r w:rsidRPr="00011F10">
        <w:t>.</w:t>
      </w:r>
    </w:p>
  </w:footnote>
  <w:footnote w:id="5">
    <w:p w14:paraId="64B56165" w14:textId="242794EC" w:rsidR="00F6138D" w:rsidRDefault="00F6138D" w:rsidP="00F36359">
      <w:pPr>
        <w:pStyle w:val="FootnoteText"/>
        <w:spacing w:after="0"/>
      </w:pPr>
      <w:r>
        <w:rPr>
          <w:rStyle w:val="FootnoteReference"/>
        </w:rPr>
        <w:footnoteRef/>
      </w:r>
      <w:r>
        <w:t xml:space="preserve"> In this context, a secondary user is a user that has lower priority compared to a primary user under a DSA arrangement (that is, it does not have the same meaning as primary and secondary as defined in ITU Radio Regulations Article 5). </w:t>
      </w:r>
    </w:p>
  </w:footnote>
  <w:footnote w:id="6">
    <w:p w14:paraId="600334AE" w14:textId="09D53236" w:rsidR="00F6138D" w:rsidRDefault="00F6138D" w:rsidP="006710EE">
      <w:pPr>
        <w:pStyle w:val="FootnoteText"/>
        <w:spacing w:after="0"/>
      </w:pPr>
      <w:r>
        <w:rPr>
          <w:rStyle w:val="FootnoteReference"/>
        </w:rPr>
        <w:footnoteRef/>
      </w:r>
      <w:r>
        <w:t xml:space="preserve"> </w:t>
      </w:r>
      <w:hyperlink r:id="rId2" w:history="1">
        <w:r w:rsidRPr="00074DB2">
          <w:rPr>
            <w:rStyle w:val="Hyperlink"/>
          </w:rPr>
          <w:t>http://stakeholders.ofcom.org.uk/consultations/sur/summary</w:t>
        </w:r>
      </w:hyperlink>
    </w:p>
  </w:footnote>
  <w:footnote w:id="7">
    <w:p w14:paraId="52F4025B" w14:textId="0ED738EF" w:rsidR="00F6138D" w:rsidRDefault="00F6138D" w:rsidP="006710EE">
      <w:pPr>
        <w:pStyle w:val="FootnoteText"/>
        <w:spacing w:after="0"/>
      </w:pPr>
      <w:r>
        <w:rPr>
          <w:rStyle w:val="FootnoteReference"/>
        </w:rPr>
        <w:footnoteRef/>
      </w:r>
      <w:r>
        <w:t xml:space="preserve"> </w:t>
      </w:r>
      <w:hyperlink r:id="rId3" w:history="1">
        <w:r w:rsidRPr="00F24A61">
          <w:rPr>
            <w:rStyle w:val="Hyperlink"/>
          </w:rPr>
          <w:t>http://www.rsm.govt.nz/about-rsm/spectrum-policy/acts-and-regulations/overview-of-licensing-regime-in-nz/management-rights?searchterm=spectrum management rights</w:t>
        </w:r>
      </w:hyperlink>
    </w:p>
  </w:footnote>
  <w:footnote w:id="8">
    <w:p w14:paraId="6F558A6F" w14:textId="71AFE97C" w:rsidR="00F6138D" w:rsidRDefault="00F6138D" w:rsidP="006710EE">
      <w:pPr>
        <w:pStyle w:val="FootnoteText"/>
        <w:spacing w:after="0"/>
      </w:pPr>
      <w:r>
        <w:rPr>
          <w:rStyle w:val="FootnoteReference"/>
        </w:rPr>
        <w:footnoteRef/>
      </w:r>
      <w:r>
        <w:t xml:space="preserve"> See, for example, </w:t>
      </w:r>
      <w:hyperlink r:id="rId4" w:history="1">
        <w:r w:rsidRPr="00504B3A">
          <w:rPr>
            <w:rStyle w:val="Hyperlink"/>
          </w:rPr>
          <w:t>http://telecoms.com/461372/france-claims-first-licensed-shared-access-pilot/</w:t>
        </w:r>
      </w:hyperlink>
      <w:r w:rsidRPr="00011F10">
        <w:t>.</w:t>
      </w:r>
      <w:r w:rsidRPr="00504B3A">
        <w:t xml:space="preserve"> </w:t>
      </w:r>
    </w:p>
  </w:footnote>
  <w:footnote w:id="9">
    <w:p w14:paraId="3FACC4D4" w14:textId="7598D85B" w:rsidR="00F6138D" w:rsidRPr="00CD081B" w:rsidRDefault="00F6138D" w:rsidP="006710EE">
      <w:pPr>
        <w:pStyle w:val="FootnoteText"/>
        <w:spacing w:after="0"/>
      </w:pPr>
      <w:r>
        <w:rPr>
          <w:rStyle w:val="FootnoteReference"/>
        </w:rPr>
        <w:footnoteRef/>
      </w:r>
      <w:r>
        <w:t xml:space="preserve"> See, for example, the current </w:t>
      </w:r>
      <w:hyperlink r:id="rId5" w:history="1">
        <w:r w:rsidRPr="00CD081B">
          <w:rPr>
            <w:rStyle w:val="Hyperlink"/>
            <w:i/>
          </w:rPr>
          <w:t>Apparatus licence fee schedule</w:t>
        </w:r>
      </w:hyperlink>
      <w:r>
        <w:t xml:space="preserve"> (April 2016), which summarises the current taxes imposed by the taxation Acts and instruments for different licence types.</w:t>
      </w:r>
    </w:p>
  </w:footnote>
  <w:footnote w:id="10">
    <w:p w14:paraId="6207C045" w14:textId="05CB094A" w:rsidR="00F6138D" w:rsidRPr="00011F10" w:rsidRDefault="00F6138D" w:rsidP="00AE15CD">
      <w:pPr>
        <w:pStyle w:val="FootnoteText"/>
      </w:pPr>
      <w:r>
        <w:rPr>
          <w:rStyle w:val="FootnoteReference"/>
        </w:rPr>
        <w:footnoteRef/>
      </w:r>
      <w:r>
        <w:t xml:space="preserve"> </w:t>
      </w:r>
      <w:r w:rsidRPr="00ED645E">
        <w:t>In relation to the sample location</w:t>
      </w:r>
      <w:r>
        <w:t>-</w:t>
      </w:r>
      <w:r w:rsidRPr="00ED645E">
        <w:t>based licence, the service type permitted by the licence is not recorded explicitly on the face of the licence. In the case of a fixed point-to-point licence under the 1992 Act, the service type is specified on the licence and reflected in the relevant RALI. As the coordination arrangements that apply to a particular licence require knowing the type of service, such information is expected to be made clear to the licensee and to any</w:t>
      </w:r>
      <w:r w:rsidRPr="00134CD4">
        <w:rPr>
          <w:szCs w:val="20"/>
        </w:rPr>
        <w:t xml:space="preserve"> </w:t>
      </w:r>
      <w:r w:rsidRPr="00ED645E">
        <w:t>accredited persons dea</w:t>
      </w:r>
      <w:r>
        <w:t xml:space="preserve">ling with the licence. </w:t>
      </w:r>
      <w:r w:rsidRPr="00ED645E">
        <w:t>How to best meet this requirement would be considered as part of the development of the licensing system.</w:t>
      </w:r>
    </w:p>
  </w:footnote>
  <w:footnote w:id="11">
    <w:p w14:paraId="5E680D4D" w14:textId="1102BB4F" w:rsidR="00F6138D" w:rsidRDefault="00F6138D" w:rsidP="00D35913">
      <w:pPr>
        <w:pStyle w:val="FootnoteText"/>
        <w:spacing w:after="0"/>
      </w:pPr>
      <w:r>
        <w:rPr>
          <w:rStyle w:val="FootnoteReference"/>
        </w:rPr>
        <w:footnoteRef/>
      </w:r>
      <w:r>
        <w:t> </w:t>
      </w:r>
      <w:hyperlink r:id="rId6" w:history="1">
        <w:r w:rsidRPr="00233A9B">
          <w:rPr>
            <w:rStyle w:val="Hyperlink"/>
          </w:rPr>
          <w:t>www.minister.communica</w:t>
        </w:r>
        <w:r w:rsidRPr="00011F10">
          <w:rPr>
            <w:rStyle w:val="Hyperlink"/>
          </w:rPr>
          <w:t>tions.gov.au/malcolm_turnbull/news/next_stage_of_spectrum_reform_to_commence</w:t>
        </w:r>
      </w:hyperlink>
      <w:r>
        <w:t xml:space="preserve">, Attachment A, p. 2. </w:t>
      </w:r>
    </w:p>
  </w:footnote>
  <w:footnote w:id="12">
    <w:p w14:paraId="58D334F0" w14:textId="6E35F8E9" w:rsidR="00F6138D" w:rsidRPr="00E006F8" w:rsidRDefault="00F6138D" w:rsidP="001A535A">
      <w:pPr>
        <w:pStyle w:val="FootnoteText"/>
        <w:spacing w:after="0"/>
      </w:pPr>
      <w:r w:rsidRPr="00F07A49">
        <w:rPr>
          <w:vertAlign w:val="superscript"/>
        </w:rPr>
        <w:footnoteRef/>
      </w:r>
      <w:r w:rsidRPr="00F07A49">
        <w:rPr>
          <w:vertAlign w:val="superscript"/>
        </w:rPr>
        <w:t xml:space="preserve"> </w:t>
      </w:r>
      <w:r w:rsidRPr="00E006F8">
        <w:t>The recent ministerial direction in relation to the 700 MHz unsold lots</w:t>
      </w:r>
      <w:r>
        <w:t>,</w:t>
      </w:r>
      <w:r w:rsidRPr="00E006F8">
        <w:t xml:space="preserve"> the </w:t>
      </w:r>
      <w:r w:rsidRPr="00712A7D">
        <w:t>Radiocommunications (Spectrum Licence Allocation—Residual 700 MHz Spectrum) Direction 2016,</w:t>
      </w:r>
      <w:r>
        <w:t xml:space="preserve"> </w:t>
      </w:r>
      <w:r w:rsidRPr="00E006F8">
        <w:t>requires the ACMA to make provision for an option for instalment payments for those spectrum licences, including payments after the commencement of the licences: (</w:t>
      </w:r>
      <w:hyperlink r:id="rId7" w:history="1">
        <w:r w:rsidRPr="00E006F8">
          <w:t>https://www.legislation.gov.au/Details/F2016L01929</w:t>
        </w:r>
      </w:hyperlink>
      <w:r w:rsidRPr="00E006F8">
        <w:t xml:space="preserve">) </w:t>
      </w:r>
    </w:p>
  </w:footnote>
  <w:footnote w:id="13">
    <w:p w14:paraId="39A2BF98" w14:textId="0461B01F" w:rsidR="00F6138D" w:rsidRDefault="00F6138D" w:rsidP="00D35913">
      <w:pPr>
        <w:pStyle w:val="FootnoteText"/>
        <w:spacing w:after="0"/>
      </w:pPr>
      <w:r>
        <w:rPr>
          <w:rStyle w:val="FootnoteReference"/>
        </w:rPr>
        <w:footnoteRef/>
      </w:r>
      <w:r>
        <w:t> </w:t>
      </w:r>
      <w:hyperlink r:id="rId8" w:history="1">
        <w:r w:rsidRPr="00233A9B">
          <w:rPr>
            <w:rStyle w:val="Hyperlink"/>
          </w:rPr>
          <w:t>www.minister.communications.gov.au/malcolm_turnbull/news/next_stage_of_spectrum_reform_to_commence</w:t>
        </w:r>
      </w:hyperlink>
      <w:r>
        <w:t>, Attachment A, p. 2.</w:t>
      </w:r>
    </w:p>
  </w:footnote>
  <w:footnote w:id="14">
    <w:p w14:paraId="339CECFB" w14:textId="30D882C4" w:rsidR="00F6138D" w:rsidRDefault="00F6138D" w:rsidP="00D35913">
      <w:pPr>
        <w:pStyle w:val="FootnoteText"/>
        <w:spacing w:after="0"/>
      </w:pPr>
      <w:r>
        <w:rPr>
          <w:rStyle w:val="FootnoteReference"/>
        </w:rPr>
        <w:footnoteRef/>
      </w:r>
      <w:r>
        <w:t> </w:t>
      </w:r>
      <w:hyperlink r:id="rId9" w:history="1">
        <w:r w:rsidRPr="00A407AC">
          <w:rPr>
            <w:rStyle w:val="Hyperlink"/>
          </w:rPr>
          <w:t>w</w:t>
        </w:r>
        <w:r w:rsidRPr="009F4B36">
          <w:rPr>
            <w:rStyle w:val="Hyperlink"/>
          </w:rPr>
          <w:t>ww.minister.communications.gov.au/malcolm_turnbull/news/next_stage_of_spectrum_reform_to_commence</w:t>
        </w:r>
      </w:hyperlink>
      <w:r>
        <w:t>, Attachment A, p. 2</w:t>
      </w:r>
    </w:p>
  </w:footnote>
  <w:footnote w:id="15">
    <w:p w14:paraId="263C2CF5" w14:textId="77777777" w:rsidR="00F6138D" w:rsidRPr="00233A9B" w:rsidRDefault="00F6138D" w:rsidP="00D35913">
      <w:pPr>
        <w:pStyle w:val="FootnoteText"/>
        <w:tabs>
          <w:tab w:val="left" w:pos="3660"/>
        </w:tabs>
        <w:spacing w:after="0"/>
      </w:pPr>
      <w:r>
        <w:rPr>
          <w:rStyle w:val="FootnoteReference"/>
        </w:rPr>
        <w:footnoteRef/>
      </w:r>
      <w:r>
        <w:t xml:space="preserve"> </w:t>
      </w:r>
      <w:r w:rsidRPr="00AE15CD">
        <w:t>Radiocommunications (Low Interference Potential Devices) Class Licence 2015</w:t>
      </w:r>
      <w:r w:rsidRPr="004410D7">
        <w:t>.</w:t>
      </w:r>
    </w:p>
  </w:footnote>
  <w:footnote w:id="16">
    <w:p w14:paraId="6D956953" w14:textId="15431E49" w:rsidR="00F6138D" w:rsidRDefault="00F6138D" w:rsidP="0017122D">
      <w:pPr>
        <w:pStyle w:val="FootnoteText"/>
        <w:spacing w:after="0"/>
      </w:pPr>
      <w:r>
        <w:rPr>
          <w:rStyle w:val="FootnoteReference"/>
        </w:rPr>
        <w:footnoteRef/>
      </w:r>
      <w:r>
        <w:t xml:space="preserve"> ‘Spectrum space licence’ refers to a wide-area licence that is defined by a geographical boundary and an upper and a lower frequency boundary. Typically, the licensee must avoid causing interference outside the boundaries of the ‘spectrum space’ thus defined, but enjoys flexibility as to how and where it operates within its spectrum space. It would be similar in concept to a spectrum licence under the 1992 Act.</w:t>
      </w:r>
    </w:p>
  </w:footnote>
  <w:footnote w:id="17">
    <w:p w14:paraId="064F5876" w14:textId="54E0CEBB" w:rsidR="00F6138D" w:rsidRDefault="00F6138D" w:rsidP="00845D94">
      <w:pPr>
        <w:pStyle w:val="FootnoteText"/>
        <w:spacing w:after="0"/>
      </w:pPr>
      <w:r>
        <w:rPr>
          <w:rStyle w:val="FootnoteReference"/>
        </w:rPr>
        <w:footnoteRef/>
      </w:r>
      <w:r>
        <w:t xml:space="preserve"> HCIS stands for hierarchical cell identifier scheme. A HCIS identifier is a unique identifier used to describe a geographical area in the HCIS as set out in the Australian Spectrum Map Grid 2012 (ASMG). The ASMG is published on the ACMA website.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48C2B" w14:textId="7BC82F39" w:rsidR="00F6138D" w:rsidRDefault="00D65BFA">
    <w:pPr>
      <w:pStyle w:val="Header"/>
    </w:pPr>
    <w:r>
      <w:rPr>
        <w:noProof/>
      </w:rPr>
      <w:pict w14:anchorId="53A1A8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03009" o:spid="_x0000_s108546" type="#_x0000_t136" style="position:absolute;margin-left:0;margin-top:0;width:564.75pt;height:89.25pt;rotation:315;z-index:-251655168;mso-position-horizontal:center;mso-position-horizontal-relative:margin;mso-position-vertical:center;mso-position-vertical-relative:margin" o:allowincell="f" fillcolor="silver" stroked="f">
          <v:fill opacity=".5"/>
          <v:textpath style="font-family:&quot;Arial&quot;;font-size:80pt" string="SAMPLE ONLY"/>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1A162" w14:textId="0DB1C1CF" w:rsidR="00F6138D" w:rsidRDefault="00F6138D"/>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7948B" w14:textId="7764CF27" w:rsidR="00F6138D" w:rsidRDefault="00F6138D">
    <w:pPr>
      <w:pStyle w:val="Header"/>
    </w:pPr>
  </w:p>
  <w:p w14:paraId="6C7A6B84" w14:textId="77777777" w:rsidR="00F6138D" w:rsidRDefault="00F6138D"/>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E6C9B" w14:textId="29A02F71" w:rsidR="00F6138D" w:rsidRDefault="00D65BFA">
    <w:pPr>
      <w:pStyle w:val="Header"/>
    </w:pPr>
    <w:r>
      <w:rPr>
        <w:noProof/>
      </w:rPr>
      <w:pict w14:anchorId="5CA10D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03017" o:spid="_x0000_s108554" type="#_x0000_t136" style="position:absolute;margin-left:0;margin-top:0;width:564.75pt;height:89.25pt;rotation:315;z-index:-251638784;mso-position-horizontal:center;mso-position-horizontal-relative:margin;mso-position-vertical:center;mso-position-vertical-relative:margin" o:allowincell="f" fillcolor="silver" stroked="f">
          <v:fill opacity=".5"/>
          <v:textpath style="font-family:&quot;Arial&quot;;font-size:80pt" string="SAMPLE ONLY"/>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60451" w14:textId="37CB6280" w:rsidR="00F6138D" w:rsidRDefault="00D65BFA">
    <w:pPr>
      <w:pStyle w:val="Header"/>
    </w:pPr>
    <w:r>
      <w:rPr>
        <w:noProof/>
      </w:rPr>
      <w:pict w14:anchorId="1CBA72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03021" o:spid="_x0000_s108558" type="#_x0000_t136" style="position:absolute;margin-left:0;margin-top:0;width:564.75pt;height:89.25pt;rotation:315;z-index:-251630592;mso-position-horizontal:center;mso-position-horizontal-relative:margin;mso-position-vertical:center;mso-position-vertical-relative:margin" o:allowincell="f" fillcolor="silver" stroked="f">
          <v:fill opacity=".5"/>
          <v:textpath style="font-family:&quot;Arial&quot;;font-size:80pt" string="SAMPLE ONLY"/>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342EC" w14:textId="0EC3EEED" w:rsidR="00F6138D" w:rsidRDefault="00D65BFA">
    <w:pPr>
      <w:pStyle w:val="Header"/>
    </w:pPr>
    <w:r>
      <w:rPr>
        <w:noProof/>
      </w:rPr>
      <w:pict w14:anchorId="30F6FF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03022" o:spid="_x0000_s108559" type="#_x0000_t136" style="position:absolute;margin-left:0;margin-top:0;width:564.75pt;height:89.25pt;rotation:315;z-index:-251628544;mso-position-horizontal:center;mso-position-horizontal-relative:margin;mso-position-vertical:center;mso-position-vertical-relative:margin" o:allowincell="f" fillcolor="silver" stroked="f">
          <v:fill opacity=".5"/>
          <v:textpath style="font-family:&quot;Arial&quot;;font-size:80pt" string="SAMPLE ONLY"/>
          <w10:wrap anchorx="margin" anchory="margin"/>
        </v:shape>
      </w:pict>
    </w:r>
  </w:p>
  <w:p w14:paraId="206B2942" w14:textId="77777777" w:rsidR="00F6138D" w:rsidRDefault="00F6138D"/>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6BA45" w14:textId="04915271" w:rsidR="00F6138D" w:rsidRDefault="00D65BFA">
    <w:pPr>
      <w:pStyle w:val="Header"/>
    </w:pPr>
    <w:r>
      <w:rPr>
        <w:noProof/>
      </w:rPr>
      <w:pict w14:anchorId="15CA14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03020" o:spid="_x0000_s108557" type="#_x0000_t136" style="position:absolute;margin-left:0;margin-top:0;width:564.75pt;height:89.25pt;rotation:315;z-index:-251632640;mso-position-horizontal:center;mso-position-horizontal-relative:margin;mso-position-vertical:center;mso-position-vertical-relative:margin" o:allowincell="f" fillcolor="silver" stroked="f">
          <v:fill opacity=".5"/>
          <v:textpath style="font-family:&quot;Arial&quot;;font-size:80pt" string="SAMPLE ONLY"/>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A51DD" w14:textId="49055C5B" w:rsidR="00F6138D" w:rsidRDefault="00F6138D">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EDF5E" w14:textId="6DB4F8C8" w:rsidR="00F6138D" w:rsidRDefault="00F6138D">
    <w:pPr>
      <w:pStyle w:val="Header"/>
    </w:pPr>
  </w:p>
  <w:p w14:paraId="4C1BF6F5" w14:textId="77777777" w:rsidR="00F6138D" w:rsidRDefault="00F6138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88908" w14:textId="6DFCB1AA" w:rsidR="00F6138D" w:rsidRPr="00A5474E" w:rsidRDefault="00F6138D" w:rsidP="00A5474E">
    <w:pPr>
      <w:pStyle w:val="Header"/>
    </w:pPr>
    <w:r>
      <w:rPr>
        <w:noProof/>
      </w:rPr>
      <w:drawing>
        <wp:inline distT="0" distB="0" distL="0" distR="0" wp14:anchorId="0807E089" wp14:editId="313D9B3F">
          <wp:extent cx="6388100" cy="520700"/>
          <wp:effectExtent l="0" t="0" r="0" b="12700"/>
          <wp:docPr id="4" name="Picture 4"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extLst>
                      <a:ext uri="{28A0092B-C50C-407E-A947-70E740481C1C}">
                        <a14:useLocalDpi xmlns:a14="http://schemas.microsoft.com/office/drawing/2010/main" val="0"/>
                      </a:ext>
                    </a:extLst>
                  </a:blip>
                  <a:stretch>
                    <a:fillRect/>
                  </a:stretch>
                </pic:blipFill>
                <pic:spPr>
                  <a:xfrm>
                    <a:off x="0" y="0"/>
                    <a:ext cx="6388100" cy="5207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B887B" w14:textId="6D460775" w:rsidR="00F6138D" w:rsidRPr="00A5474E" w:rsidRDefault="00D65BFA" w:rsidP="00594E9C">
    <w:pPr>
      <w:pStyle w:val="TOCHeading"/>
    </w:pPr>
    <w:r>
      <w:rPr>
        <w:noProof/>
      </w:rPr>
      <w:pict w14:anchorId="6DE109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03008" o:spid="_x0000_s108545" type="#_x0000_t136" style="position:absolute;margin-left:0;margin-top:0;width:564.75pt;height:89.25pt;rotation:315;z-index:-251657216;mso-position-horizontal:center;mso-position-horizontal-relative:margin;mso-position-vertical:center;mso-position-vertical-relative:margin" o:allowincell="f" fillcolor="silver" stroked="f">
          <v:fill opacity=".5"/>
          <v:textpath style="font-family:&quot;Arial&quot;;font-size:80pt" string="SAMPLE ONLY"/>
          <w10:wrap anchorx="margin" anchory="margin"/>
        </v:shape>
      </w:pict>
    </w:r>
    <w:r w:rsidR="00F6138D" w:rsidRPr="0029593B">
      <w:t>Contents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A6732" w14:textId="62035C16" w:rsidR="00F6138D" w:rsidRDefault="00F6138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839C5" w14:textId="09305472" w:rsidR="00F6138D" w:rsidRDefault="00D65BFA">
    <w:pPr>
      <w:pStyle w:val="Header"/>
    </w:pPr>
    <w:r>
      <w:rPr>
        <w:noProof/>
      </w:rPr>
      <w:pict w14:anchorId="2E6238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03013" o:spid="_x0000_s108550" type="#_x0000_t136" style="position:absolute;margin-left:0;margin-top:0;width:564.75pt;height:89.25pt;rotation:315;z-index:-251646976;mso-position-horizontal:center;mso-position-horizontal-relative:margin;mso-position-vertical:center;mso-position-vertical-relative:margin" o:allowincell="f" fillcolor="silver" stroked="f">
          <v:fill opacity=".5"/>
          <v:textpath style="font-family:&quot;Arial&quot;;font-size:80pt" string="SAMPLE ONLY"/>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A47C9" w14:textId="54CECA40" w:rsidR="00F6138D" w:rsidRDefault="00D65BFA">
    <w:pPr>
      <w:pStyle w:val="Header"/>
    </w:pPr>
    <w:r>
      <w:rPr>
        <w:noProof/>
      </w:rPr>
      <w:pict w14:anchorId="2BE03E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03011" o:spid="_x0000_s108548" type="#_x0000_t136" style="position:absolute;margin-left:0;margin-top:0;width:564.75pt;height:89.25pt;rotation:315;z-index:-251651072;mso-position-horizontal:center;mso-position-horizontal-relative:margin;mso-position-vertical:center;mso-position-vertical-relative:margin" o:allowincell="f" fillcolor="silver" stroked="f">
          <v:fill opacity=".5"/>
          <v:textpath style="font-family:&quot;Arial&quot;;font-size:80pt" string="SAMPLE ONLY"/>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678" w:type="dxa"/>
      <w:tblLayout w:type="fixed"/>
      <w:tblCellMar>
        <w:left w:w="0" w:type="dxa"/>
        <w:right w:w="0" w:type="dxa"/>
      </w:tblCellMar>
      <w:tblLook w:val="01E0" w:firstRow="1" w:lastRow="1" w:firstColumn="1" w:lastColumn="1" w:noHBand="0" w:noVBand="0"/>
    </w:tblPr>
    <w:tblGrid>
      <w:gridCol w:w="7678"/>
    </w:tblGrid>
    <w:tr w:rsidR="00F6138D" w14:paraId="640DBED5" w14:textId="77777777" w:rsidTr="0017122D">
      <w:trPr>
        <w:trHeight w:hRule="exact" w:val="988"/>
      </w:trPr>
      <w:tc>
        <w:tcPr>
          <w:tcW w:w="7678" w:type="dxa"/>
          <w:shd w:val="clear" w:color="auto" w:fill="auto"/>
        </w:tcPr>
        <w:p w14:paraId="73216ADE" w14:textId="77777777" w:rsidR="00F6138D" w:rsidRDefault="00F6138D" w:rsidP="00971914">
          <w:pPr>
            <w:pStyle w:val="Header"/>
          </w:pPr>
        </w:p>
      </w:tc>
    </w:tr>
    <w:tr w:rsidR="00F6138D" w14:paraId="17AC5DBD" w14:textId="77777777" w:rsidTr="0017122D">
      <w:tc>
        <w:tcPr>
          <w:tcW w:w="7678" w:type="dxa"/>
          <w:shd w:val="clear" w:color="auto" w:fill="auto"/>
        </w:tcPr>
        <w:p w14:paraId="7E5ED8B4" w14:textId="77777777" w:rsidR="00F6138D" w:rsidRDefault="00F6138D" w:rsidP="00971914">
          <w:pPr>
            <w:pStyle w:val="GridTable31"/>
          </w:pPr>
          <w:r>
            <w:t xml:space="preserve">Contents </w:t>
          </w:r>
          <w:r w:rsidRPr="00915B1C">
            <w:rPr>
              <w:b w:val="0"/>
              <w:spacing w:val="0"/>
              <w:sz w:val="28"/>
              <w:szCs w:val="28"/>
            </w:rPr>
            <w:t>(Continued)</w:t>
          </w:r>
        </w:p>
      </w:tc>
    </w:tr>
    <w:tr w:rsidR="00F6138D" w14:paraId="4DA117EF" w14:textId="77777777" w:rsidTr="0017122D">
      <w:trPr>
        <w:trHeight w:val="1220"/>
      </w:trPr>
      <w:tc>
        <w:tcPr>
          <w:tcW w:w="7678" w:type="dxa"/>
          <w:shd w:val="clear" w:color="auto" w:fill="auto"/>
        </w:tcPr>
        <w:p w14:paraId="4A94E850" w14:textId="77777777" w:rsidR="00F6138D" w:rsidRDefault="00F6138D" w:rsidP="00971914"/>
      </w:tc>
    </w:tr>
  </w:tbl>
  <w:p w14:paraId="3820019E" w14:textId="53965D48" w:rsidR="00F6138D" w:rsidRDefault="00D65BFA" w:rsidP="00971914">
    <w:pPr>
      <w:pStyle w:val="Header"/>
    </w:pPr>
    <w:r>
      <w:rPr>
        <w:noProof/>
      </w:rPr>
      <w:pict w14:anchorId="36541A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03015" o:spid="_x0000_s108552" type="#_x0000_t136" style="position:absolute;margin-left:0;margin-top:0;width:564.75pt;height:89.25pt;rotation:315;z-index:-251642880;mso-position-horizontal:center;mso-position-horizontal-relative:margin;mso-position-vertical:center;mso-position-vertical-relative:margin" o:allowincell="f" fillcolor="silver" stroked="f">
          <v:fill opacity=".5"/>
          <v:textpath style="font-family:&quot;Arial&quot;;font-size:80pt" string="SAMPLE ONLY"/>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678" w:type="dxa"/>
      <w:tblLayout w:type="fixed"/>
      <w:tblCellMar>
        <w:left w:w="0" w:type="dxa"/>
        <w:right w:w="0" w:type="dxa"/>
      </w:tblCellMar>
      <w:tblLook w:val="01E0" w:firstRow="1" w:lastRow="1" w:firstColumn="1" w:lastColumn="1" w:noHBand="0" w:noVBand="0"/>
    </w:tblPr>
    <w:tblGrid>
      <w:gridCol w:w="7678"/>
    </w:tblGrid>
    <w:tr w:rsidR="00F6138D" w14:paraId="643F3CF8" w14:textId="77777777" w:rsidTr="0017122D">
      <w:trPr>
        <w:trHeight w:hRule="exact" w:val="988"/>
      </w:trPr>
      <w:tc>
        <w:tcPr>
          <w:tcW w:w="7678" w:type="dxa"/>
          <w:shd w:val="clear" w:color="auto" w:fill="auto"/>
        </w:tcPr>
        <w:p w14:paraId="54232B41" w14:textId="77777777" w:rsidR="00F6138D" w:rsidRDefault="00F6138D" w:rsidP="00971914">
          <w:pPr>
            <w:pStyle w:val="Header"/>
          </w:pPr>
        </w:p>
      </w:tc>
    </w:tr>
    <w:tr w:rsidR="00F6138D" w14:paraId="1523EE71" w14:textId="77777777" w:rsidTr="0017122D">
      <w:tc>
        <w:tcPr>
          <w:tcW w:w="7678" w:type="dxa"/>
          <w:shd w:val="clear" w:color="auto" w:fill="auto"/>
        </w:tcPr>
        <w:p w14:paraId="6912E68F" w14:textId="77777777" w:rsidR="00F6138D" w:rsidRDefault="00F6138D" w:rsidP="00971914">
          <w:pPr>
            <w:pStyle w:val="GridTable31"/>
          </w:pPr>
          <w:r>
            <w:t xml:space="preserve">Contents </w:t>
          </w:r>
          <w:r w:rsidRPr="00915B1C">
            <w:rPr>
              <w:b w:val="0"/>
              <w:spacing w:val="0"/>
              <w:sz w:val="28"/>
              <w:szCs w:val="28"/>
            </w:rPr>
            <w:t>(Continued)</w:t>
          </w:r>
        </w:p>
      </w:tc>
    </w:tr>
    <w:tr w:rsidR="00F6138D" w14:paraId="1001A082" w14:textId="77777777" w:rsidTr="0017122D">
      <w:trPr>
        <w:trHeight w:val="1220"/>
      </w:trPr>
      <w:tc>
        <w:tcPr>
          <w:tcW w:w="7678" w:type="dxa"/>
          <w:shd w:val="clear" w:color="auto" w:fill="auto"/>
        </w:tcPr>
        <w:p w14:paraId="1E7F2D82" w14:textId="77777777" w:rsidR="00F6138D" w:rsidRDefault="00F6138D" w:rsidP="00971914"/>
      </w:tc>
    </w:tr>
  </w:tbl>
  <w:p w14:paraId="29774B42" w14:textId="4F5BBC73" w:rsidR="00F6138D" w:rsidRPr="00A5474E" w:rsidRDefault="00D65BFA" w:rsidP="00A5474E">
    <w:pPr>
      <w:pStyle w:val="Header"/>
    </w:pPr>
    <w:r>
      <w:rPr>
        <w:noProof/>
      </w:rPr>
      <w:pict w14:anchorId="1ADA9A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03016" o:spid="_x0000_s108553" type="#_x0000_t136" style="position:absolute;margin-left:0;margin-top:0;width:564.75pt;height:89.25pt;rotation:315;z-index:-251640832;mso-position-horizontal:center;mso-position-horizontal-relative:margin;mso-position-vertical:center;mso-position-vertical-relative:margin" o:allowincell="f" fillcolor="silver" stroked="f">
          <v:fill opacity=".5"/>
          <v:textpath style="font-family:&quot;Arial&quot;;font-size:80pt" string="SAMPLE ONLY"/>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0B665" w14:textId="77777777" w:rsidR="007416B2" w:rsidRPr="00A5474E" w:rsidRDefault="007416B2" w:rsidP="007416B2">
    <w:pPr>
      <w:pStyle w:val="TOCHeading"/>
    </w:pPr>
    <w:r w:rsidRPr="0029593B">
      <w:t>Contents</w:t>
    </w:r>
  </w:p>
  <w:p w14:paraId="6F7BD175" w14:textId="35F0B280" w:rsidR="00F6138D" w:rsidRDefault="00F613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FECC9BA"/>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703632DA"/>
    <w:lvl w:ilvl="0">
      <w:start w:val="1"/>
      <w:numFmt w:val="decimal"/>
      <w:pStyle w:val="ListNumber2"/>
      <w:lvlText w:val="%1."/>
      <w:lvlJc w:val="left"/>
      <w:pPr>
        <w:ind w:left="360" w:hanging="360"/>
      </w:pPr>
      <w:rPr>
        <w:rFonts w:hint="default"/>
      </w:rPr>
    </w:lvl>
  </w:abstractNum>
  <w:abstractNum w:abstractNumId="2" w15:restartNumberingAfterBreak="0">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3" w15:restartNumberingAfterBreak="0">
    <w:nsid w:val="FFFFFF88"/>
    <w:multiLevelType w:val="singleLevel"/>
    <w:tmpl w:val="7FECE8A6"/>
    <w:lvl w:ilvl="0">
      <w:start w:val="1"/>
      <w:numFmt w:val="decimal"/>
      <w:pStyle w:val="ListNumber"/>
      <w:lvlText w:val="%1."/>
      <w:lvlJc w:val="left"/>
      <w:pPr>
        <w:ind w:left="360" w:hanging="360"/>
      </w:pPr>
      <w:rPr>
        <w:rFonts w:hint="default"/>
        <w:b w:val="0"/>
        <w:caps/>
        <w:sz w:val="20"/>
      </w:rPr>
    </w:lvl>
  </w:abstractNum>
  <w:abstractNum w:abstractNumId="4" w15:restartNumberingAfterBreak="0">
    <w:nsid w:val="FFFFFF89"/>
    <w:multiLevelType w:val="singleLevel"/>
    <w:tmpl w:val="8D465DE8"/>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5" w15:restartNumberingAfterBreak="0">
    <w:nsid w:val="030E5FC5"/>
    <w:multiLevelType w:val="hybridMultilevel"/>
    <w:tmpl w:val="ECBA527A"/>
    <w:lvl w:ilvl="0" w:tplc="8ACAFE30">
      <w:start w:val="1"/>
      <w:numFmt w:val="lowerRoman"/>
      <w:lvlText w:val="(%1)"/>
      <w:lvlJc w:val="left"/>
      <w:pPr>
        <w:ind w:left="1440" w:hanging="72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51A2C53"/>
    <w:multiLevelType w:val="hybridMultilevel"/>
    <w:tmpl w:val="72D6EFE8"/>
    <w:lvl w:ilvl="0" w:tplc="0C090001">
      <w:start w:val="1"/>
      <w:numFmt w:val="bullet"/>
      <w:lvlText w:val=""/>
      <w:lvlJc w:val="left"/>
      <w:pPr>
        <w:ind w:left="720" w:hanging="360"/>
      </w:pPr>
      <w:rPr>
        <w:rFonts w:ascii="Symbol" w:hAnsi="Symbol" w:hint="default"/>
      </w:rPr>
    </w:lvl>
    <w:lvl w:ilvl="1" w:tplc="34783178">
      <w:numFmt w:val="bullet"/>
      <w:lvlText w:val="-"/>
      <w:lvlJc w:val="left"/>
      <w:pPr>
        <w:ind w:left="1440" w:hanging="36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30328F"/>
    <w:multiLevelType w:val="hybridMultilevel"/>
    <w:tmpl w:val="947E4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CBF66B6"/>
    <w:multiLevelType w:val="hybridMultilevel"/>
    <w:tmpl w:val="D5F8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15:restartNumberingAfterBreak="0">
    <w:nsid w:val="2E95541A"/>
    <w:multiLevelType w:val="hybridMultilevel"/>
    <w:tmpl w:val="F818518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11A6F55"/>
    <w:multiLevelType w:val="hybridMultilevel"/>
    <w:tmpl w:val="D7764CC2"/>
    <w:lvl w:ilvl="0" w:tplc="12C0B2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BB7F06"/>
    <w:multiLevelType w:val="hybridMultilevel"/>
    <w:tmpl w:val="D5B642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B054025"/>
    <w:multiLevelType w:val="hybridMultilevel"/>
    <w:tmpl w:val="181C3030"/>
    <w:lvl w:ilvl="0" w:tplc="AD341B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A205FF"/>
    <w:multiLevelType w:val="hybridMultilevel"/>
    <w:tmpl w:val="8E12BB36"/>
    <w:lvl w:ilvl="0" w:tplc="AFEC89EC">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55AA21F0"/>
    <w:multiLevelType w:val="hybridMultilevel"/>
    <w:tmpl w:val="06AC6452"/>
    <w:lvl w:ilvl="0" w:tplc="075A84B2">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C9432E"/>
    <w:multiLevelType w:val="hybridMultilevel"/>
    <w:tmpl w:val="9CB078C2"/>
    <w:lvl w:ilvl="0" w:tplc="96ACE9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71478"/>
    <w:multiLevelType w:val="hybridMultilevel"/>
    <w:tmpl w:val="4560EABA"/>
    <w:lvl w:ilvl="0" w:tplc="01D2533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3B6D8F"/>
    <w:multiLevelType w:val="hybridMultilevel"/>
    <w:tmpl w:val="837E2202"/>
    <w:lvl w:ilvl="0" w:tplc="AD341BFC">
      <w:start w:val="1"/>
      <w:numFmt w:val="lowerLetter"/>
      <w:lvlText w:val="(%1)"/>
      <w:lvlJc w:val="left"/>
      <w:pPr>
        <w:ind w:left="780" w:hanging="360"/>
      </w:pPr>
      <w:rPr>
        <w:rFont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6B4A314B"/>
    <w:multiLevelType w:val="hybridMultilevel"/>
    <w:tmpl w:val="8CF884CE"/>
    <w:lvl w:ilvl="0" w:tplc="FC3AC0AA">
      <w:numFmt w:val="bullet"/>
      <w:lvlText w:val="&gt;"/>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DE4E71"/>
    <w:multiLevelType w:val="hybridMultilevel"/>
    <w:tmpl w:val="15CE0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FF2F07"/>
    <w:multiLevelType w:val="hybridMultilevel"/>
    <w:tmpl w:val="92ECEF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3315F34"/>
    <w:multiLevelType w:val="hybridMultilevel"/>
    <w:tmpl w:val="499AE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DE44F6"/>
    <w:multiLevelType w:val="hybridMultilevel"/>
    <w:tmpl w:val="A24CDDBC"/>
    <w:lvl w:ilvl="0" w:tplc="AD341B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6BE1922"/>
    <w:multiLevelType w:val="hybridMultilevel"/>
    <w:tmpl w:val="3DA4510C"/>
    <w:lvl w:ilvl="0" w:tplc="AD341BF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9"/>
  </w:num>
  <w:num w:numId="6">
    <w:abstractNumId w:val="18"/>
  </w:num>
  <w:num w:numId="7">
    <w:abstractNumId w:val="15"/>
  </w:num>
  <w:num w:numId="8">
    <w:abstractNumId w:val="17"/>
  </w:num>
  <w:num w:numId="9">
    <w:abstractNumId w:val="22"/>
  </w:num>
  <w:num w:numId="10">
    <w:abstractNumId w:val="3"/>
    <w:lvlOverride w:ilvl="0">
      <w:startOverride w:val="1"/>
    </w:lvlOverride>
  </w:num>
  <w:num w:numId="11">
    <w:abstractNumId w:val="0"/>
  </w:num>
  <w:num w:numId="12">
    <w:abstractNumId w:val="24"/>
  </w:num>
  <w:num w:numId="13">
    <w:abstractNumId w:val="10"/>
  </w:num>
  <w:num w:numId="14">
    <w:abstractNumId w:val="7"/>
  </w:num>
  <w:num w:numId="15">
    <w:abstractNumId w:val="3"/>
    <w:lvlOverride w:ilvl="0">
      <w:startOverride w:val="1"/>
    </w:lvlOverride>
  </w:num>
  <w:num w:numId="16">
    <w:abstractNumId w:val="8"/>
  </w:num>
  <w:num w:numId="17">
    <w:abstractNumId w:val="3"/>
  </w:num>
  <w:num w:numId="18">
    <w:abstractNumId w:val="3"/>
  </w:num>
  <w:num w:numId="19">
    <w:abstractNumId w:val="11"/>
  </w:num>
  <w:num w:numId="20">
    <w:abstractNumId w:val="6"/>
  </w:num>
  <w:num w:numId="21">
    <w:abstractNumId w:val="3"/>
  </w:num>
  <w:num w:numId="22">
    <w:abstractNumId w:val="3"/>
  </w:num>
  <w:num w:numId="23">
    <w:abstractNumId w:val="3"/>
  </w:num>
  <w:num w:numId="24">
    <w:abstractNumId w:val="3"/>
  </w:num>
  <w:num w:numId="25">
    <w:abstractNumId w:val="3"/>
  </w:num>
  <w:num w:numId="26">
    <w:abstractNumId w:val="21"/>
  </w:num>
  <w:num w:numId="27">
    <w:abstractNumId w:val="3"/>
  </w:num>
  <w:num w:numId="28">
    <w:abstractNumId w:val="4"/>
  </w:num>
  <w:num w:numId="29">
    <w:abstractNumId w:val="4"/>
  </w:num>
  <w:num w:numId="30">
    <w:abstractNumId w:val="4"/>
  </w:num>
  <w:num w:numId="31">
    <w:abstractNumId w:val="3"/>
  </w:num>
  <w:num w:numId="32">
    <w:abstractNumId w:val="3"/>
  </w:num>
  <w:num w:numId="33">
    <w:abstractNumId w:val="3"/>
  </w:num>
  <w:num w:numId="34">
    <w:abstractNumId w:val="3"/>
  </w:num>
  <w:num w:numId="35">
    <w:abstractNumId w:val="23"/>
  </w:num>
  <w:num w:numId="36">
    <w:abstractNumId w:val="3"/>
  </w:num>
  <w:num w:numId="37">
    <w:abstractNumId w:val="3"/>
  </w:num>
  <w:num w:numId="38">
    <w:abstractNumId w:val="12"/>
  </w:num>
  <w:num w:numId="39">
    <w:abstractNumId w:val="20"/>
  </w:num>
  <w:num w:numId="40">
    <w:abstractNumId w:val="16"/>
  </w:num>
  <w:num w:numId="41">
    <w:abstractNumId w:val="5"/>
  </w:num>
  <w:num w:numId="42">
    <w:abstractNumId w:val="25"/>
  </w:num>
  <w:num w:numId="43">
    <w:abstractNumId w:val="13"/>
  </w:num>
  <w:num w:numId="44">
    <w:abstractNumId w:val="19"/>
  </w:num>
  <w:num w:numId="45">
    <w:abstractNumId w:val="26"/>
  </w:num>
  <w:num w:numId="46">
    <w:abstractNumId w:val="14"/>
  </w:num>
  <w:num w:numId="47">
    <w:abstractNumId w:val="3"/>
  </w:num>
  <w:num w:numId="48">
    <w:abstractNumId w:val="3"/>
    <w:lvlOverride w:ilvl="0">
      <w:startOverride w:val="1"/>
    </w:lvlOverride>
  </w:num>
  <w:num w:numId="49">
    <w:abstractNumId w:val="3"/>
  </w:num>
  <w:num w:numId="5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readOnly" w:enforcement="1"/>
  <w:defaultTabStop w:val="284"/>
  <w:evenAndOddHeaders/>
  <w:drawingGridHorizontalSpacing w:val="100"/>
  <w:displayHorizontalDrawingGridEvery w:val="2"/>
  <w:characterSpacingControl w:val="doNotCompress"/>
  <w:hdrShapeDefaults>
    <o:shapedefaults v:ext="edit" spidmax="108560">
      <o:colormru v:ext="edit" colors="red,#4d4d4f"/>
    </o:shapedefaults>
    <o:shapelayout v:ext="edit">
      <o:idmap v:ext="edit" data="106"/>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FA4"/>
    <w:rsid w:val="00001602"/>
    <w:rsid w:val="00004B89"/>
    <w:rsid w:val="00010667"/>
    <w:rsid w:val="00011F10"/>
    <w:rsid w:val="000129D5"/>
    <w:rsid w:val="000141D2"/>
    <w:rsid w:val="00015AE7"/>
    <w:rsid w:val="00016E21"/>
    <w:rsid w:val="0001719C"/>
    <w:rsid w:val="0002224E"/>
    <w:rsid w:val="000257D4"/>
    <w:rsid w:val="00026F91"/>
    <w:rsid w:val="00032374"/>
    <w:rsid w:val="00042AFC"/>
    <w:rsid w:val="00045193"/>
    <w:rsid w:val="0004764C"/>
    <w:rsid w:val="00047E43"/>
    <w:rsid w:val="0005011A"/>
    <w:rsid w:val="0005045A"/>
    <w:rsid w:val="00051C1E"/>
    <w:rsid w:val="000539F9"/>
    <w:rsid w:val="00054C27"/>
    <w:rsid w:val="00055EC3"/>
    <w:rsid w:val="000563CE"/>
    <w:rsid w:val="00060E9C"/>
    <w:rsid w:val="000637FF"/>
    <w:rsid w:val="00064D60"/>
    <w:rsid w:val="000659B6"/>
    <w:rsid w:val="0006686F"/>
    <w:rsid w:val="0006722A"/>
    <w:rsid w:val="000732CF"/>
    <w:rsid w:val="000735B8"/>
    <w:rsid w:val="0007488E"/>
    <w:rsid w:val="00075B96"/>
    <w:rsid w:val="0008196A"/>
    <w:rsid w:val="0008710F"/>
    <w:rsid w:val="000915ED"/>
    <w:rsid w:val="0009209D"/>
    <w:rsid w:val="000969BD"/>
    <w:rsid w:val="000969BF"/>
    <w:rsid w:val="000A0C22"/>
    <w:rsid w:val="000A3C43"/>
    <w:rsid w:val="000A4A51"/>
    <w:rsid w:val="000A5D2B"/>
    <w:rsid w:val="000B2758"/>
    <w:rsid w:val="000B5DE3"/>
    <w:rsid w:val="000C094F"/>
    <w:rsid w:val="000C0A57"/>
    <w:rsid w:val="000C0F66"/>
    <w:rsid w:val="000C230C"/>
    <w:rsid w:val="000C37FA"/>
    <w:rsid w:val="000C6AB4"/>
    <w:rsid w:val="000C7010"/>
    <w:rsid w:val="000D487F"/>
    <w:rsid w:val="000D71D9"/>
    <w:rsid w:val="000D76E0"/>
    <w:rsid w:val="000D7E8B"/>
    <w:rsid w:val="000E0099"/>
    <w:rsid w:val="000E4449"/>
    <w:rsid w:val="000E6097"/>
    <w:rsid w:val="000F2770"/>
    <w:rsid w:val="00101D70"/>
    <w:rsid w:val="00103829"/>
    <w:rsid w:val="00105793"/>
    <w:rsid w:val="001061E0"/>
    <w:rsid w:val="00111FCE"/>
    <w:rsid w:val="001229A5"/>
    <w:rsid w:val="00123CEE"/>
    <w:rsid w:val="0012489B"/>
    <w:rsid w:val="00130017"/>
    <w:rsid w:val="00130F91"/>
    <w:rsid w:val="001322D6"/>
    <w:rsid w:val="001349ED"/>
    <w:rsid w:val="00137424"/>
    <w:rsid w:val="00140318"/>
    <w:rsid w:val="001403B9"/>
    <w:rsid w:val="00141AD9"/>
    <w:rsid w:val="001428B9"/>
    <w:rsid w:val="00146CE6"/>
    <w:rsid w:val="00147B2C"/>
    <w:rsid w:val="0015026E"/>
    <w:rsid w:val="00152903"/>
    <w:rsid w:val="00153FD5"/>
    <w:rsid w:val="0015614F"/>
    <w:rsid w:val="00156CAC"/>
    <w:rsid w:val="001577C2"/>
    <w:rsid w:val="00162396"/>
    <w:rsid w:val="001633C4"/>
    <w:rsid w:val="0017122D"/>
    <w:rsid w:val="00171591"/>
    <w:rsid w:val="00172E19"/>
    <w:rsid w:val="0017381B"/>
    <w:rsid w:val="00173981"/>
    <w:rsid w:val="0017719D"/>
    <w:rsid w:val="00180403"/>
    <w:rsid w:val="001816C3"/>
    <w:rsid w:val="00183FD7"/>
    <w:rsid w:val="0018468D"/>
    <w:rsid w:val="00185CAB"/>
    <w:rsid w:val="001875B7"/>
    <w:rsid w:val="00187CB3"/>
    <w:rsid w:val="0019050A"/>
    <w:rsid w:val="001910D4"/>
    <w:rsid w:val="001976E3"/>
    <w:rsid w:val="001A44EC"/>
    <w:rsid w:val="001A535A"/>
    <w:rsid w:val="001B02C6"/>
    <w:rsid w:val="001B0A5E"/>
    <w:rsid w:val="001B2DAD"/>
    <w:rsid w:val="001B4B2C"/>
    <w:rsid w:val="001B58AA"/>
    <w:rsid w:val="001B68EE"/>
    <w:rsid w:val="001B7E48"/>
    <w:rsid w:val="001C17CE"/>
    <w:rsid w:val="001C3580"/>
    <w:rsid w:val="001C36CA"/>
    <w:rsid w:val="001C44D1"/>
    <w:rsid w:val="001C6AEE"/>
    <w:rsid w:val="001C7630"/>
    <w:rsid w:val="001D6D15"/>
    <w:rsid w:val="001E0075"/>
    <w:rsid w:val="001E096D"/>
    <w:rsid w:val="001F0D3D"/>
    <w:rsid w:val="001F25B0"/>
    <w:rsid w:val="001F4EDF"/>
    <w:rsid w:val="001F714C"/>
    <w:rsid w:val="001F7558"/>
    <w:rsid w:val="0020029C"/>
    <w:rsid w:val="00205B57"/>
    <w:rsid w:val="002122FB"/>
    <w:rsid w:val="0021370E"/>
    <w:rsid w:val="002157E0"/>
    <w:rsid w:val="00216A57"/>
    <w:rsid w:val="00216E30"/>
    <w:rsid w:val="00222340"/>
    <w:rsid w:val="0022334F"/>
    <w:rsid w:val="00223C26"/>
    <w:rsid w:val="00226819"/>
    <w:rsid w:val="00230085"/>
    <w:rsid w:val="00231142"/>
    <w:rsid w:val="00233101"/>
    <w:rsid w:val="00233817"/>
    <w:rsid w:val="00233A9B"/>
    <w:rsid w:val="002358D6"/>
    <w:rsid w:val="002367FF"/>
    <w:rsid w:val="0024007B"/>
    <w:rsid w:val="00240CE9"/>
    <w:rsid w:val="002434BA"/>
    <w:rsid w:val="002441B0"/>
    <w:rsid w:val="00245E8E"/>
    <w:rsid w:val="00246089"/>
    <w:rsid w:val="00246093"/>
    <w:rsid w:val="00246702"/>
    <w:rsid w:val="00247C59"/>
    <w:rsid w:val="00247F2E"/>
    <w:rsid w:val="002503D5"/>
    <w:rsid w:val="00250ADC"/>
    <w:rsid w:val="00250B07"/>
    <w:rsid w:val="00254556"/>
    <w:rsid w:val="0025513A"/>
    <w:rsid w:val="00257553"/>
    <w:rsid w:val="00260FB2"/>
    <w:rsid w:val="0026106B"/>
    <w:rsid w:val="00262128"/>
    <w:rsid w:val="0027095A"/>
    <w:rsid w:val="0027165D"/>
    <w:rsid w:val="00273CEB"/>
    <w:rsid w:val="00275B9C"/>
    <w:rsid w:val="00276768"/>
    <w:rsid w:val="002804C9"/>
    <w:rsid w:val="00281C89"/>
    <w:rsid w:val="0028282F"/>
    <w:rsid w:val="00283861"/>
    <w:rsid w:val="0028596E"/>
    <w:rsid w:val="002901C2"/>
    <w:rsid w:val="0029593B"/>
    <w:rsid w:val="00297FC5"/>
    <w:rsid w:val="002A0417"/>
    <w:rsid w:val="002A0EDC"/>
    <w:rsid w:val="002A16D8"/>
    <w:rsid w:val="002A1BC8"/>
    <w:rsid w:val="002A3EF2"/>
    <w:rsid w:val="002B0DED"/>
    <w:rsid w:val="002B19A2"/>
    <w:rsid w:val="002B381A"/>
    <w:rsid w:val="002B4FCC"/>
    <w:rsid w:val="002B7408"/>
    <w:rsid w:val="002B779B"/>
    <w:rsid w:val="002B7CFD"/>
    <w:rsid w:val="002C09F2"/>
    <w:rsid w:val="002C1AC3"/>
    <w:rsid w:val="002C210F"/>
    <w:rsid w:val="002C5FD0"/>
    <w:rsid w:val="002D2F6F"/>
    <w:rsid w:val="002D3600"/>
    <w:rsid w:val="002E2012"/>
    <w:rsid w:val="002E4DDC"/>
    <w:rsid w:val="002F3020"/>
    <w:rsid w:val="002F4D0D"/>
    <w:rsid w:val="0030107E"/>
    <w:rsid w:val="00302164"/>
    <w:rsid w:val="00302480"/>
    <w:rsid w:val="003144B9"/>
    <w:rsid w:val="003165E6"/>
    <w:rsid w:val="003221CF"/>
    <w:rsid w:val="0032296C"/>
    <w:rsid w:val="003233ED"/>
    <w:rsid w:val="00324D9F"/>
    <w:rsid w:val="00327948"/>
    <w:rsid w:val="0033000F"/>
    <w:rsid w:val="00332011"/>
    <w:rsid w:val="00332518"/>
    <w:rsid w:val="00332925"/>
    <w:rsid w:val="003332ED"/>
    <w:rsid w:val="003339AE"/>
    <w:rsid w:val="00335812"/>
    <w:rsid w:val="003368DC"/>
    <w:rsid w:val="00337F11"/>
    <w:rsid w:val="003446A9"/>
    <w:rsid w:val="00345927"/>
    <w:rsid w:val="00350584"/>
    <w:rsid w:val="00351857"/>
    <w:rsid w:val="00351E5A"/>
    <w:rsid w:val="003545E8"/>
    <w:rsid w:val="003610E1"/>
    <w:rsid w:val="00366B63"/>
    <w:rsid w:val="003671BE"/>
    <w:rsid w:val="00372485"/>
    <w:rsid w:val="00372658"/>
    <w:rsid w:val="00373200"/>
    <w:rsid w:val="00374C4B"/>
    <w:rsid w:val="00375EF5"/>
    <w:rsid w:val="003767A5"/>
    <w:rsid w:val="0038324D"/>
    <w:rsid w:val="00385254"/>
    <w:rsid w:val="00385DA7"/>
    <w:rsid w:val="00395C6A"/>
    <w:rsid w:val="003975E9"/>
    <w:rsid w:val="00397FB1"/>
    <w:rsid w:val="003A04DB"/>
    <w:rsid w:val="003A5F5B"/>
    <w:rsid w:val="003A789A"/>
    <w:rsid w:val="003B0C30"/>
    <w:rsid w:val="003B12EC"/>
    <w:rsid w:val="003B457B"/>
    <w:rsid w:val="003B6868"/>
    <w:rsid w:val="003B6F58"/>
    <w:rsid w:val="003B7146"/>
    <w:rsid w:val="003C1D6F"/>
    <w:rsid w:val="003C66A6"/>
    <w:rsid w:val="003C77E0"/>
    <w:rsid w:val="003D17D7"/>
    <w:rsid w:val="003D2678"/>
    <w:rsid w:val="003D71A3"/>
    <w:rsid w:val="003E07E5"/>
    <w:rsid w:val="003E2B8A"/>
    <w:rsid w:val="003E3FD3"/>
    <w:rsid w:val="003F10EE"/>
    <w:rsid w:val="003F16F6"/>
    <w:rsid w:val="003F21F4"/>
    <w:rsid w:val="003F4DC7"/>
    <w:rsid w:val="003F5235"/>
    <w:rsid w:val="004027E4"/>
    <w:rsid w:val="00404613"/>
    <w:rsid w:val="00405DD9"/>
    <w:rsid w:val="0041071D"/>
    <w:rsid w:val="00412636"/>
    <w:rsid w:val="00414AFC"/>
    <w:rsid w:val="004151A7"/>
    <w:rsid w:val="00415310"/>
    <w:rsid w:val="00421709"/>
    <w:rsid w:val="00423763"/>
    <w:rsid w:val="0042762F"/>
    <w:rsid w:val="00427DC7"/>
    <w:rsid w:val="00431613"/>
    <w:rsid w:val="00431792"/>
    <w:rsid w:val="0043297A"/>
    <w:rsid w:val="00432EB2"/>
    <w:rsid w:val="00434F93"/>
    <w:rsid w:val="0043714F"/>
    <w:rsid w:val="00437A67"/>
    <w:rsid w:val="004410D7"/>
    <w:rsid w:val="00442975"/>
    <w:rsid w:val="004438B5"/>
    <w:rsid w:val="0044422E"/>
    <w:rsid w:val="0044586A"/>
    <w:rsid w:val="00447037"/>
    <w:rsid w:val="00447B54"/>
    <w:rsid w:val="0045124D"/>
    <w:rsid w:val="00454596"/>
    <w:rsid w:val="0045605D"/>
    <w:rsid w:val="0045751B"/>
    <w:rsid w:val="0046135B"/>
    <w:rsid w:val="00461D47"/>
    <w:rsid w:val="00462147"/>
    <w:rsid w:val="00462EEC"/>
    <w:rsid w:val="004718CC"/>
    <w:rsid w:val="00480B8A"/>
    <w:rsid w:val="00481695"/>
    <w:rsid w:val="0048632A"/>
    <w:rsid w:val="0048729B"/>
    <w:rsid w:val="00492F29"/>
    <w:rsid w:val="00495A96"/>
    <w:rsid w:val="00495BB3"/>
    <w:rsid w:val="004A3852"/>
    <w:rsid w:val="004A56BB"/>
    <w:rsid w:val="004A69BC"/>
    <w:rsid w:val="004A7545"/>
    <w:rsid w:val="004B1751"/>
    <w:rsid w:val="004B2951"/>
    <w:rsid w:val="004B3AB3"/>
    <w:rsid w:val="004B7E19"/>
    <w:rsid w:val="004C0253"/>
    <w:rsid w:val="004C03E1"/>
    <w:rsid w:val="004C23C9"/>
    <w:rsid w:val="004C3807"/>
    <w:rsid w:val="004C55D8"/>
    <w:rsid w:val="004C6A86"/>
    <w:rsid w:val="004C7523"/>
    <w:rsid w:val="004D4042"/>
    <w:rsid w:val="004D56FF"/>
    <w:rsid w:val="004D5D58"/>
    <w:rsid w:val="004E1BC5"/>
    <w:rsid w:val="004E39D3"/>
    <w:rsid w:val="004E508A"/>
    <w:rsid w:val="004E616D"/>
    <w:rsid w:val="004E6A01"/>
    <w:rsid w:val="004E7B67"/>
    <w:rsid w:val="004F0ACE"/>
    <w:rsid w:val="004F1BB7"/>
    <w:rsid w:val="004F1BDE"/>
    <w:rsid w:val="004F2CEE"/>
    <w:rsid w:val="004F556E"/>
    <w:rsid w:val="004F7852"/>
    <w:rsid w:val="004F7F44"/>
    <w:rsid w:val="005037B4"/>
    <w:rsid w:val="005079BF"/>
    <w:rsid w:val="0051269A"/>
    <w:rsid w:val="0052008C"/>
    <w:rsid w:val="005219E7"/>
    <w:rsid w:val="00522E74"/>
    <w:rsid w:val="00525A24"/>
    <w:rsid w:val="00525E1E"/>
    <w:rsid w:val="00531689"/>
    <w:rsid w:val="00531B9A"/>
    <w:rsid w:val="00531D15"/>
    <w:rsid w:val="00533B7C"/>
    <w:rsid w:val="005358C2"/>
    <w:rsid w:val="0053688C"/>
    <w:rsid w:val="00537604"/>
    <w:rsid w:val="00542377"/>
    <w:rsid w:val="00544A3E"/>
    <w:rsid w:val="005476EB"/>
    <w:rsid w:val="0055072E"/>
    <w:rsid w:val="00550D3F"/>
    <w:rsid w:val="005516D9"/>
    <w:rsid w:val="00551782"/>
    <w:rsid w:val="00551AA7"/>
    <w:rsid w:val="005542B2"/>
    <w:rsid w:val="00556858"/>
    <w:rsid w:val="00561F4D"/>
    <w:rsid w:val="00562BF3"/>
    <w:rsid w:val="00563EF1"/>
    <w:rsid w:val="00566AB4"/>
    <w:rsid w:val="00570DC3"/>
    <w:rsid w:val="00575AC5"/>
    <w:rsid w:val="0057605D"/>
    <w:rsid w:val="00577902"/>
    <w:rsid w:val="00581347"/>
    <w:rsid w:val="00581AC9"/>
    <w:rsid w:val="005849F8"/>
    <w:rsid w:val="005938DF"/>
    <w:rsid w:val="00594E9C"/>
    <w:rsid w:val="005A099B"/>
    <w:rsid w:val="005A18E1"/>
    <w:rsid w:val="005A1CE8"/>
    <w:rsid w:val="005A2D9C"/>
    <w:rsid w:val="005A2F74"/>
    <w:rsid w:val="005A519A"/>
    <w:rsid w:val="005A55FE"/>
    <w:rsid w:val="005A6981"/>
    <w:rsid w:val="005A6A11"/>
    <w:rsid w:val="005A6CD7"/>
    <w:rsid w:val="005C4402"/>
    <w:rsid w:val="005C68E5"/>
    <w:rsid w:val="005D2502"/>
    <w:rsid w:val="005D40BB"/>
    <w:rsid w:val="005D40D2"/>
    <w:rsid w:val="005D47F3"/>
    <w:rsid w:val="005D49BF"/>
    <w:rsid w:val="005D6F4E"/>
    <w:rsid w:val="005D7C73"/>
    <w:rsid w:val="005E2A7B"/>
    <w:rsid w:val="005E2B1A"/>
    <w:rsid w:val="005E3ACD"/>
    <w:rsid w:val="005E4F17"/>
    <w:rsid w:val="005E6575"/>
    <w:rsid w:val="005E7226"/>
    <w:rsid w:val="005E7A57"/>
    <w:rsid w:val="005F0A60"/>
    <w:rsid w:val="005F10F4"/>
    <w:rsid w:val="005F1448"/>
    <w:rsid w:val="005F24B0"/>
    <w:rsid w:val="00603661"/>
    <w:rsid w:val="00604315"/>
    <w:rsid w:val="00604E26"/>
    <w:rsid w:val="006052CF"/>
    <w:rsid w:val="00606118"/>
    <w:rsid w:val="0060732F"/>
    <w:rsid w:val="00607B8D"/>
    <w:rsid w:val="00607C86"/>
    <w:rsid w:val="00610145"/>
    <w:rsid w:val="006116FA"/>
    <w:rsid w:val="00611F5C"/>
    <w:rsid w:val="00612016"/>
    <w:rsid w:val="006120CF"/>
    <w:rsid w:val="00613DAE"/>
    <w:rsid w:val="0061401D"/>
    <w:rsid w:val="00614694"/>
    <w:rsid w:val="00616E09"/>
    <w:rsid w:val="00622A3B"/>
    <w:rsid w:val="00622C99"/>
    <w:rsid w:val="00622EEA"/>
    <w:rsid w:val="0062396C"/>
    <w:rsid w:val="00623FF9"/>
    <w:rsid w:val="00627D4E"/>
    <w:rsid w:val="006331D5"/>
    <w:rsid w:val="00634478"/>
    <w:rsid w:val="00635C25"/>
    <w:rsid w:val="00637856"/>
    <w:rsid w:val="00640F0C"/>
    <w:rsid w:val="00641A45"/>
    <w:rsid w:val="00641E4D"/>
    <w:rsid w:val="00644373"/>
    <w:rsid w:val="00645915"/>
    <w:rsid w:val="0065121F"/>
    <w:rsid w:val="006519C3"/>
    <w:rsid w:val="00651B2B"/>
    <w:rsid w:val="00652B30"/>
    <w:rsid w:val="0065472B"/>
    <w:rsid w:val="00656345"/>
    <w:rsid w:val="00656DC6"/>
    <w:rsid w:val="00660EC6"/>
    <w:rsid w:val="00664110"/>
    <w:rsid w:val="00664D17"/>
    <w:rsid w:val="00666520"/>
    <w:rsid w:val="00667C5B"/>
    <w:rsid w:val="006710EE"/>
    <w:rsid w:val="006755AC"/>
    <w:rsid w:val="0067654C"/>
    <w:rsid w:val="00677014"/>
    <w:rsid w:val="00682BA2"/>
    <w:rsid w:val="00686B77"/>
    <w:rsid w:val="00692CDE"/>
    <w:rsid w:val="00693073"/>
    <w:rsid w:val="006977FF"/>
    <w:rsid w:val="006A01FA"/>
    <w:rsid w:val="006A0E9E"/>
    <w:rsid w:val="006A25C7"/>
    <w:rsid w:val="006A4AAD"/>
    <w:rsid w:val="006A67CB"/>
    <w:rsid w:val="006A6DA2"/>
    <w:rsid w:val="006A7AB2"/>
    <w:rsid w:val="006B5717"/>
    <w:rsid w:val="006B582F"/>
    <w:rsid w:val="006C0CEB"/>
    <w:rsid w:val="006C16A4"/>
    <w:rsid w:val="006C1E94"/>
    <w:rsid w:val="006C3B1E"/>
    <w:rsid w:val="006C47FD"/>
    <w:rsid w:val="006C5C19"/>
    <w:rsid w:val="006C6C3F"/>
    <w:rsid w:val="006C70A0"/>
    <w:rsid w:val="006D25DD"/>
    <w:rsid w:val="006D27CB"/>
    <w:rsid w:val="006D2F08"/>
    <w:rsid w:val="006D4249"/>
    <w:rsid w:val="006D576C"/>
    <w:rsid w:val="006D5865"/>
    <w:rsid w:val="006D5DB8"/>
    <w:rsid w:val="006E2807"/>
    <w:rsid w:val="006E4B1B"/>
    <w:rsid w:val="006E5445"/>
    <w:rsid w:val="006E7D93"/>
    <w:rsid w:val="006F2E94"/>
    <w:rsid w:val="007029A3"/>
    <w:rsid w:val="0070302C"/>
    <w:rsid w:val="00706E4E"/>
    <w:rsid w:val="0070791C"/>
    <w:rsid w:val="00712A7D"/>
    <w:rsid w:val="0071383C"/>
    <w:rsid w:val="00713975"/>
    <w:rsid w:val="007141A7"/>
    <w:rsid w:val="00715722"/>
    <w:rsid w:val="00721032"/>
    <w:rsid w:val="00721B55"/>
    <w:rsid w:val="00726CE4"/>
    <w:rsid w:val="00731AAF"/>
    <w:rsid w:val="00734143"/>
    <w:rsid w:val="007371ED"/>
    <w:rsid w:val="00737439"/>
    <w:rsid w:val="00737E47"/>
    <w:rsid w:val="00740EAC"/>
    <w:rsid w:val="007416B2"/>
    <w:rsid w:val="007444D6"/>
    <w:rsid w:val="00744956"/>
    <w:rsid w:val="00745A5C"/>
    <w:rsid w:val="0074605F"/>
    <w:rsid w:val="007466FE"/>
    <w:rsid w:val="00747E94"/>
    <w:rsid w:val="00750711"/>
    <w:rsid w:val="0075287C"/>
    <w:rsid w:val="00754C83"/>
    <w:rsid w:val="007559EE"/>
    <w:rsid w:val="00763A32"/>
    <w:rsid w:val="00765DF8"/>
    <w:rsid w:val="00766749"/>
    <w:rsid w:val="00767C1B"/>
    <w:rsid w:val="007714A9"/>
    <w:rsid w:val="00774F88"/>
    <w:rsid w:val="00774FDB"/>
    <w:rsid w:val="00777BA2"/>
    <w:rsid w:val="00777E70"/>
    <w:rsid w:val="00781408"/>
    <w:rsid w:val="00782A05"/>
    <w:rsid w:val="00784F7F"/>
    <w:rsid w:val="007878BD"/>
    <w:rsid w:val="00791401"/>
    <w:rsid w:val="00796F25"/>
    <w:rsid w:val="007A27A5"/>
    <w:rsid w:val="007A2E98"/>
    <w:rsid w:val="007A3BA3"/>
    <w:rsid w:val="007A4972"/>
    <w:rsid w:val="007A6CC0"/>
    <w:rsid w:val="007A7FEC"/>
    <w:rsid w:val="007B1499"/>
    <w:rsid w:val="007B1BBF"/>
    <w:rsid w:val="007B2960"/>
    <w:rsid w:val="007B355D"/>
    <w:rsid w:val="007B700A"/>
    <w:rsid w:val="007B7980"/>
    <w:rsid w:val="007C0DEF"/>
    <w:rsid w:val="007C5D5A"/>
    <w:rsid w:val="007C607F"/>
    <w:rsid w:val="007C6345"/>
    <w:rsid w:val="007C79DD"/>
    <w:rsid w:val="007D023C"/>
    <w:rsid w:val="007D1579"/>
    <w:rsid w:val="007D1A97"/>
    <w:rsid w:val="007D2CD6"/>
    <w:rsid w:val="007D3063"/>
    <w:rsid w:val="007D3CEB"/>
    <w:rsid w:val="007E39CA"/>
    <w:rsid w:val="007E4AAB"/>
    <w:rsid w:val="007E539A"/>
    <w:rsid w:val="007E7683"/>
    <w:rsid w:val="007F2880"/>
    <w:rsid w:val="007F2C97"/>
    <w:rsid w:val="007F47B4"/>
    <w:rsid w:val="007F49FA"/>
    <w:rsid w:val="007F4A80"/>
    <w:rsid w:val="007F54C4"/>
    <w:rsid w:val="007F6E7D"/>
    <w:rsid w:val="007F6E9A"/>
    <w:rsid w:val="008044D4"/>
    <w:rsid w:val="00804EAF"/>
    <w:rsid w:val="00805859"/>
    <w:rsid w:val="008061EE"/>
    <w:rsid w:val="00810AB4"/>
    <w:rsid w:val="008146F5"/>
    <w:rsid w:val="00814A35"/>
    <w:rsid w:val="00817B56"/>
    <w:rsid w:val="00821A88"/>
    <w:rsid w:val="00822323"/>
    <w:rsid w:val="0082495D"/>
    <w:rsid w:val="008319CD"/>
    <w:rsid w:val="00831AC3"/>
    <w:rsid w:val="00832B00"/>
    <w:rsid w:val="008342F8"/>
    <w:rsid w:val="00835900"/>
    <w:rsid w:val="008369B3"/>
    <w:rsid w:val="008408FF"/>
    <w:rsid w:val="00840E7B"/>
    <w:rsid w:val="00845D94"/>
    <w:rsid w:val="00851A61"/>
    <w:rsid w:val="00851BB8"/>
    <w:rsid w:val="00851F3F"/>
    <w:rsid w:val="00852C6D"/>
    <w:rsid w:val="00856EDC"/>
    <w:rsid w:val="0086204D"/>
    <w:rsid w:val="008623B5"/>
    <w:rsid w:val="00870ABA"/>
    <w:rsid w:val="00871064"/>
    <w:rsid w:val="008710E1"/>
    <w:rsid w:val="008716E5"/>
    <w:rsid w:val="00871E0D"/>
    <w:rsid w:val="00877FAA"/>
    <w:rsid w:val="0088043B"/>
    <w:rsid w:val="00881CA9"/>
    <w:rsid w:val="00883628"/>
    <w:rsid w:val="00885544"/>
    <w:rsid w:val="00885A9F"/>
    <w:rsid w:val="0088634E"/>
    <w:rsid w:val="00893970"/>
    <w:rsid w:val="00893AB8"/>
    <w:rsid w:val="008A04C8"/>
    <w:rsid w:val="008A4005"/>
    <w:rsid w:val="008A6913"/>
    <w:rsid w:val="008B3F80"/>
    <w:rsid w:val="008B514B"/>
    <w:rsid w:val="008B65CC"/>
    <w:rsid w:val="008B70F3"/>
    <w:rsid w:val="008B76DF"/>
    <w:rsid w:val="008C10F4"/>
    <w:rsid w:val="008C1E17"/>
    <w:rsid w:val="008C65F7"/>
    <w:rsid w:val="008D7451"/>
    <w:rsid w:val="008E03D3"/>
    <w:rsid w:val="008E4767"/>
    <w:rsid w:val="008E70B9"/>
    <w:rsid w:val="008E7A8C"/>
    <w:rsid w:val="008F5425"/>
    <w:rsid w:val="00901E0E"/>
    <w:rsid w:val="009026B0"/>
    <w:rsid w:val="00903285"/>
    <w:rsid w:val="00906F40"/>
    <w:rsid w:val="0090731E"/>
    <w:rsid w:val="00915B1C"/>
    <w:rsid w:val="00916DC9"/>
    <w:rsid w:val="009174F3"/>
    <w:rsid w:val="0091797D"/>
    <w:rsid w:val="00923CBA"/>
    <w:rsid w:val="00926703"/>
    <w:rsid w:val="00927691"/>
    <w:rsid w:val="00927A5F"/>
    <w:rsid w:val="00927A67"/>
    <w:rsid w:val="00935B63"/>
    <w:rsid w:val="0094078F"/>
    <w:rsid w:val="00940FA3"/>
    <w:rsid w:val="00941FB0"/>
    <w:rsid w:val="0094218A"/>
    <w:rsid w:val="009426D4"/>
    <w:rsid w:val="00943C84"/>
    <w:rsid w:val="00946C2A"/>
    <w:rsid w:val="00947F25"/>
    <w:rsid w:val="00950159"/>
    <w:rsid w:val="0095490B"/>
    <w:rsid w:val="00960A33"/>
    <w:rsid w:val="00963AA2"/>
    <w:rsid w:val="00967992"/>
    <w:rsid w:val="00971914"/>
    <w:rsid w:val="00973A51"/>
    <w:rsid w:val="00974363"/>
    <w:rsid w:val="00975DF8"/>
    <w:rsid w:val="00981898"/>
    <w:rsid w:val="00982D26"/>
    <w:rsid w:val="00985C96"/>
    <w:rsid w:val="0099133F"/>
    <w:rsid w:val="00993E0C"/>
    <w:rsid w:val="00994260"/>
    <w:rsid w:val="0099577C"/>
    <w:rsid w:val="009A4ED9"/>
    <w:rsid w:val="009B2601"/>
    <w:rsid w:val="009B4E9E"/>
    <w:rsid w:val="009C1690"/>
    <w:rsid w:val="009C220C"/>
    <w:rsid w:val="009C2875"/>
    <w:rsid w:val="009C55C2"/>
    <w:rsid w:val="009C6881"/>
    <w:rsid w:val="009C7759"/>
    <w:rsid w:val="009D043D"/>
    <w:rsid w:val="009D06A3"/>
    <w:rsid w:val="009D07C8"/>
    <w:rsid w:val="009D6C71"/>
    <w:rsid w:val="009E0631"/>
    <w:rsid w:val="009E16D0"/>
    <w:rsid w:val="009E38FD"/>
    <w:rsid w:val="009E44C4"/>
    <w:rsid w:val="009F13D6"/>
    <w:rsid w:val="009F4B36"/>
    <w:rsid w:val="009F4C6B"/>
    <w:rsid w:val="009F6132"/>
    <w:rsid w:val="009F69BD"/>
    <w:rsid w:val="009F78A8"/>
    <w:rsid w:val="00A00AEE"/>
    <w:rsid w:val="00A02AD6"/>
    <w:rsid w:val="00A033FA"/>
    <w:rsid w:val="00A03880"/>
    <w:rsid w:val="00A03A6C"/>
    <w:rsid w:val="00A07096"/>
    <w:rsid w:val="00A07318"/>
    <w:rsid w:val="00A1028A"/>
    <w:rsid w:val="00A11370"/>
    <w:rsid w:val="00A12214"/>
    <w:rsid w:val="00A1464A"/>
    <w:rsid w:val="00A224CE"/>
    <w:rsid w:val="00A22522"/>
    <w:rsid w:val="00A241B0"/>
    <w:rsid w:val="00A24AFD"/>
    <w:rsid w:val="00A24E1B"/>
    <w:rsid w:val="00A24F5C"/>
    <w:rsid w:val="00A268AF"/>
    <w:rsid w:val="00A32F96"/>
    <w:rsid w:val="00A407AC"/>
    <w:rsid w:val="00A40871"/>
    <w:rsid w:val="00A412AB"/>
    <w:rsid w:val="00A4193E"/>
    <w:rsid w:val="00A421F4"/>
    <w:rsid w:val="00A440E0"/>
    <w:rsid w:val="00A442EF"/>
    <w:rsid w:val="00A51D1A"/>
    <w:rsid w:val="00A5418D"/>
    <w:rsid w:val="00A5474E"/>
    <w:rsid w:val="00A57BE0"/>
    <w:rsid w:val="00A60FAD"/>
    <w:rsid w:val="00A672B7"/>
    <w:rsid w:val="00A70ADF"/>
    <w:rsid w:val="00A71466"/>
    <w:rsid w:val="00A7370C"/>
    <w:rsid w:val="00A74B5E"/>
    <w:rsid w:val="00A77337"/>
    <w:rsid w:val="00A81BED"/>
    <w:rsid w:val="00A81EC4"/>
    <w:rsid w:val="00A967FD"/>
    <w:rsid w:val="00AA4344"/>
    <w:rsid w:val="00AA624E"/>
    <w:rsid w:val="00AA752F"/>
    <w:rsid w:val="00AB08A8"/>
    <w:rsid w:val="00AB156C"/>
    <w:rsid w:val="00AB2A8F"/>
    <w:rsid w:val="00AB5283"/>
    <w:rsid w:val="00AB6814"/>
    <w:rsid w:val="00AB7B36"/>
    <w:rsid w:val="00AC04BA"/>
    <w:rsid w:val="00AC0E39"/>
    <w:rsid w:val="00AD0C2D"/>
    <w:rsid w:val="00AD3082"/>
    <w:rsid w:val="00AD4AD0"/>
    <w:rsid w:val="00AD5436"/>
    <w:rsid w:val="00AD60CD"/>
    <w:rsid w:val="00AD6C8C"/>
    <w:rsid w:val="00AE06A3"/>
    <w:rsid w:val="00AE091D"/>
    <w:rsid w:val="00AE15CD"/>
    <w:rsid w:val="00AE3B60"/>
    <w:rsid w:val="00AE53A1"/>
    <w:rsid w:val="00AE665A"/>
    <w:rsid w:val="00AE79C7"/>
    <w:rsid w:val="00AF0E9A"/>
    <w:rsid w:val="00AF2484"/>
    <w:rsid w:val="00AF3A0A"/>
    <w:rsid w:val="00AF568E"/>
    <w:rsid w:val="00AF63E7"/>
    <w:rsid w:val="00AF6E17"/>
    <w:rsid w:val="00B0165D"/>
    <w:rsid w:val="00B01B60"/>
    <w:rsid w:val="00B031F3"/>
    <w:rsid w:val="00B052A4"/>
    <w:rsid w:val="00B060DA"/>
    <w:rsid w:val="00B06BA7"/>
    <w:rsid w:val="00B07001"/>
    <w:rsid w:val="00B125DE"/>
    <w:rsid w:val="00B13FDD"/>
    <w:rsid w:val="00B14FA4"/>
    <w:rsid w:val="00B214AF"/>
    <w:rsid w:val="00B22EB2"/>
    <w:rsid w:val="00B23132"/>
    <w:rsid w:val="00B27082"/>
    <w:rsid w:val="00B27442"/>
    <w:rsid w:val="00B31167"/>
    <w:rsid w:val="00B329D8"/>
    <w:rsid w:val="00B32BB9"/>
    <w:rsid w:val="00B33AE1"/>
    <w:rsid w:val="00B33C13"/>
    <w:rsid w:val="00B37BF5"/>
    <w:rsid w:val="00B37C38"/>
    <w:rsid w:val="00B403DD"/>
    <w:rsid w:val="00B419EC"/>
    <w:rsid w:val="00B4288C"/>
    <w:rsid w:val="00B43262"/>
    <w:rsid w:val="00B44100"/>
    <w:rsid w:val="00B46537"/>
    <w:rsid w:val="00B46CBA"/>
    <w:rsid w:val="00B46F94"/>
    <w:rsid w:val="00B51C32"/>
    <w:rsid w:val="00B52392"/>
    <w:rsid w:val="00B530CC"/>
    <w:rsid w:val="00B569D2"/>
    <w:rsid w:val="00B57706"/>
    <w:rsid w:val="00B6003C"/>
    <w:rsid w:val="00B60354"/>
    <w:rsid w:val="00B6082E"/>
    <w:rsid w:val="00B61F03"/>
    <w:rsid w:val="00B626E4"/>
    <w:rsid w:val="00B66257"/>
    <w:rsid w:val="00B72F4A"/>
    <w:rsid w:val="00B77FC7"/>
    <w:rsid w:val="00B838F6"/>
    <w:rsid w:val="00B83C27"/>
    <w:rsid w:val="00B84BC3"/>
    <w:rsid w:val="00B84BDD"/>
    <w:rsid w:val="00B87C27"/>
    <w:rsid w:val="00B9146F"/>
    <w:rsid w:val="00B92812"/>
    <w:rsid w:val="00B977E8"/>
    <w:rsid w:val="00BB3BE1"/>
    <w:rsid w:val="00BB45A1"/>
    <w:rsid w:val="00BB45C3"/>
    <w:rsid w:val="00BB7686"/>
    <w:rsid w:val="00BC23F9"/>
    <w:rsid w:val="00BC3421"/>
    <w:rsid w:val="00BC732C"/>
    <w:rsid w:val="00BD3865"/>
    <w:rsid w:val="00BD58CF"/>
    <w:rsid w:val="00BE2580"/>
    <w:rsid w:val="00BE266D"/>
    <w:rsid w:val="00BE3938"/>
    <w:rsid w:val="00BE4C11"/>
    <w:rsid w:val="00BE707D"/>
    <w:rsid w:val="00BE71C0"/>
    <w:rsid w:val="00BF40DD"/>
    <w:rsid w:val="00BF5E2A"/>
    <w:rsid w:val="00BF610C"/>
    <w:rsid w:val="00C0060B"/>
    <w:rsid w:val="00C0252A"/>
    <w:rsid w:val="00C0277D"/>
    <w:rsid w:val="00C053A1"/>
    <w:rsid w:val="00C16198"/>
    <w:rsid w:val="00C2083D"/>
    <w:rsid w:val="00C24A53"/>
    <w:rsid w:val="00C34A05"/>
    <w:rsid w:val="00C4032F"/>
    <w:rsid w:val="00C44047"/>
    <w:rsid w:val="00C45155"/>
    <w:rsid w:val="00C46EE8"/>
    <w:rsid w:val="00C51D1B"/>
    <w:rsid w:val="00C5498F"/>
    <w:rsid w:val="00C55235"/>
    <w:rsid w:val="00C5794C"/>
    <w:rsid w:val="00C62CBC"/>
    <w:rsid w:val="00C63C73"/>
    <w:rsid w:val="00C64CD0"/>
    <w:rsid w:val="00C6684F"/>
    <w:rsid w:val="00C66CE5"/>
    <w:rsid w:val="00C70E70"/>
    <w:rsid w:val="00C75A55"/>
    <w:rsid w:val="00C75F8D"/>
    <w:rsid w:val="00C77380"/>
    <w:rsid w:val="00C84EDA"/>
    <w:rsid w:val="00C85349"/>
    <w:rsid w:val="00C85F46"/>
    <w:rsid w:val="00C87BE8"/>
    <w:rsid w:val="00C916AE"/>
    <w:rsid w:val="00C939DA"/>
    <w:rsid w:val="00C97736"/>
    <w:rsid w:val="00CA12E7"/>
    <w:rsid w:val="00CA345A"/>
    <w:rsid w:val="00CA5230"/>
    <w:rsid w:val="00CA7CB2"/>
    <w:rsid w:val="00CA7D3F"/>
    <w:rsid w:val="00CB1E82"/>
    <w:rsid w:val="00CB4BA8"/>
    <w:rsid w:val="00CB4C0B"/>
    <w:rsid w:val="00CB52D7"/>
    <w:rsid w:val="00CC13FF"/>
    <w:rsid w:val="00CC2157"/>
    <w:rsid w:val="00CC2216"/>
    <w:rsid w:val="00CC6732"/>
    <w:rsid w:val="00CC705D"/>
    <w:rsid w:val="00CD6290"/>
    <w:rsid w:val="00CD6593"/>
    <w:rsid w:val="00CE3B2D"/>
    <w:rsid w:val="00CE3C96"/>
    <w:rsid w:val="00CE51A8"/>
    <w:rsid w:val="00CE58C6"/>
    <w:rsid w:val="00CF369B"/>
    <w:rsid w:val="00CF474E"/>
    <w:rsid w:val="00CF5058"/>
    <w:rsid w:val="00CF53DD"/>
    <w:rsid w:val="00CF5D05"/>
    <w:rsid w:val="00D00E28"/>
    <w:rsid w:val="00D01CFB"/>
    <w:rsid w:val="00D0269E"/>
    <w:rsid w:val="00D103ED"/>
    <w:rsid w:val="00D15810"/>
    <w:rsid w:val="00D16D4E"/>
    <w:rsid w:val="00D16FE3"/>
    <w:rsid w:val="00D27F41"/>
    <w:rsid w:val="00D31D6D"/>
    <w:rsid w:val="00D339E2"/>
    <w:rsid w:val="00D35913"/>
    <w:rsid w:val="00D36441"/>
    <w:rsid w:val="00D4064E"/>
    <w:rsid w:val="00D40DE8"/>
    <w:rsid w:val="00D41B5C"/>
    <w:rsid w:val="00D44E9B"/>
    <w:rsid w:val="00D44F6E"/>
    <w:rsid w:val="00D45E2B"/>
    <w:rsid w:val="00D47AEB"/>
    <w:rsid w:val="00D50DB9"/>
    <w:rsid w:val="00D51302"/>
    <w:rsid w:val="00D52190"/>
    <w:rsid w:val="00D52817"/>
    <w:rsid w:val="00D52C43"/>
    <w:rsid w:val="00D6507F"/>
    <w:rsid w:val="00D65BFA"/>
    <w:rsid w:val="00D65F38"/>
    <w:rsid w:val="00D66709"/>
    <w:rsid w:val="00D730BC"/>
    <w:rsid w:val="00D73912"/>
    <w:rsid w:val="00D7458C"/>
    <w:rsid w:val="00D77641"/>
    <w:rsid w:val="00D80EAA"/>
    <w:rsid w:val="00D85226"/>
    <w:rsid w:val="00D87B94"/>
    <w:rsid w:val="00D92D49"/>
    <w:rsid w:val="00D92EC1"/>
    <w:rsid w:val="00D92F3E"/>
    <w:rsid w:val="00D94889"/>
    <w:rsid w:val="00D9562D"/>
    <w:rsid w:val="00D96DEA"/>
    <w:rsid w:val="00DA068E"/>
    <w:rsid w:val="00DA4E41"/>
    <w:rsid w:val="00DB0656"/>
    <w:rsid w:val="00DB117A"/>
    <w:rsid w:val="00DB3599"/>
    <w:rsid w:val="00DB5173"/>
    <w:rsid w:val="00DB5ED5"/>
    <w:rsid w:val="00DB7873"/>
    <w:rsid w:val="00DC187B"/>
    <w:rsid w:val="00DD3112"/>
    <w:rsid w:val="00DD73C2"/>
    <w:rsid w:val="00DD75F2"/>
    <w:rsid w:val="00DE246A"/>
    <w:rsid w:val="00DE319B"/>
    <w:rsid w:val="00DE4CDB"/>
    <w:rsid w:val="00DF34FE"/>
    <w:rsid w:val="00DF56AA"/>
    <w:rsid w:val="00DF56AF"/>
    <w:rsid w:val="00DF78E7"/>
    <w:rsid w:val="00DF7B9F"/>
    <w:rsid w:val="00E006F8"/>
    <w:rsid w:val="00E012AC"/>
    <w:rsid w:val="00E05028"/>
    <w:rsid w:val="00E06C85"/>
    <w:rsid w:val="00E110E0"/>
    <w:rsid w:val="00E14D90"/>
    <w:rsid w:val="00E15371"/>
    <w:rsid w:val="00E233C5"/>
    <w:rsid w:val="00E24104"/>
    <w:rsid w:val="00E302D0"/>
    <w:rsid w:val="00E321F8"/>
    <w:rsid w:val="00E34B0E"/>
    <w:rsid w:val="00E35100"/>
    <w:rsid w:val="00E35707"/>
    <w:rsid w:val="00E368D6"/>
    <w:rsid w:val="00E36AA1"/>
    <w:rsid w:val="00E41ECB"/>
    <w:rsid w:val="00E45DCF"/>
    <w:rsid w:val="00E54FDB"/>
    <w:rsid w:val="00E5617D"/>
    <w:rsid w:val="00E563D7"/>
    <w:rsid w:val="00E57A01"/>
    <w:rsid w:val="00E663F4"/>
    <w:rsid w:val="00E666F2"/>
    <w:rsid w:val="00E66DD4"/>
    <w:rsid w:val="00E72522"/>
    <w:rsid w:val="00E748CC"/>
    <w:rsid w:val="00E75415"/>
    <w:rsid w:val="00E774AC"/>
    <w:rsid w:val="00E775B1"/>
    <w:rsid w:val="00E8152A"/>
    <w:rsid w:val="00E82786"/>
    <w:rsid w:val="00E84AE1"/>
    <w:rsid w:val="00E84C0B"/>
    <w:rsid w:val="00E90337"/>
    <w:rsid w:val="00E9076B"/>
    <w:rsid w:val="00E91EA3"/>
    <w:rsid w:val="00E93629"/>
    <w:rsid w:val="00E93B5C"/>
    <w:rsid w:val="00E93D38"/>
    <w:rsid w:val="00E948B4"/>
    <w:rsid w:val="00E94CEC"/>
    <w:rsid w:val="00E95281"/>
    <w:rsid w:val="00EA04EF"/>
    <w:rsid w:val="00EA1AAE"/>
    <w:rsid w:val="00EA43A0"/>
    <w:rsid w:val="00EA49F6"/>
    <w:rsid w:val="00EA6F19"/>
    <w:rsid w:val="00EB0806"/>
    <w:rsid w:val="00EB2095"/>
    <w:rsid w:val="00EB7090"/>
    <w:rsid w:val="00EB7974"/>
    <w:rsid w:val="00EC18AB"/>
    <w:rsid w:val="00EC1BBE"/>
    <w:rsid w:val="00EC4170"/>
    <w:rsid w:val="00EC5CD7"/>
    <w:rsid w:val="00EC7825"/>
    <w:rsid w:val="00ED21C1"/>
    <w:rsid w:val="00ED645E"/>
    <w:rsid w:val="00ED7862"/>
    <w:rsid w:val="00EE0E1F"/>
    <w:rsid w:val="00EE2D84"/>
    <w:rsid w:val="00EE3AB7"/>
    <w:rsid w:val="00EE56DF"/>
    <w:rsid w:val="00EE5FB3"/>
    <w:rsid w:val="00EE7F79"/>
    <w:rsid w:val="00EF3047"/>
    <w:rsid w:val="00EF4815"/>
    <w:rsid w:val="00EF715A"/>
    <w:rsid w:val="00EF75CF"/>
    <w:rsid w:val="00F01CCD"/>
    <w:rsid w:val="00F06E14"/>
    <w:rsid w:val="00F07A49"/>
    <w:rsid w:val="00F1007B"/>
    <w:rsid w:val="00F1390D"/>
    <w:rsid w:val="00F14866"/>
    <w:rsid w:val="00F16848"/>
    <w:rsid w:val="00F179D4"/>
    <w:rsid w:val="00F22122"/>
    <w:rsid w:val="00F24A61"/>
    <w:rsid w:val="00F262A3"/>
    <w:rsid w:val="00F33C56"/>
    <w:rsid w:val="00F347C7"/>
    <w:rsid w:val="00F34848"/>
    <w:rsid w:val="00F36359"/>
    <w:rsid w:val="00F376E7"/>
    <w:rsid w:val="00F41183"/>
    <w:rsid w:val="00F42D46"/>
    <w:rsid w:val="00F4496C"/>
    <w:rsid w:val="00F44F3A"/>
    <w:rsid w:val="00F51F10"/>
    <w:rsid w:val="00F529A5"/>
    <w:rsid w:val="00F55D72"/>
    <w:rsid w:val="00F56BAD"/>
    <w:rsid w:val="00F60F00"/>
    <w:rsid w:val="00F6138D"/>
    <w:rsid w:val="00F614C0"/>
    <w:rsid w:val="00F72B8B"/>
    <w:rsid w:val="00F7461C"/>
    <w:rsid w:val="00F74A50"/>
    <w:rsid w:val="00F83848"/>
    <w:rsid w:val="00F92FB4"/>
    <w:rsid w:val="00F975E9"/>
    <w:rsid w:val="00FA1B7D"/>
    <w:rsid w:val="00FA4433"/>
    <w:rsid w:val="00FA5608"/>
    <w:rsid w:val="00FB163C"/>
    <w:rsid w:val="00FB2F11"/>
    <w:rsid w:val="00FC07B9"/>
    <w:rsid w:val="00FC1200"/>
    <w:rsid w:val="00FC271D"/>
    <w:rsid w:val="00FC4E21"/>
    <w:rsid w:val="00FC5F6D"/>
    <w:rsid w:val="00FD0107"/>
    <w:rsid w:val="00FD103C"/>
    <w:rsid w:val="00FD2C2F"/>
    <w:rsid w:val="00FD3B31"/>
    <w:rsid w:val="00FD6FA4"/>
    <w:rsid w:val="00FD761B"/>
    <w:rsid w:val="00FE1823"/>
    <w:rsid w:val="00FE487A"/>
    <w:rsid w:val="00FF0569"/>
    <w:rsid w:val="00FF206E"/>
    <w:rsid w:val="00FF261C"/>
    <w:rsid w:val="00FF3C69"/>
    <w:rsid w:val="00FF3E10"/>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8560">
      <o:colormru v:ext="edit" colors="red,#4d4d4f"/>
    </o:shapedefaults>
    <o:shapelayout v:ext="edit">
      <o:idmap v:ext="edit" data="1"/>
    </o:shapelayout>
  </w:shapeDefaults>
  <w:decimalSymbol w:val="."/>
  <w:listSeparator w:val=","/>
  <w14:docId w14:val="6ADD3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107"/>
    <w:pPr>
      <w:spacing w:after="240" w:line="240" w:lineRule="atLeast"/>
    </w:pPr>
    <w:rPr>
      <w:rFonts w:ascii="Arial" w:hAnsi="Arial"/>
      <w:sz w:val="20"/>
    </w:rPr>
  </w:style>
  <w:style w:type="paragraph" w:styleId="Heading1">
    <w:name w:val="heading 1"/>
    <w:basedOn w:val="Normal"/>
    <w:next w:val="Normal"/>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Normal"/>
    <w:qFormat/>
    <w:rsid w:val="00C55235"/>
    <w:pPr>
      <w:keepNext/>
      <w:spacing w:before="320" w:after="60"/>
      <w:outlineLvl w:val="1"/>
    </w:pPr>
    <w:rPr>
      <w:rFonts w:cs="Arial"/>
      <w:b/>
      <w:bCs/>
      <w:iCs/>
      <w:sz w:val="28"/>
      <w:szCs w:val="28"/>
    </w:rPr>
  </w:style>
  <w:style w:type="paragraph" w:styleId="Heading3">
    <w:name w:val="heading 3"/>
    <w:basedOn w:val="Normal"/>
    <w:next w:val="Normal"/>
    <w:qFormat/>
    <w:rsid w:val="00C55235"/>
    <w:pPr>
      <w:keepNext/>
      <w:spacing w:before="60" w:after="60"/>
      <w:outlineLvl w:val="2"/>
    </w:pPr>
    <w:rPr>
      <w:rFonts w:cs="Arial"/>
      <w:b/>
      <w:bCs/>
      <w:szCs w:val="26"/>
    </w:rPr>
  </w:style>
  <w:style w:type="paragraph" w:styleId="Heading4">
    <w:name w:val="heading 4"/>
    <w:basedOn w:val="Normal"/>
    <w:next w:val="Normal"/>
    <w:semiHidden/>
    <w:qFormat/>
    <w:rsid w:val="00AD5436"/>
    <w:pPr>
      <w:keepNext/>
      <w:numPr>
        <w:ilvl w:val="3"/>
        <w:numId w:val="5"/>
      </w:numPr>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3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ReportDate">
    <w:name w:val="ACMA_ReportDate"/>
    <w:basedOn w:val="ACMAReportSubTitle"/>
    <w:qFormat/>
    <w:rsid w:val="00950159"/>
    <w:pPr>
      <w:spacing w:after="1200" w:line="240" w:lineRule="auto"/>
    </w:pPr>
    <w:rPr>
      <w:caps/>
      <w:spacing w:val="-10"/>
      <w:sz w:val="20"/>
    </w:rPr>
  </w:style>
  <w:style w:type="paragraph" w:customStyle="1" w:styleId="TableHeading">
    <w:name w:val="Table Heading"/>
    <w:basedOn w:val="Normal"/>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9"/>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3"/>
      </w:numPr>
      <w:spacing w:after="80"/>
    </w:pPr>
  </w:style>
  <w:style w:type="paragraph" w:styleId="ListNumber2">
    <w:name w:val="List Number 2"/>
    <w:basedOn w:val="Normal"/>
    <w:qFormat/>
    <w:rsid w:val="00247C59"/>
    <w:pPr>
      <w:numPr>
        <w:numId w:val="4"/>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1E0075"/>
    <w:pPr>
      <w:tabs>
        <w:tab w:val="right" w:pos="7660"/>
      </w:tabs>
      <w:spacing w:before="24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3A5F5B"/>
    <w:rPr>
      <w:color w:val="0000FF"/>
      <w:u w:val="single"/>
    </w:rPr>
  </w:style>
  <w:style w:type="character" w:styleId="FootnoteReference">
    <w:name w:val="footnote reference"/>
    <w:aliases w:val="Appel note de bas de p,Appel note de bas de p + 11 pt,Italic,Appel note de bas de p1,Appel note de bas de p2,Appel note de bas de p3,Footnote Reference/,Footnote,Style 12,(NECG) Footnote Reference,Style 124,o,fr,Style 3"/>
    <w:basedOn w:val="DefaultParagraphFont"/>
    <w:uiPriority w:val="99"/>
    <w:rsid w:val="00566AB4"/>
    <w:rPr>
      <w:rFonts w:ascii="Arial" w:hAnsi="Arial"/>
      <w:vertAlign w:val="superscript"/>
    </w:rPr>
  </w:style>
  <w:style w:type="paragraph" w:styleId="FootnoteText">
    <w:name w:val="footnote text"/>
    <w:aliases w:val="ACMA Footnote Text,footnote text,Footnote Text Char1,Footnote Text Char Char,Footnote Text Char1 Char Char,Footnote Text Char Char Char Char,Footnote Text Char1 Char Char Char Char,Footnote Text Char Char Char Char Char Char,f,fn"/>
    <w:basedOn w:val="Normal"/>
    <w:link w:val="FootnoteTextChar"/>
    <w:uiPriority w:val="99"/>
    <w:rsid w:val="00566AB4"/>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rsid w:val="00EE7F79"/>
    <w:pPr>
      <w:spacing w:line="240" w:lineRule="auto"/>
    </w:pPr>
    <w:rPr>
      <w:szCs w:val="20"/>
    </w:rPr>
  </w:style>
  <w:style w:type="character" w:customStyle="1" w:styleId="CommentTextChar">
    <w:name w:val="Comment Text Char"/>
    <w:basedOn w:val="DefaultParagraphFont"/>
    <w:link w:val="CommentText"/>
    <w:uiPriority w:val="99"/>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semiHidden/>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3F10EE"/>
    <w:pPr>
      <w:numPr>
        <w:numId w:val="7"/>
      </w:numPr>
      <w:spacing w:after="160"/>
    </w:pPr>
    <w:rPr>
      <w:rFonts w:ascii="Arial" w:hAnsi="Arial"/>
      <w:b/>
      <w:bCs/>
      <w:color w:val="323232"/>
      <w:sz w:val="20"/>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qFormat/>
    <w:rsid w:val="00E8152A"/>
    <w:pPr>
      <w:keepNext/>
      <w:numPr>
        <w:numId w:val="8"/>
      </w:numPr>
    </w:pPr>
    <w:rPr>
      <w:rFonts w:cs="Arial"/>
    </w:rPr>
  </w:style>
  <w:style w:type="paragraph" w:customStyle="1" w:styleId="GridTable31">
    <w:name w:val="Grid Table 31"/>
    <w:basedOn w:val="Normal"/>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FootnoteTextChar">
    <w:name w:val="Footnote Text Char"/>
    <w:aliases w:val="ACMA Footnote Text Char,footnote text Char,Footnote Text Char1 Char,Footnote Text Char Char Char,Footnote Text Char1 Char Char Char,Footnote Text Char Char Char Char Char,Footnote Text Char1 Char Char Char Char Char,f Char,fn Char"/>
    <w:basedOn w:val="DefaultParagraphFont"/>
    <w:link w:val="FootnoteText"/>
    <w:uiPriority w:val="99"/>
    <w:rsid w:val="00F36359"/>
    <w:rPr>
      <w:rFonts w:ascii="Arial" w:hAnsi="Arial"/>
      <w:sz w:val="16"/>
      <w:szCs w:val="16"/>
    </w:rPr>
  </w:style>
  <w:style w:type="paragraph" w:styleId="ListParagraph">
    <w:name w:val="List Paragraph"/>
    <w:aliases w:val="List Paragraph1,Recommendation,bullet point list,List Paragraph11,L,CV text,Dot pt,F5 List Paragraph,No Spacing1,List Paragraph Char Char Char,Indicator Text,Numbered Para 1,Bullet 1,List Paragraph12,Bullet Points,MAIN CONTENT"/>
    <w:basedOn w:val="Normal"/>
    <w:link w:val="ListParagraphChar"/>
    <w:uiPriority w:val="34"/>
    <w:qFormat/>
    <w:rsid w:val="007E39CA"/>
    <w:pPr>
      <w:spacing w:line="240" w:lineRule="auto"/>
      <w:ind w:left="1134" w:hanging="567"/>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List Paragraph1 Char,Recommendation Char,bullet point list Char,List Paragraph11 Char,L Char,CV text Char,Dot pt Char,F5 List Paragraph Char,No Spacing1 Char,List Paragraph Char Char Char Char,Indicator Text Char,Numbered Para 1 Char"/>
    <w:link w:val="ListParagraph"/>
    <w:uiPriority w:val="34"/>
    <w:rsid w:val="007E39CA"/>
    <w:rPr>
      <w:rFonts w:asciiTheme="minorHAnsi" w:eastAsiaTheme="minorHAnsi" w:hAnsiTheme="minorHAnsi" w:cstheme="minorBidi"/>
      <w:sz w:val="22"/>
      <w:szCs w:val="22"/>
      <w:lang w:eastAsia="en-US"/>
    </w:rPr>
  </w:style>
  <w:style w:type="paragraph" w:customStyle="1" w:styleId="subsection">
    <w:name w:val="subsection"/>
    <w:aliases w:val="ss"/>
    <w:basedOn w:val="Normal"/>
    <w:link w:val="subsectionChar"/>
    <w:rsid w:val="007E39CA"/>
    <w:pPr>
      <w:tabs>
        <w:tab w:val="right" w:pos="1021"/>
      </w:tabs>
      <w:spacing w:before="180" w:after="0" w:line="240" w:lineRule="auto"/>
      <w:ind w:left="1134" w:hanging="1134"/>
    </w:pPr>
    <w:rPr>
      <w:rFonts w:ascii="Times New Roman" w:hAnsi="Times New Roman"/>
      <w:sz w:val="22"/>
      <w:szCs w:val="20"/>
    </w:rPr>
  </w:style>
  <w:style w:type="character" w:customStyle="1" w:styleId="subsectionChar">
    <w:name w:val="subsection Char"/>
    <w:aliases w:val="ss Char"/>
    <w:link w:val="subsection"/>
    <w:rsid w:val="007E39CA"/>
    <w:rPr>
      <w:sz w:val="22"/>
      <w:szCs w:val="20"/>
    </w:rPr>
  </w:style>
  <w:style w:type="paragraph" w:customStyle="1" w:styleId="paragraph">
    <w:name w:val="paragraph"/>
    <w:aliases w:val="a"/>
    <w:basedOn w:val="Normal"/>
    <w:link w:val="paragraphChar"/>
    <w:rsid w:val="007E39CA"/>
    <w:pPr>
      <w:tabs>
        <w:tab w:val="right" w:pos="1531"/>
      </w:tabs>
      <w:spacing w:before="40" w:after="0" w:line="240" w:lineRule="auto"/>
      <w:ind w:left="1644" w:hanging="1644"/>
    </w:pPr>
    <w:rPr>
      <w:rFonts w:ascii="Times New Roman" w:hAnsi="Times New Roman"/>
      <w:sz w:val="22"/>
      <w:szCs w:val="20"/>
    </w:rPr>
  </w:style>
  <w:style w:type="character" w:customStyle="1" w:styleId="paragraphChar">
    <w:name w:val="paragraph Char"/>
    <w:aliases w:val="a Char"/>
    <w:link w:val="paragraph"/>
    <w:rsid w:val="007E39CA"/>
    <w:rPr>
      <w:sz w:val="22"/>
      <w:szCs w:val="20"/>
    </w:rPr>
  </w:style>
  <w:style w:type="paragraph" w:customStyle="1" w:styleId="Default">
    <w:name w:val="Default"/>
    <w:rsid w:val="007E39CA"/>
    <w:pPr>
      <w:autoSpaceDE w:val="0"/>
      <w:autoSpaceDN w:val="0"/>
      <w:adjustRightInd w:val="0"/>
    </w:pPr>
    <w:rPr>
      <w:rFonts w:ascii="Calibri" w:eastAsiaTheme="minorHAnsi" w:hAnsi="Calibri" w:cs="Calibri"/>
      <w:color w:val="000000"/>
      <w:lang w:eastAsia="en-US"/>
    </w:rPr>
  </w:style>
  <w:style w:type="paragraph" w:customStyle="1" w:styleId="paragraphsub">
    <w:name w:val="paragraph(sub)"/>
    <w:aliases w:val="aa"/>
    <w:basedOn w:val="Normal"/>
    <w:rsid w:val="003B457B"/>
    <w:pPr>
      <w:tabs>
        <w:tab w:val="right" w:pos="1985"/>
      </w:tabs>
      <w:spacing w:before="40" w:after="0" w:line="240" w:lineRule="auto"/>
      <w:ind w:left="2098" w:hanging="2098"/>
    </w:pPr>
    <w:rPr>
      <w:rFonts w:ascii="Times New Roman" w:hAnsi="Times New Roman"/>
      <w:sz w:val="22"/>
      <w:szCs w:val="20"/>
    </w:rPr>
  </w:style>
  <w:style w:type="paragraph" w:styleId="PlainText">
    <w:name w:val="Plain Text"/>
    <w:basedOn w:val="Normal"/>
    <w:link w:val="PlainTextChar"/>
    <w:uiPriority w:val="99"/>
    <w:unhideWhenUsed/>
    <w:rsid w:val="00885A9F"/>
    <w:pPr>
      <w:spacing w:after="0" w:line="240" w:lineRule="auto"/>
    </w:pPr>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885A9F"/>
    <w:rPr>
      <w:rFonts w:ascii="Calibri" w:eastAsiaTheme="minorHAnsi" w:hAnsi="Calibri" w:cs="Consolas"/>
      <w:sz w:val="22"/>
      <w:szCs w:val="21"/>
      <w:lang w:eastAsia="en-US"/>
    </w:rPr>
  </w:style>
  <w:style w:type="paragraph" w:styleId="Revision">
    <w:name w:val="Revision"/>
    <w:hidden/>
    <w:semiHidden/>
    <w:rsid w:val="001E0075"/>
    <w:rPr>
      <w:rFonts w:ascii="Arial" w:hAnsi="Arial"/>
      <w:sz w:val="20"/>
    </w:rPr>
  </w:style>
  <w:style w:type="paragraph" w:customStyle="1" w:styleId="TableParagraph">
    <w:name w:val="Table Paragraph"/>
    <w:basedOn w:val="Normal"/>
    <w:uiPriority w:val="1"/>
    <w:qFormat/>
    <w:rsid w:val="00EA1AAE"/>
    <w:pPr>
      <w:widowControl w:val="0"/>
      <w:spacing w:after="0" w:line="240" w:lineRule="auto"/>
    </w:pPr>
    <w:rPr>
      <w:rFonts w:asciiTheme="minorHAnsi" w:eastAsiaTheme="minorHAnsi" w:hAnsiTheme="minorHAnsi" w:cstheme="minorBidi"/>
      <w:sz w:val="22"/>
      <w:szCs w:val="22"/>
      <w:lang w:val="en-US" w:eastAsia="en-US"/>
    </w:rPr>
  </w:style>
  <w:style w:type="paragraph" w:customStyle="1" w:styleId="Tableheading0">
    <w:name w:val="Table heading"/>
    <w:basedOn w:val="Normal"/>
    <w:qFormat/>
    <w:rsid w:val="00EA1AAE"/>
    <w:pPr>
      <w:spacing w:before="120" w:after="0" w:line="259" w:lineRule="auto"/>
    </w:pPr>
    <w:rPr>
      <w:rFonts w:eastAsiaTheme="minorHAnsi" w:cs="Arial"/>
      <w:i/>
      <w:szCs w:val="20"/>
      <w:lang w:eastAsia="en-US"/>
    </w:rPr>
  </w:style>
  <w:style w:type="paragraph" w:customStyle="1" w:styleId="ShortT">
    <w:name w:val="ShortT"/>
    <w:basedOn w:val="Normal"/>
    <w:next w:val="Normal"/>
    <w:qFormat/>
    <w:rsid w:val="00E006F8"/>
    <w:pPr>
      <w:spacing w:after="0" w:line="240" w:lineRule="auto"/>
    </w:pPr>
    <w:rPr>
      <w:rFonts w:ascii="Times New Roman" w:hAnsi="Times New Roman"/>
      <w:b/>
      <w:sz w:val="40"/>
      <w:szCs w:val="20"/>
    </w:rPr>
  </w:style>
  <w:style w:type="paragraph" w:styleId="NormalWeb">
    <w:name w:val="Normal (Web)"/>
    <w:basedOn w:val="Normal"/>
    <w:uiPriority w:val="99"/>
    <w:semiHidden/>
    <w:unhideWhenUsed/>
    <w:rsid w:val="00525A24"/>
    <w:pPr>
      <w:spacing w:before="100" w:beforeAutospacing="1" w:after="100" w:afterAutospacing="1" w:line="240" w:lineRule="auto"/>
    </w:pPr>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000377">
      <w:bodyDiv w:val="1"/>
      <w:marLeft w:val="0"/>
      <w:marRight w:val="0"/>
      <w:marTop w:val="0"/>
      <w:marBottom w:val="0"/>
      <w:divBdr>
        <w:top w:val="none" w:sz="0" w:space="0" w:color="auto"/>
        <w:left w:val="none" w:sz="0" w:space="0" w:color="auto"/>
        <w:bottom w:val="none" w:sz="0" w:space="0" w:color="auto"/>
        <w:right w:val="none" w:sz="0" w:space="0" w:color="auto"/>
      </w:divBdr>
      <w:divsChild>
        <w:div w:id="603075481">
          <w:marLeft w:val="547"/>
          <w:marRight w:val="0"/>
          <w:marTop w:val="0"/>
          <w:marBottom w:val="0"/>
          <w:divBdr>
            <w:top w:val="none" w:sz="0" w:space="0" w:color="auto"/>
            <w:left w:val="none" w:sz="0" w:space="0" w:color="auto"/>
            <w:bottom w:val="none" w:sz="0" w:space="0" w:color="auto"/>
            <w:right w:val="none" w:sz="0" w:space="0" w:color="auto"/>
          </w:divBdr>
        </w:div>
        <w:div w:id="780414363">
          <w:marLeft w:val="547"/>
          <w:marRight w:val="0"/>
          <w:marTop w:val="0"/>
          <w:marBottom w:val="0"/>
          <w:divBdr>
            <w:top w:val="none" w:sz="0" w:space="0" w:color="auto"/>
            <w:left w:val="none" w:sz="0" w:space="0" w:color="auto"/>
            <w:bottom w:val="none" w:sz="0" w:space="0" w:color="auto"/>
            <w:right w:val="none" w:sz="0" w:space="0" w:color="auto"/>
          </w:divBdr>
        </w:div>
        <w:div w:id="1213466083">
          <w:marLeft w:val="547"/>
          <w:marRight w:val="0"/>
          <w:marTop w:val="0"/>
          <w:marBottom w:val="0"/>
          <w:divBdr>
            <w:top w:val="none" w:sz="0" w:space="0" w:color="auto"/>
            <w:left w:val="none" w:sz="0" w:space="0" w:color="auto"/>
            <w:bottom w:val="none" w:sz="0" w:space="0" w:color="auto"/>
            <w:right w:val="none" w:sz="0" w:space="0" w:color="auto"/>
          </w:divBdr>
        </w:div>
        <w:div w:id="1841894415">
          <w:marLeft w:val="547"/>
          <w:marRight w:val="0"/>
          <w:marTop w:val="0"/>
          <w:marBottom w:val="0"/>
          <w:divBdr>
            <w:top w:val="none" w:sz="0" w:space="0" w:color="auto"/>
            <w:left w:val="none" w:sz="0" w:space="0" w:color="auto"/>
            <w:bottom w:val="none" w:sz="0" w:space="0" w:color="auto"/>
            <w:right w:val="none" w:sz="0" w:space="0" w:color="auto"/>
          </w:divBdr>
        </w:div>
      </w:divsChild>
    </w:div>
    <w:div w:id="1110198503">
      <w:bodyDiv w:val="1"/>
      <w:marLeft w:val="0"/>
      <w:marRight w:val="0"/>
      <w:marTop w:val="0"/>
      <w:marBottom w:val="0"/>
      <w:divBdr>
        <w:top w:val="none" w:sz="0" w:space="0" w:color="auto"/>
        <w:left w:val="none" w:sz="0" w:space="0" w:color="auto"/>
        <w:bottom w:val="none" w:sz="0" w:space="0" w:color="auto"/>
        <w:right w:val="none" w:sz="0" w:space="0" w:color="auto"/>
      </w:divBdr>
    </w:div>
    <w:div w:id="1397167790">
      <w:bodyDiv w:val="1"/>
      <w:marLeft w:val="0"/>
      <w:marRight w:val="0"/>
      <w:marTop w:val="0"/>
      <w:marBottom w:val="0"/>
      <w:divBdr>
        <w:top w:val="none" w:sz="0" w:space="0" w:color="auto"/>
        <w:left w:val="none" w:sz="0" w:space="0" w:color="auto"/>
        <w:bottom w:val="none" w:sz="0" w:space="0" w:color="auto"/>
        <w:right w:val="none" w:sz="0" w:space="0" w:color="auto"/>
      </w:divBdr>
      <w:divsChild>
        <w:div w:id="62603244">
          <w:marLeft w:val="547"/>
          <w:marRight w:val="0"/>
          <w:marTop w:val="0"/>
          <w:marBottom w:val="0"/>
          <w:divBdr>
            <w:top w:val="none" w:sz="0" w:space="0" w:color="auto"/>
            <w:left w:val="none" w:sz="0" w:space="0" w:color="auto"/>
            <w:bottom w:val="none" w:sz="0" w:space="0" w:color="auto"/>
            <w:right w:val="none" w:sz="0" w:space="0" w:color="auto"/>
          </w:divBdr>
        </w:div>
        <w:div w:id="480199425">
          <w:marLeft w:val="547"/>
          <w:marRight w:val="0"/>
          <w:marTop w:val="0"/>
          <w:marBottom w:val="0"/>
          <w:divBdr>
            <w:top w:val="none" w:sz="0" w:space="0" w:color="auto"/>
            <w:left w:val="none" w:sz="0" w:space="0" w:color="auto"/>
            <w:bottom w:val="none" w:sz="0" w:space="0" w:color="auto"/>
            <w:right w:val="none" w:sz="0" w:space="0" w:color="auto"/>
          </w:divBdr>
        </w:div>
        <w:div w:id="1827476719">
          <w:marLeft w:val="547"/>
          <w:marRight w:val="0"/>
          <w:marTop w:val="0"/>
          <w:marBottom w:val="0"/>
          <w:divBdr>
            <w:top w:val="none" w:sz="0" w:space="0" w:color="auto"/>
            <w:left w:val="none" w:sz="0" w:space="0" w:color="auto"/>
            <w:bottom w:val="none" w:sz="0" w:space="0" w:color="auto"/>
            <w:right w:val="none" w:sz="0" w:space="0" w:color="auto"/>
          </w:divBdr>
        </w:div>
        <w:div w:id="2078474601">
          <w:marLeft w:val="547"/>
          <w:marRight w:val="0"/>
          <w:marTop w:val="0"/>
          <w:marBottom w:val="0"/>
          <w:divBdr>
            <w:top w:val="none" w:sz="0" w:space="0" w:color="auto"/>
            <w:left w:val="none" w:sz="0" w:space="0" w:color="auto"/>
            <w:bottom w:val="none" w:sz="0" w:space="0" w:color="auto"/>
            <w:right w:val="none" w:sz="0" w:space="0" w:color="auto"/>
          </w:divBdr>
        </w:div>
      </w:divsChild>
    </w:div>
    <w:div w:id="1458990834">
      <w:bodyDiv w:val="1"/>
      <w:marLeft w:val="0"/>
      <w:marRight w:val="0"/>
      <w:marTop w:val="0"/>
      <w:marBottom w:val="0"/>
      <w:divBdr>
        <w:top w:val="none" w:sz="0" w:space="0" w:color="auto"/>
        <w:left w:val="none" w:sz="0" w:space="0" w:color="auto"/>
        <w:bottom w:val="none" w:sz="0" w:space="0" w:color="auto"/>
        <w:right w:val="none" w:sz="0" w:space="0" w:color="auto"/>
      </w:divBdr>
    </w:div>
    <w:div w:id="178195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creativecommons.org/licenses/by/3.0/au/" TargetMode="External"/><Relationship Id="rId26" Type="http://schemas.openxmlformats.org/officeDocument/2006/relationships/header" Target="header8.xml"/><Relationship Id="rId39"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7.xml"/><Relationship Id="rId42" Type="http://schemas.openxmlformats.org/officeDocument/2006/relationships/header" Target="header17.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yperlink" Target="http://i.creativecommons.org/l/by/3.0/88x31.png" TargetMode="External"/><Relationship Id="rId20" Type="http://schemas.openxmlformats.org/officeDocument/2006/relationships/header" Target="header4.xml"/><Relationship Id="rId29" Type="http://schemas.openxmlformats.org/officeDocument/2006/relationships/header" Target="header9.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image" Target="media/image5.jpeg"/><Relationship Id="rId40" Type="http://schemas.openxmlformats.org/officeDocument/2006/relationships/header" Target="header15.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hyperlink" Target="mailto:candinfo@acma.gov.au" TargetMode="External"/><Relationship Id="rId31" Type="http://schemas.openxmlformats.org/officeDocument/2006/relationships/image" Target="media/image4.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footer" Target="footer8.xm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www.minister.communications.gov.au/malcolm_turnbull/news/next_stage_of_spectrum_reform_to_commence" TargetMode="External"/><Relationship Id="rId3" Type="http://schemas.openxmlformats.org/officeDocument/2006/relationships/hyperlink" Target="http://www.rsm.govt.nz/about-rsm/spectrum-policy/acts-and-regulations/overview-of-licensing-regime-in-nz/management-rights?searchterm=spectrum%20management%20rights" TargetMode="External"/><Relationship Id="rId7" Type="http://schemas.openxmlformats.org/officeDocument/2006/relationships/hyperlink" Target="https://www.legislation.gov.au/Details/F2016L01929" TargetMode="External"/><Relationship Id="rId2" Type="http://schemas.openxmlformats.org/officeDocument/2006/relationships/hyperlink" Target="http://stakeholders.ofcom.org.uk/consultations/sur/summary" TargetMode="External"/><Relationship Id="rId1" Type="http://schemas.openxmlformats.org/officeDocument/2006/relationships/hyperlink" Target="http://telecoms.com/461372/france-claims-first-licensed-shared-access-pilot/" TargetMode="External"/><Relationship Id="rId6" Type="http://schemas.openxmlformats.org/officeDocument/2006/relationships/hyperlink" Target="http://www.minister.communications.gov.au/malcolm_turnbull/news/next_stage_of_spectrum_reform_to_commence" TargetMode="External"/><Relationship Id="rId5" Type="http://schemas.openxmlformats.org/officeDocument/2006/relationships/hyperlink" Target="http://www.acma.gov.au/theACMA/About/Making-payments/Apparatus-licence-fees/apparatus-licence-fees-acma" TargetMode="External"/><Relationship Id="rId4" Type="http://schemas.openxmlformats.org/officeDocument/2006/relationships/hyperlink" Target="http://telecoms.com/461372/france-claims-first-licensed-shared-access-pilot/" TargetMode="External"/><Relationship Id="rId9" Type="http://schemas.openxmlformats.org/officeDocument/2006/relationships/hyperlink" Target="http://www.minister.communications.gov.au/malcolm_turnbull/news/next_stage_of_spectrum_reform_to_commen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14246585D4894B9D40EFAD94E5DB34" ma:contentTypeVersion="0" ma:contentTypeDescription="Create a new document." ma:contentTypeScope="" ma:versionID="31192786814247b29cc23339ab259dd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7949B-9F0F-45F7-BE56-D0A01F7D6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74AB391-4130-4CA0-A4A6-682D35BD245B}">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820A782-824A-45FB-A661-8F96038B910F}">
  <ds:schemaRefs>
    <ds:schemaRef ds:uri="http://schemas.microsoft.com/sharepoint/v3/contenttype/forms"/>
  </ds:schemaRefs>
</ds:datastoreItem>
</file>

<file path=customXml/itemProps4.xml><?xml version="1.0" encoding="utf-8"?>
<ds:datastoreItem xmlns:ds="http://schemas.openxmlformats.org/officeDocument/2006/customXml" ds:itemID="{0949E6EF-7EBB-43F9-8BCF-25ACE084EBCA}">
  <ds:schemaRefs>
    <ds:schemaRef ds:uri="http://schemas.openxmlformats.org/officeDocument/2006/bibliography"/>
  </ds:schemaRefs>
</ds:datastoreItem>
</file>

<file path=customXml/itemProps5.xml><?xml version="1.0" encoding="utf-8"?>
<ds:datastoreItem xmlns:ds="http://schemas.openxmlformats.org/officeDocument/2006/customXml" ds:itemID="{A7226475-0916-4D33-B29D-EDDAE9A94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431AEDF2.dotm</Template>
  <TotalTime>0</TotalTime>
  <Pages>44</Pages>
  <Words>14428</Words>
  <Characters>82242</Characters>
  <Application>Microsoft Office Word</Application>
  <DocSecurity>8</DocSecurity>
  <Lines>685</Lines>
  <Paragraphs>192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96478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2017-05-16T03:56:00Z</dcterms:created>
  <dcterms:modified xsi:type="dcterms:W3CDTF">2017-05-16T03:56:00Z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0x0101008114246585D4894B9D40EFAD94E5DB34</vt:lpwstr>
  </property>
  <property fmtid="{D5CDD505-2E9C-101B-9397-08002B2CF9AE}" pid="3" name="TrimRevisionNumber">
    <vt:i4>1</vt:i4>
  </property>
</Properties>
</file>