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3E6223" w14:textId="1C068C84" w:rsidR="005033E9" w:rsidRDefault="00E24D85" w:rsidP="005033E9">
      <w:pPr>
        <w:ind w:left="-1418"/>
        <w:sectPr w:rsidR="005033E9" w:rsidSect="005033E9">
          <w:footerReference w:type="default" r:id="rId11"/>
          <w:type w:val="continuous"/>
          <w:pgSz w:w="11906" w:h="16838"/>
          <w:pgMar w:top="0" w:right="1440" w:bottom="1440" w:left="1440" w:header="0" w:footer="0" w:gutter="0"/>
          <w:cols w:space="708"/>
          <w:docGrid w:linePitch="360"/>
        </w:sectPr>
      </w:pPr>
      <w:bookmarkStart w:id="0" w:name="_GoBack"/>
      <w:bookmarkEnd w:id="0"/>
      <w:r>
        <w:rPr>
          <w:noProof/>
          <w:lang w:eastAsia="en-AU"/>
        </w:rPr>
        <w:drawing>
          <wp:anchor distT="0" distB="0" distL="114300" distR="114300" simplePos="0" relativeHeight="251658240" behindDoc="1" locked="0" layoutInCell="1" allowOverlap="1" wp14:anchorId="48028BC4" wp14:editId="72CDAA56">
            <wp:simplePos x="0" y="0"/>
            <wp:positionH relativeFrom="page">
              <wp:align>left</wp:align>
            </wp:positionH>
            <wp:positionV relativeFrom="paragraph">
              <wp:posOffset>9525</wp:posOffset>
            </wp:positionV>
            <wp:extent cx="7562695" cy="10673715"/>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view of the ACMA Draft Report_COVER.png"/>
                    <pic:cNvPicPr/>
                  </pic:nvPicPr>
                  <pic:blipFill>
                    <a:blip r:embed="rId12">
                      <a:extLst>
                        <a:ext uri="{28A0092B-C50C-407E-A947-70E740481C1C}">
                          <a14:useLocalDpi xmlns:a14="http://schemas.microsoft.com/office/drawing/2010/main" val="0"/>
                        </a:ext>
                      </a:extLst>
                    </a:blip>
                    <a:stretch>
                      <a:fillRect/>
                    </a:stretch>
                  </pic:blipFill>
                  <pic:spPr>
                    <a:xfrm>
                      <a:off x="0" y="0"/>
                      <a:ext cx="7565049" cy="10677038"/>
                    </a:xfrm>
                    <a:prstGeom prst="rect">
                      <a:avLst/>
                    </a:prstGeom>
                  </pic:spPr>
                </pic:pic>
              </a:graphicData>
            </a:graphic>
            <wp14:sizeRelH relativeFrom="page">
              <wp14:pctWidth>0</wp14:pctWidth>
            </wp14:sizeRelH>
            <wp14:sizeRelV relativeFrom="page">
              <wp14:pctHeight>0</wp14:pctHeight>
            </wp14:sizeRelV>
          </wp:anchor>
        </w:drawing>
      </w:r>
    </w:p>
    <w:p w14:paraId="155CA985" w14:textId="77777777" w:rsidR="005033E9" w:rsidRDefault="005033E9" w:rsidP="005033E9">
      <w:r>
        <w:br w:type="page"/>
      </w:r>
    </w:p>
    <w:p w14:paraId="1EE01674" w14:textId="77777777" w:rsidR="005033E9" w:rsidRPr="0009516A" w:rsidRDefault="005033E9" w:rsidP="005033E9">
      <w:pPr>
        <w:pStyle w:val="Heading2-notshowingincontentsindocument"/>
      </w:pPr>
      <w:r w:rsidRPr="0009516A">
        <w:lastRenderedPageBreak/>
        <w:t>Contents</w:t>
      </w:r>
    </w:p>
    <w:p w14:paraId="09ED01D8" w14:textId="0F197453" w:rsidR="00642F75" w:rsidRDefault="005033E9">
      <w:pPr>
        <w:pStyle w:val="TOC1"/>
        <w:tabs>
          <w:tab w:val="right" w:leader="dot" w:pos="9323"/>
        </w:tabs>
        <w:rPr>
          <w:rFonts w:eastAsiaTheme="minorEastAsia"/>
          <w:b w:val="0"/>
          <w:noProof/>
          <w:color w:val="auto"/>
          <w:sz w:val="22"/>
          <w:lang w:eastAsia="en-AU"/>
        </w:rPr>
      </w:pPr>
      <w:r>
        <w:fldChar w:fldCharType="begin"/>
      </w:r>
      <w:r>
        <w:instrText xml:space="preserve"> TOC \h \z \u \t "Heading 2,1,Heading 3,2,Heading 4,3" </w:instrText>
      </w:r>
      <w:r>
        <w:fldChar w:fldCharType="separate"/>
      </w:r>
      <w:hyperlink w:anchor="_Toc450310114" w:history="1">
        <w:r w:rsidR="00642F75" w:rsidRPr="008616B0">
          <w:rPr>
            <w:rStyle w:val="Hyperlink"/>
            <w:noProof/>
          </w:rPr>
          <w:t>Background</w:t>
        </w:r>
        <w:r w:rsidR="00642F75">
          <w:rPr>
            <w:noProof/>
            <w:webHidden/>
          </w:rPr>
          <w:tab/>
        </w:r>
        <w:r w:rsidR="00642F75">
          <w:rPr>
            <w:noProof/>
            <w:webHidden/>
          </w:rPr>
          <w:fldChar w:fldCharType="begin"/>
        </w:r>
        <w:r w:rsidR="00642F75">
          <w:rPr>
            <w:noProof/>
            <w:webHidden/>
          </w:rPr>
          <w:instrText xml:space="preserve"> PAGEREF _Toc450310114 \h </w:instrText>
        </w:r>
        <w:r w:rsidR="00642F75">
          <w:rPr>
            <w:noProof/>
            <w:webHidden/>
          </w:rPr>
        </w:r>
        <w:r w:rsidR="00642F75">
          <w:rPr>
            <w:noProof/>
            <w:webHidden/>
          </w:rPr>
          <w:fldChar w:fldCharType="separate"/>
        </w:r>
        <w:r w:rsidR="006038C1">
          <w:rPr>
            <w:noProof/>
            <w:webHidden/>
          </w:rPr>
          <w:t>3</w:t>
        </w:r>
        <w:r w:rsidR="00642F75">
          <w:rPr>
            <w:noProof/>
            <w:webHidden/>
          </w:rPr>
          <w:fldChar w:fldCharType="end"/>
        </w:r>
      </w:hyperlink>
    </w:p>
    <w:p w14:paraId="646C801A" w14:textId="5E9054E4" w:rsidR="00642F75" w:rsidRDefault="00217586">
      <w:pPr>
        <w:pStyle w:val="TOC1"/>
        <w:tabs>
          <w:tab w:val="right" w:leader="dot" w:pos="9323"/>
        </w:tabs>
        <w:rPr>
          <w:rFonts w:eastAsiaTheme="minorEastAsia"/>
          <w:b w:val="0"/>
          <w:noProof/>
          <w:color w:val="auto"/>
          <w:sz w:val="22"/>
          <w:lang w:eastAsia="en-AU"/>
        </w:rPr>
      </w:pPr>
      <w:hyperlink w:anchor="_Toc450310115" w:history="1">
        <w:r w:rsidR="00642F75" w:rsidRPr="008616B0">
          <w:rPr>
            <w:rStyle w:val="Hyperlink"/>
            <w:noProof/>
          </w:rPr>
          <w:t>Consultation</w:t>
        </w:r>
        <w:r w:rsidR="00642F75">
          <w:rPr>
            <w:noProof/>
            <w:webHidden/>
          </w:rPr>
          <w:tab/>
        </w:r>
        <w:r w:rsidR="00642F75">
          <w:rPr>
            <w:noProof/>
            <w:webHidden/>
          </w:rPr>
          <w:fldChar w:fldCharType="begin"/>
        </w:r>
        <w:r w:rsidR="00642F75">
          <w:rPr>
            <w:noProof/>
            <w:webHidden/>
          </w:rPr>
          <w:instrText xml:space="preserve"> PAGEREF _Toc450310115 \h </w:instrText>
        </w:r>
        <w:r w:rsidR="00642F75">
          <w:rPr>
            <w:noProof/>
            <w:webHidden/>
          </w:rPr>
        </w:r>
        <w:r w:rsidR="00642F75">
          <w:rPr>
            <w:noProof/>
            <w:webHidden/>
          </w:rPr>
          <w:fldChar w:fldCharType="separate"/>
        </w:r>
        <w:r w:rsidR="006038C1">
          <w:rPr>
            <w:noProof/>
            <w:webHidden/>
          </w:rPr>
          <w:t>3</w:t>
        </w:r>
        <w:r w:rsidR="00642F75">
          <w:rPr>
            <w:noProof/>
            <w:webHidden/>
          </w:rPr>
          <w:fldChar w:fldCharType="end"/>
        </w:r>
      </w:hyperlink>
    </w:p>
    <w:p w14:paraId="317B4DF9" w14:textId="62158645" w:rsidR="00642F75" w:rsidRPr="00CB4DEF" w:rsidRDefault="00217586" w:rsidP="00CB4DEF">
      <w:pPr>
        <w:pStyle w:val="TOC1"/>
        <w:tabs>
          <w:tab w:val="right" w:leader="dot" w:pos="9323"/>
        </w:tabs>
        <w:rPr>
          <w:rStyle w:val="Hyperlink"/>
          <w:noProof/>
        </w:rPr>
      </w:pPr>
      <w:hyperlink w:anchor="_Toc450310116" w:history="1">
        <w:r w:rsidR="00642F75" w:rsidRPr="00CB4DEF">
          <w:rPr>
            <w:rStyle w:val="Hyperlink"/>
            <w:noProof/>
          </w:rPr>
          <w:t>Scope of this report</w:t>
        </w:r>
        <w:r w:rsidR="00642F75" w:rsidRPr="00CB4DEF">
          <w:rPr>
            <w:rStyle w:val="Hyperlink"/>
            <w:noProof/>
            <w:webHidden/>
          </w:rPr>
          <w:tab/>
        </w:r>
        <w:r w:rsidR="00642F75" w:rsidRPr="00CB4DEF">
          <w:rPr>
            <w:rStyle w:val="Hyperlink"/>
            <w:noProof/>
            <w:webHidden/>
          </w:rPr>
          <w:fldChar w:fldCharType="begin"/>
        </w:r>
        <w:r w:rsidR="00642F75" w:rsidRPr="00CB4DEF">
          <w:rPr>
            <w:rStyle w:val="Hyperlink"/>
            <w:noProof/>
            <w:webHidden/>
          </w:rPr>
          <w:instrText xml:space="preserve"> PAGEREF _Toc450310116 \h </w:instrText>
        </w:r>
        <w:r w:rsidR="00642F75" w:rsidRPr="00CB4DEF">
          <w:rPr>
            <w:rStyle w:val="Hyperlink"/>
            <w:noProof/>
            <w:webHidden/>
          </w:rPr>
        </w:r>
        <w:r w:rsidR="00642F75" w:rsidRPr="00CB4DEF">
          <w:rPr>
            <w:rStyle w:val="Hyperlink"/>
            <w:noProof/>
            <w:webHidden/>
          </w:rPr>
          <w:fldChar w:fldCharType="separate"/>
        </w:r>
        <w:r w:rsidR="006038C1">
          <w:rPr>
            <w:rStyle w:val="Hyperlink"/>
            <w:noProof/>
            <w:webHidden/>
          </w:rPr>
          <w:t>4</w:t>
        </w:r>
        <w:r w:rsidR="00642F75" w:rsidRPr="00CB4DEF">
          <w:rPr>
            <w:rStyle w:val="Hyperlink"/>
            <w:noProof/>
            <w:webHidden/>
          </w:rPr>
          <w:fldChar w:fldCharType="end"/>
        </w:r>
      </w:hyperlink>
    </w:p>
    <w:p w14:paraId="626B0BD7" w14:textId="6ECCDDEE" w:rsidR="00642F75" w:rsidRDefault="00217586">
      <w:pPr>
        <w:pStyle w:val="TOC1"/>
        <w:tabs>
          <w:tab w:val="right" w:leader="dot" w:pos="9323"/>
        </w:tabs>
        <w:rPr>
          <w:rFonts w:eastAsiaTheme="minorEastAsia"/>
          <w:b w:val="0"/>
          <w:noProof/>
          <w:color w:val="auto"/>
          <w:sz w:val="22"/>
          <w:lang w:eastAsia="en-AU"/>
        </w:rPr>
      </w:pPr>
      <w:hyperlink w:anchor="_Toc450310117" w:history="1">
        <w:r w:rsidR="00642F75" w:rsidRPr="008616B0">
          <w:rPr>
            <w:rStyle w:val="Hyperlink"/>
            <w:rFonts w:eastAsia="Cambria"/>
            <w:noProof/>
          </w:rPr>
          <w:t>Executive summary</w:t>
        </w:r>
        <w:r w:rsidR="00642F75">
          <w:rPr>
            <w:noProof/>
            <w:webHidden/>
          </w:rPr>
          <w:tab/>
        </w:r>
        <w:r w:rsidR="00642F75">
          <w:rPr>
            <w:noProof/>
            <w:webHidden/>
          </w:rPr>
          <w:fldChar w:fldCharType="begin"/>
        </w:r>
        <w:r w:rsidR="00642F75">
          <w:rPr>
            <w:noProof/>
            <w:webHidden/>
          </w:rPr>
          <w:instrText xml:space="preserve"> PAGEREF _Toc450310117 \h </w:instrText>
        </w:r>
        <w:r w:rsidR="00642F75">
          <w:rPr>
            <w:noProof/>
            <w:webHidden/>
          </w:rPr>
        </w:r>
        <w:r w:rsidR="00642F75">
          <w:rPr>
            <w:noProof/>
            <w:webHidden/>
          </w:rPr>
          <w:fldChar w:fldCharType="separate"/>
        </w:r>
        <w:r w:rsidR="006038C1">
          <w:rPr>
            <w:noProof/>
            <w:webHidden/>
          </w:rPr>
          <w:t>5</w:t>
        </w:r>
        <w:r w:rsidR="00642F75">
          <w:rPr>
            <w:noProof/>
            <w:webHidden/>
          </w:rPr>
          <w:fldChar w:fldCharType="end"/>
        </w:r>
      </w:hyperlink>
    </w:p>
    <w:p w14:paraId="3FB234C3" w14:textId="446ADDA2" w:rsidR="00642F75" w:rsidRDefault="00217586">
      <w:pPr>
        <w:pStyle w:val="TOC2"/>
        <w:tabs>
          <w:tab w:val="right" w:leader="dot" w:pos="9323"/>
        </w:tabs>
        <w:rPr>
          <w:rFonts w:eastAsiaTheme="minorEastAsia"/>
          <w:noProof/>
          <w:lang w:eastAsia="en-AU"/>
        </w:rPr>
      </w:pPr>
      <w:hyperlink w:anchor="_Toc450310118" w:history="1">
        <w:r w:rsidR="00642F75" w:rsidRPr="008616B0">
          <w:rPr>
            <w:rStyle w:val="Hyperlink"/>
            <w:noProof/>
          </w:rPr>
          <w:t>Context</w:t>
        </w:r>
        <w:r w:rsidR="00642F75">
          <w:rPr>
            <w:noProof/>
            <w:webHidden/>
          </w:rPr>
          <w:tab/>
        </w:r>
        <w:r w:rsidR="00642F75">
          <w:rPr>
            <w:noProof/>
            <w:webHidden/>
          </w:rPr>
          <w:fldChar w:fldCharType="begin"/>
        </w:r>
        <w:r w:rsidR="00642F75">
          <w:rPr>
            <w:noProof/>
            <w:webHidden/>
          </w:rPr>
          <w:instrText xml:space="preserve"> PAGEREF _Toc450310118 \h </w:instrText>
        </w:r>
        <w:r w:rsidR="00642F75">
          <w:rPr>
            <w:noProof/>
            <w:webHidden/>
          </w:rPr>
        </w:r>
        <w:r w:rsidR="00642F75">
          <w:rPr>
            <w:noProof/>
            <w:webHidden/>
          </w:rPr>
          <w:fldChar w:fldCharType="separate"/>
        </w:r>
        <w:r w:rsidR="006038C1">
          <w:rPr>
            <w:noProof/>
            <w:webHidden/>
          </w:rPr>
          <w:t>5</w:t>
        </w:r>
        <w:r w:rsidR="00642F75">
          <w:rPr>
            <w:noProof/>
            <w:webHidden/>
          </w:rPr>
          <w:fldChar w:fldCharType="end"/>
        </w:r>
      </w:hyperlink>
    </w:p>
    <w:p w14:paraId="329EE7C5" w14:textId="52C57887" w:rsidR="00642F75" w:rsidRDefault="00217586">
      <w:pPr>
        <w:pStyle w:val="TOC2"/>
        <w:tabs>
          <w:tab w:val="right" w:leader="dot" w:pos="9323"/>
        </w:tabs>
        <w:rPr>
          <w:rFonts w:eastAsiaTheme="minorEastAsia"/>
          <w:noProof/>
          <w:lang w:eastAsia="en-AU"/>
        </w:rPr>
      </w:pPr>
      <w:hyperlink w:anchor="_Toc450310119" w:history="1">
        <w:r w:rsidR="00642F75" w:rsidRPr="008616B0">
          <w:rPr>
            <w:rStyle w:val="Hyperlink"/>
            <w:noProof/>
          </w:rPr>
          <w:t>Implications of structural change in the communications market</w:t>
        </w:r>
        <w:r w:rsidR="00642F75">
          <w:rPr>
            <w:noProof/>
            <w:webHidden/>
          </w:rPr>
          <w:tab/>
        </w:r>
        <w:r w:rsidR="00642F75">
          <w:rPr>
            <w:noProof/>
            <w:webHidden/>
          </w:rPr>
          <w:fldChar w:fldCharType="begin"/>
        </w:r>
        <w:r w:rsidR="00642F75">
          <w:rPr>
            <w:noProof/>
            <w:webHidden/>
          </w:rPr>
          <w:instrText xml:space="preserve"> PAGEREF _Toc450310119 \h </w:instrText>
        </w:r>
        <w:r w:rsidR="00642F75">
          <w:rPr>
            <w:noProof/>
            <w:webHidden/>
          </w:rPr>
        </w:r>
        <w:r w:rsidR="00642F75">
          <w:rPr>
            <w:noProof/>
            <w:webHidden/>
          </w:rPr>
          <w:fldChar w:fldCharType="separate"/>
        </w:r>
        <w:r w:rsidR="006038C1">
          <w:rPr>
            <w:noProof/>
            <w:webHidden/>
          </w:rPr>
          <w:t>6</w:t>
        </w:r>
        <w:r w:rsidR="00642F75">
          <w:rPr>
            <w:noProof/>
            <w:webHidden/>
          </w:rPr>
          <w:fldChar w:fldCharType="end"/>
        </w:r>
      </w:hyperlink>
    </w:p>
    <w:p w14:paraId="152E3C9F" w14:textId="7CADA35D" w:rsidR="00642F75" w:rsidRDefault="00217586">
      <w:pPr>
        <w:pStyle w:val="TOC2"/>
        <w:tabs>
          <w:tab w:val="right" w:leader="dot" w:pos="9323"/>
        </w:tabs>
        <w:rPr>
          <w:rFonts w:eastAsiaTheme="minorEastAsia"/>
          <w:noProof/>
          <w:lang w:eastAsia="en-AU"/>
        </w:rPr>
      </w:pPr>
      <w:hyperlink w:anchor="_Toc450310120" w:history="1">
        <w:r w:rsidR="00642F75" w:rsidRPr="008616B0">
          <w:rPr>
            <w:rStyle w:val="Hyperlink"/>
            <w:rFonts w:eastAsia="Cambria"/>
            <w:noProof/>
          </w:rPr>
          <w:t>Key reform proposals for the ACMA</w:t>
        </w:r>
        <w:r w:rsidR="00642F75">
          <w:rPr>
            <w:noProof/>
            <w:webHidden/>
          </w:rPr>
          <w:tab/>
        </w:r>
        <w:r w:rsidR="00642F75">
          <w:rPr>
            <w:noProof/>
            <w:webHidden/>
          </w:rPr>
          <w:fldChar w:fldCharType="begin"/>
        </w:r>
        <w:r w:rsidR="00642F75">
          <w:rPr>
            <w:noProof/>
            <w:webHidden/>
          </w:rPr>
          <w:instrText xml:space="preserve"> PAGEREF _Toc450310120 \h </w:instrText>
        </w:r>
        <w:r w:rsidR="00642F75">
          <w:rPr>
            <w:noProof/>
            <w:webHidden/>
          </w:rPr>
        </w:r>
        <w:r w:rsidR="00642F75">
          <w:rPr>
            <w:noProof/>
            <w:webHidden/>
          </w:rPr>
          <w:fldChar w:fldCharType="separate"/>
        </w:r>
        <w:r w:rsidR="006038C1">
          <w:rPr>
            <w:noProof/>
            <w:webHidden/>
          </w:rPr>
          <w:t>7</w:t>
        </w:r>
        <w:r w:rsidR="00642F75">
          <w:rPr>
            <w:noProof/>
            <w:webHidden/>
          </w:rPr>
          <w:fldChar w:fldCharType="end"/>
        </w:r>
      </w:hyperlink>
    </w:p>
    <w:p w14:paraId="6AEAAFFB" w14:textId="41CC634A" w:rsidR="00642F75" w:rsidRDefault="00217586">
      <w:pPr>
        <w:pStyle w:val="TOC2"/>
        <w:tabs>
          <w:tab w:val="right" w:leader="dot" w:pos="9323"/>
        </w:tabs>
        <w:rPr>
          <w:rFonts w:eastAsiaTheme="minorEastAsia"/>
          <w:noProof/>
          <w:lang w:eastAsia="en-AU"/>
        </w:rPr>
      </w:pPr>
      <w:hyperlink w:anchor="_Toc450310126" w:history="1">
        <w:r w:rsidR="00642F75" w:rsidRPr="008616B0">
          <w:rPr>
            <w:rStyle w:val="Hyperlink"/>
            <w:rFonts w:eastAsia="Cambria"/>
            <w:noProof/>
          </w:rPr>
          <w:t xml:space="preserve">Reform of the </w:t>
        </w:r>
        <w:r w:rsidR="00D7354F">
          <w:rPr>
            <w:rStyle w:val="Hyperlink"/>
            <w:rFonts w:eastAsia="Cambria"/>
            <w:noProof/>
          </w:rPr>
          <w:t>c</w:t>
        </w:r>
        <w:r w:rsidR="00642F75" w:rsidRPr="008616B0">
          <w:rPr>
            <w:rStyle w:val="Hyperlink"/>
            <w:rFonts w:eastAsia="Cambria"/>
            <w:noProof/>
          </w:rPr>
          <w:t xml:space="preserve">ommunications </w:t>
        </w:r>
        <w:r w:rsidR="00D7354F">
          <w:rPr>
            <w:rStyle w:val="Hyperlink"/>
            <w:rFonts w:eastAsia="Cambria"/>
            <w:noProof/>
          </w:rPr>
          <w:t>r</w:t>
        </w:r>
        <w:r w:rsidR="00642F75" w:rsidRPr="008616B0">
          <w:rPr>
            <w:rStyle w:val="Hyperlink"/>
            <w:rFonts w:eastAsia="Cambria"/>
            <w:noProof/>
          </w:rPr>
          <w:t xml:space="preserve">egulatory </w:t>
        </w:r>
        <w:r w:rsidR="00D7354F">
          <w:rPr>
            <w:rStyle w:val="Hyperlink"/>
            <w:rFonts w:eastAsia="Cambria"/>
            <w:noProof/>
          </w:rPr>
          <w:t>f</w:t>
        </w:r>
        <w:r w:rsidR="00642F75" w:rsidRPr="008616B0">
          <w:rPr>
            <w:rStyle w:val="Hyperlink"/>
            <w:rFonts w:eastAsia="Cambria"/>
            <w:noProof/>
          </w:rPr>
          <w:t>ramework</w:t>
        </w:r>
        <w:r w:rsidR="00642F75">
          <w:rPr>
            <w:noProof/>
            <w:webHidden/>
          </w:rPr>
          <w:tab/>
        </w:r>
        <w:r w:rsidR="00642F75">
          <w:rPr>
            <w:noProof/>
            <w:webHidden/>
          </w:rPr>
          <w:fldChar w:fldCharType="begin"/>
        </w:r>
        <w:r w:rsidR="00642F75">
          <w:rPr>
            <w:noProof/>
            <w:webHidden/>
          </w:rPr>
          <w:instrText xml:space="preserve"> PAGEREF _Toc450310126 \h </w:instrText>
        </w:r>
        <w:r w:rsidR="00642F75">
          <w:rPr>
            <w:noProof/>
            <w:webHidden/>
          </w:rPr>
        </w:r>
        <w:r w:rsidR="00642F75">
          <w:rPr>
            <w:noProof/>
            <w:webHidden/>
          </w:rPr>
          <w:fldChar w:fldCharType="separate"/>
        </w:r>
        <w:r w:rsidR="006038C1">
          <w:rPr>
            <w:noProof/>
            <w:webHidden/>
          </w:rPr>
          <w:t>14</w:t>
        </w:r>
        <w:r w:rsidR="00642F75">
          <w:rPr>
            <w:noProof/>
            <w:webHidden/>
          </w:rPr>
          <w:fldChar w:fldCharType="end"/>
        </w:r>
      </w:hyperlink>
    </w:p>
    <w:p w14:paraId="486E1616" w14:textId="5B28939E" w:rsidR="00642F75" w:rsidRDefault="00217586">
      <w:pPr>
        <w:pStyle w:val="TOC2"/>
        <w:tabs>
          <w:tab w:val="right" w:leader="dot" w:pos="9323"/>
        </w:tabs>
        <w:rPr>
          <w:rFonts w:eastAsiaTheme="minorEastAsia"/>
          <w:noProof/>
          <w:lang w:eastAsia="en-AU"/>
        </w:rPr>
      </w:pPr>
      <w:hyperlink w:anchor="_Toc450310127" w:history="1">
        <w:r w:rsidR="00642F75" w:rsidRPr="008616B0">
          <w:rPr>
            <w:rStyle w:val="Hyperlink"/>
            <w:noProof/>
          </w:rPr>
          <w:t>Transition Path</w:t>
        </w:r>
        <w:r w:rsidR="00642F75">
          <w:rPr>
            <w:noProof/>
            <w:webHidden/>
          </w:rPr>
          <w:tab/>
        </w:r>
        <w:r w:rsidR="00642F75">
          <w:rPr>
            <w:noProof/>
            <w:webHidden/>
          </w:rPr>
          <w:fldChar w:fldCharType="begin"/>
        </w:r>
        <w:r w:rsidR="00642F75">
          <w:rPr>
            <w:noProof/>
            <w:webHidden/>
          </w:rPr>
          <w:instrText xml:space="preserve"> PAGEREF _Toc450310127 \h </w:instrText>
        </w:r>
        <w:r w:rsidR="00642F75">
          <w:rPr>
            <w:noProof/>
            <w:webHidden/>
          </w:rPr>
        </w:r>
        <w:r w:rsidR="00642F75">
          <w:rPr>
            <w:noProof/>
            <w:webHidden/>
          </w:rPr>
          <w:fldChar w:fldCharType="separate"/>
        </w:r>
        <w:r w:rsidR="006038C1">
          <w:rPr>
            <w:noProof/>
            <w:webHidden/>
          </w:rPr>
          <w:t>16</w:t>
        </w:r>
        <w:r w:rsidR="00642F75">
          <w:rPr>
            <w:noProof/>
            <w:webHidden/>
          </w:rPr>
          <w:fldChar w:fldCharType="end"/>
        </w:r>
      </w:hyperlink>
    </w:p>
    <w:p w14:paraId="42522508" w14:textId="3EB3EE63" w:rsidR="00642F75" w:rsidRDefault="00217586">
      <w:pPr>
        <w:pStyle w:val="TOC1"/>
        <w:tabs>
          <w:tab w:val="right" w:leader="dot" w:pos="9323"/>
        </w:tabs>
        <w:rPr>
          <w:rFonts w:eastAsiaTheme="minorEastAsia"/>
          <w:b w:val="0"/>
          <w:noProof/>
          <w:color w:val="auto"/>
          <w:sz w:val="22"/>
          <w:lang w:eastAsia="en-AU"/>
        </w:rPr>
      </w:pPr>
      <w:hyperlink w:anchor="_Toc450310128" w:history="1">
        <w:r w:rsidR="00642F75" w:rsidRPr="008616B0">
          <w:rPr>
            <w:rStyle w:val="Hyperlink"/>
            <w:noProof/>
          </w:rPr>
          <w:t>Part One—The ACMA’s operating environment</w:t>
        </w:r>
        <w:r w:rsidR="00642F75">
          <w:rPr>
            <w:noProof/>
            <w:webHidden/>
          </w:rPr>
          <w:tab/>
        </w:r>
        <w:r w:rsidR="00642F75">
          <w:rPr>
            <w:noProof/>
            <w:webHidden/>
          </w:rPr>
          <w:fldChar w:fldCharType="begin"/>
        </w:r>
        <w:r w:rsidR="00642F75">
          <w:rPr>
            <w:noProof/>
            <w:webHidden/>
          </w:rPr>
          <w:instrText xml:space="preserve"> PAGEREF _Toc450310128 \h </w:instrText>
        </w:r>
        <w:r w:rsidR="00642F75">
          <w:rPr>
            <w:noProof/>
            <w:webHidden/>
          </w:rPr>
        </w:r>
        <w:r w:rsidR="00642F75">
          <w:rPr>
            <w:noProof/>
            <w:webHidden/>
          </w:rPr>
          <w:fldChar w:fldCharType="separate"/>
        </w:r>
        <w:r w:rsidR="006038C1">
          <w:rPr>
            <w:noProof/>
            <w:webHidden/>
          </w:rPr>
          <w:t>17</w:t>
        </w:r>
        <w:r w:rsidR="00642F75">
          <w:rPr>
            <w:noProof/>
            <w:webHidden/>
          </w:rPr>
          <w:fldChar w:fldCharType="end"/>
        </w:r>
      </w:hyperlink>
    </w:p>
    <w:p w14:paraId="646371FB" w14:textId="17CD2B93" w:rsidR="00642F75" w:rsidRDefault="00217586">
      <w:pPr>
        <w:pStyle w:val="TOC2"/>
        <w:tabs>
          <w:tab w:val="right" w:leader="dot" w:pos="9323"/>
        </w:tabs>
        <w:rPr>
          <w:rFonts w:eastAsiaTheme="minorEastAsia"/>
          <w:noProof/>
          <w:lang w:eastAsia="en-AU"/>
        </w:rPr>
      </w:pPr>
      <w:hyperlink w:anchor="_Toc450310129" w:history="1">
        <w:r w:rsidR="00642F75" w:rsidRPr="008616B0">
          <w:rPr>
            <w:rStyle w:val="Hyperlink"/>
            <w:noProof/>
          </w:rPr>
          <w:t>Communications markets</w:t>
        </w:r>
        <w:r w:rsidR="00642F75">
          <w:rPr>
            <w:noProof/>
            <w:webHidden/>
          </w:rPr>
          <w:tab/>
        </w:r>
        <w:r w:rsidR="00642F75">
          <w:rPr>
            <w:noProof/>
            <w:webHidden/>
          </w:rPr>
          <w:fldChar w:fldCharType="begin"/>
        </w:r>
        <w:r w:rsidR="00642F75">
          <w:rPr>
            <w:noProof/>
            <w:webHidden/>
          </w:rPr>
          <w:instrText xml:space="preserve"> PAGEREF _Toc450310129 \h </w:instrText>
        </w:r>
        <w:r w:rsidR="00642F75">
          <w:rPr>
            <w:noProof/>
            <w:webHidden/>
          </w:rPr>
        </w:r>
        <w:r w:rsidR="00642F75">
          <w:rPr>
            <w:noProof/>
            <w:webHidden/>
          </w:rPr>
          <w:fldChar w:fldCharType="separate"/>
        </w:r>
        <w:r w:rsidR="006038C1">
          <w:rPr>
            <w:noProof/>
            <w:webHidden/>
          </w:rPr>
          <w:t>17</w:t>
        </w:r>
        <w:r w:rsidR="00642F75">
          <w:rPr>
            <w:noProof/>
            <w:webHidden/>
          </w:rPr>
          <w:fldChar w:fldCharType="end"/>
        </w:r>
      </w:hyperlink>
    </w:p>
    <w:p w14:paraId="071A5A02" w14:textId="60B02B32" w:rsidR="00642F75" w:rsidRDefault="00217586">
      <w:pPr>
        <w:pStyle w:val="TOC2"/>
        <w:tabs>
          <w:tab w:val="right" w:leader="dot" w:pos="9323"/>
        </w:tabs>
        <w:rPr>
          <w:rFonts w:eastAsiaTheme="minorEastAsia"/>
          <w:noProof/>
          <w:lang w:eastAsia="en-AU"/>
        </w:rPr>
      </w:pPr>
      <w:hyperlink w:anchor="_Toc450310131" w:history="1">
        <w:r w:rsidR="00642F75" w:rsidRPr="008616B0">
          <w:rPr>
            <w:rStyle w:val="Hyperlink"/>
            <w:noProof/>
          </w:rPr>
          <w:t>Implications of market change for the ACMA</w:t>
        </w:r>
        <w:r w:rsidR="00642F75">
          <w:rPr>
            <w:noProof/>
            <w:webHidden/>
          </w:rPr>
          <w:tab/>
        </w:r>
        <w:r w:rsidR="00642F75">
          <w:rPr>
            <w:noProof/>
            <w:webHidden/>
          </w:rPr>
          <w:fldChar w:fldCharType="begin"/>
        </w:r>
        <w:r w:rsidR="00642F75">
          <w:rPr>
            <w:noProof/>
            <w:webHidden/>
          </w:rPr>
          <w:instrText xml:space="preserve"> PAGEREF _Toc450310131 \h </w:instrText>
        </w:r>
        <w:r w:rsidR="00642F75">
          <w:rPr>
            <w:noProof/>
            <w:webHidden/>
          </w:rPr>
        </w:r>
        <w:r w:rsidR="00642F75">
          <w:rPr>
            <w:noProof/>
            <w:webHidden/>
          </w:rPr>
          <w:fldChar w:fldCharType="separate"/>
        </w:r>
        <w:r w:rsidR="006038C1">
          <w:rPr>
            <w:noProof/>
            <w:webHidden/>
          </w:rPr>
          <w:t>22</w:t>
        </w:r>
        <w:r w:rsidR="00642F75">
          <w:rPr>
            <w:noProof/>
            <w:webHidden/>
          </w:rPr>
          <w:fldChar w:fldCharType="end"/>
        </w:r>
      </w:hyperlink>
    </w:p>
    <w:p w14:paraId="18FBB880" w14:textId="6176083C" w:rsidR="00642F75" w:rsidRDefault="00217586">
      <w:pPr>
        <w:pStyle w:val="TOC1"/>
        <w:tabs>
          <w:tab w:val="right" w:leader="dot" w:pos="9323"/>
        </w:tabs>
        <w:rPr>
          <w:rFonts w:eastAsiaTheme="minorEastAsia"/>
          <w:b w:val="0"/>
          <w:noProof/>
          <w:color w:val="auto"/>
          <w:sz w:val="22"/>
          <w:lang w:eastAsia="en-AU"/>
        </w:rPr>
      </w:pPr>
      <w:hyperlink w:anchor="_Toc450310132" w:history="1">
        <w:r w:rsidR="00642F75" w:rsidRPr="008616B0">
          <w:rPr>
            <w:rStyle w:val="Hyperlink"/>
            <w:noProof/>
          </w:rPr>
          <w:t>Part Two—Design of a contemporary regulator</w:t>
        </w:r>
        <w:r w:rsidR="00642F75">
          <w:rPr>
            <w:noProof/>
            <w:webHidden/>
          </w:rPr>
          <w:tab/>
        </w:r>
        <w:r w:rsidR="00642F75">
          <w:rPr>
            <w:noProof/>
            <w:webHidden/>
          </w:rPr>
          <w:fldChar w:fldCharType="begin"/>
        </w:r>
        <w:r w:rsidR="00642F75">
          <w:rPr>
            <w:noProof/>
            <w:webHidden/>
          </w:rPr>
          <w:instrText xml:space="preserve"> PAGEREF _Toc450310132 \h </w:instrText>
        </w:r>
        <w:r w:rsidR="00642F75">
          <w:rPr>
            <w:noProof/>
            <w:webHidden/>
          </w:rPr>
        </w:r>
        <w:r w:rsidR="00642F75">
          <w:rPr>
            <w:noProof/>
            <w:webHidden/>
          </w:rPr>
          <w:fldChar w:fldCharType="separate"/>
        </w:r>
        <w:r w:rsidR="006038C1">
          <w:rPr>
            <w:noProof/>
            <w:webHidden/>
          </w:rPr>
          <w:t>24</w:t>
        </w:r>
        <w:r w:rsidR="00642F75">
          <w:rPr>
            <w:noProof/>
            <w:webHidden/>
          </w:rPr>
          <w:fldChar w:fldCharType="end"/>
        </w:r>
      </w:hyperlink>
    </w:p>
    <w:p w14:paraId="0BE1BBB4" w14:textId="0826D54B" w:rsidR="00642F75" w:rsidRDefault="00217586">
      <w:pPr>
        <w:pStyle w:val="TOC2"/>
        <w:tabs>
          <w:tab w:val="right" w:leader="dot" w:pos="9323"/>
        </w:tabs>
        <w:rPr>
          <w:rFonts w:eastAsiaTheme="minorEastAsia"/>
          <w:noProof/>
          <w:lang w:eastAsia="en-AU"/>
        </w:rPr>
      </w:pPr>
      <w:hyperlink w:anchor="_Toc450310133" w:history="1">
        <w:r w:rsidR="00642F75" w:rsidRPr="008616B0">
          <w:rPr>
            <w:rStyle w:val="Hyperlink"/>
            <w:noProof/>
          </w:rPr>
          <w:t>The current ACMA</w:t>
        </w:r>
        <w:r w:rsidR="00642F75">
          <w:rPr>
            <w:noProof/>
            <w:webHidden/>
          </w:rPr>
          <w:tab/>
        </w:r>
        <w:r w:rsidR="00642F75">
          <w:rPr>
            <w:noProof/>
            <w:webHidden/>
          </w:rPr>
          <w:fldChar w:fldCharType="begin"/>
        </w:r>
        <w:r w:rsidR="00642F75">
          <w:rPr>
            <w:noProof/>
            <w:webHidden/>
          </w:rPr>
          <w:instrText xml:space="preserve"> PAGEREF _Toc450310133 \h </w:instrText>
        </w:r>
        <w:r w:rsidR="00642F75">
          <w:rPr>
            <w:noProof/>
            <w:webHidden/>
          </w:rPr>
        </w:r>
        <w:r w:rsidR="00642F75">
          <w:rPr>
            <w:noProof/>
            <w:webHidden/>
          </w:rPr>
          <w:fldChar w:fldCharType="separate"/>
        </w:r>
        <w:r w:rsidR="006038C1">
          <w:rPr>
            <w:noProof/>
            <w:webHidden/>
          </w:rPr>
          <w:t>24</w:t>
        </w:r>
        <w:r w:rsidR="00642F75">
          <w:rPr>
            <w:noProof/>
            <w:webHidden/>
          </w:rPr>
          <w:fldChar w:fldCharType="end"/>
        </w:r>
      </w:hyperlink>
    </w:p>
    <w:p w14:paraId="6DEA9A84" w14:textId="54D15C83" w:rsidR="00642F75" w:rsidRDefault="00217586">
      <w:pPr>
        <w:pStyle w:val="TOC2"/>
        <w:tabs>
          <w:tab w:val="right" w:leader="dot" w:pos="9323"/>
        </w:tabs>
        <w:rPr>
          <w:rFonts w:eastAsiaTheme="minorEastAsia"/>
          <w:noProof/>
          <w:lang w:eastAsia="en-AU"/>
        </w:rPr>
      </w:pPr>
      <w:hyperlink w:anchor="_Toc450310134" w:history="1">
        <w:r w:rsidR="00642F75" w:rsidRPr="008616B0">
          <w:rPr>
            <w:rStyle w:val="Hyperlink"/>
            <w:noProof/>
          </w:rPr>
          <w:t>Remit</w:t>
        </w:r>
        <w:r w:rsidR="00642F75">
          <w:rPr>
            <w:noProof/>
            <w:webHidden/>
          </w:rPr>
          <w:tab/>
        </w:r>
        <w:r w:rsidR="00642F75">
          <w:rPr>
            <w:noProof/>
            <w:webHidden/>
          </w:rPr>
          <w:fldChar w:fldCharType="begin"/>
        </w:r>
        <w:r w:rsidR="00642F75">
          <w:rPr>
            <w:noProof/>
            <w:webHidden/>
          </w:rPr>
          <w:instrText xml:space="preserve"> PAGEREF _Toc450310134 \h </w:instrText>
        </w:r>
        <w:r w:rsidR="00642F75">
          <w:rPr>
            <w:noProof/>
            <w:webHidden/>
          </w:rPr>
        </w:r>
        <w:r w:rsidR="00642F75">
          <w:rPr>
            <w:noProof/>
            <w:webHidden/>
          </w:rPr>
          <w:fldChar w:fldCharType="separate"/>
        </w:r>
        <w:r w:rsidR="006038C1">
          <w:rPr>
            <w:noProof/>
            <w:webHidden/>
          </w:rPr>
          <w:t>25</w:t>
        </w:r>
        <w:r w:rsidR="00642F75">
          <w:rPr>
            <w:noProof/>
            <w:webHidden/>
          </w:rPr>
          <w:fldChar w:fldCharType="end"/>
        </w:r>
      </w:hyperlink>
    </w:p>
    <w:p w14:paraId="37CA6226" w14:textId="1525DC63" w:rsidR="00642F75" w:rsidRDefault="00217586">
      <w:pPr>
        <w:pStyle w:val="TOC2"/>
        <w:tabs>
          <w:tab w:val="right" w:leader="dot" w:pos="9323"/>
        </w:tabs>
        <w:rPr>
          <w:rFonts w:eastAsiaTheme="minorEastAsia"/>
          <w:noProof/>
          <w:lang w:eastAsia="en-AU"/>
        </w:rPr>
      </w:pPr>
      <w:hyperlink w:anchor="_Toc450310136" w:history="1">
        <w:r w:rsidR="00642F75" w:rsidRPr="008616B0">
          <w:rPr>
            <w:rStyle w:val="Hyperlink"/>
            <w:noProof/>
          </w:rPr>
          <w:t>Functions</w:t>
        </w:r>
        <w:r w:rsidR="00642F75">
          <w:rPr>
            <w:noProof/>
            <w:webHidden/>
          </w:rPr>
          <w:tab/>
        </w:r>
        <w:r w:rsidR="00642F75">
          <w:rPr>
            <w:noProof/>
            <w:webHidden/>
          </w:rPr>
          <w:fldChar w:fldCharType="begin"/>
        </w:r>
        <w:r w:rsidR="00642F75">
          <w:rPr>
            <w:noProof/>
            <w:webHidden/>
          </w:rPr>
          <w:instrText xml:space="preserve"> PAGEREF _Toc450310136 \h </w:instrText>
        </w:r>
        <w:r w:rsidR="00642F75">
          <w:rPr>
            <w:noProof/>
            <w:webHidden/>
          </w:rPr>
        </w:r>
        <w:r w:rsidR="00642F75">
          <w:rPr>
            <w:noProof/>
            <w:webHidden/>
          </w:rPr>
          <w:fldChar w:fldCharType="separate"/>
        </w:r>
        <w:r w:rsidR="006038C1">
          <w:rPr>
            <w:noProof/>
            <w:webHidden/>
          </w:rPr>
          <w:t>28</w:t>
        </w:r>
        <w:r w:rsidR="00642F75">
          <w:rPr>
            <w:noProof/>
            <w:webHidden/>
          </w:rPr>
          <w:fldChar w:fldCharType="end"/>
        </w:r>
      </w:hyperlink>
    </w:p>
    <w:p w14:paraId="16396360" w14:textId="5B9530B4" w:rsidR="00642F75" w:rsidRDefault="00217586">
      <w:pPr>
        <w:pStyle w:val="TOC2"/>
        <w:tabs>
          <w:tab w:val="right" w:leader="dot" w:pos="9323"/>
        </w:tabs>
        <w:rPr>
          <w:rFonts w:eastAsiaTheme="minorEastAsia"/>
          <w:noProof/>
          <w:lang w:eastAsia="en-AU"/>
        </w:rPr>
      </w:pPr>
      <w:hyperlink w:anchor="_Toc450310148" w:history="1">
        <w:r w:rsidR="00642F75" w:rsidRPr="008616B0">
          <w:rPr>
            <w:rStyle w:val="Hyperlink"/>
            <w:noProof/>
          </w:rPr>
          <w:t>Objectives</w:t>
        </w:r>
        <w:r w:rsidR="00642F75">
          <w:rPr>
            <w:noProof/>
            <w:webHidden/>
          </w:rPr>
          <w:tab/>
        </w:r>
        <w:r w:rsidR="00642F75">
          <w:rPr>
            <w:noProof/>
            <w:webHidden/>
          </w:rPr>
          <w:fldChar w:fldCharType="begin"/>
        </w:r>
        <w:r w:rsidR="00642F75">
          <w:rPr>
            <w:noProof/>
            <w:webHidden/>
          </w:rPr>
          <w:instrText xml:space="preserve"> PAGEREF _Toc450310148 \h </w:instrText>
        </w:r>
        <w:r w:rsidR="00642F75">
          <w:rPr>
            <w:noProof/>
            <w:webHidden/>
          </w:rPr>
        </w:r>
        <w:r w:rsidR="00642F75">
          <w:rPr>
            <w:noProof/>
            <w:webHidden/>
          </w:rPr>
          <w:fldChar w:fldCharType="separate"/>
        </w:r>
        <w:r w:rsidR="006038C1">
          <w:rPr>
            <w:noProof/>
            <w:webHidden/>
          </w:rPr>
          <w:t>43</w:t>
        </w:r>
        <w:r w:rsidR="00642F75">
          <w:rPr>
            <w:noProof/>
            <w:webHidden/>
          </w:rPr>
          <w:fldChar w:fldCharType="end"/>
        </w:r>
      </w:hyperlink>
    </w:p>
    <w:p w14:paraId="2BAAD5B5" w14:textId="4279F1AD" w:rsidR="00642F75" w:rsidRDefault="00217586">
      <w:pPr>
        <w:pStyle w:val="TOC2"/>
        <w:tabs>
          <w:tab w:val="right" w:leader="dot" w:pos="9323"/>
        </w:tabs>
        <w:rPr>
          <w:rFonts w:eastAsiaTheme="minorEastAsia"/>
          <w:noProof/>
          <w:lang w:eastAsia="en-AU"/>
        </w:rPr>
      </w:pPr>
      <w:hyperlink w:anchor="_Toc450310150" w:history="1">
        <w:r w:rsidR="00642F75" w:rsidRPr="008616B0">
          <w:rPr>
            <w:rStyle w:val="Hyperlink"/>
            <w:noProof/>
          </w:rPr>
          <w:t>Governance</w:t>
        </w:r>
        <w:r w:rsidR="00642F75">
          <w:rPr>
            <w:noProof/>
            <w:webHidden/>
          </w:rPr>
          <w:tab/>
        </w:r>
        <w:r w:rsidR="00642F75">
          <w:rPr>
            <w:noProof/>
            <w:webHidden/>
          </w:rPr>
          <w:fldChar w:fldCharType="begin"/>
        </w:r>
        <w:r w:rsidR="00642F75">
          <w:rPr>
            <w:noProof/>
            <w:webHidden/>
          </w:rPr>
          <w:instrText xml:space="preserve"> PAGEREF _Toc450310150 \h </w:instrText>
        </w:r>
        <w:r w:rsidR="00642F75">
          <w:rPr>
            <w:noProof/>
            <w:webHidden/>
          </w:rPr>
        </w:r>
        <w:r w:rsidR="00642F75">
          <w:rPr>
            <w:noProof/>
            <w:webHidden/>
          </w:rPr>
          <w:fldChar w:fldCharType="separate"/>
        </w:r>
        <w:r w:rsidR="006038C1">
          <w:rPr>
            <w:noProof/>
            <w:webHidden/>
          </w:rPr>
          <w:t>45</w:t>
        </w:r>
        <w:r w:rsidR="00642F75">
          <w:rPr>
            <w:noProof/>
            <w:webHidden/>
          </w:rPr>
          <w:fldChar w:fldCharType="end"/>
        </w:r>
      </w:hyperlink>
    </w:p>
    <w:p w14:paraId="29A1FCC4" w14:textId="2EC0EF28" w:rsidR="00642F75" w:rsidRDefault="00217586">
      <w:pPr>
        <w:pStyle w:val="TOC1"/>
        <w:tabs>
          <w:tab w:val="right" w:leader="dot" w:pos="9323"/>
        </w:tabs>
        <w:rPr>
          <w:rFonts w:eastAsiaTheme="minorEastAsia"/>
          <w:b w:val="0"/>
          <w:noProof/>
          <w:color w:val="auto"/>
          <w:sz w:val="22"/>
          <w:lang w:eastAsia="en-AU"/>
        </w:rPr>
      </w:pPr>
      <w:hyperlink w:anchor="_Toc450310158" w:history="1">
        <w:r w:rsidR="00642F75" w:rsidRPr="008616B0">
          <w:rPr>
            <w:rStyle w:val="Hyperlink"/>
            <w:noProof/>
          </w:rPr>
          <w:t>Part Three—Enhancing Regulator Performance</w:t>
        </w:r>
        <w:r w:rsidR="00642F75">
          <w:rPr>
            <w:noProof/>
            <w:webHidden/>
          </w:rPr>
          <w:tab/>
        </w:r>
        <w:r w:rsidR="00642F75">
          <w:rPr>
            <w:noProof/>
            <w:webHidden/>
          </w:rPr>
          <w:fldChar w:fldCharType="begin"/>
        </w:r>
        <w:r w:rsidR="00642F75">
          <w:rPr>
            <w:noProof/>
            <w:webHidden/>
          </w:rPr>
          <w:instrText xml:space="preserve"> PAGEREF _Toc450310158 \h </w:instrText>
        </w:r>
        <w:r w:rsidR="00642F75">
          <w:rPr>
            <w:noProof/>
            <w:webHidden/>
          </w:rPr>
        </w:r>
        <w:r w:rsidR="00642F75">
          <w:rPr>
            <w:noProof/>
            <w:webHidden/>
          </w:rPr>
          <w:fldChar w:fldCharType="separate"/>
        </w:r>
        <w:r w:rsidR="006038C1">
          <w:rPr>
            <w:noProof/>
            <w:webHidden/>
          </w:rPr>
          <w:t>52</w:t>
        </w:r>
        <w:r w:rsidR="00642F75">
          <w:rPr>
            <w:noProof/>
            <w:webHidden/>
          </w:rPr>
          <w:fldChar w:fldCharType="end"/>
        </w:r>
      </w:hyperlink>
    </w:p>
    <w:p w14:paraId="466AA32D" w14:textId="3AA3B03E" w:rsidR="00642F75" w:rsidRDefault="00217586">
      <w:pPr>
        <w:pStyle w:val="TOC2"/>
        <w:tabs>
          <w:tab w:val="right" w:leader="dot" w:pos="9323"/>
        </w:tabs>
        <w:rPr>
          <w:rFonts w:eastAsiaTheme="minorEastAsia"/>
          <w:noProof/>
          <w:lang w:eastAsia="en-AU"/>
        </w:rPr>
      </w:pPr>
      <w:hyperlink w:anchor="_Toc450310159" w:history="1">
        <w:r w:rsidR="00642F75" w:rsidRPr="008616B0">
          <w:rPr>
            <w:rStyle w:val="Hyperlink"/>
            <w:noProof/>
          </w:rPr>
          <w:t>Regulator performance principles</w:t>
        </w:r>
        <w:r w:rsidR="00642F75">
          <w:rPr>
            <w:noProof/>
            <w:webHidden/>
          </w:rPr>
          <w:tab/>
        </w:r>
        <w:r w:rsidR="00642F75">
          <w:rPr>
            <w:noProof/>
            <w:webHidden/>
          </w:rPr>
          <w:fldChar w:fldCharType="begin"/>
        </w:r>
        <w:r w:rsidR="00642F75">
          <w:rPr>
            <w:noProof/>
            <w:webHidden/>
          </w:rPr>
          <w:instrText xml:space="preserve"> PAGEREF _Toc450310159 \h </w:instrText>
        </w:r>
        <w:r w:rsidR="00642F75">
          <w:rPr>
            <w:noProof/>
            <w:webHidden/>
          </w:rPr>
        </w:r>
        <w:r w:rsidR="00642F75">
          <w:rPr>
            <w:noProof/>
            <w:webHidden/>
          </w:rPr>
          <w:fldChar w:fldCharType="separate"/>
        </w:r>
        <w:r w:rsidR="006038C1">
          <w:rPr>
            <w:noProof/>
            <w:webHidden/>
          </w:rPr>
          <w:t>52</w:t>
        </w:r>
        <w:r w:rsidR="00642F75">
          <w:rPr>
            <w:noProof/>
            <w:webHidden/>
          </w:rPr>
          <w:fldChar w:fldCharType="end"/>
        </w:r>
      </w:hyperlink>
    </w:p>
    <w:p w14:paraId="0402C321" w14:textId="34AD04C7" w:rsidR="00642F75" w:rsidRDefault="00217586">
      <w:pPr>
        <w:pStyle w:val="TOC2"/>
        <w:tabs>
          <w:tab w:val="right" w:leader="dot" w:pos="9323"/>
        </w:tabs>
        <w:rPr>
          <w:rFonts w:eastAsiaTheme="minorEastAsia"/>
          <w:noProof/>
          <w:lang w:eastAsia="en-AU"/>
        </w:rPr>
      </w:pPr>
      <w:hyperlink w:anchor="_Toc450310160" w:history="1">
        <w:r w:rsidR="00642F75" w:rsidRPr="008616B0">
          <w:rPr>
            <w:rStyle w:val="Hyperlink"/>
            <w:noProof/>
          </w:rPr>
          <w:t>A regulator that is an agile, timely and informed decision maker</w:t>
        </w:r>
        <w:r w:rsidR="00642F75">
          <w:rPr>
            <w:noProof/>
            <w:webHidden/>
          </w:rPr>
          <w:tab/>
        </w:r>
        <w:r w:rsidR="00642F75">
          <w:rPr>
            <w:noProof/>
            <w:webHidden/>
          </w:rPr>
          <w:fldChar w:fldCharType="begin"/>
        </w:r>
        <w:r w:rsidR="00642F75">
          <w:rPr>
            <w:noProof/>
            <w:webHidden/>
          </w:rPr>
          <w:instrText xml:space="preserve"> PAGEREF _Toc450310160 \h </w:instrText>
        </w:r>
        <w:r w:rsidR="00642F75">
          <w:rPr>
            <w:noProof/>
            <w:webHidden/>
          </w:rPr>
        </w:r>
        <w:r w:rsidR="00642F75">
          <w:rPr>
            <w:noProof/>
            <w:webHidden/>
          </w:rPr>
          <w:fldChar w:fldCharType="separate"/>
        </w:r>
        <w:r w:rsidR="006038C1">
          <w:rPr>
            <w:noProof/>
            <w:webHidden/>
          </w:rPr>
          <w:t>53</w:t>
        </w:r>
        <w:r w:rsidR="00642F75">
          <w:rPr>
            <w:noProof/>
            <w:webHidden/>
          </w:rPr>
          <w:fldChar w:fldCharType="end"/>
        </w:r>
      </w:hyperlink>
    </w:p>
    <w:p w14:paraId="3987112A" w14:textId="62EF29A2" w:rsidR="00642F75" w:rsidRDefault="00217586">
      <w:pPr>
        <w:pStyle w:val="TOC2"/>
        <w:tabs>
          <w:tab w:val="right" w:leader="dot" w:pos="9323"/>
        </w:tabs>
        <w:rPr>
          <w:rFonts w:eastAsiaTheme="minorEastAsia"/>
          <w:noProof/>
          <w:lang w:eastAsia="en-AU"/>
        </w:rPr>
      </w:pPr>
      <w:hyperlink w:anchor="_Toc450310162" w:history="1">
        <w:r w:rsidR="00642F75" w:rsidRPr="008616B0">
          <w:rPr>
            <w:rStyle w:val="Hyperlink"/>
            <w:noProof/>
          </w:rPr>
          <w:t>A regulator whose actions are targeted and commensurate with risk</w:t>
        </w:r>
        <w:r w:rsidR="00642F75">
          <w:rPr>
            <w:noProof/>
            <w:webHidden/>
          </w:rPr>
          <w:tab/>
        </w:r>
        <w:r w:rsidR="00642F75">
          <w:rPr>
            <w:noProof/>
            <w:webHidden/>
          </w:rPr>
          <w:fldChar w:fldCharType="begin"/>
        </w:r>
        <w:r w:rsidR="00642F75">
          <w:rPr>
            <w:noProof/>
            <w:webHidden/>
          </w:rPr>
          <w:instrText xml:space="preserve"> PAGEREF _Toc450310162 \h </w:instrText>
        </w:r>
        <w:r w:rsidR="00642F75">
          <w:rPr>
            <w:noProof/>
            <w:webHidden/>
          </w:rPr>
        </w:r>
        <w:r w:rsidR="00642F75">
          <w:rPr>
            <w:noProof/>
            <w:webHidden/>
          </w:rPr>
          <w:fldChar w:fldCharType="separate"/>
        </w:r>
        <w:r w:rsidR="006038C1">
          <w:rPr>
            <w:noProof/>
            <w:webHidden/>
          </w:rPr>
          <w:t>54</w:t>
        </w:r>
        <w:r w:rsidR="00642F75">
          <w:rPr>
            <w:noProof/>
            <w:webHidden/>
          </w:rPr>
          <w:fldChar w:fldCharType="end"/>
        </w:r>
      </w:hyperlink>
    </w:p>
    <w:p w14:paraId="5AD4527A" w14:textId="54473CBE" w:rsidR="00642F75" w:rsidRDefault="00217586">
      <w:pPr>
        <w:pStyle w:val="TOC2"/>
        <w:tabs>
          <w:tab w:val="right" w:leader="dot" w:pos="9323"/>
        </w:tabs>
        <w:rPr>
          <w:rFonts w:eastAsiaTheme="minorEastAsia"/>
          <w:noProof/>
          <w:lang w:eastAsia="en-AU"/>
        </w:rPr>
      </w:pPr>
      <w:hyperlink w:anchor="_Toc450310164" w:history="1">
        <w:r w:rsidR="00642F75" w:rsidRPr="008616B0">
          <w:rPr>
            <w:rStyle w:val="Hyperlink"/>
            <w:noProof/>
          </w:rPr>
          <w:t>A regulator that delivers continuous improvements of regulatory frameworks</w:t>
        </w:r>
        <w:r w:rsidR="00642F75">
          <w:rPr>
            <w:noProof/>
            <w:webHidden/>
          </w:rPr>
          <w:tab/>
        </w:r>
        <w:r w:rsidR="00642F75">
          <w:rPr>
            <w:noProof/>
            <w:webHidden/>
          </w:rPr>
          <w:fldChar w:fldCharType="begin"/>
        </w:r>
        <w:r w:rsidR="00642F75">
          <w:rPr>
            <w:noProof/>
            <w:webHidden/>
          </w:rPr>
          <w:instrText xml:space="preserve"> PAGEREF _Toc450310164 \h </w:instrText>
        </w:r>
        <w:r w:rsidR="00642F75">
          <w:rPr>
            <w:noProof/>
            <w:webHidden/>
          </w:rPr>
        </w:r>
        <w:r w:rsidR="00642F75">
          <w:rPr>
            <w:noProof/>
            <w:webHidden/>
          </w:rPr>
          <w:fldChar w:fldCharType="separate"/>
        </w:r>
        <w:r w:rsidR="006038C1">
          <w:rPr>
            <w:noProof/>
            <w:webHidden/>
          </w:rPr>
          <w:t>55</w:t>
        </w:r>
        <w:r w:rsidR="00642F75">
          <w:rPr>
            <w:noProof/>
            <w:webHidden/>
          </w:rPr>
          <w:fldChar w:fldCharType="end"/>
        </w:r>
      </w:hyperlink>
    </w:p>
    <w:p w14:paraId="54536B11" w14:textId="2406C568" w:rsidR="00642F75" w:rsidRDefault="00217586">
      <w:pPr>
        <w:pStyle w:val="TOC2"/>
        <w:tabs>
          <w:tab w:val="right" w:leader="dot" w:pos="9323"/>
        </w:tabs>
        <w:rPr>
          <w:rFonts w:eastAsiaTheme="minorEastAsia"/>
          <w:noProof/>
          <w:lang w:eastAsia="en-AU"/>
        </w:rPr>
      </w:pPr>
      <w:hyperlink w:anchor="_Toc450310166" w:history="1">
        <w:r w:rsidR="00642F75" w:rsidRPr="008616B0">
          <w:rPr>
            <w:rStyle w:val="Hyperlink"/>
            <w:noProof/>
          </w:rPr>
          <w:t>A regulator that has the confidence and trust of stakeholders</w:t>
        </w:r>
        <w:r w:rsidR="00642F75">
          <w:rPr>
            <w:noProof/>
            <w:webHidden/>
          </w:rPr>
          <w:tab/>
        </w:r>
        <w:r w:rsidR="00642F75">
          <w:rPr>
            <w:noProof/>
            <w:webHidden/>
          </w:rPr>
          <w:fldChar w:fldCharType="begin"/>
        </w:r>
        <w:r w:rsidR="00642F75">
          <w:rPr>
            <w:noProof/>
            <w:webHidden/>
          </w:rPr>
          <w:instrText xml:space="preserve"> PAGEREF _Toc450310166 \h </w:instrText>
        </w:r>
        <w:r w:rsidR="00642F75">
          <w:rPr>
            <w:noProof/>
            <w:webHidden/>
          </w:rPr>
        </w:r>
        <w:r w:rsidR="00642F75">
          <w:rPr>
            <w:noProof/>
            <w:webHidden/>
          </w:rPr>
          <w:fldChar w:fldCharType="separate"/>
        </w:r>
        <w:r w:rsidR="006038C1">
          <w:rPr>
            <w:noProof/>
            <w:webHidden/>
          </w:rPr>
          <w:t>56</w:t>
        </w:r>
        <w:r w:rsidR="00642F75">
          <w:rPr>
            <w:noProof/>
            <w:webHidden/>
          </w:rPr>
          <w:fldChar w:fldCharType="end"/>
        </w:r>
      </w:hyperlink>
    </w:p>
    <w:p w14:paraId="57E30C29" w14:textId="6C5397DE" w:rsidR="00642F75" w:rsidRDefault="00217586">
      <w:pPr>
        <w:pStyle w:val="TOC1"/>
        <w:tabs>
          <w:tab w:val="right" w:leader="dot" w:pos="9323"/>
        </w:tabs>
        <w:rPr>
          <w:rFonts w:eastAsiaTheme="minorEastAsia"/>
          <w:b w:val="0"/>
          <w:noProof/>
          <w:color w:val="auto"/>
          <w:sz w:val="22"/>
          <w:lang w:eastAsia="en-AU"/>
        </w:rPr>
      </w:pPr>
      <w:hyperlink w:anchor="_Toc450310168" w:history="1">
        <w:r w:rsidR="00642F75" w:rsidRPr="008616B0">
          <w:rPr>
            <w:rStyle w:val="Hyperlink"/>
            <w:noProof/>
          </w:rPr>
          <w:t>Part Four—Resources</w:t>
        </w:r>
        <w:r w:rsidR="00642F75">
          <w:rPr>
            <w:noProof/>
            <w:webHidden/>
          </w:rPr>
          <w:tab/>
        </w:r>
        <w:r w:rsidR="00642F75">
          <w:rPr>
            <w:noProof/>
            <w:webHidden/>
          </w:rPr>
          <w:fldChar w:fldCharType="begin"/>
        </w:r>
        <w:r w:rsidR="00642F75">
          <w:rPr>
            <w:noProof/>
            <w:webHidden/>
          </w:rPr>
          <w:instrText xml:space="preserve"> PAGEREF _Toc450310168 \h </w:instrText>
        </w:r>
        <w:r w:rsidR="00642F75">
          <w:rPr>
            <w:noProof/>
            <w:webHidden/>
          </w:rPr>
        </w:r>
        <w:r w:rsidR="00642F75">
          <w:rPr>
            <w:noProof/>
            <w:webHidden/>
          </w:rPr>
          <w:fldChar w:fldCharType="separate"/>
        </w:r>
        <w:r w:rsidR="006038C1">
          <w:rPr>
            <w:noProof/>
            <w:webHidden/>
          </w:rPr>
          <w:t>58</w:t>
        </w:r>
        <w:r w:rsidR="00642F75">
          <w:rPr>
            <w:noProof/>
            <w:webHidden/>
          </w:rPr>
          <w:fldChar w:fldCharType="end"/>
        </w:r>
      </w:hyperlink>
    </w:p>
    <w:p w14:paraId="3C566693" w14:textId="5DF61B5B" w:rsidR="00642F75" w:rsidRDefault="00217586">
      <w:pPr>
        <w:pStyle w:val="TOC2"/>
        <w:tabs>
          <w:tab w:val="right" w:leader="dot" w:pos="9323"/>
        </w:tabs>
        <w:rPr>
          <w:rFonts w:eastAsiaTheme="minorEastAsia"/>
          <w:noProof/>
          <w:lang w:eastAsia="en-AU"/>
        </w:rPr>
      </w:pPr>
      <w:hyperlink w:anchor="_Toc450310169" w:history="1">
        <w:r w:rsidR="00642F75" w:rsidRPr="008616B0">
          <w:rPr>
            <w:rStyle w:val="Hyperlink"/>
            <w:noProof/>
          </w:rPr>
          <w:t>Funding and revenue collection</w:t>
        </w:r>
        <w:r w:rsidR="00642F75">
          <w:rPr>
            <w:noProof/>
            <w:webHidden/>
          </w:rPr>
          <w:tab/>
        </w:r>
        <w:r w:rsidR="00642F75">
          <w:rPr>
            <w:noProof/>
            <w:webHidden/>
          </w:rPr>
          <w:fldChar w:fldCharType="begin"/>
        </w:r>
        <w:r w:rsidR="00642F75">
          <w:rPr>
            <w:noProof/>
            <w:webHidden/>
          </w:rPr>
          <w:instrText xml:space="preserve"> PAGEREF _Toc450310169 \h </w:instrText>
        </w:r>
        <w:r w:rsidR="00642F75">
          <w:rPr>
            <w:noProof/>
            <w:webHidden/>
          </w:rPr>
        </w:r>
        <w:r w:rsidR="00642F75">
          <w:rPr>
            <w:noProof/>
            <w:webHidden/>
          </w:rPr>
          <w:fldChar w:fldCharType="separate"/>
        </w:r>
        <w:r w:rsidR="006038C1">
          <w:rPr>
            <w:noProof/>
            <w:webHidden/>
          </w:rPr>
          <w:t>58</w:t>
        </w:r>
        <w:r w:rsidR="00642F75">
          <w:rPr>
            <w:noProof/>
            <w:webHidden/>
          </w:rPr>
          <w:fldChar w:fldCharType="end"/>
        </w:r>
      </w:hyperlink>
    </w:p>
    <w:p w14:paraId="59A9DB89" w14:textId="458447B4" w:rsidR="00642F75" w:rsidRDefault="00217586">
      <w:pPr>
        <w:pStyle w:val="TOC2"/>
        <w:tabs>
          <w:tab w:val="right" w:leader="dot" w:pos="9323"/>
        </w:tabs>
        <w:rPr>
          <w:rFonts w:eastAsiaTheme="minorEastAsia"/>
          <w:noProof/>
          <w:lang w:eastAsia="en-AU"/>
        </w:rPr>
      </w:pPr>
      <w:hyperlink w:anchor="_Toc450310170" w:history="1">
        <w:r w:rsidR="00642F75" w:rsidRPr="008616B0">
          <w:rPr>
            <w:rStyle w:val="Hyperlink"/>
            <w:noProof/>
          </w:rPr>
          <w:t>Financial performance and organisational efficiency</w:t>
        </w:r>
        <w:r w:rsidR="00642F75">
          <w:rPr>
            <w:noProof/>
            <w:webHidden/>
          </w:rPr>
          <w:tab/>
        </w:r>
        <w:r w:rsidR="00642F75">
          <w:rPr>
            <w:noProof/>
            <w:webHidden/>
          </w:rPr>
          <w:fldChar w:fldCharType="begin"/>
        </w:r>
        <w:r w:rsidR="00642F75">
          <w:rPr>
            <w:noProof/>
            <w:webHidden/>
          </w:rPr>
          <w:instrText xml:space="preserve"> PAGEREF _Toc450310170 \h </w:instrText>
        </w:r>
        <w:r w:rsidR="00642F75">
          <w:rPr>
            <w:noProof/>
            <w:webHidden/>
          </w:rPr>
        </w:r>
        <w:r w:rsidR="00642F75">
          <w:rPr>
            <w:noProof/>
            <w:webHidden/>
          </w:rPr>
          <w:fldChar w:fldCharType="separate"/>
        </w:r>
        <w:r w:rsidR="006038C1">
          <w:rPr>
            <w:noProof/>
            <w:webHidden/>
          </w:rPr>
          <w:t>59</w:t>
        </w:r>
        <w:r w:rsidR="00642F75">
          <w:rPr>
            <w:noProof/>
            <w:webHidden/>
          </w:rPr>
          <w:fldChar w:fldCharType="end"/>
        </w:r>
      </w:hyperlink>
    </w:p>
    <w:p w14:paraId="6457F135" w14:textId="7EBF8F77" w:rsidR="00642F75" w:rsidRDefault="00217586">
      <w:pPr>
        <w:pStyle w:val="TOC2"/>
        <w:tabs>
          <w:tab w:val="right" w:leader="dot" w:pos="9323"/>
        </w:tabs>
        <w:rPr>
          <w:rFonts w:eastAsiaTheme="minorEastAsia"/>
          <w:noProof/>
          <w:lang w:eastAsia="en-AU"/>
        </w:rPr>
      </w:pPr>
      <w:hyperlink w:anchor="_Toc450310171" w:history="1">
        <w:r w:rsidR="00642F75" w:rsidRPr="008616B0">
          <w:rPr>
            <w:rStyle w:val="Hyperlink"/>
            <w:noProof/>
          </w:rPr>
          <w:t>Conclusion</w:t>
        </w:r>
        <w:r w:rsidR="00642F75">
          <w:rPr>
            <w:noProof/>
            <w:webHidden/>
          </w:rPr>
          <w:tab/>
        </w:r>
        <w:r w:rsidR="00642F75">
          <w:rPr>
            <w:noProof/>
            <w:webHidden/>
          </w:rPr>
          <w:fldChar w:fldCharType="begin"/>
        </w:r>
        <w:r w:rsidR="00642F75">
          <w:rPr>
            <w:noProof/>
            <w:webHidden/>
          </w:rPr>
          <w:instrText xml:space="preserve"> PAGEREF _Toc450310171 \h </w:instrText>
        </w:r>
        <w:r w:rsidR="00642F75">
          <w:rPr>
            <w:noProof/>
            <w:webHidden/>
          </w:rPr>
        </w:r>
        <w:r w:rsidR="00642F75">
          <w:rPr>
            <w:noProof/>
            <w:webHidden/>
          </w:rPr>
          <w:fldChar w:fldCharType="separate"/>
        </w:r>
        <w:r w:rsidR="006038C1">
          <w:rPr>
            <w:noProof/>
            <w:webHidden/>
          </w:rPr>
          <w:t>61</w:t>
        </w:r>
        <w:r w:rsidR="00642F75">
          <w:rPr>
            <w:noProof/>
            <w:webHidden/>
          </w:rPr>
          <w:fldChar w:fldCharType="end"/>
        </w:r>
      </w:hyperlink>
    </w:p>
    <w:p w14:paraId="1CCD6150" w14:textId="15EFC896" w:rsidR="00642F75" w:rsidRDefault="00217586">
      <w:pPr>
        <w:pStyle w:val="TOC1"/>
        <w:tabs>
          <w:tab w:val="right" w:leader="dot" w:pos="9323"/>
        </w:tabs>
        <w:rPr>
          <w:rFonts w:eastAsiaTheme="minorEastAsia"/>
          <w:b w:val="0"/>
          <w:noProof/>
          <w:color w:val="auto"/>
          <w:sz w:val="22"/>
          <w:lang w:eastAsia="en-AU"/>
        </w:rPr>
      </w:pPr>
      <w:hyperlink w:anchor="_Toc450310172" w:history="1">
        <w:r w:rsidR="00642F75" w:rsidRPr="008616B0">
          <w:rPr>
            <w:rStyle w:val="Hyperlink"/>
            <w:noProof/>
          </w:rPr>
          <w:t>Part Five—The case for further regulatory reform</w:t>
        </w:r>
        <w:r w:rsidR="00642F75">
          <w:rPr>
            <w:noProof/>
            <w:webHidden/>
          </w:rPr>
          <w:tab/>
        </w:r>
        <w:r w:rsidR="00642F75">
          <w:rPr>
            <w:noProof/>
            <w:webHidden/>
          </w:rPr>
          <w:fldChar w:fldCharType="begin"/>
        </w:r>
        <w:r w:rsidR="00642F75">
          <w:rPr>
            <w:noProof/>
            <w:webHidden/>
          </w:rPr>
          <w:instrText xml:space="preserve"> PAGEREF _Toc450310172 \h </w:instrText>
        </w:r>
        <w:r w:rsidR="00642F75">
          <w:rPr>
            <w:noProof/>
            <w:webHidden/>
          </w:rPr>
        </w:r>
        <w:r w:rsidR="00642F75">
          <w:rPr>
            <w:noProof/>
            <w:webHidden/>
          </w:rPr>
          <w:fldChar w:fldCharType="separate"/>
        </w:r>
        <w:r w:rsidR="006038C1">
          <w:rPr>
            <w:noProof/>
            <w:webHidden/>
          </w:rPr>
          <w:t>62</w:t>
        </w:r>
        <w:r w:rsidR="00642F75">
          <w:rPr>
            <w:noProof/>
            <w:webHidden/>
          </w:rPr>
          <w:fldChar w:fldCharType="end"/>
        </w:r>
      </w:hyperlink>
    </w:p>
    <w:p w14:paraId="0E1AF27D" w14:textId="2AEEDBD0" w:rsidR="00642F75" w:rsidRDefault="00217586">
      <w:pPr>
        <w:pStyle w:val="TOC2"/>
        <w:tabs>
          <w:tab w:val="right" w:leader="dot" w:pos="9323"/>
        </w:tabs>
        <w:rPr>
          <w:rFonts w:eastAsiaTheme="minorEastAsia"/>
          <w:noProof/>
          <w:lang w:eastAsia="en-AU"/>
        </w:rPr>
      </w:pPr>
      <w:hyperlink w:anchor="_Toc450310173" w:history="1">
        <w:r w:rsidR="00642F75" w:rsidRPr="008616B0">
          <w:rPr>
            <w:rStyle w:val="Hyperlink"/>
            <w:iCs/>
            <w:noProof/>
          </w:rPr>
          <w:t>An ageing regulatory regime</w:t>
        </w:r>
        <w:r w:rsidR="00642F75">
          <w:rPr>
            <w:noProof/>
            <w:webHidden/>
          </w:rPr>
          <w:tab/>
        </w:r>
        <w:r w:rsidR="00642F75">
          <w:rPr>
            <w:noProof/>
            <w:webHidden/>
          </w:rPr>
          <w:fldChar w:fldCharType="begin"/>
        </w:r>
        <w:r w:rsidR="00642F75">
          <w:rPr>
            <w:noProof/>
            <w:webHidden/>
          </w:rPr>
          <w:instrText xml:space="preserve"> PAGEREF _Toc450310173 \h </w:instrText>
        </w:r>
        <w:r w:rsidR="00642F75">
          <w:rPr>
            <w:noProof/>
            <w:webHidden/>
          </w:rPr>
        </w:r>
        <w:r w:rsidR="00642F75">
          <w:rPr>
            <w:noProof/>
            <w:webHidden/>
          </w:rPr>
          <w:fldChar w:fldCharType="separate"/>
        </w:r>
        <w:r w:rsidR="006038C1">
          <w:rPr>
            <w:noProof/>
            <w:webHidden/>
          </w:rPr>
          <w:t>62</w:t>
        </w:r>
        <w:r w:rsidR="00642F75">
          <w:rPr>
            <w:noProof/>
            <w:webHidden/>
          </w:rPr>
          <w:fldChar w:fldCharType="end"/>
        </w:r>
      </w:hyperlink>
    </w:p>
    <w:p w14:paraId="3AD55045" w14:textId="287392AE" w:rsidR="00642F75" w:rsidRDefault="00217586" w:rsidP="001E01CE">
      <w:pPr>
        <w:pStyle w:val="TOC3"/>
        <w:tabs>
          <w:tab w:val="right" w:leader="dot" w:pos="9323"/>
        </w:tabs>
        <w:ind w:left="567"/>
        <w:rPr>
          <w:rFonts w:eastAsiaTheme="minorEastAsia"/>
          <w:noProof/>
          <w:lang w:eastAsia="en-AU"/>
        </w:rPr>
      </w:pPr>
      <w:hyperlink w:anchor="_Toc450310174" w:history="1">
        <w:r w:rsidR="00642F75" w:rsidRPr="008616B0">
          <w:rPr>
            <w:rStyle w:val="Hyperlink"/>
            <w:noProof/>
          </w:rPr>
          <w:t>Principles to guide a regulatory reform process</w:t>
        </w:r>
        <w:r w:rsidR="00642F75">
          <w:rPr>
            <w:noProof/>
            <w:webHidden/>
          </w:rPr>
          <w:tab/>
        </w:r>
        <w:r w:rsidR="00642F75">
          <w:rPr>
            <w:noProof/>
            <w:webHidden/>
          </w:rPr>
          <w:fldChar w:fldCharType="begin"/>
        </w:r>
        <w:r w:rsidR="00642F75">
          <w:rPr>
            <w:noProof/>
            <w:webHidden/>
          </w:rPr>
          <w:instrText xml:space="preserve"> PAGEREF _Toc450310174 \h </w:instrText>
        </w:r>
        <w:r w:rsidR="00642F75">
          <w:rPr>
            <w:noProof/>
            <w:webHidden/>
          </w:rPr>
        </w:r>
        <w:r w:rsidR="00642F75">
          <w:rPr>
            <w:noProof/>
            <w:webHidden/>
          </w:rPr>
          <w:fldChar w:fldCharType="separate"/>
        </w:r>
        <w:r w:rsidR="006038C1">
          <w:rPr>
            <w:noProof/>
            <w:webHidden/>
          </w:rPr>
          <w:t>64</w:t>
        </w:r>
        <w:r w:rsidR="00642F75">
          <w:rPr>
            <w:noProof/>
            <w:webHidden/>
          </w:rPr>
          <w:fldChar w:fldCharType="end"/>
        </w:r>
      </w:hyperlink>
    </w:p>
    <w:p w14:paraId="24753D03" w14:textId="74CEE810" w:rsidR="00642F75" w:rsidRDefault="00217586" w:rsidP="001E01CE">
      <w:pPr>
        <w:pStyle w:val="TOC3"/>
        <w:tabs>
          <w:tab w:val="right" w:leader="dot" w:pos="9323"/>
        </w:tabs>
        <w:ind w:left="567"/>
        <w:rPr>
          <w:rFonts w:eastAsiaTheme="minorEastAsia"/>
          <w:noProof/>
          <w:lang w:eastAsia="en-AU"/>
        </w:rPr>
      </w:pPr>
      <w:hyperlink w:anchor="_Toc450310175" w:history="1">
        <w:r w:rsidR="00642F75" w:rsidRPr="008616B0">
          <w:rPr>
            <w:rStyle w:val="Hyperlink"/>
            <w:noProof/>
          </w:rPr>
          <w:t>Enduring policy concepts</w:t>
        </w:r>
        <w:r w:rsidR="00642F75">
          <w:rPr>
            <w:noProof/>
            <w:webHidden/>
          </w:rPr>
          <w:tab/>
        </w:r>
        <w:r w:rsidR="00642F75">
          <w:rPr>
            <w:noProof/>
            <w:webHidden/>
          </w:rPr>
          <w:fldChar w:fldCharType="begin"/>
        </w:r>
        <w:r w:rsidR="00642F75">
          <w:rPr>
            <w:noProof/>
            <w:webHidden/>
          </w:rPr>
          <w:instrText xml:space="preserve"> PAGEREF _Toc450310175 \h </w:instrText>
        </w:r>
        <w:r w:rsidR="00642F75">
          <w:rPr>
            <w:noProof/>
            <w:webHidden/>
          </w:rPr>
        </w:r>
        <w:r w:rsidR="00642F75">
          <w:rPr>
            <w:noProof/>
            <w:webHidden/>
          </w:rPr>
          <w:fldChar w:fldCharType="separate"/>
        </w:r>
        <w:r w:rsidR="006038C1">
          <w:rPr>
            <w:noProof/>
            <w:webHidden/>
          </w:rPr>
          <w:t>65</w:t>
        </w:r>
        <w:r w:rsidR="00642F75">
          <w:rPr>
            <w:noProof/>
            <w:webHidden/>
          </w:rPr>
          <w:fldChar w:fldCharType="end"/>
        </w:r>
      </w:hyperlink>
    </w:p>
    <w:p w14:paraId="40B25CAE" w14:textId="40A99943" w:rsidR="00642F75" w:rsidRDefault="00217586">
      <w:pPr>
        <w:pStyle w:val="TOC2"/>
        <w:tabs>
          <w:tab w:val="right" w:leader="dot" w:pos="9323"/>
        </w:tabs>
        <w:rPr>
          <w:rFonts w:eastAsiaTheme="minorEastAsia"/>
          <w:noProof/>
          <w:lang w:eastAsia="en-AU"/>
        </w:rPr>
      </w:pPr>
      <w:hyperlink w:anchor="_Toc450310176" w:history="1">
        <w:r w:rsidR="00642F75" w:rsidRPr="008616B0">
          <w:rPr>
            <w:rStyle w:val="Hyperlink"/>
            <w:noProof/>
          </w:rPr>
          <w:t>Co- and self-regulation</w:t>
        </w:r>
        <w:r w:rsidR="00642F75">
          <w:rPr>
            <w:noProof/>
            <w:webHidden/>
          </w:rPr>
          <w:tab/>
        </w:r>
        <w:r w:rsidR="00642F75">
          <w:rPr>
            <w:noProof/>
            <w:webHidden/>
          </w:rPr>
          <w:fldChar w:fldCharType="begin"/>
        </w:r>
        <w:r w:rsidR="00642F75">
          <w:rPr>
            <w:noProof/>
            <w:webHidden/>
          </w:rPr>
          <w:instrText xml:space="preserve"> PAGEREF _Toc450310176 \h </w:instrText>
        </w:r>
        <w:r w:rsidR="00642F75">
          <w:rPr>
            <w:noProof/>
            <w:webHidden/>
          </w:rPr>
        </w:r>
        <w:r w:rsidR="00642F75">
          <w:rPr>
            <w:noProof/>
            <w:webHidden/>
          </w:rPr>
          <w:fldChar w:fldCharType="separate"/>
        </w:r>
        <w:r w:rsidR="006038C1">
          <w:rPr>
            <w:noProof/>
            <w:webHidden/>
          </w:rPr>
          <w:t>67</w:t>
        </w:r>
        <w:r w:rsidR="00642F75">
          <w:rPr>
            <w:noProof/>
            <w:webHidden/>
          </w:rPr>
          <w:fldChar w:fldCharType="end"/>
        </w:r>
      </w:hyperlink>
    </w:p>
    <w:p w14:paraId="159A48B8" w14:textId="45696519" w:rsidR="00642F75" w:rsidRDefault="00217586">
      <w:pPr>
        <w:pStyle w:val="TOC1"/>
        <w:tabs>
          <w:tab w:val="right" w:leader="dot" w:pos="9323"/>
        </w:tabs>
        <w:rPr>
          <w:rFonts w:eastAsiaTheme="minorEastAsia"/>
          <w:b w:val="0"/>
          <w:noProof/>
          <w:color w:val="auto"/>
          <w:sz w:val="22"/>
          <w:lang w:eastAsia="en-AU"/>
        </w:rPr>
      </w:pPr>
      <w:hyperlink w:anchor="_Toc450310177" w:history="1">
        <w:r w:rsidR="00642F75" w:rsidRPr="008616B0">
          <w:rPr>
            <w:rStyle w:val="Hyperlink"/>
            <w:noProof/>
          </w:rPr>
          <w:t>Appendices</w:t>
        </w:r>
        <w:r w:rsidR="00642F75">
          <w:rPr>
            <w:noProof/>
            <w:webHidden/>
          </w:rPr>
          <w:tab/>
        </w:r>
        <w:r w:rsidR="00642F75">
          <w:rPr>
            <w:noProof/>
            <w:webHidden/>
          </w:rPr>
          <w:fldChar w:fldCharType="begin"/>
        </w:r>
        <w:r w:rsidR="00642F75">
          <w:rPr>
            <w:noProof/>
            <w:webHidden/>
          </w:rPr>
          <w:instrText xml:space="preserve"> PAGEREF _Toc450310177 \h </w:instrText>
        </w:r>
        <w:r w:rsidR="00642F75">
          <w:rPr>
            <w:noProof/>
            <w:webHidden/>
          </w:rPr>
        </w:r>
        <w:r w:rsidR="00642F75">
          <w:rPr>
            <w:noProof/>
            <w:webHidden/>
          </w:rPr>
          <w:fldChar w:fldCharType="separate"/>
        </w:r>
        <w:r w:rsidR="006038C1">
          <w:rPr>
            <w:noProof/>
            <w:webHidden/>
          </w:rPr>
          <w:t>69</w:t>
        </w:r>
        <w:r w:rsidR="00642F75">
          <w:rPr>
            <w:noProof/>
            <w:webHidden/>
          </w:rPr>
          <w:fldChar w:fldCharType="end"/>
        </w:r>
      </w:hyperlink>
    </w:p>
    <w:p w14:paraId="5AE47596" w14:textId="77584E0A" w:rsidR="00642F75" w:rsidRDefault="00217586">
      <w:pPr>
        <w:pStyle w:val="TOC2"/>
        <w:tabs>
          <w:tab w:val="right" w:leader="dot" w:pos="9323"/>
        </w:tabs>
        <w:rPr>
          <w:rFonts w:eastAsiaTheme="minorEastAsia"/>
          <w:noProof/>
          <w:lang w:eastAsia="en-AU"/>
        </w:rPr>
      </w:pPr>
      <w:hyperlink w:anchor="_Toc450310178" w:history="1">
        <w:r w:rsidR="00642F75" w:rsidRPr="008616B0">
          <w:rPr>
            <w:rStyle w:val="Hyperlink"/>
            <w:noProof/>
          </w:rPr>
          <w:t>Appendix A: Draft proposals</w:t>
        </w:r>
        <w:r w:rsidR="00642F75">
          <w:rPr>
            <w:noProof/>
            <w:webHidden/>
          </w:rPr>
          <w:tab/>
        </w:r>
        <w:r w:rsidR="00642F75">
          <w:rPr>
            <w:noProof/>
            <w:webHidden/>
          </w:rPr>
          <w:fldChar w:fldCharType="begin"/>
        </w:r>
        <w:r w:rsidR="00642F75">
          <w:rPr>
            <w:noProof/>
            <w:webHidden/>
          </w:rPr>
          <w:instrText xml:space="preserve"> PAGEREF _Toc450310178 \h </w:instrText>
        </w:r>
        <w:r w:rsidR="00642F75">
          <w:rPr>
            <w:noProof/>
            <w:webHidden/>
          </w:rPr>
        </w:r>
        <w:r w:rsidR="00642F75">
          <w:rPr>
            <w:noProof/>
            <w:webHidden/>
          </w:rPr>
          <w:fldChar w:fldCharType="separate"/>
        </w:r>
        <w:r w:rsidR="006038C1">
          <w:rPr>
            <w:noProof/>
            <w:webHidden/>
          </w:rPr>
          <w:t>69</w:t>
        </w:r>
        <w:r w:rsidR="00642F75">
          <w:rPr>
            <w:noProof/>
            <w:webHidden/>
          </w:rPr>
          <w:fldChar w:fldCharType="end"/>
        </w:r>
      </w:hyperlink>
    </w:p>
    <w:p w14:paraId="587E76D8" w14:textId="790960D3" w:rsidR="00642F75" w:rsidRDefault="00217586">
      <w:pPr>
        <w:pStyle w:val="TOC2"/>
        <w:tabs>
          <w:tab w:val="right" w:leader="dot" w:pos="9323"/>
        </w:tabs>
        <w:rPr>
          <w:rFonts w:eastAsiaTheme="minorEastAsia"/>
          <w:noProof/>
          <w:lang w:eastAsia="en-AU"/>
        </w:rPr>
      </w:pPr>
      <w:hyperlink w:anchor="_Toc450310186" w:history="1">
        <w:r w:rsidR="00642F75" w:rsidRPr="008616B0">
          <w:rPr>
            <w:rStyle w:val="Hyperlink"/>
            <w:noProof/>
          </w:rPr>
          <w:t>Appendix B: Regulator performance assessment</w:t>
        </w:r>
        <w:r w:rsidR="00642F75">
          <w:rPr>
            <w:noProof/>
            <w:webHidden/>
          </w:rPr>
          <w:tab/>
        </w:r>
        <w:r w:rsidR="00642F75">
          <w:rPr>
            <w:noProof/>
            <w:webHidden/>
          </w:rPr>
          <w:fldChar w:fldCharType="begin"/>
        </w:r>
        <w:r w:rsidR="00642F75">
          <w:rPr>
            <w:noProof/>
            <w:webHidden/>
          </w:rPr>
          <w:instrText xml:space="preserve"> PAGEREF _Toc450310186 \h </w:instrText>
        </w:r>
        <w:r w:rsidR="00642F75">
          <w:rPr>
            <w:noProof/>
            <w:webHidden/>
          </w:rPr>
        </w:r>
        <w:r w:rsidR="00642F75">
          <w:rPr>
            <w:noProof/>
            <w:webHidden/>
          </w:rPr>
          <w:fldChar w:fldCharType="separate"/>
        </w:r>
        <w:r w:rsidR="006038C1">
          <w:rPr>
            <w:noProof/>
            <w:webHidden/>
          </w:rPr>
          <w:t>72</w:t>
        </w:r>
        <w:r w:rsidR="00642F75">
          <w:rPr>
            <w:noProof/>
            <w:webHidden/>
          </w:rPr>
          <w:fldChar w:fldCharType="end"/>
        </w:r>
      </w:hyperlink>
    </w:p>
    <w:p w14:paraId="4AB3A61E" w14:textId="3AB337BC" w:rsidR="00642F75" w:rsidRDefault="00217586">
      <w:pPr>
        <w:pStyle w:val="TOC2"/>
        <w:tabs>
          <w:tab w:val="right" w:leader="dot" w:pos="9323"/>
        </w:tabs>
        <w:rPr>
          <w:rFonts w:eastAsiaTheme="minorEastAsia"/>
          <w:noProof/>
          <w:lang w:eastAsia="en-AU"/>
        </w:rPr>
      </w:pPr>
      <w:hyperlink w:anchor="_Toc450310194" w:history="1">
        <w:r w:rsidR="00642F75" w:rsidRPr="008616B0">
          <w:rPr>
            <w:rStyle w:val="Hyperlink"/>
            <w:noProof/>
          </w:rPr>
          <w:t>Appendix C: Review of resources and efficiency analysis</w:t>
        </w:r>
        <w:r w:rsidR="00642F75">
          <w:rPr>
            <w:noProof/>
            <w:webHidden/>
          </w:rPr>
          <w:tab/>
        </w:r>
        <w:r w:rsidR="00642F75">
          <w:rPr>
            <w:noProof/>
            <w:webHidden/>
          </w:rPr>
          <w:fldChar w:fldCharType="begin"/>
        </w:r>
        <w:r w:rsidR="00642F75">
          <w:rPr>
            <w:noProof/>
            <w:webHidden/>
          </w:rPr>
          <w:instrText xml:space="preserve"> PAGEREF _Toc450310194 \h </w:instrText>
        </w:r>
        <w:r w:rsidR="00642F75">
          <w:rPr>
            <w:noProof/>
            <w:webHidden/>
          </w:rPr>
        </w:r>
        <w:r w:rsidR="00642F75">
          <w:rPr>
            <w:noProof/>
            <w:webHidden/>
          </w:rPr>
          <w:fldChar w:fldCharType="separate"/>
        </w:r>
        <w:r w:rsidR="006038C1">
          <w:rPr>
            <w:noProof/>
            <w:webHidden/>
          </w:rPr>
          <w:t>87</w:t>
        </w:r>
        <w:r w:rsidR="00642F75">
          <w:rPr>
            <w:noProof/>
            <w:webHidden/>
          </w:rPr>
          <w:fldChar w:fldCharType="end"/>
        </w:r>
      </w:hyperlink>
    </w:p>
    <w:p w14:paraId="616231B2" w14:textId="1CA79C0D" w:rsidR="00642F75" w:rsidRDefault="00217586">
      <w:pPr>
        <w:pStyle w:val="TOC2"/>
        <w:tabs>
          <w:tab w:val="right" w:leader="dot" w:pos="9323"/>
        </w:tabs>
        <w:rPr>
          <w:rFonts w:eastAsiaTheme="minorEastAsia"/>
          <w:noProof/>
          <w:lang w:eastAsia="en-AU"/>
        </w:rPr>
      </w:pPr>
      <w:hyperlink w:anchor="_Toc450310203" w:history="1">
        <w:r w:rsidR="00642F75" w:rsidRPr="008616B0">
          <w:rPr>
            <w:rStyle w:val="Hyperlink"/>
            <w:noProof/>
          </w:rPr>
          <w:t>Appendix D: Terms of Reference</w:t>
        </w:r>
        <w:r w:rsidR="00642F75">
          <w:rPr>
            <w:noProof/>
            <w:webHidden/>
          </w:rPr>
          <w:tab/>
        </w:r>
        <w:r w:rsidR="00642F75">
          <w:rPr>
            <w:noProof/>
            <w:webHidden/>
          </w:rPr>
          <w:fldChar w:fldCharType="begin"/>
        </w:r>
        <w:r w:rsidR="00642F75">
          <w:rPr>
            <w:noProof/>
            <w:webHidden/>
          </w:rPr>
          <w:instrText xml:space="preserve"> PAGEREF _Toc450310203 \h </w:instrText>
        </w:r>
        <w:r w:rsidR="00642F75">
          <w:rPr>
            <w:noProof/>
            <w:webHidden/>
          </w:rPr>
        </w:r>
        <w:r w:rsidR="00642F75">
          <w:rPr>
            <w:noProof/>
            <w:webHidden/>
          </w:rPr>
          <w:fldChar w:fldCharType="separate"/>
        </w:r>
        <w:r w:rsidR="006038C1">
          <w:rPr>
            <w:noProof/>
            <w:webHidden/>
          </w:rPr>
          <w:t>97</w:t>
        </w:r>
        <w:r w:rsidR="00642F75">
          <w:rPr>
            <w:noProof/>
            <w:webHidden/>
          </w:rPr>
          <w:fldChar w:fldCharType="end"/>
        </w:r>
      </w:hyperlink>
    </w:p>
    <w:p w14:paraId="2ACEB710" w14:textId="654A6081" w:rsidR="005033E9" w:rsidRDefault="005033E9" w:rsidP="005033E9">
      <w:r>
        <w:fldChar w:fldCharType="end"/>
      </w:r>
      <w:r>
        <w:br w:type="page"/>
      </w:r>
    </w:p>
    <w:p w14:paraId="5751B974" w14:textId="77777777" w:rsidR="005033E9" w:rsidRPr="002E3C4D" w:rsidRDefault="005033E9" w:rsidP="005033E9">
      <w:pPr>
        <w:pStyle w:val="Heading2"/>
      </w:pPr>
      <w:bookmarkStart w:id="1" w:name="_Toc442175674"/>
      <w:bookmarkStart w:id="2" w:name="_Toc443038150"/>
      <w:bookmarkStart w:id="3" w:name="_Toc443043868"/>
      <w:bookmarkStart w:id="4" w:name="_Toc443052559"/>
      <w:bookmarkStart w:id="5" w:name="_Toc443054849"/>
      <w:bookmarkStart w:id="6" w:name="_Toc449432078"/>
      <w:bookmarkStart w:id="7" w:name="_Toc449438546"/>
      <w:bookmarkStart w:id="8" w:name="_Toc450310114"/>
      <w:bookmarkStart w:id="9" w:name="_Toc442107093"/>
      <w:bookmarkStart w:id="10" w:name="_Toc442108745"/>
      <w:bookmarkStart w:id="11" w:name="_Toc437528374"/>
      <w:bookmarkStart w:id="12" w:name="_Toc437594213"/>
      <w:bookmarkStart w:id="13" w:name="_Toc437599253"/>
      <w:bookmarkStart w:id="14" w:name="_Toc437600361"/>
      <w:bookmarkStart w:id="15" w:name="_Toc440536908"/>
      <w:bookmarkStart w:id="16" w:name="_Toc441743808"/>
      <w:bookmarkStart w:id="17" w:name="_Toc441744250"/>
      <w:bookmarkStart w:id="18" w:name="_Toc441845063"/>
      <w:bookmarkStart w:id="19" w:name="_Toc441847317"/>
      <w:bookmarkStart w:id="20" w:name="_Toc441848249"/>
      <w:r w:rsidRPr="002E3C4D">
        <w:lastRenderedPageBreak/>
        <w:t>Background</w:t>
      </w:r>
      <w:bookmarkEnd w:id="1"/>
      <w:bookmarkEnd w:id="2"/>
      <w:bookmarkEnd w:id="3"/>
      <w:bookmarkEnd w:id="4"/>
      <w:bookmarkEnd w:id="5"/>
      <w:bookmarkEnd w:id="6"/>
      <w:bookmarkEnd w:id="7"/>
      <w:bookmarkEnd w:id="8"/>
    </w:p>
    <w:p w14:paraId="75446C68" w14:textId="77777777" w:rsidR="005033E9" w:rsidRDefault="005033E9" w:rsidP="005033E9">
      <w:pPr>
        <w:rPr>
          <w:lang w:val="en"/>
        </w:rPr>
      </w:pPr>
      <w:r w:rsidRPr="002E3C4D">
        <w:rPr>
          <w:lang w:val="en"/>
        </w:rPr>
        <w:t>On 12 June 2015, the then Minister for Communications, the Hon Malcolm Turnbull</w:t>
      </w:r>
      <w:r>
        <w:rPr>
          <w:lang w:val="en"/>
        </w:rPr>
        <w:t xml:space="preserve"> </w:t>
      </w:r>
      <w:r w:rsidRPr="002E3C4D">
        <w:rPr>
          <w:lang w:val="en"/>
        </w:rPr>
        <w:t>MP, announced a review of the Australian Communications and Media Authority (</w:t>
      </w:r>
      <w:r>
        <w:rPr>
          <w:lang w:val="en"/>
        </w:rPr>
        <w:t xml:space="preserve">the </w:t>
      </w:r>
      <w:r w:rsidRPr="002E3C4D">
        <w:rPr>
          <w:lang w:val="en"/>
        </w:rPr>
        <w:t>ACMA</w:t>
      </w:r>
      <w:r>
        <w:rPr>
          <w:lang w:val="en"/>
        </w:rPr>
        <w:t xml:space="preserve">) (the Review). </w:t>
      </w:r>
      <w:r w:rsidRPr="002E3C4D">
        <w:rPr>
          <w:lang w:val="en"/>
        </w:rPr>
        <w:t xml:space="preserve">The </w:t>
      </w:r>
      <w:r>
        <w:rPr>
          <w:lang w:val="en"/>
        </w:rPr>
        <w:t xml:space="preserve">overall objective of the Review was to examine the performance of the ACMA in achieving good regulatory outcomes in the communications and media sectors. In undertaking the Review, the Department of Communications and the Arts (the Department) had regard to </w:t>
      </w:r>
      <w:r w:rsidRPr="002E3C4D">
        <w:rPr>
          <w:lang w:val="en"/>
        </w:rPr>
        <w:t xml:space="preserve">the </w:t>
      </w:r>
      <w:r>
        <w:rPr>
          <w:lang w:val="en"/>
        </w:rPr>
        <w:t xml:space="preserve">ACMA’s </w:t>
      </w:r>
      <w:r w:rsidRPr="002E3C4D">
        <w:rPr>
          <w:lang w:val="en"/>
        </w:rPr>
        <w:t>objectives, functions, structure, performance, governance and resource base</w:t>
      </w:r>
      <w:r>
        <w:rPr>
          <w:lang w:val="en"/>
        </w:rPr>
        <w:t>. In doing so, t</w:t>
      </w:r>
      <w:r w:rsidRPr="002E3C4D">
        <w:rPr>
          <w:lang w:val="en"/>
        </w:rPr>
        <w:t xml:space="preserve">he </w:t>
      </w:r>
      <w:r>
        <w:rPr>
          <w:lang w:val="en"/>
        </w:rPr>
        <w:t>R</w:t>
      </w:r>
      <w:r w:rsidRPr="002E3C4D">
        <w:rPr>
          <w:lang w:val="en"/>
        </w:rPr>
        <w:t>eview incorporate</w:t>
      </w:r>
      <w:r>
        <w:rPr>
          <w:lang w:val="en"/>
        </w:rPr>
        <w:t>s</w:t>
      </w:r>
      <w:r w:rsidRPr="002E3C4D">
        <w:rPr>
          <w:lang w:val="en"/>
        </w:rPr>
        <w:t xml:space="preserve"> the broad requirements of the Government’s Contestability Programme and Regulator Performance Framework to assess the </w:t>
      </w:r>
      <w:r>
        <w:rPr>
          <w:lang w:val="en"/>
        </w:rPr>
        <w:t xml:space="preserve">ACMA’s </w:t>
      </w:r>
      <w:r w:rsidRPr="002E3C4D">
        <w:rPr>
          <w:lang w:val="en"/>
        </w:rPr>
        <w:t xml:space="preserve">efficiency and </w:t>
      </w:r>
      <w:r>
        <w:rPr>
          <w:lang w:val="en"/>
        </w:rPr>
        <w:t xml:space="preserve">effectiveness in </w:t>
      </w:r>
      <w:r w:rsidRPr="002E3C4D">
        <w:rPr>
          <w:lang w:val="en"/>
        </w:rPr>
        <w:t>administratin</w:t>
      </w:r>
      <w:r>
        <w:rPr>
          <w:lang w:val="en"/>
        </w:rPr>
        <w:t>g</w:t>
      </w:r>
      <w:r w:rsidRPr="002E3C4D">
        <w:rPr>
          <w:lang w:val="en"/>
        </w:rPr>
        <w:t xml:space="preserve"> communications laws and regulations.</w:t>
      </w:r>
    </w:p>
    <w:p w14:paraId="5CFFC6BE" w14:textId="77777777" w:rsidR="005033E9" w:rsidRPr="002E3C4D" w:rsidRDefault="005033E9" w:rsidP="005033E9">
      <w:pPr>
        <w:rPr>
          <w:lang w:val="en"/>
        </w:rPr>
      </w:pPr>
      <w:r>
        <w:rPr>
          <w:lang w:val="en"/>
        </w:rPr>
        <w:t xml:space="preserve">The Terms of Reference for the Review can be found at </w:t>
      </w:r>
      <w:r w:rsidRPr="00B7741E">
        <w:rPr>
          <w:u w:val="single"/>
          <w:lang w:val="en"/>
        </w:rPr>
        <w:t xml:space="preserve">Appendix </w:t>
      </w:r>
      <w:r>
        <w:rPr>
          <w:u w:val="single"/>
          <w:lang w:val="en"/>
        </w:rPr>
        <w:t>D</w:t>
      </w:r>
      <w:r>
        <w:rPr>
          <w:lang w:val="en"/>
        </w:rPr>
        <w:t>.</w:t>
      </w:r>
    </w:p>
    <w:p w14:paraId="5B7855B1" w14:textId="77777777" w:rsidR="005033E9" w:rsidRPr="002E3C4D" w:rsidRDefault="005033E9" w:rsidP="005033E9">
      <w:pPr>
        <w:rPr>
          <w:lang w:val="en"/>
        </w:rPr>
      </w:pPr>
      <w:r w:rsidRPr="002E3C4D">
        <w:t xml:space="preserve">The </w:t>
      </w:r>
      <w:r w:rsidRPr="002E3C4D">
        <w:rPr>
          <w:lang w:val="en"/>
        </w:rPr>
        <w:t xml:space="preserve">Department </w:t>
      </w:r>
      <w:r>
        <w:rPr>
          <w:lang w:val="en"/>
        </w:rPr>
        <w:t xml:space="preserve">is carrying out the Review, and is </w:t>
      </w:r>
      <w:r w:rsidRPr="002E3C4D">
        <w:rPr>
          <w:lang w:val="en"/>
        </w:rPr>
        <w:t xml:space="preserve">supported by a Reference Group </w:t>
      </w:r>
      <w:r>
        <w:rPr>
          <w:lang w:val="en"/>
        </w:rPr>
        <w:t xml:space="preserve">comprised </w:t>
      </w:r>
      <w:r w:rsidRPr="002E3C4D">
        <w:rPr>
          <w:lang w:val="en"/>
        </w:rPr>
        <w:t>of Australian and international communi</w:t>
      </w:r>
      <w:r>
        <w:rPr>
          <w:lang w:val="en"/>
        </w:rPr>
        <w:t>cations and regulatory experts:</w:t>
      </w:r>
    </w:p>
    <w:p w14:paraId="327C4C01" w14:textId="77777777" w:rsidR="005033E9" w:rsidRDefault="005033E9" w:rsidP="005033E9">
      <w:pPr>
        <w:pStyle w:val="Bulletlevel1"/>
      </w:pPr>
      <w:r w:rsidRPr="001F7FCA">
        <w:t>Fiona Cameron</w:t>
      </w:r>
      <w:r w:rsidR="005F14ED">
        <w:t>—</w:t>
      </w:r>
      <w:r w:rsidRPr="001F7FCA">
        <w:t>Chief Operating Officer of Screen Australia, Australia’s key funding body for the screen production industry</w:t>
      </w:r>
    </w:p>
    <w:p w14:paraId="657CA0FF" w14:textId="77777777" w:rsidR="005033E9" w:rsidRPr="001F7FCA" w:rsidRDefault="005033E9" w:rsidP="005033E9">
      <w:pPr>
        <w:pStyle w:val="Bulletlevel1"/>
      </w:pPr>
      <w:r w:rsidRPr="001F7FCA">
        <w:t>Diane Cornell</w:t>
      </w:r>
      <w:r w:rsidR="005F14ED">
        <w:t>—</w:t>
      </w:r>
      <w:r w:rsidRPr="001F7FCA">
        <w:t xml:space="preserve">Special Counsel </w:t>
      </w:r>
      <w:r>
        <w:t xml:space="preserve">to the Chairman, </w:t>
      </w:r>
      <w:r w:rsidRPr="001F7FCA">
        <w:t>Federal Communications Commission, the USA’s authority for communications law and regulation</w:t>
      </w:r>
    </w:p>
    <w:p w14:paraId="79394048" w14:textId="77777777" w:rsidR="005033E9" w:rsidRDefault="005033E9" w:rsidP="005033E9">
      <w:pPr>
        <w:pStyle w:val="Bulletlevel1"/>
      </w:pPr>
      <w:r w:rsidRPr="001F7FCA">
        <w:t>Bridget Fair</w:t>
      </w:r>
      <w:r w:rsidR="005F14ED">
        <w:t>—</w:t>
      </w:r>
      <w:r w:rsidRPr="001F7FCA">
        <w:t>Group Chief for Corporate and Regulatory Affairs, Seven West Media</w:t>
      </w:r>
    </w:p>
    <w:p w14:paraId="24640EB5" w14:textId="77777777" w:rsidR="005033E9" w:rsidRPr="001F7FCA" w:rsidRDefault="005033E9" w:rsidP="005033E9">
      <w:pPr>
        <w:pStyle w:val="Bulletlevel1"/>
      </w:pPr>
      <w:r w:rsidRPr="001F7FCA">
        <w:t>Richard Hooper CBE</w:t>
      </w:r>
      <w:r w:rsidR="005F14ED">
        <w:t>—</w:t>
      </w:r>
      <w:r w:rsidRPr="001F7FCA">
        <w:t>Former Deputy Chairman of O</w:t>
      </w:r>
      <w:r>
        <w:t>fcom</w:t>
      </w:r>
      <w:r w:rsidRPr="001F7FCA">
        <w:t>, the UK’s independent communications regulator and competition authority</w:t>
      </w:r>
    </w:p>
    <w:p w14:paraId="2D94F5AB" w14:textId="77777777" w:rsidR="005033E9" w:rsidRDefault="005033E9" w:rsidP="005033E9">
      <w:pPr>
        <w:pStyle w:val="Bulletlevel1"/>
      </w:pPr>
      <w:r w:rsidRPr="001F7FCA">
        <w:t>Dan Lloyd</w:t>
      </w:r>
      <w:r w:rsidR="005F14ED">
        <w:t>—</w:t>
      </w:r>
      <w:r w:rsidRPr="001F7FCA">
        <w:t>Chief Strategy Officer and Corporate Affairs Director of Vodafone Hutchison Australia</w:t>
      </w:r>
    </w:p>
    <w:p w14:paraId="46A178A3" w14:textId="77777777" w:rsidR="005033E9" w:rsidRPr="001F7FCA" w:rsidRDefault="005033E9" w:rsidP="005033E9">
      <w:pPr>
        <w:pStyle w:val="Bulletlevel1"/>
      </w:pPr>
      <w:r w:rsidRPr="001F7FCA">
        <w:t>Dr Ross Patterson</w:t>
      </w:r>
      <w:r w:rsidR="005F14ED">
        <w:t>—</w:t>
      </w:r>
      <w:r w:rsidRPr="001F7FCA">
        <w:t>former Telecommunications Commissioner and member of the Commerce Commission, New Zealand’s competition and regulatory agency</w:t>
      </w:r>
    </w:p>
    <w:p w14:paraId="3B9DE50C" w14:textId="77777777" w:rsidR="005033E9" w:rsidRDefault="005033E9" w:rsidP="005033E9">
      <w:pPr>
        <w:pStyle w:val="Bulletlevel1"/>
      </w:pPr>
      <w:r w:rsidRPr="001F7FCA">
        <w:t>Mark Pearson</w:t>
      </w:r>
      <w:r w:rsidR="005F14ED">
        <w:t>—</w:t>
      </w:r>
      <w:r w:rsidRPr="001F7FCA">
        <w:t>former Deputy CEO for Deregulation and Regulatory Coordination at the Australian Competition and Consumer Commission</w:t>
      </w:r>
    </w:p>
    <w:p w14:paraId="3368E36A" w14:textId="77777777" w:rsidR="005033E9" w:rsidRPr="001F7FCA" w:rsidRDefault="005033E9" w:rsidP="005033E9">
      <w:pPr>
        <w:pStyle w:val="Bulletlevel1"/>
      </w:pPr>
      <w:r w:rsidRPr="001F7FCA">
        <w:t>Johanna Plante</w:t>
      </w:r>
      <w:r w:rsidR="005F14ED">
        <w:t>—</w:t>
      </w:r>
      <w:r w:rsidRPr="001F7FCA">
        <w:t>Chair of the Australian Communications Consumer Action Network</w:t>
      </w:r>
      <w:r>
        <w:t>,</w:t>
      </w:r>
      <w:r w:rsidRPr="001F7FCA">
        <w:t xml:space="preserve"> Australia’s peak communications consumer organisation</w:t>
      </w:r>
    </w:p>
    <w:p w14:paraId="59E91C1E" w14:textId="77777777" w:rsidR="005033E9" w:rsidRPr="001F7FCA" w:rsidRDefault="005033E9" w:rsidP="005033E9">
      <w:pPr>
        <w:pStyle w:val="Bulletlevel1"/>
      </w:pPr>
      <w:r w:rsidRPr="001F7FCA">
        <w:t>Tony Shaw PSM</w:t>
      </w:r>
      <w:r w:rsidR="005F14ED">
        <w:t>—</w:t>
      </w:r>
      <w:r w:rsidRPr="001F7FCA">
        <w:t xml:space="preserve">former Chair of the Australian Communications Authority, a predecessor organisation </w:t>
      </w:r>
      <w:r>
        <w:t>to</w:t>
      </w:r>
      <w:r w:rsidRPr="001F7FCA">
        <w:t xml:space="preserve"> the ACMA</w:t>
      </w:r>
      <w:r>
        <w:t>.</w:t>
      </w:r>
    </w:p>
    <w:p w14:paraId="5EE89718" w14:textId="77777777" w:rsidR="005033E9" w:rsidRDefault="005033E9" w:rsidP="005033E9">
      <w:pPr>
        <w:pStyle w:val="Heading2"/>
      </w:pPr>
      <w:bookmarkStart w:id="21" w:name="_Toc442175676"/>
      <w:bookmarkStart w:id="22" w:name="_Toc443038151"/>
      <w:bookmarkStart w:id="23" w:name="_Toc443043869"/>
      <w:bookmarkStart w:id="24" w:name="_Toc443052560"/>
      <w:bookmarkStart w:id="25" w:name="_Toc443054850"/>
      <w:bookmarkStart w:id="26" w:name="_Toc449432079"/>
      <w:bookmarkStart w:id="27" w:name="_Toc449438547"/>
      <w:bookmarkStart w:id="28" w:name="_Toc450310115"/>
      <w:bookmarkEnd w:id="21"/>
      <w:r>
        <w:t>Consultation</w:t>
      </w:r>
      <w:bookmarkEnd w:id="22"/>
      <w:bookmarkEnd w:id="23"/>
      <w:bookmarkEnd w:id="24"/>
      <w:bookmarkEnd w:id="25"/>
      <w:bookmarkEnd w:id="26"/>
      <w:bookmarkEnd w:id="27"/>
      <w:bookmarkEnd w:id="28"/>
    </w:p>
    <w:p w14:paraId="1BF958A6" w14:textId="77777777" w:rsidR="005033E9" w:rsidRPr="0079781B" w:rsidRDefault="005033E9" w:rsidP="005033E9">
      <w:pPr>
        <w:rPr>
          <w:rFonts w:cs="Arial"/>
          <w:lang w:val="en"/>
        </w:rPr>
      </w:pPr>
      <w:r>
        <w:t>An</w:t>
      </w:r>
      <w:r w:rsidRPr="002E3C4D">
        <w:t xml:space="preserve"> </w:t>
      </w:r>
      <w:r>
        <w:t>I</w:t>
      </w:r>
      <w:r w:rsidRPr="002E3C4D">
        <w:t xml:space="preserve">ssues </w:t>
      </w:r>
      <w:r>
        <w:t>P</w:t>
      </w:r>
      <w:r w:rsidRPr="002E3C4D">
        <w:t xml:space="preserve">aper </w:t>
      </w:r>
      <w:r>
        <w:t xml:space="preserve">was released </w:t>
      </w:r>
      <w:r w:rsidRPr="002E3C4D">
        <w:t xml:space="preserve">on 13 July 2015 </w:t>
      </w:r>
      <w:r>
        <w:t>for public comment. When s</w:t>
      </w:r>
      <w:r w:rsidRPr="002E3C4D">
        <w:t>ubmissions closed on 10</w:t>
      </w:r>
      <w:r w:rsidR="005F14ED">
        <w:t> </w:t>
      </w:r>
      <w:r w:rsidRPr="002E3C4D">
        <w:t>August 201</w:t>
      </w:r>
      <w:r>
        <w:t xml:space="preserve">5, </w:t>
      </w:r>
      <w:r w:rsidRPr="002E3C4D">
        <w:t>40 public submissions</w:t>
      </w:r>
      <w:r>
        <w:t xml:space="preserve"> had been received. The Department then </w:t>
      </w:r>
      <w:r w:rsidRPr="002E3C4D">
        <w:t xml:space="preserve">met with 20 key stakeholders to </w:t>
      </w:r>
      <w:r>
        <w:t>better</w:t>
      </w:r>
      <w:r w:rsidRPr="002E3C4D">
        <w:t xml:space="preserve"> understand their feedback on the future role of the regulator. The Department </w:t>
      </w:r>
      <w:r w:rsidRPr="0079781B">
        <w:rPr>
          <w:rFonts w:cs="Arial"/>
          <w:lang w:val="en"/>
        </w:rPr>
        <w:t xml:space="preserve">also met with the ACMA members and executive management within the </w:t>
      </w:r>
      <w:r w:rsidRPr="00706D59">
        <w:rPr>
          <w:rFonts w:cs="Arial"/>
        </w:rPr>
        <w:t>organisation</w:t>
      </w:r>
      <w:r w:rsidRPr="0079781B">
        <w:rPr>
          <w:rFonts w:cs="Arial"/>
          <w:lang w:val="en"/>
        </w:rPr>
        <w:t>.</w:t>
      </w:r>
    </w:p>
    <w:p w14:paraId="47CAA57B" w14:textId="77777777" w:rsidR="005033E9" w:rsidRPr="0079781B" w:rsidRDefault="005033E9" w:rsidP="005033E9">
      <w:pPr>
        <w:rPr>
          <w:lang w:val="en"/>
        </w:rPr>
      </w:pPr>
      <w:r w:rsidRPr="0079781B">
        <w:rPr>
          <w:lang w:val="en"/>
        </w:rPr>
        <w:t xml:space="preserve">To develop this draft report, the Review assessed proposals put forward in public submissions, </w:t>
      </w:r>
      <w:r>
        <w:rPr>
          <w:lang w:val="en"/>
        </w:rPr>
        <w:t xml:space="preserve">held </w:t>
      </w:r>
      <w:r w:rsidRPr="0079781B">
        <w:rPr>
          <w:lang w:val="en"/>
        </w:rPr>
        <w:t xml:space="preserve">meetings with stakeholders and </w:t>
      </w:r>
      <w:r>
        <w:rPr>
          <w:lang w:val="en"/>
        </w:rPr>
        <w:t xml:space="preserve">held </w:t>
      </w:r>
      <w:r w:rsidRPr="0079781B">
        <w:rPr>
          <w:lang w:val="en"/>
        </w:rPr>
        <w:t>discussions with the ACMA and the ACMA Review Reference Group</w:t>
      </w:r>
      <w:r>
        <w:rPr>
          <w:lang w:val="en"/>
        </w:rPr>
        <w:t>.</w:t>
      </w:r>
    </w:p>
    <w:p w14:paraId="443B3CF8" w14:textId="77777777" w:rsidR="005033E9" w:rsidRPr="00064764" w:rsidRDefault="005033E9" w:rsidP="005033E9">
      <w:r w:rsidRPr="0079781B">
        <w:rPr>
          <w:rFonts w:cs="Arial"/>
          <w:lang w:val="en"/>
        </w:rPr>
        <w:t xml:space="preserve">The </w:t>
      </w:r>
      <w:r>
        <w:rPr>
          <w:rFonts w:cs="Arial"/>
          <w:lang w:val="en"/>
        </w:rPr>
        <w:t>R</w:t>
      </w:r>
      <w:r w:rsidRPr="0079781B">
        <w:rPr>
          <w:rFonts w:cs="Arial"/>
          <w:lang w:val="en"/>
        </w:rPr>
        <w:t>eview is</w:t>
      </w:r>
      <w:r>
        <w:t xml:space="preserve"> now seeking</w:t>
      </w:r>
      <w:r w:rsidRPr="002E3C4D">
        <w:t xml:space="preserve"> submissions from stakeholders on the proposals raised in this draft report</w:t>
      </w:r>
      <w:r>
        <w:t xml:space="preserve"> and any implementation issues these raise before providing the final report</w:t>
      </w:r>
      <w:r w:rsidRPr="00064764">
        <w:t xml:space="preserve"> to the Minister for Communications and the Arts.</w:t>
      </w:r>
      <w:r>
        <w:t xml:space="preserve"> Information on how to lodge a submission may be found </w:t>
      </w:r>
      <w:hyperlink r:id="rId13" w:history="1">
        <w:r>
          <w:rPr>
            <w:rStyle w:val="Hyperlink"/>
          </w:rPr>
          <w:t>on the ACMA Review 'Have Your Say' page</w:t>
        </w:r>
      </w:hyperlink>
      <w:r>
        <w:t>.</w:t>
      </w:r>
    </w:p>
    <w:p w14:paraId="2F9ED567" w14:textId="77777777" w:rsidR="005033E9" w:rsidRDefault="005033E9" w:rsidP="005033E9">
      <w:pPr>
        <w:pStyle w:val="Heading3"/>
        <w:rPr>
          <w:rFonts w:eastAsia="Cambria"/>
        </w:rPr>
      </w:pPr>
      <w:bookmarkStart w:id="29" w:name="_Toc443038152"/>
      <w:bookmarkStart w:id="30" w:name="_Toc443043870"/>
      <w:bookmarkStart w:id="31" w:name="_Toc443052561"/>
      <w:bookmarkStart w:id="32" w:name="_Toc443054851"/>
      <w:bookmarkStart w:id="33" w:name="_Toc449432080"/>
      <w:bookmarkStart w:id="34" w:name="_Toc449438548"/>
      <w:bookmarkStart w:id="35" w:name="_Toc450310116"/>
      <w:r>
        <w:rPr>
          <w:rFonts w:eastAsia="Cambria"/>
        </w:rPr>
        <w:t>Scope of this report</w:t>
      </w:r>
      <w:bookmarkEnd w:id="29"/>
      <w:bookmarkEnd w:id="30"/>
      <w:bookmarkEnd w:id="31"/>
      <w:bookmarkEnd w:id="32"/>
      <w:bookmarkEnd w:id="33"/>
      <w:bookmarkEnd w:id="34"/>
      <w:bookmarkEnd w:id="35"/>
    </w:p>
    <w:p w14:paraId="7B6DAC0D" w14:textId="77777777" w:rsidR="005033E9" w:rsidRDefault="005033E9" w:rsidP="005033E9">
      <w:r w:rsidRPr="000F2505">
        <w:t xml:space="preserve">In </w:t>
      </w:r>
      <w:r>
        <w:t xml:space="preserve">undertaking the Review, the Department considered that the achievement of good regulatory outcomes can be attributed, broadly, to the combination of regulator performance and the underlying regulatory framework. In turn, regulator performance is determined by the institutional framework within which the regulator operates, as set out in legislation or determined by governments of the day, and the operating model of the regulator itself. This is illustrated in </w:t>
      </w:r>
      <w:r w:rsidRPr="006350F1">
        <w:t>Figure</w:t>
      </w:r>
      <w:r>
        <w:t> </w:t>
      </w:r>
      <w:r w:rsidRPr="006350F1">
        <w:t>1</w:t>
      </w:r>
      <w:r>
        <w:t xml:space="preserve"> below, along with the parts of the report which address each of these components.</w:t>
      </w:r>
    </w:p>
    <w:p w14:paraId="396E748C" w14:textId="77777777" w:rsidR="005033E9" w:rsidRPr="002E28E6" w:rsidRDefault="005033E9" w:rsidP="005033E9">
      <w:pPr>
        <w:pStyle w:val="Tablefigureheading"/>
        <w:rPr>
          <w:i/>
        </w:rPr>
      </w:pPr>
      <w:r w:rsidRPr="002E28E6">
        <w:t>Figure 1: Conceptual framework for the Review</w:t>
      </w:r>
    </w:p>
    <w:p w14:paraId="5D79E238" w14:textId="77777777" w:rsidR="00911774" w:rsidRDefault="005033E9" w:rsidP="005033E9">
      <w:r>
        <w:rPr>
          <w:noProof/>
          <w:lang w:eastAsia="en-AU"/>
        </w:rPr>
        <w:drawing>
          <wp:inline distT="0" distB="0" distL="0" distR="0" wp14:anchorId="2644A555" wp14:editId="328782A0">
            <wp:extent cx="5838095" cy="5228571"/>
            <wp:effectExtent l="0" t="0" r="0" b="0"/>
            <wp:docPr id="248" name="Picture 248" title="Conceptual framework for the Review, progressing to good regulator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38095" cy="5228571"/>
                    </a:xfrm>
                    <a:prstGeom prst="rect">
                      <a:avLst/>
                    </a:prstGeom>
                  </pic:spPr>
                </pic:pic>
              </a:graphicData>
            </a:graphic>
          </wp:inline>
        </w:drawing>
      </w:r>
    </w:p>
    <w:p w14:paraId="27E86380" w14:textId="77777777" w:rsidR="00911774" w:rsidRDefault="00911774" w:rsidP="002E15A7">
      <w:r>
        <w:br w:type="page"/>
      </w:r>
    </w:p>
    <w:p w14:paraId="193DE138" w14:textId="77777777" w:rsidR="00911774" w:rsidRDefault="00911774" w:rsidP="00911774">
      <w:pPr>
        <w:pStyle w:val="Heading2"/>
        <w:pageBreakBefore/>
        <w:rPr>
          <w:rFonts w:eastAsia="Cambria"/>
        </w:rPr>
      </w:pPr>
      <w:bookmarkStart w:id="36" w:name="_Toc442456793"/>
      <w:bookmarkStart w:id="37" w:name="_Toc449432081"/>
      <w:bookmarkStart w:id="38" w:name="_Toc449438549"/>
      <w:bookmarkStart w:id="39" w:name="_Toc450310117"/>
      <w:r w:rsidRPr="00EF0DB9">
        <w:rPr>
          <w:rFonts w:eastAsia="Cambria"/>
        </w:rPr>
        <w:t>Executive summary</w:t>
      </w:r>
      <w:bookmarkEnd w:id="36"/>
      <w:bookmarkEnd w:id="37"/>
      <w:bookmarkEnd w:id="38"/>
      <w:bookmarkEnd w:id="39"/>
    </w:p>
    <w:p w14:paraId="75F5F243" w14:textId="77777777" w:rsidR="00911774" w:rsidRPr="00D272AA" w:rsidRDefault="00911774" w:rsidP="00911774">
      <w:pPr>
        <w:pStyle w:val="Heading3"/>
      </w:pPr>
      <w:bookmarkStart w:id="40" w:name="_Toc445810554"/>
      <w:bookmarkStart w:id="41" w:name="_Toc449432082"/>
      <w:bookmarkStart w:id="42" w:name="_Toc449438550"/>
      <w:bookmarkStart w:id="43" w:name="_Toc450310118"/>
      <w:bookmarkStart w:id="44" w:name="_Toc442107094"/>
      <w:bookmarkStart w:id="45" w:name="_Toc442108746"/>
      <w:bookmarkStart w:id="46" w:name="_Toc442456794"/>
      <w:r w:rsidRPr="00D272AA">
        <w:t>Context</w:t>
      </w:r>
      <w:bookmarkEnd w:id="40"/>
      <w:bookmarkEnd w:id="41"/>
      <w:bookmarkEnd w:id="42"/>
      <w:bookmarkEnd w:id="43"/>
    </w:p>
    <w:p w14:paraId="775BFB22" w14:textId="77777777" w:rsidR="00911774" w:rsidRPr="001F7FCA" w:rsidRDefault="00911774" w:rsidP="00576140">
      <w:r w:rsidRPr="001F7FCA">
        <w:t xml:space="preserve">The communications landscape in 2005—the year </w:t>
      </w:r>
      <w:r>
        <w:t xml:space="preserve">that </w:t>
      </w:r>
      <w:r w:rsidRPr="001F7FCA">
        <w:t xml:space="preserve">the Australian Communications and Media Authority (ACMA) </w:t>
      </w:r>
      <w:r>
        <w:t xml:space="preserve">was established </w:t>
      </w:r>
      <w:r w:rsidRPr="001F7FCA">
        <w:t>as a converged regulator—is barely recognisable from what it is today.</w:t>
      </w:r>
    </w:p>
    <w:p w14:paraId="1EBE3EDD" w14:textId="4157D355" w:rsidR="00911774" w:rsidRPr="001F7FCA" w:rsidRDefault="00911774" w:rsidP="00576140">
      <w:r w:rsidRPr="001F7FCA">
        <w:t>In 2005, Telstra was the dominant vertically integrated telecommunications company, with 51 per</w:t>
      </w:r>
      <w:r>
        <w:t xml:space="preserve"> </w:t>
      </w:r>
      <w:r w:rsidRPr="001F7FCA">
        <w:t xml:space="preserve">cent Commonwealth ownership. Commercial television and radio broadcasters earned more than </w:t>
      </w:r>
      <w:r>
        <w:br/>
      </w:r>
      <w:r w:rsidRPr="001F7FCA">
        <w:t xml:space="preserve">$5 billion in revenue, retaining relatively strong profits as they gradually moved to the full introduction of multi-channelled digital television. Two subscription television </w:t>
      </w:r>
      <w:r>
        <w:t>suppliers</w:t>
      </w:r>
      <w:r w:rsidRPr="001F7FCA">
        <w:t xml:space="preserve"> covered Australia via cable and satellite technologies. </w:t>
      </w:r>
      <w:r>
        <w:t>Most c</w:t>
      </w:r>
      <w:r w:rsidRPr="001F7FCA">
        <w:t>ontent and services were provided on dedicated networks specifically designed for them. While internet content was increasingly being accessed by Australians and 3G phones were on the incre</w:t>
      </w:r>
      <w:r>
        <w:t>ase, the first Apple iPhone and Android smart phones were still three</w:t>
      </w:r>
      <w:r w:rsidRPr="001F7FCA">
        <w:t xml:space="preserve"> years away</w:t>
      </w:r>
      <w:r>
        <w:t xml:space="preserve"> and</w:t>
      </w:r>
      <w:r w:rsidRPr="004C1DAF">
        <w:t xml:space="preserve"> </w:t>
      </w:r>
      <w:r>
        <w:t>services</w:t>
      </w:r>
      <w:r w:rsidRPr="001F7FCA">
        <w:t xml:space="preserve"> </w:t>
      </w:r>
      <w:r>
        <w:t>such as You</w:t>
      </w:r>
      <w:r w:rsidR="009E2A80">
        <w:t>T</w:t>
      </w:r>
      <w:r>
        <w:t>ube and Facebook were in their infancy.</w:t>
      </w:r>
    </w:p>
    <w:p w14:paraId="037E7357" w14:textId="77777777" w:rsidR="00911774" w:rsidRPr="001F7FCA" w:rsidRDefault="00911774" w:rsidP="00911774">
      <w:r>
        <w:t>The ACMA was formed through a merger of the Australian Broadcasting Authority (ABA) and the Australian Communications Authority (ACA) in response to “convergence within the communications industry”.</w:t>
      </w:r>
      <w:r w:rsidRPr="001F7FCA">
        <w:rPr>
          <w:vertAlign w:val="superscript"/>
        </w:rPr>
        <w:footnoteReference w:id="2"/>
      </w:r>
      <w:r>
        <w:t xml:space="preserve"> However, the functions for the ACMA continued to be described in terms of the </w:t>
      </w:r>
      <w:r w:rsidRPr="001F7FCA">
        <w:t xml:space="preserve">‘traditional’ areas of </w:t>
      </w:r>
      <w:r>
        <w:t xml:space="preserve">the communications sector, relating to </w:t>
      </w:r>
      <w:r w:rsidRPr="001F7FCA">
        <w:t>telecommunications, broadcasting</w:t>
      </w:r>
      <w:r>
        <w:t xml:space="preserve">, online content </w:t>
      </w:r>
      <w:r w:rsidRPr="001F7FCA">
        <w:t xml:space="preserve">and </w:t>
      </w:r>
      <w:r>
        <w:t>spectrum management.</w:t>
      </w:r>
    </w:p>
    <w:p w14:paraId="251B75EC" w14:textId="77777777" w:rsidR="00911774" w:rsidRPr="001F7FCA" w:rsidRDefault="00911774" w:rsidP="00911774">
      <w:r>
        <w:t>In only 10</w:t>
      </w:r>
      <w:r w:rsidRPr="001F7FCA">
        <w:t xml:space="preserve"> years, the communications sector, its products and services</w:t>
      </w:r>
      <w:r>
        <w:t>,</w:t>
      </w:r>
      <w:r w:rsidRPr="001F7FCA">
        <w:t xml:space="preserve"> and indeed its place in and impact on</w:t>
      </w:r>
      <w:r>
        <w:t xml:space="preserve"> the Australian economy and</w:t>
      </w:r>
      <w:r w:rsidRPr="001F7FCA">
        <w:t xml:space="preserve"> the lives of Australians has radically changed. Today, communications infrastructure</w:t>
      </w:r>
      <w:r>
        <w:t xml:space="preserve"> and services underpin not only how </w:t>
      </w:r>
      <w:r w:rsidRPr="00546CE1">
        <w:t>we keep in touch with family and friends but also the way we do business, how we access information, how we work and how we</w:t>
      </w:r>
      <w:r w:rsidRPr="001F7FCA">
        <w:t xml:space="preserve"> play. It has become a key enabler of productivity</w:t>
      </w:r>
      <w:r>
        <w:t xml:space="preserve"> and innovation</w:t>
      </w:r>
      <w:r w:rsidRPr="001F7FCA">
        <w:t xml:space="preserve"> </w:t>
      </w:r>
      <w:r>
        <w:t>across the entire economy and it has the potential to play a vital role in driving Australia’s future prosperity.</w:t>
      </w:r>
    </w:p>
    <w:p w14:paraId="2987A3BF" w14:textId="77777777" w:rsidR="00911774" w:rsidRPr="001F7FCA" w:rsidRDefault="00911774" w:rsidP="00911774">
      <w:r w:rsidRPr="001F7FCA">
        <w:t>These changes have been enabled through increasing access to high speed, bandwidth-rich networks—mobile and fixed, often converged—the digitisation of content</w:t>
      </w:r>
      <w:r>
        <w:t xml:space="preserve"> and </w:t>
      </w:r>
      <w:r w:rsidRPr="001F7FCA">
        <w:t>its carriage across any network</w:t>
      </w:r>
      <w:r>
        <w:t xml:space="preserve">. Changes have been accelerated by </w:t>
      </w:r>
      <w:r w:rsidRPr="001F7FCA">
        <w:t>the development of new and disruptive services through the interconnectedness provided by the internet and the emergence of sophisticated consumer devices that bring together services and content into a single device able to be always on, connected and available.</w:t>
      </w:r>
    </w:p>
    <w:p w14:paraId="53A19507" w14:textId="77777777" w:rsidR="00911774" w:rsidRPr="001F7FCA" w:rsidRDefault="00911774" w:rsidP="00911774">
      <w:r w:rsidRPr="001F7FCA">
        <w:t>The Government itself has intervened in the market to ensure that Australians will have access to high-speed broadband with the building of the National Broadband Network (NBN). The establishment of the NBN will also see structural separation completed in the Australian telecommunications market, allowing for greater competition in retail services.</w:t>
      </w:r>
    </w:p>
    <w:p w14:paraId="78DF01AF" w14:textId="77777777" w:rsidR="00EB2B81" w:rsidRDefault="00911774" w:rsidP="00911774">
      <w:r w:rsidRPr="001F7FCA">
        <w:t>In response to the increasing range of devices, services and applications now available, consumers are adopting technology faster and earlier, although this is not uniform. Media consumption in multiple forms is increasing and consumers tend to be more engaged online, both in consuming and producing content, and carrying out more online transactions.</w:t>
      </w:r>
    </w:p>
    <w:p w14:paraId="1E50961B" w14:textId="77777777" w:rsidR="00911774" w:rsidRDefault="00911774" w:rsidP="00911774">
      <w:r>
        <w:t>Disruption, driven by:</w:t>
      </w:r>
    </w:p>
    <w:p w14:paraId="149B4348" w14:textId="77777777" w:rsidR="00911774" w:rsidRDefault="00911774" w:rsidP="00911774">
      <w:pPr>
        <w:pStyle w:val="Bulletlevel1"/>
      </w:pPr>
      <w:r>
        <w:t>rapid technological change;</w:t>
      </w:r>
    </w:p>
    <w:p w14:paraId="2370E0D9" w14:textId="77777777" w:rsidR="00911774" w:rsidRDefault="00911774" w:rsidP="00911774">
      <w:pPr>
        <w:pStyle w:val="Bulletlevel1"/>
      </w:pPr>
      <w:r>
        <w:t>g</w:t>
      </w:r>
      <w:r w:rsidRPr="001F7FCA">
        <w:t>rowing ubiquity and speed of fixed and mobile broadband networks</w:t>
      </w:r>
      <w:r>
        <w:t>;</w:t>
      </w:r>
    </w:p>
    <w:p w14:paraId="3C6EA772" w14:textId="77777777" w:rsidR="00911774" w:rsidRPr="001F7FCA" w:rsidRDefault="00911774" w:rsidP="00911774">
      <w:pPr>
        <w:pStyle w:val="Bulletlevel1"/>
      </w:pPr>
      <w:r>
        <w:t>a</w:t>
      </w:r>
      <w:r w:rsidRPr="001F7FCA">
        <w:t>vailability and uptake of increasingly sophisticated consumer devices</w:t>
      </w:r>
      <w:r>
        <w:t>;</w:t>
      </w:r>
    </w:p>
    <w:p w14:paraId="7C1A863E" w14:textId="77777777" w:rsidR="00911774" w:rsidRDefault="00911774" w:rsidP="00911774">
      <w:pPr>
        <w:pStyle w:val="Bulletlevel1"/>
      </w:pPr>
      <w:r>
        <w:t>m</w:t>
      </w:r>
      <w:r w:rsidRPr="001F7FCA">
        <w:t>iniaturisation</w:t>
      </w:r>
      <w:r>
        <w:t>;</w:t>
      </w:r>
      <w:r w:rsidRPr="001F7FCA">
        <w:t xml:space="preserve"> </w:t>
      </w:r>
      <w:r>
        <w:t>and</w:t>
      </w:r>
    </w:p>
    <w:p w14:paraId="209D03D1" w14:textId="77777777" w:rsidR="00911774" w:rsidRDefault="00911774" w:rsidP="00911774">
      <w:pPr>
        <w:pStyle w:val="Bulletlevel1"/>
      </w:pPr>
      <w:r>
        <w:t>v</w:t>
      </w:r>
      <w:r w:rsidRPr="001F7FCA">
        <w:t>irtualisation of physical infrastructure</w:t>
      </w:r>
      <w:r>
        <w:t>;</w:t>
      </w:r>
    </w:p>
    <w:p w14:paraId="42A8362D" w14:textId="77777777" w:rsidR="00911774" w:rsidRDefault="00911774" w:rsidP="00911774">
      <w:r>
        <w:t>is having a</w:t>
      </w:r>
      <w:r w:rsidRPr="001F7FCA">
        <w:t xml:space="preserve"> profound and enduring impact on the Australian</w:t>
      </w:r>
      <w:r>
        <w:t xml:space="preserve"> and, indeed, global</w:t>
      </w:r>
      <w:r w:rsidRPr="001F7FCA">
        <w:t xml:space="preserve"> communication </w:t>
      </w:r>
      <w:r>
        <w:t>markets. It is driving disintermediation,</w:t>
      </w:r>
      <w:r w:rsidRPr="00E351E9">
        <w:t xml:space="preserve"> </w:t>
      </w:r>
      <w:r>
        <w:t xml:space="preserve">as evidenced by the </w:t>
      </w:r>
      <w:r w:rsidRPr="001F7FCA">
        <w:t>rapid growth of IP-based, over the top (OTT) services</w:t>
      </w:r>
      <w:r>
        <w:t>,</w:t>
      </w:r>
      <w:r w:rsidRPr="001F7FCA">
        <w:t xml:space="preserve"> such as Skype, Viber, </w:t>
      </w:r>
      <w:r>
        <w:t>WhatsApp, Netflix, Spotify etc, resulting in significant disruption to the business models of the traditional, integrated companies operating within the sector. The nexus between infrastructure ownership and service provision is rapidly breaking. As a result there is increasing pressure on policy makers to rethink how market failure and “public goods” provision should be addressed.</w:t>
      </w:r>
    </w:p>
    <w:p w14:paraId="4A33409A" w14:textId="77777777" w:rsidR="00911774" w:rsidRPr="00D272AA" w:rsidRDefault="00911774" w:rsidP="00911774">
      <w:pPr>
        <w:pStyle w:val="Heading3"/>
      </w:pPr>
      <w:bookmarkStart w:id="47" w:name="_Toc445810555"/>
      <w:bookmarkStart w:id="48" w:name="_Toc449432083"/>
      <w:bookmarkStart w:id="49" w:name="_Toc449438551"/>
      <w:bookmarkStart w:id="50" w:name="_Toc450310119"/>
      <w:r w:rsidRPr="00D272AA">
        <w:t>Implications of structural change</w:t>
      </w:r>
      <w:r>
        <w:t xml:space="preserve"> in the communications market</w:t>
      </w:r>
      <w:bookmarkEnd w:id="47"/>
      <w:bookmarkEnd w:id="48"/>
      <w:bookmarkEnd w:id="49"/>
      <w:bookmarkEnd w:id="50"/>
    </w:p>
    <w:p w14:paraId="2B422F22" w14:textId="77777777" w:rsidR="00911774" w:rsidRDefault="00911774" w:rsidP="00911774">
      <w:r w:rsidRPr="001F7FCA">
        <w:t xml:space="preserve">The changing structure of the industry (Part </w:t>
      </w:r>
      <w:r>
        <w:t xml:space="preserve">One </w:t>
      </w:r>
      <w:r w:rsidRPr="001F7FCA">
        <w:t xml:space="preserve">of the report) has significant implications for </w:t>
      </w:r>
      <w:r>
        <w:t>its regulation</w:t>
      </w:r>
      <w:r w:rsidRPr="001F7FCA">
        <w:t>. The ACMA itself has identified many of these implications in its research and decisions over the last ten years, in particular the challenges presented by using existing</w:t>
      </w:r>
      <w:r>
        <w:t xml:space="preserve">, outdated sectoral based regulatory frameworks </w:t>
      </w:r>
      <w:r w:rsidRPr="001F7FCA">
        <w:t>to regulate rapidly changing technologies and services.</w:t>
      </w:r>
    </w:p>
    <w:p w14:paraId="2517075E" w14:textId="77777777" w:rsidR="00911774" w:rsidRDefault="00911774" w:rsidP="00911774">
      <w:r>
        <w:t>Good regulatory outcomes in the communications sector are a combination of two factors—how regulation is administered and the regulatory regime itself.</w:t>
      </w:r>
    </w:p>
    <w:p w14:paraId="7F8256B8" w14:textId="2915A8B3" w:rsidR="00911774" w:rsidRPr="001F7FCA" w:rsidRDefault="00911774" w:rsidP="00911774">
      <w:r>
        <w:t xml:space="preserve">The Review has found </w:t>
      </w:r>
      <w:r w:rsidRPr="001F7FCA">
        <w:t xml:space="preserve">the ACMA has generally performed </w:t>
      </w:r>
      <w:r>
        <w:t xml:space="preserve">its regulatory role </w:t>
      </w:r>
      <w:r w:rsidRPr="001F7FCA">
        <w:t xml:space="preserve">efficiently and well over the last ten years (Parts </w:t>
      </w:r>
      <w:r>
        <w:t xml:space="preserve">Three </w:t>
      </w:r>
      <w:r w:rsidRPr="001F7FCA">
        <w:t xml:space="preserve">and </w:t>
      </w:r>
      <w:r>
        <w:t>Four and Appendix B and C</w:t>
      </w:r>
      <w:r w:rsidRPr="001F7FCA">
        <w:t>). However, its remit, responsibilities and functions lack clarity and cohesion</w:t>
      </w:r>
      <w:r>
        <w:t xml:space="preserve"> </w:t>
      </w:r>
      <w:r w:rsidRPr="001F7FCA">
        <w:t xml:space="preserve">and its regulatory and performance objectives are unclear (Part </w:t>
      </w:r>
      <w:r>
        <w:t>Two</w:t>
      </w:r>
      <w:r w:rsidRPr="001F7FCA">
        <w:t>). There is a lack of clarity as to decisions which are best made by the regulator and those which are policy decisions for the government, particularly in areas that are increasingly contested such as spectrum allocation. These have made the ACMA’s job increasingly difficult in making regulatory judgements and the allocation of its resources, resulting in some frustration for the regulator and the industry.</w:t>
      </w:r>
    </w:p>
    <w:p w14:paraId="4645CC2D" w14:textId="6208DD70" w:rsidR="00911774" w:rsidRDefault="00911774" w:rsidP="00911774">
      <w:r w:rsidRPr="001F7FCA">
        <w:t xml:space="preserve">The importance of the communications sector to the Australian economy, its centrality to the lives of consumers and businesses and the rapid structural change it is undergoing </w:t>
      </w:r>
      <w:r>
        <w:t>require</w:t>
      </w:r>
      <w:r w:rsidRPr="001F7FCA">
        <w:t xml:space="preserve"> a regulator that is certain of its remit</w:t>
      </w:r>
      <w:r>
        <w:t xml:space="preserve"> and functions</w:t>
      </w:r>
      <w:r w:rsidRPr="001F7FCA">
        <w:t>, can act quickly and decisively, is well-informed, can be agile and has the confidence of stakeholders.</w:t>
      </w:r>
    </w:p>
    <w:p w14:paraId="7EB6B395" w14:textId="3E674831" w:rsidR="00911774" w:rsidRDefault="00911774" w:rsidP="00576140">
      <w:r w:rsidRPr="001F7FCA">
        <w:t xml:space="preserve">The </w:t>
      </w:r>
      <w:r>
        <w:t>R</w:t>
      </w:r>
      <w:r w:rsidRPr="001F7FCA">
        <w:t>eview considers that the current ACMA Act and princip</w:t>
      </w:r>
      <w:r>
        <w:t>al</w:t>
      </w:r>
      <w:r w:rsidRPr="001F7FCA">
        <w:t xml:space="preserve"> legislation for which the regulator is responsible</w:t>
      </w:r>
      <w:r>
        <w:rPr>
          <w:rStyle w:val="FootnoteReference"/>
        </w:rPr>
        <w:footnoteReference w:id="3"/>
      </w:r>
      <w:r w:rsidRPr="001F7FCA">
        <w:t xml:space="preserve"> do not sufficiently empower the regulator or provide it with guidance or the tool</w:t>
      </w:r>
      <w:r>
        <w:t xml:space="preserve">s to achieve that outcome. Accordingly, the Review is making a number of proposals largely focused on reforming </w:t>
      </w:r>
      <w:r w:rsidRPr="001F7FCA">
        <w:t xml:space="preserve">the ACMA Act to </w:t>
      </w:r>
      <w:r>
        <w:t>allow the regulator to operate with a greater focus on the changing market and the objectives the government wants the regulator to achieve.</w:t>
      </w:r>
    </w:p>
    <w:p w14:paraId="42146825" w14:textId="66AD8982" w:rsidR="00911774" w:rsidRDefault="00911774" w:rsidP="00911774">
      <w:r>
        <w:t xml:space="preserve">These reforms would put in place a contemporary regulator that is able to operate efficiently and with confidence. However, modernising the regulator alone is not sufficient for an industry as vital as communications. Recent experience, industry submissions and the work of the ACMA demonstrate that the </w:t>
      </w:r>
      <w:r w:rsidRPr="001F7FCA">
        <w:t xml:space="preserve">communications regulatory framework has not kept pace with </w:t>
      </w:r>
      <w:r>
        <w:t>the</w:t>
      </w:r>
      <w:r w:rsidRPr="001F7FCA">
        <w:t xml:space="preserve"> seismic shifts</w:t>
      </w:r>
      <w:r>
        <w:t xml:space="preserve"> that have occurred in technology and market structure since these laws were developed largely in the 1990s. The ageing regulatory regime maintains a distinction in many areas between technologies which no-longer exist and places excessive emphasis on traditional sectors to achieve public policy outcomes. This distorts investment decisions and the incentives to innovate by local businesses, especially when faced with increasing competition from overseas based OTT services. The extensive, highly detailed legislative regime also imposes significant process requirements on the regulator, with limited and often ineffective enforcement tools. This can constrain the ACMA’s ability to move faster, be more agile and responsive.</w:t>
      </w:r>
    </w:p>
    <w:p w14:paraId="23EC2797" w14:textId="77777777" w:rsidR="00911774" w:rsidRDefault="00911774" w:rsidP="00576140">
      <w:r>
        <w:t xml:space="preserve">Accordingly, the Review is also proposing (in Part Five) that the Government commence a regulatory reform programme to reshape the regulatory regime, to build a contemporary framework for the regulation of the rapidly changing communications sector with the objective of supporting </w:t>
      </w:r>
      <w:r w:rsidRPr="001F7FCA">
        <w:t>the sector in its ambitions while delivering on social and economic objectives to the benefit of all Australians</w:t>
      </w:r>
      <w:r>
        <w:t>.</w:t>
      </w:r>
    </w:p>
    <w:p w14:paraId="35B77EA8" w14:textId="77777777" w:rsidR="00911774" w:rsidRDefault="00911774" w:rsidP="00911774">
      <w:pPr>
        <w:pStyle w:val="Heading3"/>
        <w:rPr>
          <w:rFonts w:eastAsia="Cambria"/>
        </w:rPr>
      </w:pPr>
      <w:bookmarkStart w:id="51" w:name="_Toc445810556"/>
      <w:bookmarkStart w:id="52" w:name="_Toc449432084"/>
      <w:bookmarkStart w:id="53" w:name="_Toc449438552"/>
      <w:bookmarkStart w:id="54" w:name="_Toc450310120"/>
      <w:r w:rsidRPr="00D272AA">
        <w:rPr>
          <w:rFonts w:eastAsia="Cambria"/>
        </w:rPr>
        <w:t xml:space="preserve">Key </w:t>
      </w:r>
      <w:r>
        <w:rPr>
          <w:rFonts w:eastAsia="Cambria"/>
        </w:rPr>
        <w:t>reform p</w:t>
      </w:r>
      <w:r w:rsidRPr="00D272AA">
        <w:rPr>
          <w:rFonts w:eastAsia="Cambria"/>
        </w:rPr>
        <w:t>roposals</w:t>
      </w:r>
      <w:r>
        <w:rPr>
          <w:rFonts w:eastAsia="Cambria"/>
        </w:rPr>
        <w:t xml:space="preserve"> for the ACMA</w:t>
      </w:r>
      <w:bookmarkEnd w:id="51"/>
      <w:bookmarkEnd w:id="52"/>
      <w:bookmarkEnd w:id="53"/>
      <w:bookmarkEnd w:id="54"/>
    </w:p>
    <w:p w14:paraId="5B82D2B7" w14:textId="61532909" w:rsidR="00911774" w:rsidRDefault="00911774" w:rsidP="00911774">
      <w:r>
        <w:t>The Review considers that urgent reform is needed to ensure the ACMA can respond effectively to the challenges and opportunities presented by the future communications environment. In the first instance, this will require:</w:t>
      </w:r>
    </w:p>
    <w:p w14:paraId="44DA8E99" w14:textId="4E5A3135" w:rsidR="00911774" w:rsidRDefault="00BA07B7" w:rsidP="00911774">
      <w:pPr>
        <w:pStyle w:val="Bulletlevel1"/>
      </w:pPr>
      <w:r>
        <w:t>c</w:t>
      </w:r>
      <w:r w:rsidR="00911774">
        <w:t>larifying the remit of the regulator to set the boundaries of its regulatory responsibility and oversight;</w:t>
      </w:r>
    </w:p>
    <w:p w14:paraId="0F9D4E70" w14:textId="751EB084" w:rsidR="00911774" w:rsidRDefault="00BA07B7" w:rsidP="00911774">
      <w:pPr>
        <w:pStyle w:val="Bulletlevel1"/>
      </w:pPr>
      <w:r>
        <w:t>a</w:t>
      </w:r>
      <w:r w:rsidR="00911774">
        <w:t xml:space="preserve"> number of changes to the functions of the regulator;</w:t>
      </w:r>
    </w:p>
    <w:p w14:paraId="20D6E3C6" w14:textId="3566B83B" w:rsidR="00911774" w:rsidRDefault="00BA07B7" w:rsidP="00911774">
      <w:pPr>
        <w:pStyle w:val="Bulletlevel1"/>
      </w:pPr>
      <w:r>
        <w:t>c</w:t>
      </w:r>
      <w:r w:rsidR="00911774">
        <w:t>learer formal advice from the Government to the ACMA on its expectations, within the boundaries of its statutory independence, and reporting by the ACMA on its delivery against these;</w:t>
      </w:r>
    </w:p>
    <w:p w14:paraId="6EECE889" w14:textId="40B68813" w:rsidR="00911774" w:rsidRDefault="00BA07B7" w:rsidP="00911774">
      <w:pPr>
        <w:pStyle w:val="Bulletlevel1"/>
      </w:pPr>
      <w:r>
        <w:t>n</w:t>
      </w:r>
      <w:r w:rsidR="00911774">
        <w:t>ew governance arrangements involving a ‘c</w:t>
      </w:r>
      <w:r w:rsidR="00911774" w:rsidRPr="001F7FCA">
        <w:t>ommission</w:t>
      </w:r>
      <w:r w:rsidR="00911774">
        <w:t>’</w:t>
      </w:r>
      <w:r w:rsidR="00911774" w:rsidRPr="001F7FCA">
        <w:t xml:space="preserve"> model of full-time, specialist members supported by associate members and sub-boards</w:t>
      </w:r>
      <w:r w:rsidR="00911774">
        <w:t>; and</w:t>
      </w:r>
    </w:p>
    <w:p w14:paraId="11A1C629" w14:textId="358F162C" w:rsidR="00911774" w:rsidRDefault="00BA07B7" w:rsidP="00911774">
      <w:pPr>
        <w:pStyle w:val="Bulletlevel1"/>
      </w:pPr>
      <w:r>
        <w:t>e</w:t>
      </w:r>
      <w:r w:rsidR="00911774">
        <w:t>mbedding in its establishing legislation a series of regulator principles to guide performance.</w:t>
      </w:r>
    </w:p>
    <w:p w14:paraId="063BC613" w14:textId="77777777" w:rsidR="00911774" w:rsidRDefault="00911774" w:rsidP="00911774">
      <w:r>
        <w:t>These changes will also result in greater alignment with arrangements for and processes of other domestic regulators, such as the ACCC, while also reflecting best practice examples from international regulators.</w:t>
      </w:r>
    </w:p>
    <w:p w14:paraId="3E2A7CB4" w14:textId="77777777" w:rsidR="00911774" w:rsidRDefault="00911774" w:rsidP="00911774">
      <w:r>
        <w:t>Key proposals are further explained in the following sections.</w:t>
      </w:r>
    </w:p>
    <w:p w14:paraId="7EFEC8E6" w14:textId="77777777" w:rsidR="00911774" w:rsidRPr="001F7FCA" w:rsidRDefault="00911774" w:rsidP="00911774">
      <w:pPr>
        <w:pStyle w:val="Heading4"/>
      </w:pPr>
      <w:bookmarkStart w:id="55" w:name="_Toc449619971"/>
      <w:bookmarkStart w:id="56" w:name="_Toc450310121"/>
      <w:r w:rsidRPr="001F7FCA">
        <w:t xml:space="preserve">Remit: Infrastructure, </w:t>
      </w:r>
      <w:r>
        <w:t>Transport</w:t>
      </w:r>
      <w:r w:rsidRPr="001F7FCA">
        <w:t>, Devices</w:t>
      </w:r>
      <w:r>
        <w:t>, Applications</w:t>
      </w:r>
      <w:r w:rsidRPr="001F7FCA">
        <w:t xml:space="preserve"> and Content</w:t>
      </w:r>
      <w:bookmarkEnd w:id="55"/>
      <w:bookmarkEnd w:id="56"/>
    </w:p>
    <w:p w14:paraId="0F6E12A6" w14:textId="77777777" w:rsidR="00911774" w:rsidRDefault="00911774" w:rsidP="00911774">
      <w:r>
        <w:t>Communications networks are vitally important. They enable the delivery of services across the entire economy, support cultural diversity and provide access to news and information. However, the embedded nature of communications networks in an expanding range of economic and social activities makes describing the boundary of the communications sector and the areas of this activity that the ACMA should have responsibility for regulating and overseeing increasingly difficult.</w:t>
      </w:r>
    </w:p>
    <w:p w14:paraId="0CCE1DC9" w14:textId="4D526495" w:rsidR="00911774" w:rsidRDefault="00911774" w:rsidP="00911774">
      <w:r>
        <w:t xml:space="preserve">At present the ACMA’s remit is not well defined. Sections 8-11 of the ACMA Act describe an extensive list of regulatory functions in sectoral terms; that is, with reference to telecommunications, spectrum management, broadcasting, content and datacasting. </w:t>
      </w:r>
      <w:r w:rsidR="00BA07B7">
        <w:t>However,</w:t>
      </w:r>
      <w:r>
        <w:t xml:space="preserve"> this list of functions does not provide certainty about when the ACMA should act, set the boundaries of its regulatory responsibility and oversight or provide guidance to government as to when it should take on new functions.</w:t>
      </w:r>
    </w:p>
    <w:p w14:paraId="5A595354" w14:textId="77777777" w:rsidR="00EB2B81" w:rsidRDefault="00911774" w:rsidP="00911774">
      <w:r w:rsidRPr="00123C62">
        <w:t xml:space="preserve">In an era where the distinction between the traditionally well-defined industries of telecommunications, </w:t>
      </w:r>
      <w:r>
        <w:t>broadcasting</w:t>
      </w:r>
      <w:r w:rsidRPr="00123C62">
        <w:t xml:space="preserve"> and online is now largely redundant</w:t>
      </w:r>
      <w:r>
        <w:t xml:space="preserve"> and</w:t>
      </w:r>
      <w:r w:rsidRPr="00123C62">
        <w:t xml:space="preserve"> the business models and nature of the firms operating in the broader communicati</w:t>
      </w:r>
      <w:r>
        <w:t>ons sector are rapidly changing,</w:t>
      </w:r>
      <w:r w:rsidRPr="00123C62">
        <w:t xml:space="preserve"> the Review </w:t>
      </w:r>
      <w:r>
        <w:t>proposes a change to the way in which the communications market and the remit of the regulator are conceptualised. A future focused regulator would be able to respond more quickly to emerging issues and consumer harms if its remit were not so firmly tied to siloed industry structures.</w:t>
      </w:r>
    </w:p>
    <w:p w14:paraId="2FDE96E8" w14:textId="77777777" w:rsidR="00911774" w:rsidRDefault="00911774" w:rsidP="00911774">
      <w:r>
        <w:t>Instead, the Review considers that it would be more useful to describe the new communications landscape as a horizontal “stack” of services and activities, with each layer in the stack providing services to the layer above and concurrently depending on the layers below. The ACMA’s remit should span across all these layers. Although the layers are not always clearly distinguishable because they are deeply interconnected, the four broad layers are described below:</w:t>
      </w:r>
    </w:p>
    <w:p w14:paraId="09501083" w14:textId="77777777" w:rsidR="00911774" w:rsidRDefault="00911774" w:rsidP="00911774">
      <w:r w:rsidRPr="00BE7C42">
        <w:rPr>
          <w:b/>
        </w:rPr>
        <w:t>APPLICATIONS/CONTENT LAYER</w:t>
      </w:r>
      <w:r>
        <w:t>—This layer includes software such as applications that support additional functionality, including content and the ability to make voice and video calls. Increasingly, services such as voice can be seen as applications in all Internet Protocol networks. This layer also includes applications to access content, such as iView, Netflix, Presto, Stan and the content itself.</w:t>
      </w:r>
    </w:p>
    <w:p w14:paraId="5F9616FA" w14:textId="77777777" w:rsidR="00911774" w:rsidRDefault="00911774" w:rsidP="00911774">
      <w:r w:rsidRPr="00BE7C42">
        <w:rPr>
          <w:b/>
        </w:rPr>
        <w:t>DEVICES LAYER</w:t>
      </w:r>
      <w:r>
        <w:t>—Devices are an essential means to access communications networks. Devices include televisions, radios, mobile phones and tablets.</w:t>
      </w:r>
    </w:p>
    <w:p w14:paraId="1BFC672A" w14:textId="77777777" w:rsidR="00911774" w:rsidRDefault="00911774" w:rsidP="00911774">
      <w:r w:rsidRPr="00BE7C42">
        <w:rPr>
          <w:b/>
        </w:rPr>
        <w:t>TRANSPORT LAYER</w:t>
      </w:r>
      <w:r>
        <w:t>—The transport layer provides the intelligence needed to support applications and functionality over the network. Networking and routing protocols enable error-free transmission of the bit stream and provide for the quality of service. Technical standards also enable interoperability and any-to-any connectivity between different networks.</w:t>
      </w:r>
    </w:p>
    <w:p w14:paraId="3D0E70C7" w14:textId="77777777" w:rsidR="00911774" w:rsidRDefault="00911774" w:rsidP="00911774">
      <w:r w:rsidRPr="00BE7C42">
        <w:rPr>
          <w:b/>
        </w:rPr>
        <w:t>INFRASTRUCTURE LAYER</w:t>
      </w:r>
      <w:r>
        <w:t>—The infrastructure layer includes the passive infrastructure and electromagnetic mediums that support the transmission of raw bit streams over a physical medium.</w:t>
      </w:r>
    </w:p>
    <w:p w14:paraId="6E0956CF" w14:textId="77777777" w:rsidR="00911774" w:rsidRDefault="00911774" w:rsidP="00911774">
      <w:r w:rsidRPr="001F7FCA">
        <w:t xml:space="preserve">The </w:t>
      </w:r>
      <w:r>
        <w:t>R</w:t>
      </w:r>
      <w:r w:rsidRPr="001F7FCA">
        <w:t xml:space="preserve">eview recommends that </w:t>
      </w:r>
      <w:r>
        <w:t xml:space="preserve">reshaping the regulatory framework applying to the communications sector commence with amending the </w:t>
      </w:r>
      <w:r w:rsidRPr="001F7FCA">
        <w:t>ACMA Act</w:t>
      </w:r>
      <w:r>
        <w:t xml:space="preserve"> to clearly define its remit as covering</w:t>
      </w:r>
      <w:r w:rsidRPr="001F7FCA">
        <w:t xml:space="preserve"> all of these layers</w:t>
      </w:r>
      <w:r>
        <w:t>. This remit should be interpreted from the perspective of the communications industry enabling activity in other sectors of the economy, but it would not extend into these other sectors. Resolving the inevitable boundary issues with other regulators with an interest in the telecommunications, broadcasting and online sectors, is discussed under Functions below. A future reform agenda would similarly amend other communications legislation to better define the market subject to regulation.</w:t>
      </w:r>
    </w:p>
    <w:p w14:paraId="77543F34" w14:textId="77777777" w:rsidR="00911774" w:rsidRDefault="00911774" w:rsidP="00CB4DEF">
      <w:pPr>
        <w:pBdr>
          <w:top w:val="single" w:sz="4" w:space="1" w:color="auto"/>
          <w:left w:val="single" w:sz="4" w:space="4" w:color="auto"/>
          <w:bottom w:val="single" w:sz="4" w:space="1" w:color="auto"/>
          <w:right w:val="single" w:sz="4" w:space="4" w:color="auto"/>
        </w:pBdr>
        <w:shd w:val="clear" w:color="auto" w:fill="DEEAF6" w:themeFill="accent1" w:themeFillTint="33"/>
      </w:pPr>
      <w:r>
        <w:t>Draft proposal 1: That the ACMA’s remit cover all the layers of the communications market, including infrastructure, transport, devices, content and applications.</w:t>
      </w:r>
    </w:p>
    <w:p w14:paraId="76099F67" w14:textId="77777777" w:rsidR="00911774" w:rsidRPr="001F7FCA" w:rsidRDefault="00911774" w:rsidP="00911774">
      <w:pPr>
        <w:pStyle w:val="Heading4"/>
      </w:pPr>
      <w:bookmarkStart w:id="57" w:name="_Toc449619972"/>
      <w:bookmarkStart w:id="58" w:name="_Toc450310122"/>
      <w:r w:rsidRPr="001F7FCA">
        <w:t xml:space="preserve">Functions: Classification, Content Regulation, Online Safety, Technical and Network Regulation, Ownership and Control, Spectrum Planning and </w:t>
      </w:r>
      <w:r>
        <w:t>A</w:t>
      </w:r>
      <w:r w:rsidRPr="001F7FCA">
        <w:t>llocation, National Interest and Consumer Protection</w:t>
      </w:r>
      <w:bookmarkEnd w:id="57"/>
      <w:bookmarkEnd w:id="58"/>
    </w:p>
    <w:p w14:paraId="6A3539D0" w14:textId="77777777" w:rsidR="00911774" w:rsidRDefault="00911774" w:rsidP="00576140">
      <w:r>
        <w:t xml:space="preserve">As part of the </w:t>
      </w:r>
      <w:r w:rsidR="00A1725C">
        <w:t>2014–15</w:t>
      </w:r>
      <w:r>
        <w:t xml:space="preserve"> Budget, the Australian Government introduced a Commonwealth-wide Contestability Framework to assess all current government functions with a view to improving the efficiency and performance of existing and proposed government functions.</w:t>
      </w:r>
      <w:r>
        <w:rPr>
          <w:rStyle w:val="FootnoteReference"/>
        </w:rPr>
        <w:footnoteReference w:id="4"/>
      </w:r>
      <w:r>
        <w:t xml:space="preserve"> This Review has assessed the ACMA’s functions consistent with the Contestability Programme.</w:t>
      </w:r>
      <w:r>
        <w:rPr>
          <w:rStyle w:val="FootnoteReference"/>
        </w:rPr>
        <w:footnoteReference w:id="5"/>
      </w:r>
    </w:p>
    <w:p w14:paraId="16F7C319" w14:textId="2A81338B" w:rsidR="00911774" w:rsidRDefault="00911774" w:rsidP="00911774">
      <w:r>
        <w:t>Although the Review has focused primarily on the ACMA, it has also identified functions and activities related to communications undertaken by other parts of government with a view to determining where these functions would be most efficiently administered.</w:t>
      </w:r>
    </w:p>
    <w:p w14:paraId="3A044417" w14:textId="77777777" w:rsidR="00911774" w:rsidRDefault="00911774" w:rsidP="00911774">
      <w:r>
        <w:t>The Review considers the majority of the ACMA’s current functions are appropriate and necessary to ensure its continued smooth and efficient operations. The Review recommends a small number of changes:</w:t>
      </w:r>
    </w:p>
    <w:p w14:paraId="50B4EE10" w14:textId="08F8B7AF" w:rsidR="00911774" w:rsidRPr="001F7FCA" w:rsidRDefault="00911774" w:rsidP="00911774">
      <w:pPr>
        <w:pStyle w:val="Bulletlevel1"/>
      </w:pPr>
      <w:r>
        <w:t>t</w:t>
      </w:r>
      <w:r w:rsidRPr="001F7FCA">
        <w:t xml:space="preserve">hat the ACMA’s well regarded </w:t>
      </w:r>
      <w:r w:rsidRPr="001F7FCA">
        <w:rPr>
          <w:b/>
        </w:rPr>
        <w:t>cybersecurity</w:t>
      </w:r>
      <w:r w:rsidRPr="001F7FCA">
        <w:t xml:space="preserve"> programmes </w:t>
      </w:r>
      <w:r>
        <w:t xml:space="preserve">(Australian Internet Security Initiative, cyber security news e-bulletin, phishing alert services and the spam and cyber security public awareness websites) </w:t>
      </w:r>
      <w:r w:rsidRPr="001F7FCA">
        <w:t>be transferred to the Attorney</w:t>
      </w:r>
      <w:r>
        <w:t>-</w:t>
      </w:r>
      <w:r w:rsidRPr="001F7FCA">
        <w:t xml:space="preserve">General’s Department to allow them to be better integrated with the </w:t>
      </w:r>
      <w:r>
        <w:t>Australian Cyber Security Centre</w:t>
      </w:r>
      <w:r w:rsidRPr="001F7FCA">
        <w:t>;</w:t>
      </w:r>
    </w:p>
    <w:p w14:paraId="481DAF22" w14:textId="77777777" w:rsidR="00911774" w:rsidRPr="001F7FCA" w:rsidRDefault="00911774" w:rsidP="00911774">
      <w:pPr>
        <w:pStyle w:val="Bulletlevel1"/>
      </w:pPr>
      <w:r>
        <w:t>t</w:t>
      </w:r>
      <w:r w:rsidRPr="001F7FCA">
        <w:t xml:space="preserve">hat the Department and the ACMA develop shared strategies for </w:t>
      </w:r>
      <w:r w:rsidRPr="001F7FCA">
        <w:rPr>
          <w:b/>
        </w:rPr>
        <w:t>international engagement</w:t>
      </w:r>
      <w:r w:rsidRPr="001F7FCA">
        <w:t xml:space="preserve"> and </w:t>
      </w:r>
      <w:r w:rsidRPr="001F7FCA">
        <w:rPr>
          <w:b/>
        </w:rPr>
        <w:t>research and analysis</w:t>
      </w:r>
      <w:r>
        <w:t>, clearly delineating their</w:t>
      </w:r>
      <w:r w:rsidRPr="001F7FCA">
        <w:t xml:space="preserve"> respective </w:t>
      </w:r>
      <w:r>
        <w:t xml:space="preserve">policy and independent regulatory </w:t>
      </w:r>
      <w:r w:rsidRPr="001F7FCA">
        <w:t>roles to avoid du</w:t>
      </w:r>
      <w:r>
        <w:t>plication and confusion and make</w:t>
      </w:r>
      <w:r w:rsidRPr="001F7FCA">
        <w:t xml:space="preserve"> the most of their shared skills and expertise;</w:t>
      </w:r>
    </w:p>
    <w:p w14:paraId="35D48498" w14:textId="77777777" w:rsidR="00911774" w:rsidRPr="001F7FCA" w:rsidRDefault="00911774" w:rsidP="00911774">
      <w:pPr>
        <w:pStyle w:val="Bulletlevel1"/>
      </w:pPr>
      <w:r>
        <w:t>that f</w:t>
      </w:r>
      <w:r w:rsidRPr="001F7FCA">
        <w:t xml:space="preserve">urther consideration be given to the ACMA’s </w:t>
      </w:r>
      <w:r w:rsidRPr="001F7FCA">
        <w:rPr>
          <w:b/>
        </w:rPr>
        <w:t>revenue collection</w:t>
      </w:r>
      <w:r w:rsidRPr="001F7FCA">
        <w:t xml:space="preserve"> function</w:t>
      </w:r>
      <w:r>
        <w:t>s to</w:t>
      </w:r>
      <w:r w:rsidRPr="001F7FCA">
        <w:t xml:space="preserve"> </w:t>
      </w:r>
      <w:r>
        <w:t>determine whether it may be more efficient for another body, such as the Australian Taxation Office (ATO), to undertake these functions;</w:t>
      </w:r>
    </w:p>
    <w:p w14:paraId="34EF7B82" w14:textId="77777777" w:rsidR="00911774" w:rsidRPr="001F7FCA" w:rsidRDefault="00911774" w:rsidP="00911774">
      <w:pPr>
        <w:pStyle w:val="Bulletlevel1"/>
      </w:pPr>
      <w:r>
        <w:t>that the ACMA e</w:t>
      </w:r>
      <w:r w:rsidRPr="001F7FCA">
        <w:t>xplor</w:t>
      </w:r>
      <w:r>
        <w:t>e</w:t>
      </w:r>
      <w:r w:rsidRPr="001F7FCA">
        <w:t xml:space="preserve"> greater opportunities for industry to self-regulate in areas such as </w:t>
      </w:r>
      <w:r w:rsidRPr="001F7FCA">
        <w:rPr>
          <w:b/>
        </w:rPr>
        <w:t>technical regulation, number allocation and mature regulatory schemes</w:t>
      </w:r>
      <w:r w:rsidRPr="001F7FCA">
        <w:t xml:space="preserve"> (such as the Do Not Call Register);</w:t>
      </w:r>
    </w:p>
    <w:p w14:paraId="6261FE38" w14:textId="75757708" w:rsidR="00911774" w:rsidRPr="001F7FCA" w:rsidRDefault="00911774" w:rsidP="00911774">
      <w:pPr>
        <w:pStyle w:val="Bulletlevel1"/>
      </w:pPr>
      <w:r>
        <w:t>t</w:t>
      </w:r>
      <w:r w:rsidRPr="00042E37">
        <w:t xml:space="preserve">hat the Department </w:t>
      </w:r>
      <w:r w:rsidR="00A60744">
        <w:t>undertake further work to explore the potential to</w:t>
      </w:r>
      <w:r w:rsidRPr="00042E37">
        <w:t xml:space="preserve"> expand the ACMA’s remit to take on certain</w:t>
      </w:r>
      <w:r w:rsidRPr="00042E37">
        <w:rPr>
          <w:b/>
        </w:rPr>
        <w:t xml:space="preserve"> classification functions </w:t>
      </w:r>
      <w:r w:rsidRPr="00042E37">
        <w:t>currently administered within the National Classification Scheme in order to harmonise online and offline classification functions;</w:t>
      </w:r>
      <w:r w:rsidRPr="001F7FCA">
        <w:t xml:space="preserve"> and</w:t>
      </w:r>
    </w:p>
    <w:p w14:paraId="64629BEF" w14:textId="77777777" w:rsidR="00911774" w:rsidRPr="001F7FCA" w:rsidRDefault="00911774" w:rsidP="00911774">
      <w:pPr>
        <w:pStyle w:val="Bulletlevel1"/>
      </w:pPr>
      <w:r>
        <w:t>c</w:t>
      </w:r>
      <w:r w:rsidRPr="001F7FCA">
        <w:t>ompliance and enforcement of the</w:t>
      </w:r>
      <w:r w:rsidRPr="001F7FCA">
        <w:rPr>
          <w:b/>
        </w:rPr>
        <w:t xml:space="preserve"> </w:t>
      </w:r>
      <w:r w:rsidRPr="003F1DEA">
        <w:rPr>
          <w:b/>
          <w:i/>
        </w:rPr>
        <w:t>Interactive Gambling Act 2001</w:t>
      </w:r>
      <w:r>
        <w:rPr>
          <w:b/>
        </w:rPr>
        <w:t xml:space="preserve"> </w:t>
      </w:r>
      <w:r w:rsidRPr="001F7FCA">
        <w:t xml:space="preserve">be transferred from the Department and the Australian Federal Police to the </w:t>
      </w:r>
      <w:r>
        <w:t>ACMA</w:t>
      </w:r>
      <w:r w:rsidRPr="001F7FCA">
        <w:t>.</w:t>
      </w:r>
    </w:p>
    <w:p w14:paraId="360507C0" w14:textId="2A4A1008" w:rsidR="00911774" w:rsidRDefault="00911774" w:rsidP="00CB4DEF">
      <w:pPr>
        <w:pBdr>
          <w:top w:val="single" w:sz="4" w:space="1" w:color="auto"/>
          <w:left w:val="single" w:sz="4" w:space="4" w:color="auto"/>
          <w:bottom w:val="single" w:sz="4" w:space="1" w:color="auto"/>
          <w:right w:val="single" w:sz="4" w:space="4" w:color="auto"/>
        </w:pBdr>
        <w:shd w:val="clear" w:color="auto" w:fill="DEEAF6" w:themeFill="accent1" w:themeFillTint="33"/>
      </w:pPr>
      <w:r>
        <w:t>Draft proposals 2 to 8 recommend a range of functional changes occur to</w:t>
      </w:r>
      <w:r w:rsidRPr="00034970">
        <w:t xml:space="preserve"> </w:t>
      </w:r>
      <w:r>
        <w:t>improve their efficiency and performance.</w:t>
      </w:r>
    </w:p>
    <w:p w14:paraId="7A07281D" w14:textId="77777777" w:rsidR="00911774" w:rsidRPr="00957A82" w:rsidRDefault="00911774" w:rsidP="005B5DF9">
      <w:pPr>
        <w:pStyle w:val="Heading5"/>
      </w:pPr>
      <w:r w:rsidRPr="00957A82">
        <w:t>Economic regulation</w:t>
      </w:r>
    </w:p>
    <w:p w14:paraId="7F9AD8CB" w14:textId="77777777" w:rsidR="00911774" w:rsidRDefault="00911774" w:rsidP="00911774">
      <w:r>
        <w:t>The Review has considered the role of the future communications regulator in economic regulation. This has been perhaps the most complex and challenging part of this review process.</w:t>
      </w:r>
    </w:p>
    <w:p w14:paraId="727BD21D" w14:textId="77777777" w:rsidR="00911774" w:rsidRDefault="00911774" w:rsidP="00911774">
      <w:r>
        <w:t xml:space="preserve">Currently, most communications economic regulation is administered by the Australian Competition and Consumer Commission (ACCC) under a telecommunications-specific regime in the </w:t>
      </w:r>
      <w:r w:rsidRPr="007A258E">
        <w:rPr>
          <w:i/>
        </w:rPr>
        <w:t>Competition and Consumer Act 2010</w:t>
      </w:r>
      <w:r>
        <w:t>.</w:t>
      </w:r>
    </w:p>
    <w:p w14:paraId="133891CF" w14:textId="77777777" w:rsidR="00911774" w:rsidRPr="001F7FCA" w:rsidRDefault="00911774" w:rsidP="00911774">
      <w:r>
        <w:t xml:space="preserve">It is clear that, in the increasingly complex </w:t>
      </w:r>
      <w:r w:rsidRPr="001F7FCA">
        <w:t xml:space="preserve">communications sector, the regulator </w:t>
      </w:r>
      <w:r>
        <w:t xml:space="preserve">will </w:t>
      </w:r>
      <w:r w:rsidRPr="001F7FCA">
        <w:t xml:space="preserve">need to deeply understand how market players seek competitive advantage across layers, where bottlenecks arise and where significant market power lies. It is most likely that this deep understanding will be held by the sectoral regulator, </w:t>
      </w:r>
      <w:r>
        <w:t>rather than th</w:t>
      </w:r>
      <w:r w:rsidRPr="001F7FCA">
        <w:t xml:space="preserve">e general economic regulator. There are therefore </w:t>
      </w:r>
      <w:r>
        <w:t>sound</w:t>
      </w:r>
      <w:r w:rsidRPr="001F7FCA">
        <w:t xml:space="preserve"> arguments to have economic regulatory functions related to the communications sector in the </w:t>
      </w:r>
      <w:r>
        <w:t>ACMA</w:t>
      </w:r>
      <w:r w:rsidRPr="001F7FCA">
        <w:t xml:space="preserve">. </w:t>
      </w:r>
      <w:r>
        <w:t>This would be consistent with a number of international regulators, such as Ofcom in the UK.</w:t>
      </w:r>
    </w:p>
    <w:p w14:paraId="7C3E5BA2" w14:textId="77777777" w:rsidR="00911774" w:rsidRDefault="00911774" w:rsidP="00911774">
      <w:r w:rsidRPr="001F7FCA">
        <w:t xml:space="preserve">However, </w:t>
      </w:r>
      <w:r>
        <w:t>such a move would be contrary to the proposals from the Vertigan and Harper Review to establish a regulator with its primary focus on economic and access pricing issues. In addition, i</w:t>
      </w:r>
      <w:r w:rsidRPr="001F7FCA">
        <w:t xml:space="preserve">n a small market like Australia, deep expertise in competition regulation is likely to be relatively limited. The </w:t>
      </w:r>
      <w:r>
        <w:t>ACMA</w:t>
      </w:r>
      <w:r w:rsidRPr="001F7FCA">
        <w:t xml:space="preserve"> may find it difficult to build up this expertise quickly and to a sufficient degree to make good regulatory judgements. Changes to current arrangements are also likely to be highly disruptive and take some time to bed down.</w:t>
      </w:r>
    </w:p>
    <w:p w14:paraId="7F4E40D8" w14:textId="77777777" w:rsidR="00911774" w:rsidRDefault="00911774" w:rsidP="00706D59">
      <w:r>
        <w:t>On balance, the Review recommends retaining the status quo. However, the Review recommends a number of actions to improve current arrangements to support a competitive communications market into the future. These include:</w:t>
      </w:r>
    </w:p>
    <w:p w14:paraId="781AAD5B" w14:textId="6CE996B8" w:rsidR="00911774" w:rsidRDefault="00701C77" w:rsidP="00911774">
      <w:pPr>
        <w:pStyle w:val="Bulletlevel1"/>
      </w:pPr>
      <w:r>
        <w:t>s</w:t>
      </w:r>
      <w:r w:rsidR="00911774">
        <w:t>trengthening formal cross-consultation arrangements between the ACMA and ACCC;</w:t>
      </w:r>
    </w:p>
    <w:p w14:paraId="327964E2" w14:textId="584814F1" w:rsidR="00911774" w:rsidRDefault="00701C77" w:rsidP="00911774">
      <w:pPr>
        <w:pStyle w:val="Bulletlevel1"/>
      </w:pPr>
      <w:r>
        <w:t>a</w:t>
      </w:r>
      <w:r w:rsidR="00911774">
        <w:t>n annual Statement of Expectations being provided to the ACCC specifically in relation to its telecommunications functions; and</w:t>
      </w:r>
    </w:p>
    <w:p w14:paraId="7620106F" w14:textId="60584461" w:rsidR="00911774" w:rsidRPr="008915E3" w:rsidRDefault="00701C77" w:rsidP="00911774">
      <w:pPr>
        <w:pStyle w:val="Bulletlevel1"/>
      </w:pPr>
      <w:r>
        <w:t>i</w:t>
      </w:r>
      <w:r w:rsidR="00911774" w:rsidRPr="00A80FF8">
        <w:t>ncluding a</w:t>
      </w:r>
      <w:r w:rsidR="00911774">
        <w:t xml:space="preserve"> regulator principle </w:t>
      </w:r>
      <w:r w:rsidR="00911774" w:rsidRPr="00A80FF8">
        <w:t xml:space="preserve">in the ACMA Act </w:t>
      </w:r>
      <w:r w:rsidR="00911774">
        <w:t>to make sure the ACMA has regard to the impact of its decisions on competition, innovation and efficient investment.</w:t>
      </w:r>
    </w:p>
    <w:p w14:paraId="47236677" w14:textId="77777777" w:rsidR="00911774" w:rsidRDefault="00911774" w:rsidP="00CB4DEF">
      <w:pPr>
        <w:pBdr>
          <w:top w:val="single" w:sz="4" w:space="1" w:color="auto"/>
          <w:left w:val="single" w:sz="4" w:space="4" w:color="auto"/>
          <w:bottom w:val="single" w:sz="4" w:space="1" w:color="auto"/>
          <w:right w:val="single" w:sz="4" w:space="4" w:color="auto"/>
        </w:pBdr>
        <w:shd w:val="clear" w:color="auto" w:fill="DEEAF6" w:themeFill="accent1" w:themeFillTint="33"/>
      </w:pPr>
      <w:r>
        <w:t>Draft proposal 9: That the current institutional arrangements for economic regulation of the communications sector be retained.</w:t>
      </w:r>
    </w:p>
    <w:p w14:paraId="341EABB0" w14:textId="77777777" w:rsidR="00911774" w:rsidRDefault="00911774" w:rsidP="00CB4DEF">
      <w:pPr>
        <w:pBdr>
          <w:top w:val="single" w:sz="4" w:space="1" w:color="auto"/>
          <w:left w:val="single" w:sz="4" w:space="4" w:color="auto"/>
          <w:bottom w:val="single" w:sz="4" w:space="1" w:color="auto"/>
          <w:right w:val="single" w:sz="4" w:space="4" w:color="auto"/>
        </w:pBdr>
        <w:shd w:val="clear" w:color="auto" w:fill="DEEAF6" w:themeFill="accent1" w:themeFillTint="33"/>
      </w:pPr>
      <w:r>
        <w:t>Draft proposal 10: That cross-appointment arrangements between the ACMA and ACCC be strengthened in order to benefit both ACMA and ACCC decision-making.</w:t>
      </w:r>
    </w:p>
    <w:p w14:paraId="17AD4B38" w14:textId="77777777" w:rsidR="00911774" w:rsidRDefault="00911774" w:rsidP="00CB4DEF">
      <w:pPr>
        <w:pBdr>
          <w:top w:val="single" w:sz="4" w:space="1" w:color="auto"/>
          <w:left w:val="single" w:sz="4" w:space="4" w:color="auto"/>
          <w:bottom w:val="single" w:sz="4" w:space="1" w:color="auto"/>
          <w:right w:val="single" w:sz="4" w:space="4" w:color="auto"/>
        </w:pBdr>
        <w:shd w:val="clear" w:color="auto" w:fill="DEEAF6" w:themeFill="accent1" w:themeFillTint="33"/>
      </w:pPr>
      <w:r>
        <w:t xml:space="preserve">Draft proposal 20: </w:t>
      </w:r>
      <w:r w:rsidRPr="00B7741E">
        <w:t>That the Minister provide the ACCC with an annual Statement of Expectations and the ACCC respond by publishing a Statement of Intent outlining how it will seek to deliver on the Government’s expectations.</w:t>
      </w:r>
    </w:p>
    <w:p w14:paraId="6E2B535F" w14:textId="77777777" w:rsidR="00911774" w:rsidRPr="00957A82" w:rsidRDefault="00911774" w:rsidP="005B5DF9">
      <w:pPr>
        <w:pStyle w:val="Heading5"/>
      </w:pPr>
      <w:r>
        <w:t>C</w:t>
      </w:r>
      <w:r w:rsidRPr="00957A82">
        <w:t>onsumer protection</w:t>
      </w:r>
    </w:p>
    <w:p w14:paraId="0F2A4DEA" w14:textId="77777777" w:rsidR="00911774" w:rsidRDefault="00911774" w:rsidP="00576140">
      <w:r>
        <w:t>In accordance with the Contestability Programme, the Review also considered the administrative arrangements for consumer protection in regard to communications services.</w:t>
      </w:r>
    </w:p>
    <w:p w14:paraId="64FBBAC9" w14:textId="77777777" w:rsidR="00911774" w:rsidRDefault="00911774" w:rsidP="00576140">
      <w:r>
        <w:t xml:space="preserve">Currently, the ACCC, the ACMA and the Telecommunications Industry Ombudsman (TIO) perform functions with regard to communications consumer safeguards and practices. The ACCC is responsible for general consumer protection under the Australian Consumer Law, the ACMA has registered the Telecommunications Consumer Protections Code using its code-making powers under the </w:t>
      </w:r>
      <w:r w:rsidRPr="00573D54">
        <w:rPr>
          <w:i/>
        </w:rPr>
        <w:t>Telecommunications Act 1997</w:t>
      </w:r>
      <w:r>
        <w:t xml:space="preserve"> and the TIO provides dispute resolution for telecommunications and broadband consumers.</w:t>
      </w:r>
    </w:p>
    <w:p w14:paraId="28399460" w14:textId="1391A546" w:rsidR="00911774" w:rsidRPr="008D03E8" w:rsidRDefault="00911774" w:rsidP="00911774">
      <w:r w:rsidRPr="001F7FCA">
        <w:t xml:space="preserve">The </w:t>
      </w:r>
      <w:r>
        <w:t>R</w:t>
      </w:r>
      <w:r w:rsidRPr="001F7FCA">
        <w:t xml:space="preserve">eview </w:t>
      </w:r>
      <w:r>
        <w:t>considers there are strong arguments</w:t>
      </w:r>
      <w:r w:rsidRPr="001F7FCA">
        <w:t xml:space="preserve"> that the unique complexity of communications products and services </w:t>
      </w:r>
      <w:r>
        <w:t xml:space="preserve">mean that it is appropriate to retain </w:t>
      </w:r>
      <w:r w:rsidRPr="001F7FCA">
        <w:t xml:space="preserve">sectoral regulation </w:t>
      </w:r>
      <w:r>
        <w:t xml:space="preserve">to complement </w:t>
      </w:r>
      <w:r w:rsidRPr="001F7FCA">
        <w:t>general consumer law</w:t>
      </w:r>
      <w:r>
        <w:t>. As a consequence, the ACCC and ACMA should retain their concurrent roles</w:t>
      </w:r>
      <w:r w:rsidRPr="001F7FCA">
        <w:t xml:space="preserve">. </w:t>
      </w:r>
      <w:r w:rsidR="008D03E8">
        <w:t xml:space="preserve">In its </w:t>
      </w:r>
      <w:r w:rsidR="008D03E8" w:rsidRPr="008D03E8">
        <w:t xml:space="preserve">response to the </w:t>
      </w:r>
      <w:r w:rsidR="008D03E8" w:rsidRPr="008D03E8">
        <w:rPr>
          <w:rFonts w:cs="Times New Roman"/>
        </w:rPr>
        <w:t xml:space="preserve">2015 </w:t>
      </w:r>
      <w:r w:rsidR="008D03E8" w:rsidRPr="00C46989">
        <w:rPr>
          <w:rFonts w:cs="Times New Roman"/>
        </w:rPr>
        <w:t>Regional Telecommunications Independent Review Committee</w:t>
      </w:r>
      <w:r w:rsidR="008D03E8">
        <w:rPr>
          <w:rFonts w:cs="Times New Roman"/>
        </w:rPr>
        <w:t>, t</w:t>
      </w:r>
      <w:r w:rsidR="008D03E8" w:rsidRPr="008D03E8">
        <w:rPr>
          <w:rFonts w:cs="Times New Roman"/>
        </w:rPr>
        <w:t xml:space="preserve">he Government </w:t>
      </w:r>
      <w:r w:rsidR="008D03E8" w:rsidRPr="00C46989">
        <w:rPr>
          <w:rFonts w:cs="Times New Roman"/>
        </w:rPr>
        <w:t xml:space="preserve">proposed </w:t>
      </w:r>
      <w:r w:rsidR="008D03E8">
        <w:rPr>
          <w:rFonts w:cs="Times New Roman"/>
        </w:rPr>
        <w:t xml:space="preserve">further </w:t>
      </w:r>
      <w:r w:rsidR="008D03E8" w:rsidRPr="00C46989">
        <w:rPr>
          <w:rFonts w:cs="Times New Roman"/>
        </w:rPr>
        <w:t>consideration of the overall framework for consumer safeguards,</w:t>
      </w:r>
      <w:r w:rsidR="008D03E8">
        <w:rPr>
          <w:rFonts w:cs="Times New Roman"/>
        </w:rPr>
        <w:t xml:space="preserve"> to</w:t>
      </w:r>
      <w:r w:rsidR="008D03E8" w:rsidRPr="00C46989">
        <w:rPr>
          <w:rFonts w:cs="Times New Roman"/>
        </w:rPr>
        <w:t xml:space="preserve"> </w:t>
      </w:r>
      <w:r w:rsidR="008D03E8">
        <w:t>allow the Government to determine the appropriate regime to apply in the future</w:t>
      </w:r>
      <w:r w:rsidR="008D03E8">
        <w:rPr>
          <w:rStyle w:val="FootnoteReference"/>
          <w:rFonts w:cs="Times New Roman"/>
        </w:rPr>
        <w:footnoteReference w:id="6"/>
      </w:r>
      <w:r w:rsidR="008D03E8" w:rsidRPr="00C46989">
        <w:rPr>
          <w:rFonts w:cs="Times New Roman"/>
        </w:rPr>
        <w:t xml:space="preserve">. </w:t>
      </w:r>
    </w:p>
    <w:p w14:paraId="43FDFB2B" w14:textId="36646EEF" w:rsidR="00911774" w:rsidRPr="007039C4" w:rsidRDefault="00911774" w:rsidP="00CB4DEF">
      <w:pPr>
        <w:pBdr>
          <w:top w:val="single" w:sz="4" w:space="1" w:color="auto"/>
          <w:left w:val="single" w:sz="4" w:space="4" w:color="auto"/>
          <w:bottom w:val="single" w:sz="4" w:space="1" w:color="auto"/>
          <w:right w:val="single" w:sz="4" w:space="4" w:color="auto"/>
        </w:pBdr>
        <w:shd w:val="clear" w:color="auto" w:fill="DEEAF6" w:themeFill="accent1" w:themeFillTint="33"/>
      </w:pPr>
      <w:r>
        <w:t>Draft proposal 1</w:t>
      </w:r>
      <w:r w:rsidR="00A60744">
        <w:t>1</w:t>
      </w:r>
      <w:r>
        <w:t>: That the current institutional arrangements for communications consumer protections be retained.</w:t>
      </w:r>
    </w:p>
    <w:p w14:paraId="019987BA" w14:textId="557E1CE2" w:rsidR="00911774" w:rsidRDefault="00911774" w:rsidP="00C46989">
      <w:pPr>
        <w:pStyle w:val="Bulletlevel1"/>
        <w:numPr>
          <w:ilvl w:val="0"/>
          <w:numId w:val="0"/>
        </w:numPr>
        <w:rPr>
          <w:b/>
        </w:rPr>
      </w:pPr>
      <w:r>
        <w:t>In summary, t</w:t>
      </w:r>
      <w:r w:rsidRPr="001F7FCA">
        <w:t xml:space="preserve">he recommended functions of the </w:t>
      </w:r>
      <w:r>
        <w:t>ACMA,</w:t>
      </w:r>
      <w:r w:rsidRPr="001F7FCA">
        <w:t xml:space="preserve"> other regulators and the industry </w:t>
      </w:r>
      <w:r w:rsidR="00701C77">
        <w:t>are</w:t>
      </w:r>
      <w:r w:rsidRPr="001F7FCA">
        <w:t xml:space="preserve"> illustrated in Figure </w:t>
      </w:r>
      <w:r>
        <w:t>2 below (also provided as Figure 7 in Part Two of the report)</w:t>
      </w:r>
      <w:r w:rsidRPr="001F7FCA">
        <w:t>.</w:t>
      </w:r>
    </w:p>
    <w:p w14:paraId="79F89BA5" w14:textId="77777777" w:rsidR="00911774" w:rsidRPr="002E28E6" w:rsidRDefault="00911774" w:rsidP="00911774">
      <w:pPr>
        <w:pStyle w:val="Tablefigureheading"/>
        <w:rPr>
          <w:i/>
        </w:rPr>
      </w:pPr>
      <w:r w:rsidRPr="002E28E6">
        <w:t>Figure 2: Proposed new set of functions</w:t>
      </w:r>
    </w:p>
    <w:p w14:paraId="5178082C" w14:textId="77777777" w:rsidR="00911774" w:rsidRDefault="00911774" w:rsidP="00911774">
      <w:r>
        <w:rPr>
          <w:noProof/>
          <w:lang w:eastAsia="en-AU"/>
        </w:rPr>
        <w:drawing>
          <wp:inline distT="0" distB="0" distL="0" distR="0" wp14:anchorId="13AAF850" wp14:editId="2104D3C8">
            <wp:extent cx="5926455" cy="2207260"/>
            <wp:effectExtent l="0" t="0" r="0" b="2540"/>
            <wp:docPr id="260" name="Picture 260" descr="Industry: self-regulatory&#10;ACMA: Classification, content regulation, Children's eSafety; resource planning, licensing, technical regulation, national interest, accessibility (USO, CSG), revenue collection, consumer&#10;ACCC: Telco competition, telco economic, consumer&#10;AGD: Cybersecurity, telecommunication" title="Proposed set of new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6455" cy="2207260"/>
                    </a:xfrm>
                    <a:prstGeom prst="rect">
                      <a:avLst/>
                    </a:prstGeom>
                  </pic:spPr>
                </pic:pic>
              </a:graphicData>
            </a:graphic>
          </wp:inline>
        </w:drawing>
      </w:r>
    </w:p>
    <w:p w14:paraId="04DE4F56" w14:textId="486F3196" w:rsidR="00911774" w:rsidRDefault="00911774" w:rsidP="00911774">
      <w:r w:rsidRPr="0017287F">
        <w:t xml:space="preserve">* The Office of the Children's eSafety Commissioner is an independent statutory office created by the </w:t>
      </w:r>
      <w:r w:rsidRPr="0017287F">
        <w:rPr>
          <w:i/>
          <w:iCs/>
        </w:rPr>
        <w:t>Enhancing Online Safety for Children Act 2015</w:t>
      </w:r>
      <w:r w:rsidRPr="0017287F">
        <w:t xml:space="preserve">. </w:t>
      </w:r>
    </w:p>
    <w:p w14:paraId="5F96576E" w14:textId="6CCE2261" w:rsidR="00911774" w:rsidRDefault="00911774" w:rsidP="005B5DF9">
      <w:pPr>
        <w:pStyle w:val="Heading4"/>
      </w:pPr>
      <w:bookmarkStart w:id="59" w:name="_Toc449619973"/>
      <w:bookmarkStart w:id="60" w:name="_Toc450310123"/>
      <w:r>
        <w:t xml:space="preserve">Government Objectives: </w:t>
      </w:r>
      <w:r w:rsidRPr="001F7FCA">
        <w:t xml:space="preserve">Retaining </w:t>
      </w:r>
      <w:r w:rsidR="0032139B">
        <w:t>I</w:t>
      </w:r>
      <w:r w:rsidRPr="001F7FCA">
        <w:t>ndependence,</w:t>
      </w:r>
      <w:r>
        <w:t xml:space="preserve"> Legislative Objectives and Government Guidance</w:t>
      </w:r>
      <w:bookmarkEnd w:id="59"/>
      <w:bookmarkEnd w:id="60"/>
    </w:p>
    <w:p w14:paraId="25A4F1DA" w14:textId="77777777" w:rsidR="00911774" w:rsidRPr="00957A82" w:rsidRDefault="00911774" w:rsidP="005B5DF9">
      <w:pPr>
        <w:pStyle w:val="Heading5"/>
      </w:pPr>
      <w:r w:rsidRPr="00957A82">
        <w:t>Independence</w:t>
      </w:r>
    </w:p>
    <w:p w14:paraId="43DEF856" w14:textId="018D4416" w:rsidR="00911774" w:rsidRDefault="00911774" w:rsidP="00911774">
      <w:r>
        <w:t xml:space="preserve">The Review supports the ongoing operation of the ACMA as an independent statutory authority with staff employed under the </w:t>
      </w:r>
      <w:r>
        <w:rPr>
          <w:i/>
        </w:rPr>
        <w:t xml:space="preserve">Public Service Act </w:t>
      </w:r>
      <w:r w:rsidRPr="007A258E">
        <w:t>1999</w:t>
      </w:r>
      <w:r>
        <w:t xml:space="preserve">. </w:t>
      </w:r>
      <w:r w:rsidRPr="00284FBD">
        <w:t>The</w:t>
      </w:r>
      <w:r w:rsidRPr="001F7FCA">
        <w:t xml:space="preserve"> </w:t>
      </w:r>
      <w:r>
        <w:t>R</w:t>
      </w:r>
      <w:r w:rsidRPr="001F7FCA">
        <w:t xml:space="preserve">eview </w:t>
      </w:r>
      <w:r>
        <w:t xml:space="preserve">also </w:t>
      </w:r>
      <w:r w:rsidRPr="001F7FCA">
        <w:t>considers that</w:t>
      </w:r>
      <w:r>
        <w:t xml:space="preserve"> </w:t>
      </w:r>
      <w:r w:rsidRPr="001F7FCA">
        <w:t>in most areas of its regulatory decision-making</w:t>
      </w:r>
      <w:r>
        <w:t xml:space="preserve"> it is important that the ACMA has statutory independence</w:t>
      </w:r>
      <w:r w:rsidRPr="001F7FCA">
        <w:t xml:space="preserve"> from Government—</w:t>
      </w:r>
      <w:r>
        <w:t>this is particularly true for</w:t>
      </w:r>
      <w:r w:rsidRPr="001F7FCA">
        <w:t xml:space="preserve"> all content-related decisions</w:t>
      </w:r>
      <w:r>
        <w:t xml:space="preserve">. </w:t>
      </w:r>
      <w:r w:rsidRPr="001F7FCA">
        <w:t xml:space="preserve">However, in increasingly contested areas (such as resource allocation) greater clarity is required as to the respective roles of the government and the regulator. Reform has already commenced in this area through the Government’s </w:t>
      </w:r>
      <w:r w:rsidR="0032139B">
        <w:t>S</w:t>
      </w:r>
      <w:r w:rsidRPr="001F7FCA">
        <w:t xml:space="preserve">pectrum </w:t>
      </w:r>
      <w:r w:rsidR="0032139B">
        <w:t>R</w:t>
      </w:r>
      <w:r w:rsidRPr="001F7FCA">
        <w:t xml:space="preserve">eview which proposes that statements of government policy are provided to </w:t>
      </w:r>
      <w:r>
        <w:t xml:space="preserve">the ACMA </w:t>
      </w:r>
      <w:r w:rsidRPr="001F7FCA">
        <w:t>in relation to spectrum management arrangements.</w:t>
      </w:r>
    </w:p>
    <w:p w14:paraId="5BE9C14C" w14:textId="77777777" w:rsidR="00911774" w:rsidRPr="00957A82" w:rsidRDefault="00911774" w:rsidP="005B5DF9">
      <w:pPr>
        <w:pStyle w:val="Heading5"/>
      </w:pPr>
      <w:r w:rsidRPr="00957A82">
        <w:t>Legislative objectives</w:t>
      </w:r>
    </w:p>
    <w:p w14:paraId="31A97A72" w14:textId="77777777" w:rsidR="00911774" w:rsidRPr="001F7FCA" w:rsidRDefault="00911774" w:rsidP="00911774">
      <w:r>
        <w:t xml:space="preserve">The ACMA is tasked with considering a significant number of policy objectives in the legislation it administers yet it is not provided with clear guidance on how it should weigh these up. </w:t>
      </w:r>
      <w:r w:rsidRPr="001F7FCA">
        <w:t xml:space="preserve">A number of submitters to the </w:t>
      </w:r>
      <w:r>
        <w:t>R</w:t>
      </w:r>
      <w:r w:rsidRPr="001F7FCA">
        <w:t xml:space="preserve">eview recommended that the </w:t>
      </w:r>
      <w:r>
        <w:t>ACMA</w:t>
      </w:r>
      <w:r w:rsidRPr="001F7FCA">
        <w:t xml:space="preserve"> be provided with clear, </w:t>
      </w:r>
      <w:r>
        <w:t>overarching</w:t>
      </w:r>
      <w:r w:rsidRPr="001F7FCA">
        <w:t xml:space="preserve"> objectives to guide its priority-setting, resource allocation and the outcomes expected to be achieved from its decision-making.</w:t>
      </w:r>
    </w:p>
    <w:p w14:paraId="4DCB283A" w14:textId="77777777" w:rsidR="00911774" w:rsidRDefault="00911774" w:rsidP="00911774">
      <w:r w:rsidRPr="001F7FCA">
        <w:t xml:space="preserve">The </w:t>
      </w:r>
      <w:r>
        <w:t>R</w:t>
      </w:r>
      <w:r w:rsidRPr="001F7FCA">
        <w:t xml:space="preserve">eview </w:t>
      </w:r>
      <w:r>
        <w:t xml:space="preserve">agrees with these submissions but </w:t>
      </w:r>
      <w:r w:rsidRPr="001F7FCA">
        <w:t>has found that, while attractive, it is not practical to develop a set of overarching objectives for the regulator until the objectives set out in</w:t>
      </w:r>
      <w:r>
        <w:t xml:space="preserve"> the</w:t>
      </w:r>
      <w:r w:rsidRPr="001F7FCA">
        <w:t xml:space="preserve"> legislation it administers are reformed.</w:t>
      </w:r>
      <w:r>
        <w:t xml:space="preserve"> A set of clear objectives would be an outcome of the regulatory reform programme recommended by this Review.</w:t>
      </w:r>
    </w:p>
    <w:p w14:paraId="05D3177C" w14:textId="2379AD1A" w:rsidR="00911774" w:rsidRDefault="00911774" w:rsidP="00911774">
      <w:r>
        <w:t>In addition, the Review recommends that t</w:t>
      </w:r>
      <w:r w:rsidRPr="001F7FCA">
        <w:t xml:space="preserve">he </w:t>
      </w:r>
      <w:r>
        <w:t>ACMA</w:t>
      </w:r>
      <w:r w:rsidRPr="001F7FCA">
        <w:t xml:space="preserve"> would b</w:t>
      </w:r>
      <w:r>
        <w:t>enefit from the provision by</w:t>
      </w:r>
      <w:r w:rsidRPr="001F7FCA">
        <w:t xml:space="preserve"> government of an annual Statement of Expectations </w:t>
      </w:r>
      <w:r>
        <w:t xml:space="preserve">to provide better guidance and certainty about the </w:t>
      </w:r>
      <w:r w:rsidR="0032139B">
        <w:t>G</w:t>
      </w:r>
      <w:r>
        <w:t>overnment’s priorities.</w:t>
      </w:r>
      <w:r w:rsidRPr="001F7FCA">
        <w:t xml:space="preserve"> </w:t>
      </w:r>
      <w:r>
        <w:t>In response, the ACMA would develop</w:t>
      </w:r>
      <w:r w:rsidRPr="001F7FCA">
        <w:t xml:space="preserve"> its own publicly available Statement of Intent. This is a standard practice for </w:t>
      </w:r>
      <w:r>
        <w:t xml:space="preserve">contemporary </w:t>
      </w:r>
      <w:r w:rsidRPr="001F7FCA">
        <w:t>regulators.</w:t>
      </w:r>
    </w:p>
    <w:p w14:paraId="0E389E6E" w14:textId="7B6C510F" w:rsidR="00911774" w:rsidRDefault="00911774" w:rsidP="00CB4DEF">
      <w:pPr>
        <w:pBdr>
          <w:top w:val="single" w:sz="4" w:space="1" w:color="auto"/>
          <w:left w:val="single" w:sz="4" w:space="4" w:color="auto"/>
          <w:bottom w:val="single" w:sz="4" w:space="1" w:color="auto"/>
          <w:right w:val="single" w:sz="4" w:space="4" w:color="auto"/>
        </w:pBdr>
        <w:shd w:val="clear" w:color="auto" w:fill="DEEAF6" w:themeFill="accent1" w:themeFillTint="33"/>
      </w:pPr>
      <w:r>
        <w:t>Draft proposal 19: That t</w:t>
      </w:r>
      <w:r w:rsidRPr="00EA0228">
        <w:t>he Minister provide</w:t>
      </w:r>
      <w:r>
        <w:t xml:space="preserve"> </w:t>
      </w:r>
      <w:r w:rsidRPr="00EA0228">
        <w:t xml:space="preserve">the ACMA with an annual </w:t>
      </w:r>
      <w:r>
        <w:t>S</w:t>
      </w:r>
      <w:r w:rsidRPr="00EA0228">
        <w:t xml:space="preserve">tatement of </w:t>
      </w:r>
      <w:r>
        <w:t>E</w:t>
      </w:r>
      <w:r w:rsidRPr="00EA0228">
        <w:t xml:space="preserve">xpectations </w:t>
      </w:r>
      <w:r>
        <w:t xml:space="preserve">and the ACMA respond by publishing a Statement of Intent outlining how it will seek to deliver on the </w:t>
      </w:r>
      <w:r w:rsidR="001B7547">
        <w:t>G</w:t>
      </w:r>
      <w:r>
        <w:t>overnment’s expectations.</w:t>
      </w:r>
    </w:p>
    <w:p w14:paraId="2D22A626" w14:textId="77777777" w:rsidR="00911774" w:rsidRDefault="00911774" w:rsidP="00CB4DEF">
      <w:pPr>
        <w:pBdr>
          <w:top w:val="single" w:sz="4" w:space="1" w:color="auto"/>
          <w:left w:val="single" w:sz="4" w:space="4" w:color="auto"/>
          <w:bottom w:val="single" w:sz="4" w:space="1" w:color="auto"/>
          <w:right w:val="single" w:sz="4" w:space="4" w:color="auto"/>
        </w:pBdr>
        <w:shd w:val="clear" w:color="auto" w:fill="DEEAF6" w:themeFill="accent1" w:themeFillTint="33"/>
      </w:pPr>
      <w:r>
        <w:t>Draft proposal 12: That, as a priority as future reform is undertaken, the government provide the ACMA with a clear set of overarching policy objectives to guide its decision-making.</w:t>
      </w:r>
    </w:p>
    <w:p w14:paraId="254CBE86" w14:textId="0DF27F43" w:rsidR="00911774" w:rsidRDefault="00911774" w:rsidP="005B5DF9">
      <w:pPr>
        <w:pStyle w:val="Heading4"/>
      </w:pPr>
      <w:bookmarkStart w:id="61" w:name="_Toc450310124"/>
      <w:bookmarkStart w:id="62" w:name="_Toc449619974"/>
      <w:r w:rsidRPr="001F7FCA">
        <w:t xml:space="preserve">Governance: A </w:t>
      </w:r>
      <w:r w:rsidR="00A60744">
        <w:t>c</w:t>
      </w:r>
      <w:r w:rsidRPr="001F7FCA">
        <w:t>ommission model of full-time, specialist members supported by associate members and sub-boards</w:t>
      </w:r>
      <w:bookmarkEnd w:id="61"/>
      <w:bookmarkEnd w:id="62"/>
    </w:p>
    <w:p w14:paraId="0C35CF6F" w14:textId="77777777" w:rsidR="00911774" w:rsidRDefault="00911774" w:rsidP="00911774">
      <w:r w:rsidRPr="001F7FCA">
        <w:t xml:space="preserve">In </w:t>
      </w:r>
      <w:r>
        <w:t xml:space="preserve">considering future </w:t>
      </w:r>
      <w:r w:rsidRPr="001F7FCA">
        <w:t xml:space="preserve">governance </w:t>
      </w:r>
      <w:r>
        <w:t xml:space="preserve">arrangements, </w:t>
      </w:r>
      <w:r w:rsidRPr="001F7FCA">
        <w:t xml:space="preserve">the </w:t>
      </w:r>
      <w:r>
        <w:t>R</w:t>
      </w:r>
      <w:r w:rsidRPr="001F7FCA">
        <w:t xml:space="preserve">eview </w:t>
      </w:r>
      <w:r>
        <w:t>analysed</w:t>
      </w:r>
      <w:r w:rsidRPr="001F7FCA">
        <w:t xml:space="preserve"> other regulators domestically and internationally, the extensive work of the OECD on governance models and was informed by the insights of the Reference Group</w:t>
      </w:r>
      <w:r>
        <w:t>, public submissions</w:t>
      </w:r>
      <w:r w:rsidRPr="001F7FCA">
        <w:t xml:space="preserve"> and the ACMA.</w:t>
      </w:r>
    </w:p>
    <w:p w14:paraId="07638402" w14:textId="2B08F0E4" w:rsidR="00911774" w:rsidRDefault="00911774" w:rsidP="00911774">
      <w:r>
        <w:t xml:space="preserve">While the current governance model has proven robust, the </w:t>
      </w:r>
      <w:r w:rsidRPr="001F7FCA">
        <w:t xml:space="preserve">increasing complexity of the communications market and the pace of technological change will require a governance structure that </w:t>
      </w:r>
      <w:r>
        <w:t xml:space="preserve">is more flexible and </w:t>
      </w:r>
      <w:r w:rsidRPr="001F7FCA">
        <w:t>supports timely and well-informed decision</w:t>
      </w:r>
      <w:r w:rsidR="00107479">
        <w:t>-</w:t>
      </w:r>
      <w:r w:rsidRPr="001F7FCA">
        <w:t>making.</w:t>
      </w:r>
      <w:r>
        <w:t xml:space="preserve"> It will require decision-makers that have a comprehensive knowledge of the communications sector and are expert regulatory practitioners. T</w:t>
      </w:r>
      <w:r w:rsidRPr="001F7FCA">
        <w:t xml:space="preserve">he </w:t>
      </w:r>
      <w:r>
        <w:t>significant changes that are occurring in the communications landscape</w:t>
      </w:r>
      <w:r w:rsidRPr="001F7FCA">
        <w:t xml:space="preserve"> requires members </w:t>
      </w:r>
      <w:r>
        <w:t xml:space="preserve">who </w:t>
      </w:r>
      <w:r w:rsidRPr="001F7FCA">
        <w:t xml:space="preserve">can consider issues across industry boundaries rather than being specialists, or participants, in a single </w:t>
      </w:r>
      <w:r>
        <w:t>sector</w:t>
      </w:r>
      <w:r w:rsidRPr="001F7FCA">
        <w:t>.</w:t>
      </w:r>
    </w:p>
    <w:p w14:paraId="0FCBFA6D" w14:textId="1B4B4163" w:rsidR="00911774" w:rsidRDefault="00911774" w:rsidP="00911774">
      <w:r w:rsidRPr="001F7FCA">
        <w:t xml:space="preserve">The </w:t>
      </w:r>
      <w:r>
        <w:t>R</w:t>
      </w:r>
      <w:r w:rsidRPr="001F7FCA">
        <w:t xml:space="preserve">eview recommends </w:t>
      </w:r>
      <w:r>
        <w:t>retaining the ACMA as an independent statutory authority with a commission structure,</w:t>
      </w:r>
      <w:r w:rsidRPr="001F7FCA">
        <w:t xml:space="preserve"> </w:t>
      </w:r>
      <w:r>
        <w:t xml:space="preserve">where commission members </w:t>
      </w:r>
      <w:r w:rsidRPr="001F7FCA">
        <w:t>make most substantive decisions. Such a model provides for a range of experience and expertise to be brought to bear on regulatory decisions in a robust but collegiate manner.</w:t>
      </w:r>
      <w:r>
        <w:t xml:space="preserve"> The commission model would be strengthened by ensuring all members are appointed on a full</w:t>
      </w:r>
      <w:r w:rsidR="00A60744">
        <w:t>-</w:t>
      </w:r>
      <w:r>
        <w:t>time basis and that the Commission, as a whole, has a range of appropriate skills and experience. These arrangements are consistent with those covering the ACCC and ASIC in Australia.</w:t>
      </w:r>
    </w:p>
    <w:p w14:paraId="1F52D5D5" w14:textId="110E17DC" w:rsidR="00911774" w:rsidRDefault="00911774" w:rsidP="00CB4DEF">
      <w:pPr>
        <w:pBdr>
          <w:top w:val="single" w:sz="4" w:space="1" w:color="auto"/>
          <w:left w:val="single" w:sz="4" w:space="4" w:color="auto"/>
          <w:bottom w:val="single" w:sz="4" w:space="1" w:color="auto"/>
          <w:right w:val="single" w:sz="4" w:space="4" w:color="auto"/>
        </w:pBdr>
        <w:shd w:val="clear" w:color="auto" w:fill="DEEAF6" w:themeFill="accent1" w:themeFillTint="33"/>
      </w:pPr>
      <w:r>
        <w:t>Draft proposal 13: That the commission model of decision</w:t>
      </w:r>
      <w:r w:rsidR="00107479">
        <w:t>-</w:t>
      </w:r>
      <w:r>
        <w:t>making be retained.</w:t>
      </w:r>
    </w:p>
    <w:p w14:paraId="47E202A0" w14:textId="77777777" w:rsidR="00911774" w:rsidRDefault="00911774" w:rsidP="00CB4DEF">
      <w:pPr>
        <w:pBdr>
          <w:top w:val="single" w:sz="4" w:space="1" w:color="auto"/>
          <w:left w:val="single" w:sz="4" w:space="4" w:color="auto"/>
          <w:bottom w:val="single" w:sz="4" w:space="1" w:color="auto"/>
          <w:right w:val="single" w:sz="4" w:space="4" w:color="auto"/>
        </w:pBdr>
        <w:shd w:val="clear" w:color="auto" w:fill="DEEAF6" w:themeFill="accent1" w:themeFillTint="33"/>
      </w:pPr>
      <w:r>
        <w:t>Draft proposal 14: That the skill set to be covered by Authority members be outlined in legislation to ensure an appropriate and diverse mix of abilities to respond to the future needs of the ACMA.</w:t>
      </w:r>
    </w:p>
    <w:p w14:paraId="448BA172" w14:textId="77777777" w:rsidR="00911774" w:rsidRDefault="00911774" w:rsidP="00CB4DEF">
      <w:pPr>
        <w:pBdr>
          <w:top w:val="single" w:sz="4" w:space="1" w:color="auto"/>
          <w:left w:val="single" w:sz="4" w:space="4" w:color="auto"/>
          <w:bottom w:val="single" w:sz="4" w:space="1" w:color="auto"/>
          <w:right w:val="single" w:sz="4" w:space="4" w:color="auto"/>
        </w:pBdr>
        <w:shd w:val="clear" w:color="auto" w:fill="DEEAF6" w:themeFill="accent1" w:themeFillTint="33"/>
      </w:pPr>
      <w:r>
        <w:t>Draft proposal 15: That all members of the Authority be appointed on a full-time basis and that the Authority consist of a Chair, a Deputy Chair and at least three other full-time members.</w:t>
      </w:r>
    </w:p>
    <w:p w14:paraId="3BBD6CC7" w14:textId="77777777" w:rsidR="00911774" w:rsidRDefault="00911774" w:rsidP="00911774">
      <w:r>
        <w:t xml:space="preserve">A number of stakeholder submissions on governance </w:t>
      </w:r>
      <w:r w:rsidRPr="001E4238">
        <w:t xml:space="preserve">proposed that the Chair and </w:t>
      </w:r>
      <w:r>
        <w:t>Chief Executive Officer (</w:t>
      </w:r>
      <w:r w:rsidRPr="001E4238">
        <w:t>CEO</w:t>
      </w:r>
      <w:r>
        <w:t>)</w:t>
      </w:r>
      <w:r w:rsidRPr="001E4238">
        <w:t xml:space="preserve"> positions be separated as </w:t>
      </w:r>
      <w:r>
        <w:t>this</w:t>
      </w:r>
      <w:r w:rsidRPr="001E4238">
        <w:t xml:space="preserve"> would allow the Chair to focus on strategic direction with the CEO responsible for administration and operational performance.</w:t>
      </w:r>
    </w:p>
    <w:p w14:paraId="6D02EA61" w14:textId="38B11B2D" w:rsidR="00911774" w:rsidRDefault="00911774" w:rsidP="00911774">
      <w:r>
        <w:t xml:space="preserve">Taking into account the requirements of the </w:t>
      </w:r>
      <w:r w:rsidRPr="001E4238">
        <w:rPr>
          <w:i/>
        </w:rPr>
        <w:t>Public Governance</w:t>
      </w:r>
      <w:r>
        <w:rPr>
          <w:i/>
        </w:rPr>
        <w:t>, Performance</w:t>
      </w:r>
      <w:r w:rsidRPr="001E4238">
        <w:rPr>
          <w:i/>
        </w:rPr>
        <w:t xml:space="preserve"> and Accountability Act 2013</w:t>
      </w:r>
      <w:r w:rsidRPr="001E4238">
        <w:t xml:space="preserve"> (PGPA</w:t>
      </w:r>
      <w:r>
        <w:t xml:space="preserve"> Act) </w:t>
      </w:r>
      <w:r w:rsidRPr="001E4238">
        <w:t xml:space="preserve">and the proposed </w:t>
      </w:r>
      <w:r w:rsidR="00A60744">
        <w:t>c</w:t>
      </w:r>
      <w:r w:rsidRPr="001E4238">
        <w:t>ommission model of collective regulatory decision-making</w:t>
      </w:r>
      <w:r>
        <w:t xml:space="preserve">, the Review considers that </w:t>
      </w:r>
      <w:r w:rsidRPr="001E4238">
        <w:t xml:space="preserve">there are benefits to </w:t>
      </w:r>
      <w:r>
        <w:t>retaining a</w:t>
      </w:r>
      <w:r w:rsidRPr="001E4238">
        <w:t xml:space="preserve"> </w:t>
      </w:r>
      <w:r>
        <w:t xml:space="preserve">model where the Chair is the Accountable Authority for the purposes of the PGPA Act, with the ability to delegate functions and responsibilities, to the extent permitted by the PGPA Act, </w:t>
      </w:r>
      <w:r w:rsidR="00701C77">
        <w:t xml:space="preserve">to </w:t>
      </w:r>
      <w:r>
        <w:t xml:space="preserve">a CEO. The Review considers this model enables </w:t>
      </w:r>
      <w:r w:rsidRPr="001E4238">
        <w:t xml:space="preserve">clearer accountability </w:t>
      </w:r>
      <w:r>
        <w:t xml:space="preserve">and faster </w:t>
      </w:r>
      <w:r w:rsidRPr="001E4238">
        <w:t>decision-making.</w:t>
      </w:r>
    </w:p>
    <w:p w14:paraId="23E66E25" w14:textId="77777777" w:rsidR="00911774" w:rsidRDefault="00911774" w:rsidP="00911774">
      <w:r w:rsidRPr="001F7FCA">
        <w:t xml:space="preserve">The </w:t>
      </w:r>
      <w:r>
        <w:t>R</w:t>
      </w:r>
      <w:r w:rsidRPr="001F7FCA">
        <w:t xml:space="preserve">eview </w:t>
      </w:r>
      <w:r>
        <w:t xml:space="preserve">also </w:t>
      </w:r>
      <w:r w:rsidRPr="001F7FCA">
        <w:t>recommends that</w:t>
      </w:r>
      <w:r>
        <w:t xml:space="preserve"> the</w:t>
      </w:r>
      <w:r w:rsidRPr="001F7FCA">
        <w:t xml:space="preserve"> expertise of the Authority would be enhanced, where required, by </w:t>
      </w:r>
      <w:r>
        <w:t xml:space="preserve">the </w:t>
      </w:r>
      <w:r w:rsidRPr="001F7FCA">
        <w:t>appointment of associate members. Sub-boards could also</w:t>
      </w:r>
      <w:r>
        <w:t xml:space="preserve"> be</w:t>
      </w:r>
      <w:r w:rsidRPr="001F7FCA">
        <w:t xml:space="preserve"> established by the Authority where it considered that subject matter experts</w:t>
      </w:r>
      <w:r>
        <w:t>, typically appointed on a part-time or ad hoc basis,</w:t>
      </w:r>
      <w:r w:rsidRPr="001F7FCA">
        <w:t xml:space="preserve"> could manage issues with </w:t>
      </w:r>
      <w:r>
        <w:t>an Authority member providing oversight as the Chair of the sub-board</w:t>
      </w:r>
      <w:r w:rsidRPr="001F7FCA">
        <w:t>.</w:t>
      </w:r>
    </w:p>
    <w:p w14:paraId="5A1C524A" w14:textId="77777777" w:rsidR="00911774" w:rsidRDefault="00911774" w:rsidP="00CB4DEF">
      <w:pPr>
        <w:pBdr>
          <w:top w:val="single" w:sz="4" w:space="1" w:color="auto"/>
          <w:left w:val="single" w:sz="4" w:space="4" w:color="auto"/>
          <w:bottom w:val="single" w:sz="4" w:space="1" w:color="auto"/>
          <w:right w:val="single" w:sz="4" w:space="4" w:color="auto"/>
        </w:pBdr>
        <w:shd w:val="clear" w:color="auto" w:fill="DEEAF6" w:themeFill="accent1" w:themeFillTint="33"/>
      </w:pPr>
      <w:r>
        <w:t>Draft proposal 16: That the existing arrangements are maintained where the Chair is the Accountable Authority with an ability</w:t>
      </w:r>
      <w:r w:rsidDel="00806130">
        <w:t xml:space="preserve"> </w:t>
      </w:r>
      <w:r>
        <w:t>to delegate</w:t>
      </w:r>
      <w:r w:rsidRPr="007C2F68">
        <w:t xml:space="preserve"> </w:t>
      </w:r>
      <w:r>
        <w:t>powers, duties and functions, to the extent permitted by the PGPA Act, to a CEO.</w:t>
      </w:r>
    </w:p>
    <w:p w14:paraId="0B8DBA5A" w14:textId="7D6C6503" w:rsidR="00911774" w:rsidRDefault="00911774" w:rsidP="00CB4DEF">
      <w:pPr>
        <w:pBdr>
          <w:top w:val="single" w:sz="4" w:space="1" w:color="auto"/>
          <w:left w:val="single" w:sz="4" w:space="4" w:color="auto"/>
          <w:bottom w:val="single" w:sz="4" w:space="1" w:color="auto"/>
          <w:right w:val="single" w:sz="4" w:space="4" w:color="auto"/>
        </w:pBdr>
        <w:shd w:val="clear" w:color="auto" w:fill="DEEAF6" w:themeFill="accent1" w:themeFillTint="33"/>
      </w:pPr>
      <w:r w:rsidRPr="0080134F">
        <w:t xml:space="preserve">Draft proposal 17: </w:t>
      </w:r>
      <w:r w:rsidRPr="00B7741E">
        <w:t>That provision be made in the ACMA Act for the Authority to establish sub-boards to manage subject matter not requiring the full commitment of the Authority, or to manage issues that would otherwise diminish the Authority’s capacity to focus on its key decision</w:t>
      </w:r>
      <w:r w:rsidR="00107479">
        <w:t>-</w:t>
      </w:r>
      <w:r w:rsidRPr="00B7741E">
        <w:t>making or direction setting responsibilities. That the Chair of any such sub-boards be a member of the Authority but not be the Chair of the Authority.</w:t>
      </w:r>
    </w:p>
    <w:p w14:paraId="5732BD86" w14:textId="77777777" w:rsidR="00911774" w:rsidRPr="001F7FCA" w:rsidRDefault="00911774" w:rsidP="005B5DF9">
      <w:pPr>
        <w:pStyle w:val="Heading4"/>
      </w:pPr>
      <w:bookmarkStart w:id="63" w:name="_Toc445810557"/>
      <w:bookmarkStart w:id="64" w:name="_Toc449432085"/>
      <w:bookmarkStart w:id="65" w:name="_Toc449438553"/>
      <w:bookmarkStart w:id="66" w:name="_Toc449619975"/>
      <w:bookmarkStart w:id="67" w:name="_Toc450310125"/>
      <w:r w:rsidRPr="00D272AA">
        <w:rPr>
          <w:rFonts w:eastAsia="Cambria"/>
        </w:rPr>
        <w:t>Regulator Performance and Resourcing</w:t>
      </w:r>
      <w:bookmarkEnd w:id="63"/>
      <w:bookmarkEnd w:id="64"/>
      <w:bookmarkEnd w:id="65"/>
      <w:bookmarkEnd w:id="66"/>
      <w:bookmarkEnd w:id="67"/>
    </w:p>
    <w:p w14:paraId="509DABAC" w14:textId="77777777" w:rsidR="00911774" w:rsidRPr="001F7FCA" w:rsidRDefault="00911774" w:rsidP="00911774">
      <w:r w:rsidRPr="001F7FCA">
        <w:t>As required under its T</w:t>
      </w:r>
      <w:r>
        <w:t xml:space="preserve">erms of </w:t>
      </w:r>
      <w:r w:rsidRPr="001F7FCA">
        <w:t>R</w:t>
      </w:r>
      <w:r>
        <w:t>eference</w:t>
      </w:r>
      <w:r w:rsidRPr="001F7FCA">
        <w:t xml:space="preserve">, the </w:t>
      </w:r>
      <w:r>
        <w:t>R</w:t>
      </w:r>
      <w:r w:rsidRPr="001F7FCA">
        <w:t xml:space="preserve">eview has also considered the current performance and resourcing of the </w:t>
      </w:r>
      <w:r>
        <w:t>ACMA</w:t>
      </w:r>
      <w:r w:rsidRPr="001F7FCA">
        <w:t>.</w:t>
      </w:r>
    </w:p>
    <w:p w14:paraId="4BCFD833" w14:textId="77777777" w:rsidR="00911774" w:rsidRPr="001F7FCA" w:rsidRDefault="00911774" w:rsidP="00911774">
      <w:r w:rsidRPr="001F7FCA">
        <w:t xml:space="preserve">The </w:t>
      </w:r>
      <w:r>
        <w:t>R</w:t>
      </w:r>
      <w:r w:rsidRPr="001F7FCA">
        <w:t xml:space="preserve">eview used various sources to consider performance including stakeholder submissions and consultations, a self-assessment by the ACMA against the Government’s </w:t>
      </w:r>
      <w:r w:rsidRPr="004163F3">
        <w:rPr>
          <w:i/>
        </w:rPr>
        <w:t>Regulator Performance Framework</w:t>
      </w:r>
      <w:r w:rsidRPr="001F7FCA">
        <w:t xml:space="preserve">, comparative information from the Reference Group as well as empirical and qualitative information </w:t>
      </w:r>
      <w:r>
        <w:t>gathered by</w:t>
      </w:r>
      <w:r w:rsidRPr="001F7FCA">
        <w:t xml:space="preserve"> the ACMA specifically for the </w:t>
      </w:r>
      <w:r>
        <w:t>R</w:t>
      </w:r>
      <w:r w:rsidRPr="001F7FCA">
        <w:t xml:space="preserve">eview. In looking at resource allocation, the </w:t>
      </w:r>
      <w:r>
        <w:t>R</w:t>
      </w:r>
      <w:r w:rsidRPr="001F7FCA">
        <w:t>eview undertook detailed analysis of resourcing by function and compared this against international and domestic regulators.</w:t>
      </w:r>
    </w:p>
    <w:p w14:paraId="7FA5F9E2" w14:textId="295ACD3E" w:rsidR="00911774" w:rsidRPr="001F7FCA" w:rsidRDefault="00911774" w:rsidP="00911774">
      <w:r w:rsidRPr="001F7FCA">
        <w:t xml:space="preserve">The </w:t>
      </w:r>
      <w:r>
        <w:t>R</w:t>
      </w:r>
      <w:r w:rsidRPr="001F7FCA">
        <w:t xml:space="preserve">eview concludes that the ACMA has performed well and efficiently in its operations, with steady improvements in important areas of business processes over the last ten years. It has developed </w:t>
      </w:r>
      <w:r>
        <w:t>sound</w:t>
      </w:r>
      <w:r w:rsidRPr="001F7FCA">
        <w:t xml:space="preserve"> approaches to regulatory issues and has a strong international reputation in areas such as spectrum management. It has pursued efficiencies in corporate and business process</w:t>
      </w:r>
      <w:r w:rsidR="00701C77">
        <w:t>es</w:t>
      </w:r>
      <w:r w:rsidRPr="001F7FCA">
        <w:t xml:space="preserve"> and adjusted its structure as its resource base has declined over time. Its regulatory decision-making has been sound and supported by evidence.</w:t>
      </w:r>
    </w:p>
    <w:p w14:paraId="1D705FBF" w14:textId="5681B565" w:rsidR="00911774" w:rsidRDefault="00911774" w:rsidP="00911774">
      <w:r w:rsidRPr="001F7FCA">
        <w:t xml:space="preserve">The </w:t>
      </w:r>
      <w:r>
        <w:t>R</w:t>
      </w:r>
      <w:r w:rsidRPr="001F7FCA">
        <w:t xml:space="preserve">eview finds improvements could be made to the ACMA’s timeliness of decision-making, transparency of Authority decision-making processes, </w:t>
      </w:r>
      <w:r>
        <w:t>consistency of process for major rule-making and planning activities,</w:t>
      </w:r>
      <w:r w:rsidRPr="001F7FCA">
        <w:t xml:space="preserve"> and approaches to continuous improvement of the regulatory framework. These areas for improvement become even more critical </w:t>
      </w:r>
      <w:r>
        <w:t>in</w:t>
      </w:r>
      <w:r w:rsidRPr="001F7FCA">
        <w:t xml:space="preserve"> the future communications </w:t>
      </w:r>
      <w:r>
        <w:t>market</w:t>
      </w:r>
      <w:r w:rsidRPr="001F7FCA">
        <w:t xml:space="preserve"> a</w:t>
      </w:r>
      <w:r>
        <w:t>nd form the basis for four regulator</w:t>
      </w:r>
      <w:r w:rsidRPr="001F7FCA">
        <w:t xml:space="preserve"> principles recommended by the </w:t>
      </w:r>
      <w:r>
        <w:t>R</w:t>
      </w:r>
      <w:r w:rsidRPr="001F7FCA">
        <w:t>eview.</w:t>
      </w:r>
      <w:r>
        <w:t xml:space="preserve"> The Review also makes several recommendations to improve the timeliness and transparency of decision-making processes. These are further detailed in Part </w:t>
      </w:r>
      <w:r w:rsidR="00A60744">
        <w:t>Three</w:t>
      </w:r>
      <w:r>
        <w:t xml:space="preserve"> and </w:t>
      </w:r>
      <w:r w:rsidRPr="00B7741E">
        <w:rPr>
          <w:u w:val="single"/>
        </w:rPr>
        <w:t xml:space="preserve">Appendix </w:t>
      </w:r>
      <w:r>
        <w:rPr>
          <w:u w:val="single"/>
        </w:rPr>
        <w:t>B</w:t>
      </w:r>
      <w:r>
        <w:t>.</w:t>
      </w:r>
    </w:p>
    <w:p w14:paraId="7B15D39D" w14:textId="01415BA9" w:rsidR="00911774" w:rsidRDefault="00911774" w:rsidP="00CB4DEF">
      <w:pPr>
        <w:pBdr>
          <w:top w:val="single" w:sz="4" w:space="1" w:color="auto"/>
          <w:left w:val="single" w:sz="4" w:space="4" w:color="auto"/>
          <w:bottom w:val="single" w:sz="4" w:space="1" w:color="auto"/>
          <w:right w:val="single" w:sz="4" w:space="4" w:color="auto"/>
        </w:pBdr>
        <w:shd w:val="clear" w:color="auto" w:fill="DEEAF6" w:themeFill="accent1" w:themeFillTint="33"/>
      </w:pPr>
      <w:r>
        <w:t xml:space="preserve">Draft proposals 21, 22, 23 </w:t>
      </w:r>
      <w:r w:rsidR="00626C73">
        <w:t>and</w:t>
      </w:r>
      <w:r>
        <w:t xml:space="preserve"> 24:</w:t>
      </w:r>
    </w:p>
    <w:p w14:paraId="0F6414D7" w14:textId="43661CFD" w:rsidR="00911774" w:rsidRDefault="00911774" w:rsidP="00CB4DEF">
      <w:pPr>
        <w:pBdr>
          <w:top w:val="single" w:sz="4" w:space="1" w:color="auto"/>
          <w:left w:val="single" w:sz="4" w:space="4" w:color="auto"/>
          <w:bottom w:val="single" w:sz="4" w:space="1" w:color="auto"/>
          <w:right w:val="single" w:sz="4" w:space="4" w:color="auto"/>
        </w:pBdr>
        <w:shd w:val="clear" w:color="auto" w:fill="DEEAF6" w:themeFill="accent1" w:themeFillTint="33"/>
      </w:pPr>
      <w:r>
        <w:t>That the ACMA undertake a range of measures to improve its timeliness and transparency, including reporting on steps taken to improve the transparency and consistency of its decision-making processes and</w:t>
      </w:r>
      <w:r w:rsidR="00CE746B">
        <w:t>,</w:t>
      </w:r>
      <w:r>
        <w:t xml:space="preserve"> every two years</w:t>
      </w:r>
      <w:r w:rsidR="00CE746B">
        <w:t>,</w:t>
      </w:r>
      <w:r>
        <w:t xml:space="preserve"> on actions to reduce regulatory burden.</w:t>
      </w:r>
    </w:p>
    <w:p w14:paraId="0D8037AD" w14:textId="77777777" w:rsidR="00911774" w:rsidRPr="00957A82" w:rsidRDefault="00911774" w:rsidP="005B5DF9">
      <w:pPr>
        <w:pStyle w:val="Heading5"/>
      </w:pPr>
      <w:r w:rsidRPr="00957A82">
        <w:t>Regulator principles</w:t>
      </w:r>
    </w:p>
    <w:p w14:paraId="0AE4AAD6" w14:textId="77777777" w:rsidR="00911774" w:rsidRPr="001F7FCA" w:rsidRDefault="00911774" w:rsidP="005B5DF9">
      <w:pPr>
        <w:keepNext/>
      </w:pPr>
      <w:r>
        <w:t xml:space="preserve">Drawing on the Review’s assessment of the ACMA’s performance described above, it is recommended that </w:t>
      </w:r>
      <w:r w:rsidRPr="001F7FCA">
        <w:t xml:space="preserve">government and the Parliament should provide greater guidance to the regulator about its expectations of </w:t>
      </w:r>
      <w:r w:rsidRPr="000E705C">
        <w:t xml:space="preserve">its </w:t>
      </w:r>
      <w:r w:rsidRPr="00957A82">
        <w:t>performance outcomes</w:t>
      </w:r>
      <w:r w:rsidRPr="001F7FCA">
        <w:t xml:space="preserve">, i.e. how it should administer regulation. Taking into account the future communications environment, the </w:t>
      </w:r>
      <w:r>
        <w:t>R</w:t>
      </w:r>
      <w:r w:rsidRPr="001F7FCA">
        <w:t>eview propose</w:t>
      </w:r>
      <w:r>
        <w:t>s</w:t>
      </w:r>
      <w:r w:rsidRPr="001F7FCA">
        <w:t xml:space="preserve"> four desired performance outcomes for </w:t>
      </w:r>
      <w:r>
        <w:t>the ACMA</w:t>
      </w:r>
      <w:r w:rsidRPr="001F7FCA">
        <w:t>:</w:t>
      </w:r>
    </w:p>
    <w:p w14:paraId="017A960F" w14:textId="77777777" w:rsidR="00911774" w:rsidRPr="001F7FCA" w:rsidRDefault="00911774" w:rsidP="005B5DF9">
      <w:pPr>
        <w:pStyle w:val="Bulletlevel1"/>
        <w:keepNext/>
      </w:pPr>
      <w:r w:rsidRPr="001F7FCA">
        <w:t>Agile, timely and informed decision-maker;</w:t>
      </w:r>
    </w:p>
    <w:p w14:paraId="56DB6768" w14:textId="77777777" w:rsidR="00911774" w:rsidRPr="001F7FCA" w:rsidRDefault="00911774" w:rsidP="005B5DF9">
      <w:pPr>
        <w:pStyle w:val="Bulletlevel1"/>
        <w:keepNext/>
      </w:pPr>
      <w:r w:rsidRPr="001F7FCA">
        <w:t>Actions are targeted and commensurate with risk;</w:t>
      </w:r>
    </w:p>
    <w:p w14:paraId="3A1AF632" w14:textId="77777777" w:rsidR="00911774" w:rsidRPr="001F7FCA" w:rsidRDefault="00911774" w:rsidP="005B5DF9">
      <w:pPr>
        <w:pStyle w:val="Bulletlevel1"/>
        <w:keepNext/>
      </w:pPr>
      <w:r w:rsidRPr="001F7FCA">
        <w:t>Delivers continuous improvements of regulatory frameworks; and</w:t>
      </w:r>
    </w:p>
    <w:p w14:paraId="3763B34E" w14:textId="77777777" w:rsidR="00911774" w:rsidRPr="001F7FCA" w:rsidRDefault="00911774" w:rsidP="00911774">
      <w:pPr>
        <w:pStyle w:val="Bulletlevel1"/>
      </w:pPr>
      <w:r w:rsidRPr="001F7FCA">
        <w:t>Has the trust and confidence of stakeholders.</w:t>
      </w:r>
    </w:p>
    <w:p w14:paraId="06E29AB2" w14:textId="0C8FBD5C" w:rsidR="00911774" w:rsidRDefault="00911774" w:rsidP="00911774">
      <w:r w:rsidRPr="001F7FCA">
        <w:t xml:space="preserve">The </w:t>
      </w:r>
      <w:r>
        <w:t>R</w:t>
      </w:r>
      <w:r w:rsidRPr="001F7FCA">
        <w:t xml:space="preserve">eview </w:t>
      </w:r>
      <w:r>
        <w:t xml:space="preserve">consequently </w:t>
      </w:r>
      <w:r w:rsidRPr="001F7FCA">
        <w:t xml:space="preserve">recommends </w:t>
      </w:r>
      <w:r>
        <w:t xml:space="preserve">a number of </w:t>
      </w:r>
      <w:r w:rsidRPr="001F7FCA">
        <w:t>performance principles be included in the ACMA Act to provide certainty to the regulator of expectations of its performance.</w:t>
      </w:r>
      <w:r w:rsidR="00753F93">
        <w:t xml:space="preserve"> Similar principles have been enacted in legislation to provide guidance to </w:t>
      </w:r>
      <w:r w:rsidR="006D1BA4">
        <w:t xml:space="preserve">international </w:t>
      </w:r>
      <w:r w:rsidR="00753F93">
        <w:t>regulators (such as Of</w:t>
      </w:r>
      <w:r w:rsidR="009E2A80">
        <w:t>c</w:t>
      </w:r>
      <w:r w:rsidR="00753F93">
        <w:t xml:space="preserve">om in the UK) and </w:t>
      </w:r>
      <w:r w:rsidR="006D1BA4">
        <w:t>domestic regulators</w:t>
      </w:r>
      <w:r w:rsidR="00753F93">
        <w:t xml:space="preserve"> (such as the Australian Securities and Investments Commission).</w:t>
      </w:r>
      <w:r w:rsidRPr="001F7FCA">
        <w:t xml:space="preserve"> These </w:t>
      </w:r>
      <w:r>
        <w:t xml:space="preserve">are further detailed in Part </w:t>
      </w:r>
      <w:r w:rsidR="00A60744">
        <w:t>Three</w:t>
      </w:r>
      <w:r>
        <w:t xml:space="preserve"> and </w:t>
      </w:r>
      <w:r w:rsidRPr="00B7741E">
        <w:rPr>
          <w:u w:val="single"/>
        </w:rPr>
        <w:t xml:space="preserve">Appendix </w:t>
      </w:r>
      <w:r>
        <w:rPr>
          <w:u w:val="single"/>
        </w:rPr>
        <w:t>B</w:t>
      </w:r>
      <w:r>
        <w:t>.</w:t>
      </w:r>
    </w:p>
    <w:p w14:paraId="3E554C98" w14:textId="77777777" w:rsidR="00911774" w:rsidRDefault="00911774" w:rsidP="00CB4DEF">
      <w:pPr>
        <w:pBdr>
          <w:top w:val="single" w:sz="4" w:space="1" w:color="auto"/>
          <w:left w:val="single" w:sz="4" w:space="4" w:color="auto"/>
          <w:bottom w:val="single" w:sz="4" w:space="1" w:color="auto"/>
          <w:right w:val="single" w:sz="4" w:space="4" w:color="auto"/>
        </w:pBdr>
        <w:shd w:val="clear" w:color="auto" w:fill="DEEAF6" w:themeFill="accent1" w:themeFillTint="33"/>
      </w:pPr>
      <w:r w:rsidRPr="002E6778">
        <w:t xml:space="preserve">Draft proposal </w:t>
      </w:r>
      <w:r>
        <w:t>18</w:t>
      </w:r>
      <w:r w:rsidRPr="002E6778">
        <w:t xml:space="preserve">: That the ACMA Act be amended to include regulator principles to identify expectations as to the regulator’s performance. These would be directed towards ensuring the regulator takes a risk-based approach to regulation, </w:t>
      </w:r>
      <w:r>
        <w:t>pursues continuous improvement</w:t>
      </w:r>
      <w:r w:rsidRPr="002E6778">
        <w:t xml:space="preserve">, is transparent and </w:t>
      </w:r>
      <w:r>
        <w:t>has regard</w:t>
      </w:r>
      <w:r w:rsidRPr="002E6778">
        <w:t xml:space="preserve"> </w:t>
      </w:r>
      <w:r>
        <w:t>to the impact of its decisions on</w:t>
      </w:r>
      <w:r w:rsidRPr="002E6778">
        <w:t xml:space="preserve"> competition, innovation </w:t>
      </w:r>
      <w:r>
        <w:t>and</w:t>
      </w:r>
      <w:r w:rsidRPr="002E6778">
        <w:t xml:space="preserve"> efficient investment.</w:t>
      </w:r>
    </w:p>
    <w:p w14:paraId="69684A51" w14:textId="77777777" w:rsidR="00911774" w:rsidRPr="007A258E" w:rsidRDefault="00911774" w:rsidP="005B5DF9">
      <w:pPr>
        <w:pStyle w:val="Heading5"/>
      </w:pPr>
      <w:r w:rsidRPr="007A258E">
        <w:t>Resourcing</w:t>
      </w:r>
    </w:p>
    <w:p w14:paraId="60F8033B" w14:textId="77777777" w:rsidR="00911774" w:rsidRPr="001F7FCA" w:rsidRDefault="00911774" w:rsidP="00911774">
      <w:r w:rsidRPr="001F7FCA">
        <w:t>The ACMA’s current resource</w:t>
      </w:r>
      <w:r>
        <w:t xml:space="preserve"> base</w:t>
      </w:r>
      <w:r w:rsidRPr="001F7FCA">
        <w:t xml:space="preserve"> compares well to cost indicators in domestic regulatory agencies and its total budget with a number of international regulators. However, in comparing regulator expenditure to population size, the ACMA</w:t>
      </w:r>
      <w:r>
        <w:t>’</w:t>
      </w:r>
      <w:r w:rsidRPr="001F7FCA">
        <w:t>s</w:t>
      </w:r>
      <w:r>
        <w:t xml:space="preserve"> costs appear</w:t>
      </w:r>
      <w:r w:rsidRPr="001F7FCA">
        <w:t xml:space="preserve"> significantly higher than international regulators. The </w:t>
      </w:r>
      <w:r>
        <w:t>Re</w:t>
      </w:r>
      <w:r w:rsidRPr="001F7FCA">
        <w:t>view notes that this may be a reflection of the regulatory framework being more extensive in Australia rather than the efficiency of the regulator</w:t>
      </w:r>
      <w:r>
        <w:t>,</w:t>
      </w:r>
      <w:r w:rsidRPr="001F7FCA">
        <w:t xml:space="preserve"> but may be a useful area for further analysis</w:t>
      </w:r>
      <w:r>
        <w:t xml:space="preserve"> by the ACMA</w:t>
      </w:r>
      <w:r w:rsidRPr="001F7FCA">
        <w:t>.</w:t>
      </w:r>
    </w:p>
    <w:p w14:paraId="25A0C74D" w14:textId="0160278D" w:rsidR="00911774" w:rsidRDefault="00911774" w:rsidP="00911774">
      <w:r w:rsidRPr="001F7FCA">
        <w:t xml:space="preserve">The </w:t>
      </w:r>
      <w:r>
        <w:t>R</w:t>
      </w:r>
      <w:r w:rsidRPr="001F7FCA">
        <w:t xml:space="preserve">eview also recommends that it would be timely to review the policy objectives behind </w:t>
      </w:r>
      <w:r w:rsidR="00701C77">
        <w:t>the</w:t>
      </w:r>
      <w:r w:rsidR="00701C77" w:rsidRPr="001F7FCA">
        <w:t xml:space="preserve"> </w:t>
      </w:r>
      <w:r w:rsidRPr="001F7FCA">
        <w:t>application of taxes, charges, levies and cost-recovery arrangements across the communications sector to ensure they remain fit-for-purpose.</w:t>
      </w:r>
    </w:p>
    <w:p w14:paraId="240A98C9" w14:textId="0E0EBB98" w:rsidR="00911774" w:rsidRDefault="00911774" w:rsidP="00CB4DEF">
      <w:pPr>
        <w:pBdr>
          <w:top w:val="single" w:sz="4" w:space="1" w:color="auto"/>
          <w:left w:val="single" w:sz="4" w:space="4" w:color="auto"/>
          <w:bottom w:val="single" w:sz="4" w:space="1" w:color="auto"/>
          <w:right w:val="single" w:sz="4" w:space="4" w:color="auto"/>
        </w:pBdr>
        <w:shd w:val="clear" w:color="auto" w:fill="DEEAF6" w:themeFill="accent1" w:themeFillTint="33"/>
      </w:pPr>
      <w:r>
        <w:t>Draft proposal 2</w:t>
      </w:r>
      <w:r w:rsidR="00CE746B">
        <w:t>5</w:t>
      </w:r>
      <w:r>
        <w:t>: That it would be timely to review the policy objectives of revenue collection from the communications sector and evaluate whether new business models and OTT services are contributing appropriately.</w:t>
      </w:r>
    </w:p>
    <w:p w14:paraId="45941942" w14:textId="663F6127" w:rsidR="00911774" w:rsidRDefault="00911774" w:rsidP="00CB4DEF">
      <w:pPr>
        <w:pBdr>
          <w:top w:val="single" w:sz="4" w:space="1" w:color="auto"/>
          <w:left w:val="single" w:sz="4" w:space="4" w:color="auto"/>
          <w:bottom w:val="single" w:sz="4" w:space="1" w:color="auto"/>
          <w:right w:val="single" w:sz="4" w:space="4" w:color="auto"/>
        </w:pBdr>
        <w:shd w:val="clear" w:color="auto" w:fill="DEEAF6" w:themeFill="accent1" w:themeFillTint="33"/>
      </w:pPr>
      <w:r>
        <w:t>Draft proposal 2</w:t>
      </w:r>
      <w:r w:rsidR="00CE746B">
        <w:t>6</w:t>
      </w:r>
      <w:r>
        <w:t>: That the ACMA should further analyse its cost base, in light of the proposed function changes, to ensure it is efficiently delivering on its responsibilities and minimising costs to industry.</w:t>
      </w:r>
    </w:p>
    <w:p w14:paraId="5D99C254" w14:textId="77777777" w:rsidR="00911774" w:rsidRPr="00D272AA" w:rsidRDefault="00911774" w:rsidP="005B5DF9">
      <w:pPr>
        <w:pStyle w:val="Heading3"/>
        <w:rPr>
          <w:rFonts w:eastAsia="Cambria"/>
        </w:rPr>
      </w:pPr>
      <w:bookmarkStart w:id="68" w:name="_Toc445810558"/>
      <w:bookmarkStart w:id="69" w:name="_Toc449432086"/>
      <w:bookmarkStart w:id="70" w:name="_Toc449438554"/>
      <w:bookmarkStart w:id="71" w:name="_Toc450310126"/>
      <w:r>
        <w:rPr>
          <w:rFonts w:eastAsia="Cambria"/>
        </w:rPr>
        <w:t xml:space="preserve">Reform of the Communications </w:t>
      </w:r>
      <w:r w:rsidRPr="00D272AA">
        <w:rPr>
          <w:rFonts w:eastAsia="Cambria"/>
        </w:rPr>
        <w:t>Regulatory Framework</w:t>
      </w:r>
      <w:bookmarkEnd w:id="68"/>
      <w:bookmarkEnd w:id="69"/>
      <w:bookmarkEnd w:id="70"/>
      <w:bookmarkEnd w:id="71"/>
    </w:p>
    <w:p w14:paraId="6EC10A0C" w14:textId="77777777" w:rsidR="00911774" w:rsidRPr="001F7FCA" w:rsidRDefault="00911774" w:rsidP="00911774">
      <w:r w:rsidRPr="001F7FCA">
        <w:t xml:space="preserve">Finally, the </w:t>
      </w:r>
      <w:r>
        <w:t>R</w:t>
      </w:r>
      <w:r w:rsidRPr="001F7FCA">
        <w:t xml:space="preserve">eview recognises that the performance of the regulator is significantly impacted by the regulation that it administers. Poorly designed, excessively detailed or out-of-date legislation can lie behind regulator performance issues. </w:t>
      </w:r>
      <w:r>
        <w:t>A number of industry submissions highlighted the need for a regulatory regime that would better enable the regulator to do its job efficiently and effectively.</w:t>
      </w:r>
    </w:p>
    <w:p w14:paraId="7EAB6006" w14:textId="77777777" w:rsidR="00911774" w:rsidRDefault="00911774" w:rsidP="00911774">
      <w:r w:rsidRPr="001F7FCA">
        <w:t xml:space="preserve">The Australian communications industry is at an extraordinary point in its history. Never before has it been more important to economic growth and social cohesion. Never before have Australians had access to the diversity of content and services now available to them, and never have they expected more from them. </w:t>
      </w:r>
      <w:r>
        <w:t>It</w:t>
      </w:r>
      <w:r w:rsidRPr="001F7FCA">
        <w:t xml:space="preserve"> is also the case that never before has the Australian industry faced the level of competition from global players that do not carry </w:t>
      </w:r>
      <w:r>
        <w:t xml:space="preserve">equivalent </w:t>
      </w:r>
      <w:r w:rsidRPr="001F7FCA">
        <w:t>investment or regulatory costs.</w:t>
      </w:r>
    </w:p>
    <w:p w14:paraId="0F8FB527" w14:textId="77777777" w:rsidR="00911774" w:rsidRPr="001F7FCA" w:rsidRDefault="00911774" w:rsidP="00911774">
      <w:r>
        <w:t>The ACMA has a unique remit which involves the delivery of both economic and social objectives by the communications sector. Its ability to deliver these outcomes is reliant on the regulatory objectives, tools and processes embedded in the regulatory framework for which it is responsible.</w:t>
      </w:r>
    </w:p>
    <w:p w14:paraId="17254D19" w14:textId="77777777" w:rsidR="00EB2B81" w:rsidRDefault="00911774" w:rsidP="00911774">
      <w:r>
        <w:t>The</w:t>
      </w:r>
      <w:r w:rsidRPr="001F7FCA">
        <w:t xml:space="preserve"> regulatory framework has not kept pace with </w:t>
      </w:r>
      <w:r>
        <w:t>the</w:t>
      </w:r>
      <w:r w:rsidRPr="001F7FCA">
        <w:t xml:space="preserve"> seismic shifts</w:t>
      </w:r>
      <w:r>
        <w:t xml:space="preserve"> in the sector in recent years</w:t>
      </w:r>
      <w:r w:rsidRPr="001F7FCA">
        <w:t xml:space="preserve">. Only minimal changes were made to the underlying communications regulatory frameworks in 2005 when the ACMA was established, meaning that </w:t>
      </w:r>
      <w:r>
        <w:t xml:space="preserve">much of the </w:t>
      </w:r>
      <w:r w:rsidRPr="001F7FCA">
        <w:t>current regulation of the communications sector is substantially more than 20 years old.</w:t>
      </w:r>
      <w:r>
        <w:t xml:space="preserve"> While a reform process has commenced in some areas, with the Spectrum and Vertigan Reviews and the recent decision to examine telecommunications consumer regulation, including the USO, the ageing regulatory regime still maintains a distinction in many areas between delivery technologies which no-longer exist and places excessive emphasis on traditional broadcasting and telecommunications providers to achieve public policy outcomes.</w:t>
      </w:r>
    </w:p>
    <w:p w14:paraId="0D0B66D7" w14:textId="77777777" w:rsidR="00911774" w:rsidRDefault="00911774" w:rsidP="00911774">
      <w:r>
        <w:t xml:space="preserve">Feedback from submitters and an examination of </w:t>
      </w:r>
      <w:r w:rsidRPr="001F7FCA">
        <w:t>the underlying regulation administer</w:t>
      </w:r>
      <w:r>
        <w:t>ed</w:t>
      </w:r>
      <w:r w:rsidRPr="001F7FCA">
        <w:t xml:space="preserve"> </w:t>
      </w:r>
      <w:r>
        <w:t>by the ACMA demonstrates the regulatory regime</w:t>
      </w:r>
      <w:r w:rsidRPr="001F7FCA">
        <w:t xml:space="preserve"> is no longer fit-for-purpose.</w:t>
      </w:r>
      <w:r>
        <w:t xml:space="preserve"> Public policy goals could be achieved more effectively and at a lower cost to industry if a more coherent and streamlined regulatory regime was established. A more flexible and technology neutral regulatory regime would also better support the communications sector achieve its full potential as an enabler of innovation and productivity growth across the economy.</w:t>
      </w:r>
    </w:p>
    <w:p w14:paraId="097506C6" w14:textId="426C11DC" w:rsidR="00911774" w:rsidRPr="001F7FCA" w:rsidRDefault="00911774" w:rsidP="00911774">
      <w:r>
        <w:t xml:space="preserve">Achieving this goal would require a regulatory reform process that considered the public policy objectives that are likely to endure in the communications sector. </w:t>
      </w:r>
      <w:r w:rsidRPr="001F7FCA">
        <w:t xml:space="preserve">In </w:t>
      </w:r>
      <w:r w:rsidR="0032139B">
        <w:t>November 2013</w:t>
      </w:r>
      <w:r w:rsidRPr="001F7FCA">
        <w:t xml:space="preserve">, the Department released </w:t>
      </w:r>
      <w:r w:rsidRPr="001F7FCA">
        <w:rPr>
          <w:i/>
        </w:rPr>
        <w:t xml:space="preserve">Deregulation in the </w:t>
      </w:r>
      <w:r>
        <w:rPr>
          <w:i/>
        </w:rPr>
        <w:t>C</w:t>
      </w:r>
      <w:r w:rsidRPr="001F7FCA">
        <w:rPr>
          <w:i/>
        </w:rPr>
        <w:t>ommunications Portfolio Policy Background Paper No 1</w:t>
      </w:r>
      <w:r w:rsidRPr="001F7FCA">
        <w:t xml:space="preserve"> which, building on previous work of the ACMA</w:t>
      </w:r>
      <w:r>
        <w:t>,</w:t>
      </w:r>
      <w:r w:rsidRPr="001F7FCA">
        <w:t xml:space="preserve"> aimed to identify “the broad groups of public policy objectives for the communications sector that have stood the test of time, regardless of changes in technology and consider the rationale for present and future intervention”</w:t>
      </w:r>
      <w:r w:rsidRPr="001F7FCA">
        <w:rPr>
          <w:vertAlign w:val="superscript"/>
        </w:rPr>
        <w:footnoteReference w:id="7"/>
      </w:r>
      <w:r>
        <w:t>. These can be summarised as</w:t>
      </w:r>
      <w:r w:rsidR="00701C77">
        <w:t xml:space="preserve"> follows</w:t>
      </w:r>
      <w:r>
        <w:t>:</w:t>
      </w:r>
    </w:p>
    <w:p w14:paraId="6991840A" w14:textId="77777777" w:rsidR="00911774" w:rsidRPr="001F7FCA" w:rsidRDefault="00911774" w:rsidP="00113CF9">
      <w:pPr>
        <w:pStyle w:val="Bulletlevel1"/>
      </w:pPr>
      <w:r w:rsidRPr="001F7FCA">
        <w:rPr>
          <w:b/>
        </w:rPr>
        <w:t>Access to services / participation in society.</w:t>
      </w:r>
      <w:r w:rsidRPr="001F7FCA">
        <w:t xml:space="preserve"> Citizens should enjoy reasonable and equitable access to communications infrastructure, services and the content necessary to </w:t>
      </w:r>
      <w:r>
        <w:t>enable</w:t>
      </w:r>
      <w:r w:rsidRPr="001F7FCA">
        <w:t xml:space="preserve"> their effective participation in society and the economy.</w:t>
      </w:r>
    </w:p>
    <w:p w14:paraId="0E83509F" w14:textId="77777777" w:rsidR="00911774" w:rsidRDefault="00911774" w:rsidP="00113CF9">
      <w:pPr>
        <w:pStyle w:val="Bulletlevel1"/>
      </w:pPr>
      <w:r w:rsidRPr="001F7FCA">
        <w:rPr>
          <w:b/>
        </w:rPr>
        <w:t>Competition.</w:t>
      </w:r>
      <w:r w:rsidRPr="001F7FCA">
        <w:t xml:space="preserve"> Markets should be open and competitive so as to encourage investment, innovation and diversity of choice.</w:t>
      </w:r>
    </w:p>
    <w:p w14:paraId="5EB8A732" w14:textId="77777777" w:rsidR="00911774" w:rsidRDefault="00911774" w:rsidP="00113CF9">
      <w:pPr>
        <w:pStyle w:val="Bulletlevel1"/>
      </w:pPr>
      <w:r w:rsidRPr="001F7FCA">
        <w:rPr>
          <w:b/>
        </w:rPr>
        <w:t>Efficient allocation and use of resources.</w:t>
      </w:r>
      <w:r w:rsidRPr="001F7FCA">
        <w:t xml:space="preserve"> Policy settings should be coherent, appropriately calibrated and predictable so that public resources are used efficiently over time.</w:t>
      </w:r>
    </w:p>
    <w:p w14:paraId="6CF31548" w14:textId="77777777" w:rsidR="00911774" w:rsidRPr="001E4238" w:rsidRDefault="00911774" w:rsidP="00113CF9">
      <w:pPr>
        <w:pStyle w:val="Bulletlevel1"/>
      </w:pPr>
      <w:r w:rsidRPr="001E4238">
        <w:rPr>
          <w:b/>
        </w:rPr>
        <w:t>Network reliability and interconnection.</w:t>
      </w:r>
      <w:r>
        <w:t xml:space="preserve"> Networks should operate in an efficient and effective manner.</w:t>
      </w:r>
    </w:p>
    <w:p w14:paraId="44846F7B" w14:textId="77777777" w:rsidR="00911774" w:rsidRDefault="00911774" w:rsidP="00113CF9">
      <w:pPr>
        <w:pStyle w:val="Bulletlevel1"/>
      </w:pPr>
      <w:r w:rsidRPr="001F7FCA">
        <w:rPr>
          <w:b/>
        </w:rPr>
        <w:t>National Interest.</w:t>
      </w:r>
      <w:r w:rsidRPr="001F7FCA">
        <w:t xml:space="preserve"> The communications sector settings should reflect the national interest both domestically and through international forums</w:t>
      </w:r>
      <w:r>
        <w:t xml:space="preserve"> such as those held by the International Telecommunications Union</w:t>
      </w:r>
      <w:r w:rsidRPr="001F7FCA">
        <w:t>.</w:t>
      </w:r>
    </w:p>
    <w:p w14:paraId="27B59322" w14:textId="77777777" w:rsidR="00911774" w:rsidRDefault="00911774" w:rsidP="00113CF9">
      <w:pPr>
        <w:pStyle w:val="Bulletlevel1"/>
      </w:pPr>
      <w:r w:rsidRPr="001F7FCA">
        <w:rPr>
          <w:b/>
        </w:rPr>
        <w:t>Diversity of voices.</w:t>
      </w:r>
      <w:r w:rsidRPr="001F7FCA">
        <w:t xml:space="preserve"> There should be a diversity of major </w:t>
      </w:r>
      <w:r>
        <w:t xml:space="preserve">information </w:t>
      </w:r>
      <w:r w:rsidRPr="001F7FCA">
        <w:t xml:space="preserve">sources and perspectives expressed in the public sphere to </w:t>
      </w:r>
      <w:r>
        <w:t>foster</w:t>
      </w:r>
      <w:r w:rsidRPr="001F7FCA">
        <w:t xml:space="preserve"> an informed citizenry and healthy democracy.</w:t>
      </w:r>
    </w:p>
    <w:p w14:paraId="1D82F1C6" w14:textId="77777777" w:rsidR="00173618" w:rsidRDefault="00911774" w:rsidP="00911774">
      <w:pPr>
        <w:pStyle w:val="Bulletlevel1"/>
      </w:pPr>
      <w:r w:rsidRPr="001F7FCA">
        <w:rPr>
          <w:b/>
        </w:rPr>
        <w:t>Australian identity.</w:t>
      </w:r>
      <w:r w:rsidRPr="001F7FCA">
        <w:t xml:space="preserve"> Australians should be able to experience Australian voices and stories when using or consuming media and communications services.</w:t>
      </w:r>
    </w:p>
    <w:p w14:paraId="7F694354" w14:textId="4381EFB4" w:rsidR="00911774" w:rsidRDefault="00911774" w:rsidP="00911774">
      <w:pPr>
        <w:pStyle w:val="Bulletlevel1"/>
      </w:pPr>
      <w:r w:rsidRPr="00173618">
        <w:rPr>
          <w:b/>
        </w:rPr>
        <w:t>Values and safeguards.</w:t>
      </w:r>
      <w:r w:rsidRPr="001F7FCA">
        <w:t xml:space="preserve"> Services should reflect community standards, meet community needs and be ‘fit-for-purpose’. In relation to content, children, in particular, should be protected from harmful material.</w:t>
      </w:r>
    </w:p>
    <w:p w14:paraId="0448DE96" w14:textId="77777777" w:rsidR="00911774" w:rsidRDefault="00911774" w:rsidP="00911774">
      <w:r w:rsidRPr="001F7FCA">
        <w:t xml:space="preserve">Whether these </w:t>
      </w:r>
      <w:r>
        <w:t>remain</w:t>
      </w:r>
      <w:r w:rsidRPr="001F7FCA">
        <w:t xml:space="preserve"> appropriate public policy outcomes to be pursued and how they are delivered in a future communications environment present challen</w:t>
      </w:r>
      <w:r>
        <w:t>ging decisions for government.</w:t>
      </w:r>
    </w:p>
    <w:p w14:paraId="7A8FD7B6" w14:textId="77777777" w:rsidR="00911774" w:rsidRDefault="00911774" w:rsidP="00911774">
      <w:r>
        <w:t>The future reform process would also have to be designed to minimise disruptions to commercial activity, innovation or investment decisions. The Review proposes a set of principles to guide both decisions about when and how to intervene and, once intervention is deemed necessary, how regulation is used to achieve policy objectives.</w:t>
      </w:r>
    </w:p>
    <w:p w14:paraId="7B535C4C" w14:textId="46F602CF" w:rsidR="00911774" w:rsidRPr="001F7FCA" w:rsidRDefault="00911774" w:rsidP="00911774">
      <w:pPr>
        <w:rPr>
          <w:lang w:val="en"/>
        </w:rPr>
      </w:pPr>
      <w:r w:rsidRPr="001F7FCA">
        <w:t xml:space="preserve">It may also be timely for the Government to consider the style of regulation applied to the sector. </w:t>
      </w:r>
      <w:r w:rsidRPr="001F7FCA">
        <w:rPr>
          <w:bCs/>
          <w:lang w:val="en"/>
        </w:rPr>
        <w:t>In May 201</w:t>
      </w:r>
      <w:r w:rsidR="0032139B">
        <w:rPr>
          <w:bCs/>
          <w:lang w:val="en"/>
        </w:rPr>
        <w:t>4</w:t>
      </w:r>
      <w:r w:rsidRPr="001F7FCA">
        <w:rPr>
          <w:bCs/>
          <w:lang w:val="en"/>
        </w:rPr>
        <w:t xml:space="preserve">, the Department released </w:t>
      </w:r>
      <w:hyperlink r:id="rId16" w:history="1">
        <w:r w:rsidRPr="001F7FCA">
          <w:rPr>
            <w:rStyle w:val="Hyperlink"/>
            <w:bCs/>
            <w:i/>
            <w:lang w:val="en"/>
          </w:rPr>
          <w:t>Regulating harms in the Australian communications sector Policy Background Paper No.2</w:t>
        </w:r>
      </w:hyperlink>
      <w:r w:rsidRPr="001F7FCA">
        <w:rPr>
          <w:bCs/>
          <w:lang w:val="en"/>
        </w:rPr>
        <w:t xml:space="preserve"> which considered </w:t>
      </w:r>
      <w:r w:rsidRPr="001F7FCA">
        <w:rPr>
          <w:lang w:val="en"/>
        </w:rPr>
        <w:t xml:space="preserve">the relative strengths and weaknesses of a range of interventions used to regulate the communications sector. The paper questioned the preference for co-regulation as the preferred regulatory model in the context of evolving technologies, business models and consumer expectations. It also questioned industry commitment to take greater responsibility for its own performance and suggests </w:t>
      </w:r>
      <w:r w:rsidRPr="001F7FCA">
        <w:t xml:space="preserve">it may be timely for industry to </w:t>
      </w:r>
      <w:r w:rsidR="00701C77">
        <w:t>consider</w:t>
      </w:r>
      <w:r w:rsidRPr="001F7FCA">
        <w:t xml:space="preserve"> how it could make greater use of self-regulation.</w:t>
      </w:r>
    </w:p>
    <w:p w14:paraId="4808C120" w14:textId="540C6903" w:rsidR="00911774" w:rsidRDefault="00911774" w:rsidP="00911774">
      <w:r w:rsidRPr="001F7FCA">
        <w:rPr>
          <w:lang w:val="en"/>
        </w:rPr>
        <w:t xml:space="preserve">The </w:t>
      </w:r>
      <w:r>
        <w:rPr>
          <w:lang w:val="en"/>
        </w:rPr>
        <w:t>R</w:t>
      </w:r>
      <w:r w:rsidRPr="001F7FCA">
        <w:rPr>
          <w:lang w:val="en"/>
        </w:rPr>
        <w:t>eview determines that a</w:t>
      </w:r>
      <w:r w:rsidRPr="001F7FCA">
        <w:t xml:space="preserve"> coordinated programme of reform is required to move to a contemporary regulatory regime. This reform programme could be staggered to manage the transition from the current regime, which has shaped investment decisions in some markets, to incrementally develop a new regulatory framework. It is unlikely that proposals contained in this </w:t>
      </w:r>
      <w:r w:rsidR="00A60744">
        <w:t>R</w:t>
      </w:r>
      <w:r w:rsidRPr="001F7FCA">
        <w:t>eview to shape a future communications regulator w</w:t>
      </w:r>
      <w:r>
        <w:t>ill fully succeed without such</w:t>
      </w:r>
      <w:r w:rsidRPr="001F7FCA">
        <w:t xml:space="preserve"> broader regulatory reform.</w:t>
      </w:r>
    </w:p>
    <w:p w14:paraId="12E5C9A9" w14:textId="287EF215" w:rsidR="00911774" w:rsidRDefault="00911774" w:rsidP="00CB4DEF">
      <w:pPr>
        <w:pBdr>
          <w:top w:val="single" w:sz="4" w:space="1" w:color="auto"/>
          <w:left w:val="single" w:sz="4" w:space="4" w:color="auto"/>
          <w:bottom w:val="single" w:sz="4" w:space="1" w:color="auto"/>
          <w:right w:val="single" w:sz="4" w:space="4" w:color="auto"/>
        </w:pBdr>
        <w:shd w:val="clear" w:color="auto" w:fill="DEEAF6" w:themeFill="accent1" w:themeFillTint="33"/>
      </w:pPr>
      <w:r>
        <w:t>Draft proposal 2</w:t>
      </w:r>
      <w:r w:rsidR="00CE746B">
        <w:t>7</w:t>
      </w:r>
      <w:r>
        <w:t>: To enable the communications sector to reach its full potential as an enabler of innovation and productivity, the Government commence a coordinated programme of regulatory reform to establish a contemporary communications regulatory framework.</w:t>
      </w:r>
    </w:p>
    <w:p w14:paraId="1476147D" w14:textId="77777777" w:rsidR="00911774" w:rsidRDefault="00911774" w:rsidP="005B5DF9">
      <w:pPr>
        <w:pStyle w:val="Heading3"/>
      </w:pPr>
      <w:bookmarkStart w:id="72" w:name="_Toc445810559"/>
      <w:bookmarkStart w:id="73" w:name="_Toc449432087"/>
      <w:bookmarkStart w:id="74" w:name="_Toc449438555"/>
      <w:bookmarkStart w:id="75" w:name="_Toc450310127"/>
      <w:r>
        <w:t>Transition Path</w:t>
      </w:r>
      <w:bookmarkEnd w:id="72"/>
      <w:bookmarkEnd w:id="73"/>
      <w:bookmarkEnd w:id="74"/>
      <w:bookmarkEnd w:id="75"/>
    </w:p>
    <w:p w14:paraId="354F79CD" w14:textId="77777777" w:rsidR="00FA6A7C" w:rsidRPr="00CB4DEF" w:rsidRDefault="00FA6A7C" w:rsidP="00CB4DEF">
      <w:pPr>
        <w:rPr>
          <w:lang w:val="en"/>
        </w:rPr>
      </w:pPr>
      <w:r>
        <w:t xml:space="preserve">The Terms of </w:t>
      </w:r>
      <w:r w:rsidRPr="00CB4DEF">
        <w:rPr>
          <w:lang w:val="en"/>
        </w:rPr>
        <w:t>Reference for the Review require it to provide a transition path to implement preferred alternatives to enable proposed changes (if any) to be put in place by 2016-17.</w:t>
      </w:r>
    </w:p>
    <w:p w14:paraId="4500782D" w14:textId="5DB7A4F6" w:rsidR="00FA6A7C" w:rsidRPr="00CB4DEF" w:rsidRDefault="00FA6A7C" w:rsidP="00CB4DEF">
      <w:pPr>
        <w:rPr>
          <w:lang w:val="en"/>
        </w:rPr>
      </w:pPr>
      <w:r w:rsidRPr="00CB4DEF">
        <w:rPr>
          <w:lang w:val="en"/>
        </w:rPr>
        <w:t xml:space="preserve">The Review has proposed a number of changes to the remit, functions and the performance of the ACMA. It also proposes a programme of broader regulatory reform (Part </w:t>
      </w:r>
      <w:r w:rsidR="007372B2" w:rsidRPr="00CB4DEF">
        <w:rPr>
          <w:lang w:val="en"/>
        </w:rPr>
        <w:t>Five</w:t>
      </w:r>
      <w:r w:rsidRPr="00CB4DEF">
        <w:rPr>
          <w:lang w:val="en"/>
        </w:rPr>
        <w:t>).</w:t>
      </w:r>
    </w:p>
    <w:p w14:paraId="444F7F50" w14:textId="69404EF3" w:rsidR="00FA6A7C" w:rsidRDefault="00FA6A7C" w:rsidP="00FA6A7C">
      <w:r w:rsidRPr="00CB4DEF">
        <w:rPr>
          <w:lang w:val="en"/>
        </w:rPr>
        <w:t>The Review is seeking views on any implementations issues arising from these proposals to allow these to be included in a comprehensive</w:t>
      </w:r>
      <w:r>
        <w:t xml:space="preserve"> Transition Path as part of the Review’s final report to the Government.</w:t>
      </w:r>
    </w:p>
    <w:bookmarkEnd w:id="44"/>
    <w:bookmarkEnd w:id="45"/>
    <w:bookmarkEnd w:id="46"/>
    <w:p w14:paraId="53D3A5DB" w14:textId="77777777" w:rsidR="00911774" w:rsidRDefault="00911774" w:rsidP="002E15A7">
      <w:r>
        <w:br w:type="page"/>
      </w:r>
    </w:p>
    <w:p w14:paraId="798E9E6B" w14:textId="77777777" w:rsidR="005E6B84" w:rsidRPr="00A05BB2" w:rsidRDefault="005E6B84" w:rsidP="005B5DF9">
      <w:pPr>
        <w:pStyle w:val="Heading2"/>
        <w:rPr>
          <w:sz w:val="26"/>
        </w:rPr>
      </w:pPr>
      <w:bookmarkStart w:id="76" w:name="_Toc449432088"/>
      <w:bookmarkStart w:id="77" w:name="_Toc449438556"/>
      <w:bookmarkStart w:id="78" w:name="_Toc450310128"/>
      <w:r>
        <w:t>Part One</w:t>
      </w:r>
      <w:r w:rsidR="005F14ED">
        <w:t>—</w:t>
      </w:r>
      <w:r>
        <w:t>The ACMA’s o</w:t>
      </w:r>
      <w:r w:rsidRPr="007F7DFB">
        <w:t>perating environment</w:t>
      </w:r>
      <w:bookmarkEnd w:id="76"/>
      <w:bookmarkEnd w:id="77"/>
      <w:bookmarkEnd w:id="78"/>
    </w:p>
    <w:p w14:paraId="6F60633B" w14:textId="77777777" w:rsidR="005E6B84" w:rsidRDefault="005E6B84" w:rsidP="005E6B84">
      <w:r>
        <w:t>The design of a future-focused regulator should be informed by an understanding of the environment in which it is likely to operate.</w:t>
      </w:r>
    </w:p>
    <w:p w14:paraId="5FCBD215" w14:textId="77777777" w:rsidR="005E6B84" w:rsidRPr="00D0538B" w:rsidRDefault="005E6B84" w:rsidP="005E6B84">
      <w:r>
        <w:t>The ACMA’s operating environment is shaped by two principal factors: the constantly evolving communications market and the regulatory regime it is responsible for administering. This section of the report discusses developments in the communications market and identifies the implications of these for the ACMA. Part Five of the report discusses the regulatory regime.</w:t>
      </w:r>
    </w:p>
    <w:p w14:paraId="29474F04" w14:textId="77777777" w:rsidR="005E6B84" w:rsidRPr="007F7DFB" w:rsidRDefault="005E6B84" w:rsidP="005B5DF9">
      <w:pPr>
        <w:pStyle w:val="Heading3"/>
      </w:pPr>
      <w:bookmarkStart w:id="79" w:name="_Toc437528383"/>
      <w:bookmarkStart w:id="80" w:name="_Toc437594225"/>
      <w:bookmarkStart w:id="81" w:name="_Toc437599264"/>
      <w:bookmarkStart w:id="82" w:name="_Toc437600372"/>
      <w:bookmarkStart w:id="83" w:name="_Toc440536917"/>
      <w:bookmarkStart w:id="84" w:name="_Toc441743817"/>
      <w:bookmarkStart w:id="85" w:name="_Toc441744259"/>
      <w:bookmarkStart w:id="86" w:name="_Toc441845080"/>
      <w:bookmarkStart w:id="87" w:name="_Toc441847334"/>
      <w:bookmarkStart w:id="88" w:name="_Toc441848266"/>
      <w:bookmarkStart w:id="89" w:name="_Toc442107109"/>
      <w:bookmarkStart w:id="90" w:name="_Toc442108761"/>
      <w:bookmarkStart w:id="91" w:name="_Toc443038160"/>
      <w:bookmarkStart w:id="92" w:name="_Toc443043878"/>
      <w:bookmarkStart w:id="93" w:name="_Toc443052569"/>
      <w:bookmarkStart w:id="94" w:name="_Toc443054858"/>
      <w:bookmarkStart w:id="95" w:name="_Toc449432089"/>
      <w:bookmarkStart w:id="96" w:name="_Toc449438557"/>
      <w:bookmarkStart w:id="97" w:name="_Toc450310129"/>
      <w:r w:rsidRPr="007F7DFB">
        <w:t>Communications market</w:t>
      </w:r>
      <w:r>
        <w:t>s</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2FAF08B2" w14:textId="77777777" w:rsidR="00EB2B81" w:rsidRDefault="005E6B84" w:rsidP="005E6B84">
      <w:pPr>
        <w:rPr>
          <w:lang w:eastAsia="en-AU"/>
        </w:rPr>
      </w:pPr>
      <w:r w:rsidRPr="00732E5A">
        <w:rPr>
          <w:lang w:eastAsia="en-AU"/>
        </w:rPr>
        <w:t>The importance of the communications sector stems from its role as a</w:t>
      </w:r>
      <w:r>
        <w:rPr>
          <w:lang w:eastAsia="en-AU"/>
        </w:rPr>
        <w:t xml:space="preserve"> source of</w:t>
      </w:r>
      <w:r w:rsidRPr="00732E5A">
        <w:rPr>
          <w:lang w:eastAsia="en-AU"/>
        </w:rPr>
        <w:t xml:space="preserve"> enabling technology for the </w:t>
      </w:r>
      <w:r>
        <w:rPr>
          <w:lang w:eastAsia="en-AU"/>
        </w:rPr>
        <w:t xml:space="preserve">broader </w:t>
      </w:r>
      <w:r w:rsidRPr="00732E5A">
        <w:rPr>
          <w:lang w:eastAsia="en-AU"/>
        </w:rPr>
        <w:t>economy. In this role</w:t>
      </w:r>
      <w:r>
        <w:rPr>
          <w:lang w:eastAsia="en-AU"/>
        </w:rPr>
        <w:t>,</w:t>
      </w:r>
      <w:r w:rsidRPr="00732E5A">
        <w:rPr>
          <w:lang w:eastAsia="en-AU"/>
        </w:rPr>
        <w:t xml:space="preserve"> the communications sector and the ICT development that it supports </w:t>
      </w:r>
      <w:r>
        <w:rPr>
          <w:lang w:eastAsia="en-AU"/>
        </w:rPr>
        <w:t>are</w:t>
      </w:r>
      <w:r w:rsidRPr="00732E5A">
        <w:rPr>
          <w:lang w:eastAsia="en-AU"/>
        </w:rPr>
        <w:t xml:space="preserve"> underpinning the long-term transformation of all industries.</w:t>
      </w:r>
      <w:r>
        <w:rPr>
          <w:rStyle w:val="FootnoteReference"/>
          <w:rFonts w:eastAsia="Calibri"/>
          <w:color w:val="000000"/>
          <w:lang w:eastAsia="en-AU"/>
        </w:rPr>
        <w:footnoteReference w:id="8"/>
      </w:r>
    </w:p>
    <w:p w14:paraId="68ED7000" w14:textId="77777777" w:rsidR="005E6B84" w:rsidRPr="00732E5A" w:rsidRDefault="005E6B84" w:rsidP="00576140">
      <w:pPr>
        <w:rPr>
          <w:lang w:eastAsia="en-AU"/>
        </w:rPr>
      </w:pPr>
      <w:r w:rsidRPr="00732E5A">
        <w:rPr>
          <w:lang w:eastAsia="en-AU"/>
        </w:rPr>
        <w:t xml:space="preserve">OECD data shows innovations spurred by the ICT sector </w:t>
      </w:r>
      <w:r>
        <w:rPr>
          <w:lang w:eastAsia="en-AU"/>
        </w:rPr>
        <w:t>have</w:t>
      </w:r>
      <w:r w:rsidRPr="00732E5A">
        <w:rPr>
          <w:lang w:eastAsia="en-AU"/>
        </w:rPr>
        <w:t xml:space="preserve"> huge potential </w:t>
      </w:r>
      <w:r>
        <w:rPr>
          <w:lang w:eastAsia="en-AU"/>
        </w:rPr>
        <w:t xml:space="preserve">to </w:t>
      </w:r>
      <w:r w:rsidRPr="00732E5A">
        <w:rPr>
          <w:lang w:eastAsia="en-AU"/>
        </w:rPr>
        <w:t>boost</w:t>
      </w:r>
      <w:r>
        <w:rPr>
          <w:lang w:eastAsia="en-AU"/>
        </w:rPr>
        <w:t xml:space="preserve"> </w:t>
      </w:r>
      <w:r w:rsidRPr="00732E5A">
        <w:rPr>
          <w:lang w:eastAsia="en-AU"/>
        </w:rPr>
        <w:t>growth and driv</w:t>
      </w:r>
      <w:r>
        <w:rPr>
          <w:lang w:eastAsia="en-AU"/>
        </w:rPr>
        <w:t>e</w:t>
      </w:r>
      <w:r w:rsidRPr="00732E5A">
        <w:rPr>
          <w:lang w:eastAsia="en-AU"/>
        </w:rPr>
        <w:t xml:space="preserve"> societal improvements</w:t>
      </w:r>
      <w:r>
        <w:rPr>
          <w:lang w:eastAsia="en-AU"/>
        </w:rPr>
        <w:t>. T</w:t>
      </w:r>
      <w:r w:rsidRPr="00732E5A">
        <w:rPr>
          <w:lang w:eastAsia="en-AU"/>
        </w:rPr>
        <w:t>he biggest impact com</w:t>
      </w:r>
      <w:r>
        <w:rPr>
          <w:lang w:eastAsia="en-AU"/>
        </w:rPr>
        <w:t>es</w:t>
      </w:r>
      <w:r w:rsidRPr="00732E5A">
        <w:rPr>
          <w:lang w:eastAsia="en-AU"/>
        </w:rPr>
        <w:t xml:space="preserve"> </w:t>
      </w:r>
      <w:r>
        <w:rPr>
          <w:lang w:eastAsia="en-AU"/>
        </w:rPr>
        <w:t xml:space="preserve">when </w:t>
      </w:r>
      <w:r w:rsidRPr="00732E5A">
        <w:rPr>
          <w:lang w:eastAsia="en-AU"/>
        </w:rPr>
        <w:t xml:space="preserve">ICT </w:t>
      </w:r>
      <w:r>
        <w:rPr>
          <w:lang w:eastAsia="en-AU"/>
        </w:rPr>
        <w:t xml:space="preserve">is applied </w:t>
      </w:r>
      <w:r w:rsidRPr="00732E5A">
        <w:rPr>
          <w:lang w:eastAsia="en-AU"/>
        </w:rPr>
        <w:t>across the economy and society, including public administration, health, education and research.</w:t>
      </w:r>
      <w:r>
        <w:rPr>
          <w:rStyle w:val="FootnoteReference"/>
          <w:rFonts w:eastAsia="Calibri"/>
          <w:color w:val="000000"/>
          <w:lang w:eastAsia="en-AU"/>
        </w:rPr>
        <w:footnoteReference w:id="9"/>
      </w:r>
      <w:r>
        <w:rPr>
          <w:lang w:eastAsia="en-AU"/>
        </w:rPr>
        <w:t xml:space="preserve"> The Government’s National Innovation and </w:t>
      </w:r>
      <w:r w:rsidRPr="0079781B">
        <w:t>Science Ag</w:t>
      </w:r>
      <w:r>
        <w:rPr>
          <w:lang w:eastAsia="en-AU"/>
        </w:rPr>
        <w:t>enda highlights that digital infrastructure is an important enabler of innovation for Australian businesses, students and academics in terms of economic growth and high-wage jobs of the future.</w:t>
      </w:r>
      <w:r w:rsidRPr="009C101F">
        <w:rPr>
          <w:rStyle w:val="FootnoteReference"/>
          <w:rFonts w:eastAsia="Calibri"/>
          <w:color w:val="000000"/>
          <w:lang w:eastAsia="en-AU"/>
        </w:rPr>
        <w:t xml:space="preserve"> </w:t>
      </w:r>
      <w:r>
        <w:rPr>
          <w:rStyle w:val="FootnoteReference"/>
          <w:rFonts w:eastAsia="Calibri"/>
          <w:color w:val="000000"/>
          <w:lang w:eastAsia="en-AU"/>
        </w:rPr>
        <w:footnoteReference w:id="10"/>
      </w:r>
      <w:r>
        <w:rPr>
          <w:lang w:eastAsia="en-AU"/>
        </w:rPr>
        <w:t xml:space="preserve"> The Department’s Bureau of Communications Research (BCR) has examined the impact of ICT on the Australian economy in aggregate and published its findings in February 2016.</w:t>
      </w:r>
      <w:r>
        <w:rPr>
          <w:rStyle w:val="FootnoteReference"/>
          <w:rFonts w:eastAsia="Calibri"/>
          <w:color w:val="000000"/>
          <w:lang w:eastAsia="en-AU"/>
        </w:rPr>
        <w:footnoteReference w:id="11"/>
      </w:r>
    </w:p>
    <w:p w14:paraId="77EE99F2" w14:textId="77777777" w:rsidR="00EB2B81" w:rsidRDefault="005E6B84" w:rsidP="005E6B84">
      <w:pPr>
        <w:rPr>
          <w:lang w:eastAsia="en-AU"/>
        </w:rPr>
      </w:pPr>
      <w:r>
        <w:rPr>
          <w:lang w:eastAsia="en-AU"/>
        </w:rPr>
        <w:t>The OECD has described broadband as a general-purpose technology (GPT) enabler and forecast that it will surpass the transformative effects of other GPTs including electricity and railways.</w:t>
      </w:r>
      <w:bookmarkStart w:id="98" w:name="_Ref445453501"/>
      <w:r>
        <w:rPr>
          <w:rStyle w:val="FootnoteReference"/>
          <w:rFonts w:eastAsia="Calibri"/>
          <w:color w:val="000000"/>
          <w:lang w:eastAsia="en-AU"/>
        </w:rPr>
        <w:footnoteReference w:id="12"/>
      </w:r>
      <w:bookmarkEnd w:id="98"/>
      <w:r>
        <w:rPr>
          <w:lang w:eastAsia="en-AU"/>
        </w:rPr>
        <w:t xml:space="preserve"> Broadband networks as a platform are capable of enabling new services and applications across the entire economy, with their characteristics including pervasiveness, technological dynamism and productivity enhancement.</w:t>
      </w:r>
    </w:p>
    <w:p w14:paraId="1794D2FA" w14:textId="77777777" w:rsidR="005E6B84" w:rsidRDefault="005E6B84" w:rsidP="002E15A7">
      <w:pPr>
        <w:rPr>
          <w:lang w:eastAsia="en-AU"/>
        </w:rPr>
      </w:pPr>
      <w:r>
        <w:rPr>
          <w:lang w:eastAsia="en-AU"/>
        </w:rPr>
        <w:t>The</w:t>
      </w:r>
      <w:r w:rsidRPr="00732E5A">
        <w:rPr>
          <w:lang w:eastAsia="en-AU"/>
        </w:rPr>
        <w:t xml:space="preserve"> </w:t>
      </w:r>
      <w:r>
        <w:rPr>
          <w:lang w:eastAsia="en-AU"/>
        </w:rPr>
        <w:t>c</w:t>
      </w:r>
      <w:r w:rsidRPr="00732E5A">
        <w:rPr>
          <w:lang w:eastAsia="en-AU"/>
        </w:rPr>
        <w:t>ommunications sector</w:t>
      </w:r>
      <w:r>
        <w:rPr>
          <w:lang w:eastAsia="en-AU"/>
        </w:rPr>
        <w:t xml:space="preserve"> also plays a vital role in developing and reflecting Australia’s identity, character and cultural diversity by providing access to news, information, education and entertainment, consistent with community standards.</w:t>
      </w:r>
    </w:p>
    <w:p w14:paraId="436E7040" w14:textId="77777777" w:rsidR="005E6B84" w:rsidRDefault="005E6B84" w:rsidP="002E15A7">
      <w:pPr>
        <w:rPr>
          <w:lang w:eastAsia="en-AU"/>
        </w:rPr>
      </w:pPr>
      <w:r>
        <w:rPr>
          <w:lang w:eastAsia="en-AU"/>
        </w:rPr>
        <w:t>T</w:t>
      </w:r>
      <w:r w:rsidRPr="00732E5A">
        <w:rPr>
          <w:lang w:eastAsia="en-AU"/>
        </w:rPr>
        <w:t xml:space="preserve">he potential of </w:t>
      </w:r>
      <w:r>
        <w:rPr>
          <w:lang w:eastAsia="en-AU"/>
        </w:rPr>
        <w:t>the c</w:t>
      </w:r>
      <w:r w:rsidRPr="00732E5A">
        <w:rPr>
          <w:lang w:eastAsia="en-AU"/>
        </w:rPr>
        <w:t>ommunications sector</w:t>
      </w:r>
      <w:r>
        <w:rPr>
          <w:lang w:eastAsia="en-AU"/>
        </w:rPr>
        <w:t xml:space="preserve"> will need to be </w:t>
      </w:r>
      <w:r w:rsidRPr="00732E5A">
        <w:rPr>
          <w:lang w:eastAsia="en-AU"/>
        </w:rPr>
        <w:t xml:space="preserve">fully </w:t>
      </w:r>
      <w:r>
        <w:rPr>
          <w:lang w:eastAsia="en-AU"/>
        </w:rPr>
        <w:t>realised if Australia’s s</w:t>
      </w:r>
      <w:r w:rsidRPr="00732E5A">
        <w:rPr>
          <w:lang w:eastAsia="en-AU"/>
        </w:rPr>
        <w:t xml:space="preserve">tandard of living </w:t>
      </w:r>
      <w:r>
        <w:rPr>
          <w:lang w:eastAsia="en-AU"/>
        </w:rPr>
        <w:t>is to be maintained in t</w:t>
      </w:r>
      <w:r w:rsidRPr="00732E5A">
        <w:rPr>
          <w:lang w:eastAsia="en-AU"/>
        </w:rPr>
        <w:t xml:space="preserve">he face of </w:t>
      </w:r>
      <w:r>
        <w:rPr>
          <w:lang w:eastAsia="en-AU"/>
        </w:rPr>
        <w:t xml:space="preserve">the </w:t>
      </w:r>
      <w:r w:rsidRPr="00732E5A">
        <w:rPr>
          <w:lang w:eastAsia="en-AU"/>
        </w:rPr>
        <w:t>disruption and globalisation being driven by technolog</w:t>
      </w:r>
      <w:r>
        <w:rPr>
          <w:lang w:eastAsia="en-AU"/>
        </w:rPr>
        <w:t>ical change</w:t>
      </w:r>
      <w:r w:rsidRPr="00732E5A">
        <w:rPr>
          <w:lang w:eastAsia="en-AU"/>
        </w:rPr>
        <w:t xml:space="preserve">. </w:t>
      </w:r>
      <w:r>
        <w:rPr>
          <w:lang w:eastAsia="en-AU"/>
        </w:rPr>
        <w:t>Australia’s</w:t>
      </w:r>
      <w:r w:rsidRPr="00732E5A">
        <w:rPr>
          <w:lang w:eastAsia="en-AU"/>
        </w:rPr>
        <w:t xml:space="preserve"> future prosperity </w:t>
      </w:r>
      <w:r>
        <w:rPr>
          <w:lang w:eastAsia="en-AU"/>
        </w:rPr>
        <w:t xml:space="preserve">will be enhanced by </w:t>
      </w:r>
      <w:r w:rsidRPr="00732E5A">
        <w:rPr>
          <w:lang w:eastAsia="en-AU"/>
        </w:rPr>
        <w:t>the communications sector and its capacity to provide connectivity, mobility and access to information</w:t>
      </w:r>
      <w:r>
        <w:rPr>
          <w:lang w:eastAsia="en-AU"/>
        </w:rPr>
        <w:t>.</w:t>
      </w:r>
    </w:p>
    <w:p w14:paraId="7ED52043" w14:textId="77777777" w:rsidR="005E6B84" w:rsidRDefault="005E6B84" w:rsidP="005B5DF9">
      <w:pPr>
        <w:pStyle w:val="Heading4"/>
        <w:rPr>
          <w:lang w:eastAsia="en-AU"/>
        </w:rPr>
      </w:pPr>
      <w:bookmarkStart w:id="99" w:name="_Toc435112117"/>
      <w:bookmarkStart w:id="100" w:name="_Toc436923305"/>
      <w:bookmarkStart w:id="101" w:name="_Toc437440606"/>
      <w:bookmarkStart w:id="102" w:name="_Toc437528384"/>
      <w:bookmarkStart w:id="103" w:name="_Toc437594226"/>
      <w:bookmarkStart w:id="104" w:name="_Toc437599265"/>
      <w:bookmarkStart w:id="105" w:name="_Toc437600373"/>
      <w:bookmarkStart w:id="106" w:name="_Toc440536918"/>
      <w:bookmarkStart w:id="107" w:name="_Toc441743818"/>
      <w:bookmarkStart w:id="108" w:name="_Toc441744260"/>
      <w:bookmarkStart w:id="109" w:name="_Toc441845081"/>
      <w:bookmarkStart w:id="110" w:name="_Toc441847335"/>
      <w:bookmarkStart w:id="111" w:name="_Toc441848267"/>
      <w:bookmarkStart w:id="112" w:name="_Toc442107110"/>
      <w:bookmarkStart w:id="113" w:name="_Toc442108762"/>
      <w:bookmarkStart w:id="114" w:name="_Toc443038161"/>
      <w:bookmarkStart w:id="115" w:name="_Toc443043879"/>
      <w:bookmarkStart w:id="116" w:name="_Toc443052570"/>
      <w:bookmarkStart w:id="117" w:name="_Toc443054859"/>
      <w:bookmarkStart w:id="118" w:name="_Toc443307365"/>
      <w:bookmarkStart w:id="119" w:name="_Toc449432090"/>
      <w:bookmarkStart w:id="120" w:name="_Toc449438558"/>
      <w:bookmarkStart w:id="121" w:name="_Toc449619980"/>
      <w:bookmarkStart w:id="122" w:name="_Toc450310130"/>
      <w:r>
        <w:rPr>
          <w:lang w:eastAsia="en-AU"/>
        </w:rPr>
        <w:t xml:space="preserve">The changing communications </w:t>
      </w:r>
      <w:bookmarkEnd w:id="99"/>
      <w:bookmarkEnd w:id="100"/>
      <w:bookmarkEnd w:id="101"/>
      <w:bookmarkEnd w:id="102"/>
      <w:bookmarkEnd w:id="103"/>
      <w:bookmarkEnd w:id="104"/>
      <w:bookmarkEnd w:id="105"/>
      <w:bookmarkEnd w:id="106"/>
      <w:r>
        <w:rPr>
          <w:lang w:eastAsia="en-AU"/>
        </w:rPr>
        <w:t>markets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5143A273" w14:textId="77777777" w:rsidR="005E6B84" w:rsidRDefault="005E6B84" w:rsidP="002E15A7">
      <w:pPr>
        <w:rPr>
          <w:lang w:eastAsia="en-AU"/>
        </w:rPr>
      </w:pPr>
      <w:r w:rsidRPr="00732E5A">
        <w:rPr>
          <w:lang w:eastAsia="en-AU"/>
        </w:rPr>
        <w:t>In the communications market</w:t>
      </w:r>
      <w:r>
        <w:rPr>
          <w:lang w:eastAsia="en-AU"/>
        </w:rPr>
        <w:t>,</w:t>
      </w:r>
      <w:r w:rsidRPr="00732E5A">
        <w:rPr>
          <w:lang w:eastAsia="en-AU"/>
        </w:rPr>
        <w:t xml:space="preserve"> the distinction between the traditionally well-defined, vertically integrated segments of the telecommunications, media and online industries </w:t>
      </w:r>
      <w:r>
        <w:rPr>
          <w:lang w:eastAsia="en-AU"/>
        </w:rPr>
        <w:t>has</w:t>
      </w:r>
      <w:r w:rsidRPr="00732E5A">
        <w:rPr>
          <w:lang w:eastAsia="en-AU"/>
        </w:rPr>
        <w:t xml:space="preserve"> now </w:t>
      </w:r>
      <w:r>
        <w:rPr>
          <w:lang w:eastAsia="en-AU"/>
        </w:rPr>
        <w:t>largely disappeared</w:t>
      </w:r>
      <w:r w:rsidRPr="00732E5A">
        <w:rPr>
          <w:lang w:eastAsia="en-AU"/>
        </w:rPr>
        <w:t xml:space="preserve">. This deconstruction has been driven by </w:t>
      </w:r>
      <w:r>
        <w:rPr>
          <w:lang w:eastAsia="en-AU"/>
        </w:rPr>
        <w:t xml:space="preserve">near </w:t>
      </w:r>
      <w:r w:rsidRPr="00732E5A">
        <w:rPr>
          <w:lang w:eastAsia="en-AU"/>
        </w:rPr>
        <w:t xml:space="preserve">ubiquitous </w:t>
      </w:r>
      <w:r>
        <w:rPr>
          <w:lang w:eastAsia="en-AU"/>
        </w:rPr>
        <w:t>i</w:t>
      </w:r>
      <w:r w:rsidRPr="00732E5A">
        <w:rPr>
          <w:lang w:eastAsia="en-AU"/>
        </w:rPr>
        <w:t>nternet access and the digitisation of content</w:t>
      </w:r>
      <w:r>
        <w:rPr>
          <w:lang w:eastAsia="en-AU"/>
        </w:rPr>
        <w:t>.</w:t>
      </w:r>
      <w:r w:rsidRPr="00732E5A">
        <w:rPr>
          <w:lang w:eastAsia="en-AU"/>
        </w:rPr>
        <w:t xml:space="preserve"> </w:t>
      </w:r>
      <w:r>
        <w:rPr>
          <w:lang w:eastAsia="en-AU"/>
        </w:rPr>
        <w:t>C</w:t>
      </w:r>
      <w:r w:rsidRPr="00732E5A">
        <w:rPr>
          <w:lang w:eastAsia="en-AU"/>
        </w:rPr>
        <w:t xml:space="preserve">ontent </w:t>
      </w:r>
      <w:r>
        <w:rPr>
          <w:lang w:eastAsia="en-AU"/>
        </w:rPr>
        <w:t xml:space="preserve">can now </w:t>
      </w:r>
      <w:r w:rsidRPr="00732E5A">
        <w:rPr>
          <w:lang w:eastAsia="en-AU"/>
        </w:rPr>
        <w:t>be accessed over multiple platforms and devices</w:t>
      </w:r>
      <w:r>
        <w:rPr>
          <w:lang w:eastAsia="en-AU"/>
        </w:rPr>
        <w:t>,</w:t>
      </w:r>
      <w:r w:rsidRPr="00732E5A">
        <w:rPr>
          <w:lang w:eastAsia="en-AU"/>
        </w:rPr>
        <w:t xml:space="preserve"> anywhere and anytime</w:t>
      </w:r>
      <w:r>
        <w:rPr>
          <w:lang w:eastAsia="en-AU"/>
        </w:rPr>
        <w:t xml:space="preserve">, and </w:t>
      </w:r>
      <w:r w:rsidRPr="00732E5A">
        <w:rPr>
          <w:lang w:eastAsia="en-AU"/>
        </w:rPr>
        <w:t xml:space="preserve">created by </w:t>
      </w:r>
      <w:r>
        <w:rPr>
          <w:lang w:eastAsia="en-AU"/>
        </w:rPr>
        <w:t>individuals</w:t>
      </w:r>
      <w:r w:rsidRPr="00732E5A">
        <w:rPr>
          <w:lang w:eastAsia="en-AU"/>
        </w:rPr>
        <w:t xml:space="preserve"> themselves.</w:t>
      </w:r>
    </w:p>
    <w:p w14:paraId="2ABBF636" w14:textId="77777777" w:rsidR="00EB2B81" w:rsidRDefault="005E6B84" w:rsidP="002E15A7">
      <w:pPr>
        <w:rPr>
          <w:lang w:eastAsia="en-AU"/>
        </w:rPr>
      </w:pPr>
      <w:r w:rsidRPr="00732E5A">
        <w:rPr>
          <w:lang w:eastAsia="en-AU"/>
        </w:rPr>
        <w:t xml:space="preserve">These previously distinct industries are now more appropriately considered as creators of services and content that meet a public need, whether </w:t>
      </w:r>
      <w:r>
        <w:rPr>
          <w:lang w:eastAsia="en-AU"/>
        </w:rPr>
        <w:t xml:space="preserve">that is </w:t>
      </w:r>
      <w:r w:rsidRPr="00732E5A">
        <w:rPr>
          <w:lang w:eastAsia="en-AU"/>
        </w:rPr>
        <w:t>to communicate, facilitate business or provide information and entertainment.</w:t>
      </w:r>
    </w:p>
    <w:p w14:paraId="07E146B1" w14:textId="77777777" w:rsidR="005E6B84" w:rsidRDefault="005E6B84" w:rsidP="00504587">
      <w:pPr>
        <w:rPr>
          <w:lang w:eastAsia="en-AU"/>
        </w:rPr>
      </w:pPr>
      <w:r>
        <w:rPr>
          <w:lang w:eastAsia="en-AU"/>
        </w:rPr>
        <w:t xml:space="preserve">Rather than a number of industry verticals, the communications sector is best described </w:t>
      </w:r>
      <w:r w:rsidRPr="00732E5A">
        <w:rPr>
          <w:lang w:eastAsia="en-AU"/>
        </w:rPr>
        <w:t>as a series of horizontal layers of services and activities</w:t>
      </w:r>
      <w:r>
        <w:rPr>
          <w:lang w:eastAsia="en-AU"/>
        </w:rPr>
        <w:t>.</w:t>
      </w:r>
      <w:r w:rsidRPr="00732E5A">
        <w:rPr>
          <w:lang w:eastAsia="en-AU"/>
        </w:rPr>
        <w:t xml:space="preserve"> </w:t>
      </w:r>
      <w:r>
        <w:rPr>
          <w:lang w:eastAsia="en-AU"/>
        </w:rPr>
        <w:t>E</w:t>
      </w:r>
      <w:r w:rsidRPr="00732E5A">
        <w:rPr>
          <w:lang w:eastAsia="en-AU"/>
        </w:rPr>
        <w:t>ach layer</w:t>
      </w:r>
      <w:r>
        <w:rPr>
          <w:lang w:eastAsia="en-AU"/>
        </w:rPr>
        <w:t xml:space="preserve">, </w:t>
      </w:r>
      <w:r w:rsidRPr="00732E5A">
        <w:rPr>
          <w:lang w:eastAsia="en-AU"/>
        </w:rPr>
        <w:t xml:space="preserve">beginning with infrastructure, then </w:t>
      </w:r>
      <w:r>
        <w:rPr>
          <w:lang w:eastAsia="en-AU"/>
        </w:rPr>
        <w:t xml:space="preserve">transport, devices and </w:t>
      </w:r>
      <w:r w:rsidRPr="00732E5A">
        <w:rPr>
          <w:lang w:eastAsia="en-AU"/>
        </w:rPr>
        <w:t>finally content</w:t>
      </w:r>
      <w:r>
        <w:rPr>
          <w:lang w:eastAsia="en-AU"/>
        </w:rPr>
        <w:t xml:space="preserve"> and applications, </w:t>
      </w:r>
      <w:r w:rsidRPr="00732E5A">
        <w:rPr>
          <w:lang w:eastAsia="en-AU"/>
        </w:rPr>
        <w:t>provid</w:t>
      </w:r>
      <w:r>
        <w:rPr>
          <w:lang w:eastAsia="en-AU"/>
        </w:rPr>
        <w:t>es</w:t>
      </w:r>
      <w:r w:rsidRPr="00732E5A">
        <w:rPr>
          <w:lang w:eastAsia="en-AU"/>
        </w:rPr>
        <w:t xml:space="preserve"> services to the </w:t>
      </w:r>
      <w:r>
        <w:rPr>
          <w:lang w:eastAsia="en-AU"/>
        </w:rPr>
        <w:t>one</w:t>
      </w:r>
      <w:r w:rsidRPr="00732E5A">
        <w:rPr>
          <w:lang w:eastAsia="en-AU"/>
        </w:rPr>
        <w:t xml:space="preserve"> above</w:t>
      </w:r>
      <w:r>
        <w:rPr>
          <w:lang w:eastAsia="en-AU"/>
        </w:rPr>
        <w:t xml:space="preserve"> and relies on services from the layers below</w:t>
      </w:r>
      <w:r w:rsidRPr="00732E5A">
        <w:rPr>
          <w:lang w:eastAsia="en-AU"/>
        </w:rPr>
        <w:t>.</w:t>
      </w:r>
      <w:r>
        <w:rPr>
          <w:lang w:eastAsia="en-AU"/>
        </w:rPr>
        <w:t xml:space="preserve"> The economics and sources of competitive advantage of businesses in each layer varies. The bottom layers are the most scale and capital intensive (e.g. infrastructure owners), while the upper layers are more innovation intensive (e.g. applications and content).</w:t>
      </w:r>
      <w:r>
        <w:rPr>
          <w:rStyle w:val="FootnoteReference"/>
          <w:lang w:eastAsia="en-AU"/>
        </w:rPr>
        <w:footnoteReference w:id="13"/>
      </w:r>
    </w:p>
    <w:p w14:paraId="6861BC4E" w14:textId="77777777" w:rsidR="005E6B84" w:rsidRDefault="005E6B84" w:rsidP="005B5DF9">
      <w:pPr>
        <w:pStyle w:val="Heading5"/>
        <w:rPr>
          <w:lang w:eastAsia="en-AU"/>
        </w:rPr>
      </w:pPr>
      <w:r>
        <w:rPr>
          <w:lang w:eastAsia="en-AU"/>
        </w:rPr>
        <w:t>Telecommunications markets</w:t>
      </w:r>
    </w:p>
    <w:p w14:paraId="0881EB89" w14:textId="77777777" w:rsidR="005E6B84" w:rsidRDefault="005E6B84" w:rsidP="00504587">
      <w:pPr>
        <w:rPr>
          <w:lang w:eastAsia="en-AU"/>
        </w:rPr>
      </w:pPr>
      <w:r w:rsidRPr="00732E5A">
        <w:rPr>
          <w:lang w:eastAsia="en-AU"/>
        </w:rPr>
        <w:t xml:space="preserve">In the telecommunications </w:t>
      </w:r>
      <w:r>
        <w:rPr>
          <w:lang w:eastAsia="en-AU"/>
        </w:rPr>
        <w:t xml:space="preserve">segment of the </w:t>
      </w:r>
      <w:r w:rsidRPr="00732E5A">
        <w:rPr>
          <w:lang w:eastAsia="en-AU"/>
        </w:rPr>
        <w:t>market, fixed and mobile operators are becoming indistinguishable</w:t>
      </w:r>
      <w:r>
        <w:rPr>
          <w:lang w:eastAsia="en-AU"/>
        </w:rPr>
        <w:t xml:space="preserve"> </w:t>
      </w:r>
      <w:r w:rsidRPr="00732E5A">
        <w:rPr>
          <w:lang w:eastAsia="en-AU"/>
        </w:rPr>
        <w:t>as they seek to provide equivalent and seamless service packages to customers. Increasingly</w:t>
      </w:r>
      <w:r>
        <w:rPr>
          <w:lang w:eastAsia="en-AU"/>
        </w:rPr>
        <w:t>,</w:t>
      </w:r>
      <w:r w:rsidRPr="00732E5A">
        <w:rPr>
          <w:lang w:eastAsia="en-AU"/>
        </w:rPr>
        <w:t xml:space="preserve"> telecommunications providers are </w:t>
      </w:r>
      <w:r>
        <w:rPr>
          <w:lang w:eastAsia="en-AU"/>
        </w:rPr>
        <w:t xml:space="preserve">also </w:t>
      </w:r>
      <w:r w:rsidRPr="00732E5A">
        <w:rPr>
          <w:lang w:eastAsia="en-AU"/>
        </w:rPr>
        <w:t>moving into content distribution</w:t>
      </w:r>
      <w:r>
        <w:rPr>
          <w:lang w:eastAsia="en-AU"/>
        </w:rPr>
        <w:t xml:space="preserve">. For example, </w:t>
      </w:r>
      <w:r w:rsidRPr="00732E5A">
        <w:rPr>
          <w:lang w:eastAsia="en-AU"/>
        </w:rPr>
        <w:t xml:space="preserve">Optus </w:t>
      </w:r>
      <w:r>
        <w:rPr>
          <w:lang w:eastAsia="en-AU"/>
        </w:rPr>
        <w:t xml:space="preserve">has recently acquired the rights to broadcast the English Premier League, while </w:t>
      </w:r>
      <w:r w:rsidRPr="00732E5A">
        <w:rPr>
          <w:lang w:eastAsia="en-AU"/>
        </w:rPr>
        <w:t>Telstra</w:t>
      </w:r>
      <w:r>
        <w:rPr>
          <w:lang w:eastAsia="en-AU"/>
        </w:rPr>
        <w:t xml:space="preserve"> has a long-running stake in Foxtel.</w:t>
      </w:r>
      <w:r>
        <w:rPr>
          <w:rStyle w:val="FootnoteReference"/>
          <w:lang w:eastAsia="en-AU"/>
        </w:rPr>
        <w:footnoteReference w:id="14"/>
      </w:r>
    </w:p>
    <w:p w14:paraId="7B358929" w14:textId="11B45D1C" w:rsidR="005E6B84" w:rsidRPr="00732E5A" w:rsidRDefault="005E6B84" w:rsidP="00504587">
      <w:pPr>
        <w:rPr>
          <w:lang w:eastAsia="en-AU"/>
        </w:rPr>
      </w:pPr>
      <w:r w:rsidRPr="00732E5A">
        <w:rPr>
          <w:lang w:eastAsia="en-AU"/>
        </w:rPr>
        <w:t>As a result</w:t>
      </w:r>
      <w:r>
        <w:rPr>
          <w:lang w:eastAsia="en-AU"/>
        </w:rPr>
        <w:t>, communications</w:t>
      </w:r>
      <w:r w:rsidRPr="00732E5A">
        <w:rPr>
          <w:lang w:eastAsia="en-AU"/>
        </w:rPr>
        <w:t xml:space="preserve"> businesses are </w:t>
      </w:r>
      <w:r>
        <w:rPr>
          <w:lang w:eastAsia="en-AU"/>
        </w:rPr>
        <w:t xml:space="preserve">no longer </w:t>
      </w:r>
      <w:r w:rsidRPr="00732E5A">
        <w:rPr>
          <w:lang w:eastAsia="en-AU"/>
        </w:rPr>
        <w:t xml:space="preserve">competing within their own </w:t>
      </w:r>
      <w:r>
        <w:rPr>
          <w:lang w:eastAsia="en-AU"/>
        </w:rPr>
        <w:t xml:space="preserve">traditional sectors, that is, </w:t>
      </w:r>
      <w:r w:rsidRPr="00732E5A">
        <w:rPr>
          <w:lang w:eastAsia="en-AU"/>
        </w:rPr>
        <w:t xml:space="preserve">mobile to mobile, telco to telco, or </w:t>
      </w:r>
      <w:r>
        <w:rPr>
          <w:lang w:eastAsia="en-AU"/>
        </w:rPr>
        <w:t>media</w:t>
      </w:r>
      <w:r w:rsidRPr="00732E5A">
        <w:rPr>
          <w:lang w:eastAsia="en-AU"/>
        </w:rPr>
        <w:t xml:space="preserve"> to </w:t>
      </w:r>
      <w:r>
        <w:rPr>
          <w:lang w:eastAsia="en-AU"/>
        </w:rPr>
        <w:t xml:space="preserve">media. Instead, </w:t>
      </w:r>
      <w:r w:rsidRPr="00732E5A">
        <w:rPr>
          <w:lang w:eastAsia="en-AU"/>
        </w:rPr>
        <w:t>they are competing with each other</w:t>
      </w:r>
      <w:r>
        <w:rPr>
          <w:lang w:eastAsia="en-AU"/>
        </w:rPr>
        <w:t xml:space="preserve"> </w:t>
      </w:r>
      <w:r w:rsidRPr="00732E5A">
        <w:rPr>
          <w:lang w:eastAsia="en-AU"/>
        </w:rPr>
        <w:t>in a global market.</w:t>
      </w:r>
      <w:r>
        <w:rPr>
          <w:lang w:eastAsia="en-AU"/>
        </w:rPr>
        <w:t xml:space="preserve"> Apple, preeminent in devices, has moved into services (iTunes)</w:t>
      </w:r>
      <w:r>
        <w:t>, while application providers like Google have moved into content (YouTube) and are making preliminary forays into infrastructure (Google Fibre, Project Loon). Facebook is providing one-to-one and one-to-many communications services.</w:t>
      </w:r>
    </w:p>
    <w:p w14:paraId="4FDBD20B" w14:textId="2F54F8AE" w:rsidR="005E6B84" w:rsidRDefault="005E6B84" w:rsidP="005E6B84">
      <w:r w:rsidRPr="00732E5A">
        <w:t>The next wave of change in the communications market is being led by the rapid growth of over-the-top services (OTT)</w:t>
      </w:r>
      <w:r>
        <w:t>. Previously most media and telecommunication</w:t>
      </w:r>
      <w:r w:rsidR="00A6225D">
        <w:t>s</w:t>
      </w:r>
      <w:r>
        <w:t xml:space="preserve"> services were provided via dedicated end-to-end networks usually developed for a single purpose and often owned by a vertically integrated provider. OTT services are leading to a degree of vertical disintegration, with independent application providers operating at the edge of the network and end users accessing content and services via devices connected to a variety of communication</w:t>
      </w:r>
      <w:r w:rsidR="00A6225D">
        <w:t>s</w:t>
      </w:r>
      <w:r>
        <w:t xml:space="preserve"> networks. N</w:t>
      </w:r>
      <w:r w:rsidRPr="00732E5A">
        <w:t xml:space="preserve">ew entrants in this market </w:t>
      </w:r>
      <w:r>
        <w:t xml:space="preserve">often </w:t>
      </w:r>
      <w:r w:rsidRPr="00732E5A">
        <w:t>have a different business model to traditional telecommunication</w:t>
      </w:r>
      <w:r w:rsidR="00A6225D">
        <w:t>s</w:t>
      </w:r>
      <w:r>
        <w:t xml:space="preserve"> and </w:t>
      </w:r>
      <w:r w:rsidRPr="00732E5A">
        <w:t>media businesses</w:t>
      </w:r>
      <w:r>
        <w:t xml:space="preserve">; </w:t>
      </w:r>
      <w:r w:rsidRPr="00732E5A">
        <w:t xml:space="preserve">they are specialised, global in scale and unrestricted by existing service contracts. </w:t>
      </w:r>
      <w:r>
        <w:t xml:space="preserve">As a result, many </w:t>
      </w:r>
      <w:r w:rsidRPr="00732E5A">
        <w:t xml:space="preserve">OTT service providers </w:t>
      </w:r>
      <w:r>
        <w:t xml:space="preserve">do not necessarily own </w:t>
      </w:r>
      <w:r w:rsidRPr="00732E5A">
        <w:t xml:space="preserve">infrastructure </w:t>
      </w:r>
      <w:r>
        <w:t>and</w:t>
      </w:r>
      <w:r w:rsidRPr="00732E5A">
        <w:t xml:space="preserve"> </w:t>
      </w:r>
      <w:r>
        <w:t xml:space="preserve">instead </w:t>
      </w:r>
      <w:r w:rsidRPr="00732E5A">
        <w:t>rely on fixed</w:t>
      </w:r>
      <w:r>
        <w:t>, mobile</w:t>
      </w:r>
      <w:r w:rsidRPr="00732E5A">
        <w:t xml:space="preserve"> and wireless </w:t>
      </w:r>
      <w:r>
        <w:t xml:space="preserve">broadband </w:t>
      </w:r>
      <w:r w:rsidRPr="00732E5A">
        <w:t xml:space="preserve">networks to connect to </w:t>
      </w:r>
      <w:r>
        <w:t xml:space="preserve">the devices owned by their </w:t>
      </w:r>
      <w:r w:rsidRPr="00732E5A">
        <w:t>customers.</w:t>
      </w:r>
    </w:p>
    <w:p w14:paraId="3F15DC6B" w14:textId="630BB94E" w:rsidR="005E6B84" w:rsidRDefault="005E6B84" w:rsidP="005E6B84">
      <w:r>
        <w:t>Another wave of change is the rapidly emerging ‘</w:t>
      </w:r>
      <w:r w:rsidR="00A60744">
        <w:t>I</w:t>
      </w:r>
      <w:r>
        <w:t xml:space="preserve">nternet of </w:t>
      </w:r>
      <w:r w:rsidR="00A60744">
        <w:t>T</w:t>
      </w:r>
      <w:r>
        <w:t>hings’ that will place new demands on networks and impact on the pace of communications, increasing machine-to-machine communications and creating unprecedented volumes of data with special service requirements.</w:t>
      </w:r>
    </w:p>
    <w:p w14:paraId="44B5C857" w14:textId="77777777" w:rsidR="005E6B84" w:rsidRDefault="005E6B84" w:rsidP="005E6B84">
      <w:r w:rsidRPr="00732E5A">
        <w:t>Infrastructure investment is being driven by the need to keep pace with the rapid growth in data use as a result of new services that rely on high data volumes</w:t>
      </w:r>
      <w:r>
        <w:t>,</w:t>
      </w:r>
      <w:r w:rsidRPr="00732E5A">
        <w:t xml:space="preserve"> in sectors </w:t>
      </w:r>
      <w:r>
        <w:t>such as</w:t>
      </w:r>
      <w:r w:rsidRPr="00732E5A">
        <w:t xml:space="preserve"> financial services, media, health, agriculture and tourism. Infrastructure Australia predicts demand for telecommunications infrastructure to grow faster than GDP until </w:t>
      </w:r>
      <w:r>
        <w:t xml:space="preserve">at least </w:t>
      </w:r>
      <w:r w:rsidRPr="00732E5A">
        <w:t>2031</w:t>
      </w:r>
      <w:r>
        <w:t>.</w:t>
      </w:r>
      <w:r w:rsidRPr="00732E5A">
        <w:rPr>
          <w:vertAlign w:val="superscript"/>
        </w:rPr>
        <w:footnoteReference w:id="15"/>
      </w:r>
      <w:r>
        <w:t xml:space="preserve"> </w:t>
      </w:r>
      <w:r w:rsidRPr="00732E5A">
        <w:t>As more audio-visual content is access</w:t>
      </w:r>
      <w:r>
        <w:t>ed</w:t>
      </w:r>
      <w:r w:rsidRPr="00732E5A">
        <w:t xml:space="preserve"> via the </w:t>
      </w:r>
      <w:r>
        <w:t>i</w:t>
      </w:r>
      <w:r w:rsidRPr="00732E5A">
        <w:t>nternet, the telecommunications sector is expected to experience significant growth in demand</w:t>
      </w:r>
      <w:r>
        <w:t xml:space="preserve"> for data</w:t>
      </w:r>
      <w:r w:rsidRPr="00732E5A">
        <w:t>. Cisco forecasts that globally, consumer internet video traffic will be 80 per</w:t>
      </w:r>
      <w:r>
        <w:t xml:space="preserve"> </w:t>
      </w:r>
      <w:r w:rsidRPr="00732E5A">
        <w:t xml:space="preserve">cent of all consumer </w:t>
      </w:r>
      <w:r>
        <w:t>i</w:t>
      </w:r>
      <w:r w:rsidRPr="00732E5A">
        <w:t>nternet traffic in 2019, up from 64 per</w:t>
      </w:r>
      <w:r>
        <w:t xml:space="preserve"> </w:t>
      </w:r>
      <w:r w:rsidRPr="00732E5A">
        <w:t>cent in 2014</w:t>
      </w:r>
      <w:r>
        <w:t>.</w:t>
      </w:r>
      <w:r w:rsidRPr="00732E5A">
        <w:rPr>
          <w:vertAlign w:val="superscript"/>
        </w:rPr>
        <w:footnoteReference w:id="16"/>
      </w:r>
    </w:p>
    <w:p w14:paraId="0CD398C9" w14:textId="53D0CDDC" w:rsidR="005E6B84" w:rsidRPr="00B74305" w:rsidRDefault="005E6B84" w:rsidP="005E6B84">
      <w:pPr>
        <w:pStyle w:val="Tablefigureheading"/>
      </w:pPr>
      <w:r w:rsidRPr="00B74305">
        <w:t xml:space="preserve">Figure 3: Mobile and fixed </w:t>
      </w:r>
      <w:r w:rsidR="00A60744">
        <w:t>l</w:t>
      </w:r>
      <w:r w:rsidRPr="00B74305">
        <w:t>ine data downloads</w:t>
      </w:r>
      <w:r w:rsidRPr="009B2D5D">
        <w:rPr>
          <w:rStyle w:val="FootnoteReference"/>
        </w:rPr>
        <w:footnoteReference w:id="17"/>
      </w:r>
    </w:p>
    <w:p w14:paraId="2C990F11" w14:textId="77777777" w:rsidR="005E6B84" w:rsidRDefault="005E6B84" w:rsidP="00CB4DEF">
      <w:pPr>
        <w:jc w:val="center"/>
      </w:pPr>
      <w:r>
        <w:rPr>
          <w:noProof/>
          <w:lang w:eastAsia="en-AU"/>
        </w:rPr>
        <w:drawing>
          <wp:inline distT="0" distB="0" distL="0" distR="0" wp14:anchorId="513D5468" wp14:editId="3A351E2C">
            <wp:extent cx="5057775" cy="2348698"/>
            <wp:effectExtent l="0" t="0" r="0" b="0"/>
            <wp:docPr id="250" name="Picture 250" descr="Volume of data downloaded by access connection, for ISPs with more than 1,000 subscribers&#10;Fixed line:&#10;June 2010: 141,892&#10;December 2010: 174,665&#10;June 2011: 254,947&#10;December 2011: 322,280&#10;June 2012: 389,130&#10;December 2012: 526,472&#10;June 2013: 629,964&#10;December 2013: 823,421&#10;June 2014: 963,429&#10;December 2014: 1,112,379&#10;June 2015: 1,349,975&#10;&#10;Wireless:&#10;June 2010: 13,330&#10;December 2010: 16,990&#10;June 2011: 19,149&#10;December 2011: 23,142&#10;June 2012: 25,301&#10;December 2012: 28,196&#10;June 2013: 27,232&#10;December 2013: 37, 426&#10;June 2014: 32,731&#10;December 2014: 34,339&#10;June 2015: 38,673" title="Mobile and fixed line data 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90367" cy="2363833"/>
                    </a:xfrm>
                    <a:prstGeom prst="rect">
                      <a:avLst/>
                    </a:prstGeom>
                  </pic:spPr>
                </pic:pic>
              </a:graphicData>
            </a:graphic>
          </wp:inline>
        </w:drawing>
      </w:r>
    </w:p>
    <w:p w14:paraId="06E3D3EC" w14:textId="77777777" w:rsidR="005E6B84" w:rsidRDefault="005E6B84" w:rsidP="009021CF">
      <w:pPr>
        <w:pStyle w:val="Heading5"/>
      </w:pPr>
      <w:r>
        <w:t>Broadband markets</w:t>
      </w:r>
    </w:p>
    <w:p w14:paraId="6D45C8EB" w14:textId="737E723D" w:rsidR="005E6B84" w:rsidRDefault="005E6B84" w:rsidP="00576140">
      <w:r>
        <w:t xml:space="preserve">In the broadband segment of the market, </w:t>
      </w:r>
      <w:r w:rsidR="0020342E">
        <w:t>nbn</w:t>
      </w:r>
      <w:r>
        <w:t xml:space="preserve"> will be the major infrastructure investor, as it delivers broadband access to customer premises on a wholesale basis. At present, industry consolidation between tier two broadband providers, </w:t>
      </w:r>
      <w:r w:rsidRPr="004E17E7">
        <w:t>for example TPG’s purchase of iiNet and the merger of M2 Group and Vocus</w:t>
      </w:r>
      <w:r>
        <w:t xml:space="preserve"> Communications, is changing the broadband landscape as providers scale up to compete in an NBN-based industry structure.</w:t>
      </w:r>
      <w:r w:rsidRPr="0043304B">
        <w:t xml:space="preserve"> </w:t>
      </w:r>
      <w:r>
        <w:t>The structural separation between the wholesale infrastructure owner (</w:t>
      </w:r>
      <w:r w:rsidR="0020342E">
        <w:t>nbn</w:t>
      </w:r>
      <w:r>
        <w:t>) and retail service providers is aimed at addressing the longstanding structural impediments to competition in the broadband market. However, it is not yet clear how this new market structure will evolve.</w:t>
      </w:r>
    </w:p>
    <w:p w14:paraId="2939C473" w14:textId="77777777" w:rsidR="005E6B84" w:rsidRDefault="005E6B84" w:rsidP="005E6B84">
      <w:pPr>
        <w:pStyle w:val="Tablefigureheading"/>
      </w:pPr>
      <w:bookmarkStart w:id="123" w:name="_Toc433970286"/>
      <w:r w:rsidRPr="00B74305">
        <w:t>Figure 4: NBN rollout</w:t>
      </w:r>
      <w:bookmarkEnd w:id="123"/>
      <w:r w:rsidRPr="009B2D5D">
        <w:rPr>
          <w:rStyle w:val="FootnoteReference"/>
        </w:rPr>
        <w:footnoteReference w:id="18"/>
      </w:r>
    </w:p>
    <w:p w14:paraId="28324AF8" w14:textId="77777777" w:rsidR="005E6B84" w:rsidRDefault="005E6B84" w:rsidP="00CB4DEF">
      <w:pPr>
        <w:jc w:val="center"/>
      </w:pPr>
      <w:r>
        <w:rPr>
          <w:noProof/>
          <w:lang w:eastAsia="en-AU"/>
        </w:rPr>
        <w:drawing>
          <wp:inline distT="0" distB="0" distL="0" distR="0" wp14:anchorId="6865F4B5" wp14:editId="6F7A4F31">
            <wp:extent cx="5029200" cy="1938826"/>
            <wp:effectExtent l="0" t="0" r="0" b="4445"/>
            <wp:docPr id="256" name="Picture 256" descr="Lots/Premises Passed/Covered&#10;30 June 2011: 10,575&#10;30 June 2012: 41,908&#10;30 June 2013: 234,799&#10;30 June 2014: 604,470&#10;25 June 2015: 1,148,045&#10;27 August 2015: 1,224,129&#10;8 October 2015: 1,361,428&#10;&#10;Lots where NBN activated&#10;30 June 2011: 786&#10;30 June 2012: 13,536&#10;30 June 2013: 70,100&#10;30 June 2014: 210,628&#10;25 June 2015: 479,261&#10;27 August 2015: 566,840&#10;8 October 2015: 619,861" title="NBN roll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64304" cy="1952359"/>
                    </a:xfrm>
                    <a:prstGeom prst="rect">
                      <a:avLst/>
                    </a:prstGeom>
                  </pic:spPr>
                </pic:pic>
              </a:graphicData>
            </a:graphic>
          </wp:inline>
        </w:drawing>
      </w:r>
    </w:p>
    <w:p w14:paraId="2C72C1BE" w14:textId="77777777" w:rsidR="005E6B84" w:rsidRPr="00CB4DEF" w:rsidRDefault="005E6B84" w:rsidP="00CB4DEF">
      <w:pPr>
        <w:spacing w:after="120"/>
        <w:rPr>
          <w:i/>
          <w:sz w:val="20"/>
        </w:rPr>
      </w:pPr>
      <w:r w:rsidRPr="00CB4DEF">
        <w:rPr>
          <w:i/>
          <w:sz w:val="20"/>
        </w:rPr>
        <w:t>* Lots/premises passed/covered is the combined total for fixed technology in Brownfields and New Developments plus, fixed wireless premises which are covered by the network, excluding satellite.</w:t>
      </w:r>
    </w:p>
    <w:p w14:paraId="497F71F6" w14:textId="77777777" w:rsidR="005E6B84" w:rsidRPr="00CB4DEF" w:rsidRDefault="005E6B84" w:rsidP="00CB4DEF">
      <w:pPr>
        <w:spacing w:after="0"/>
        <w:rPr>
          <w:i/>
          <w:sz w:val="20"/>
        </w:rPr>
      </w:pPr>
      <w:r w:rsidRPr="00CB4DEF">
        <w:rPr>
          <w:rFonts w:eastAsia="Times New Roman" w:hAnsi="Calibri" w:cs="Arial"/>
          <w:i/>
          <w:color w:val="000000"/>
          <w:kern w:val="24"/>
          <w:sz w:val="20"/>
        </w:rPr>
        <w:t>†</w:t>
      </w:r>
      <w:r w:rsidRPr="00CB4DEF">
        <w:rPr>
          <w:i/>
          <w:sz w:val="20"/>
        </w:rPr>
        <w:t xml:space="preserve"> </w:t>
      </w:r>
      <w:r w:rsidRPr="00CB4DEF">
        <w:rPr>
          <w:rFonts w:eastAsia="Times New Roman" w:hAnsi="Calibri" w:cs="Arial"/>
          <w:i/>
          <w:iCs/>
          <w:color w:val="000000"/>
          <w:kern w:val="24"/>
          <w:sz w:val="20"/>
        </w:rPr>
        <w:t>Premises activated refers to homes and business which have an active service installed</w:t>
      </w:r>
      <w:r w:rsidR="002D5684" w:rsidRPr="00CB4DEF">
        <w:rPr>
          <w:rFonts w:eastAsia="Times New Roman" w:hAnsi="Calibri" w:cs="Arial"/>
          <w:i/>
          <w:iCs/>
          <w:color w:val="000000"/>
          <w:kern w:val="24"/>
          <w:sz w:val="20"/>
        </w:rPr>
        <w:t>.</w:t>
      </w:r>
    </w:p>
    <w:p w14:paraId="3943BF56" w14:textId="77777777" w:rsidR="005E6B84" w:rsidRPr="00732E5A" w:rsidRDefault="005E6B84" w:rsidP="005E6B84">
      <w:r>
        <w:t xml:space="preserve">Fixed and mobile </w:t>
      </w:r>
      <w:r w:rsidRPr="00732E5A">
        <w:t xml:space="preserve">infrastructure </w:t>
      </w:r>
      <w:r>
        <w:t xml:space="preserve">owners who provide vertically-oriented services, </w:t>
      </w:r>
      <w:r w:rsidRPr="00732E5A">
        <w:t xml:space="preserve">while currently benefiting from revenue growth driven by </w:t>
      </w:r>
      <w:r>
        <w:t xml:space="preserve">the demand for </w:t>
      </w:r>
      <w:r w:rsidRPr="00732E5A">
        <w:t>data</w:t>
      </w:r>
      <w:r>
        <w:t>,</w:t>
      </w:r>
      <w:r w:rsidRPr="00732E5A">
        <w:t xml:space="preserve"> are </w:t>
      </w:r>
      <w:r>
        <w:t xml:space="preserve">facing competition from OTT applications like Skype and WhatsApp which are alternatives to traditional voice or SMS communication services. Infrastructure owners are therefore </w:t>
      </w:r>
      <w:r w:rsidRPr="00732E5A">
        <w:t xml:space="preserve">increasingly looking to diversify their business beyond access and devices </w:t>
      </w:r>
      <w:r>
        <w:t xml:space="preserve">into the delivery of </w:t>
      </w:r>
      <w:r w:rsidRPr="00732E5A">
        <w:t>services, applications and end-to-end solutions. This is both a growth opportunity</w:t>
      </w:r>
      <w:r>
        <w:t xml:space="preserve">, as they seek to </w:t>
      </w:r>
      <w:r w:rsidRPr="00732E5A">
        <w:t>access</w:t>
      </w:r>
      <w:r>
        <w:t xml:space="preserve"> </w:t>
      </w:r>
      <w:r w:rsidRPr="00732E5A">
        <w:t>revenue going to OTT services</w:t>
      </w:r>
      <w:r>
        <w:t>,</w:t>
      </w:r>
      <w:r w:rsidRPr="00732E5A">
        <w:t xml:space="preserve"> and a defensive strategy</w:t>
      </w:r>
      <w:r>
        <w:t>,</w:t>
      </w:r>
      <w:r w:rsidRPr="00732E5A">
        <w:t xml:space="preserve"> as they run the risk of only receiving utility</w:t>
      </w:r>
      <w:r>
        <w:t>-</w:t>
      </w:r>
      <w:r w:rsidRPr="00732E5A">
        <w:t xml:space="preserve">type returns for the data traffic on their </w:t>
      </w:r>
      <w:r>
        <w:t xml:space="preserve">broadband </w:t>
      </w:r>
      <w:r w:rsidRPr="00732E5A">
        <w:t>networks in the longer term.</w:t>
      </w:r>
    </w:p>
    <w:p w14:paraId="77101F54" w14:textId="77777777" w:rsidR="005E6B84" w:rsidRDefault="005E6B84" w:rsidP="009021CF">
      <w:pPr>
        <w:pStyle w:val="Heading5"/>
      </w:pPr>
      <w:r>
        <w:t>Growing spectrum demands</w:t>
      </w:r>
    </w:p>
    <w:p w14:paraId="408ED898" w14:textId="54F182AC" w:rsidR="005E6B84" w:rsidRPr="00732E5A" w:rsidRDefault="005E6B84" w:rsidP="005E6B84">
      <w:pPr>
        <w:rPr>
          <w:sz w:val="23"/>
          <w:szCs w:val="23"/>
        </w:rPr>
      </w:pPr>
      <w:r w:rsidRPr="00732E5A">
        <w:t xml:space="preserve">The increasing demand for mobile devices </w:t>
      </w:r>
      <w:r>
        <w:t xml:space="preserve">(including from the device-to-device nature of the ‘Internet of Things’) </w:t>
      </w:r>
      <w:r w:rsidRPr="00732E5A">
        <w:t>means spectrum allocation decisions are becoming more contentious</w:t>
      </w:r>
      <w:r>
        <w:t>,</w:t>
      </w:r>
      <w:r w:rsidRPr="00732E5A">
        <w:t xml:space="preserve"> as pressure to meet new spectrum uses </w:t>
      </w:r>
      <w:r>
        <w:t xml:space="preserve">must be balanced with </w:t>
      </w:r>
      <w:r w:rsidRPr="00732E5A">
        <w:t xml:space="preserve">reallocation demands from existing users. </w:t>
      </w:r>
      <w:r>
        <w:rPr>
          <w:sz w:val="23"/>
          <w:szCs w:val="23"/>
        </w:rPr>
        <w:t>A</w:t>
      </w:r>
      <w:r w:rsidRPr="00732E5A">
        <w:rPr>
          <w:sz w:val="23"/>
          <w:szCs w:val="23"/>
        </w:rPr>
        <w:t>s demand for spectrum grows</w:t>
      </w:r>
      <w:r>
        <w:rPr>
          <w:sz w:val="23"/>
          <w:szCs w:val="23"/>
        </w:rPr>
        <w:t>, so too does</w:t>
      </w:r>
      <w:r w:rsidRPr="00732E5A">
        <w:t xml:space="preserve"> </w:t>
      </w:r>
      <w:r>
        <w:t>t</w:t>
      </w:r>
      <w:r w:rsidRPr="00732E5A">
        <w:t>he risk of interference to licensed services</w:t>
      </w:r>
      <w:r w:rsidRPr="00732E5A">
        <w:rPr>
          <w:sz w:val="23"/>
          <w:szCs w:val="23"/>
        </w:rPr>
        <w:t xml:space="preserve">. </w:t>
      </w:r>
      <w:r>
        <w:rPr>
          <w:sz w:val="23"/>
          <w:szCs w:val="23"/>
        </w:rPr>
        <w:t xml:space="preserve">Furthermore, management of spectrum by regulators and service providers is made increasingly difficult, particularly given the increasing scarcity of the spectrum resource as demand </w:t>
      </w:r>
      <w:r>
        <w:t xml:space="preserve">growth </w:t>
      </w:r>
      <w:r>
        <w:rPr>
          <w:sz w:val="23"/>
          <w:szCs w:val="23"/>
        </w:rPr>
        <w:t>accelerates.</w:t>
      </w:r>
    </w:p>
    <w:p w14:paraId="43181B75" w14:textId="77777777" w:rsidR="005E6B84" w:rsidRDefault="005E6B84" w:rsidP="009021CF">
      <w:pPr>
        <w:pStyle w:val="Heading5"/>
      </w:pPr>
      <w:r>
        <w:t>Media markets</w:t>
      </w:r>
    </w:p>
    <w:p w14:paraId="0EE221FC" w14:textId="77777777" w:rsidR="005E6B84" w:rsidRDefault="005E6B84" w:rsidP="005E6B84">
      <w:r w:rsidRPr="00732E5A">
        <w:t xml:space="preserve">Content is increasingly being accessed </w:t>
      </w:r>
      <w:r>
        <w:t>“</w:t>
      </w:r>
      <w:r w:rsidRPr="00732E5A">
        <w:t>on the go</w:t>
      </w:r>
      <w:r>
        <w:t xml:space="preserve">” </w:t>
      </w:r>
      <w:r w:rsidRPr="00732E5A">
        <w:t>via mobile internet</w:t>
      </w:r>
      <w:r>
        <w:t>-</w:t>
      </w:r>
      <w:r w:rsidRPr="00732E5A">
        <w:t>connected devices and on demand via catch-up television or subscription video on de</w:t>
      </w:r>
      <w:r>
        <w:t>mand (SVOD) services. The on-demand nature of content consumption means that the TV-guide is being replaced by the search engine. For example, Facebook is now the number one referrer of news stories. While the majority of viewing time remains focused on broadcast television in the home and commercial television audiences have been relatively resilient over the past decade, 2015 saw the first signs of audience erosion. In the first quarter of 2015, the average number of hours of broadcast television viewed per capita fell below 90 hours per month for the first time since ratings started in 1991.</w:t>
      </w:r>
      <w:r>
        <w:rPr>
          <w:rStyle w:val="FootnoteReference"/>
        </w:rPr>
        <w:footnoteReference w:id="19"/>
      </w:r>
    </w:p>
    <w:p w14:paraId="143E8928" w14:textId="77777777" w:rsidR="00EB2B81" w:rsidRDefault="005E6B84" w:rsidP="005E6B84">
      <w:r>
        <w:t>As content is digitised and accessed over broadband networks, payments made to content producers are reducing. Rather than having one source of paid content, households may have multiple cheaper subscriptions. The digital versions of films, music, books and subscription TV are often less expensive for consumers to purchase than their analogue predecessors. The emerging cost for consumers, however, is the cost of downloading increasing amounts of data over their broadband connections.</w:t>
      </w:r>
    </w:p>
    <w:p w14:paraId="3E207762" w14:textId="77777777" w:rsidR="00EB2B81" w:rsidRDefault="005E6B84" w:rsidP="005E6B84">
      <w:r>
        <w:t>The revenue of commercial television broadcasters has fallen 19.7 per cent over the ten years to 2014, from $5.52 to $4.43 billion, and is expected to continue to decline.</w:t>
      </w:r>
      <w:r>
        <w:rPr>
          <w:rStyle w:val="FootnoteReference"/>
          <w:rFonts w:eastAsia="Calibri"/>
        </w:rPr>
        <w:footnoteReference w:id="20"/>
      </w:r>
      <w:r>
        <w:t xml:space="preserve"> At the same time, the operating costs for the publicly listed commercial broadcasters have increased by 7.9 per cent at the group level over the five years to 2015.</w:t>
      </w:r>
      <w:r>
        <w:rPr>
          <w:rStyle w:val="FootnoteReference"/>
          <w:rFonts w:eastAsia="Calibri"/>
        </w:rPr>
        <w:footnoteReference w:id="21"/>
      </w:r>
      <w:r>
        <w:t xml:space="preserve"> These increases are driven by increasing talent fees, high production values and rights costs for content such as live sport.</w:t>
      </w:r>
    </w:p>
    <w:p w14:paraId="7E90B8C0" w14:textId="38D5785C" w:rsidR="005E6B84" w:rsidRDefault="005E6B84" w:rsidP="005E6B84">
      <w:r>
        <w:t>Subscription television revenues are forecast to increase by 10.8 per cent over the next four years to 2019.</w:t>
      </w:r>
      <w:r>
        <w:rPr>
          <w:rStyle w:val="FootnoteReference"/>
        </w:rPr>
        <w:footnoteReference w:id="22"/>
      </w:r>
      <w:r>
        <w:t xml:space="preserve"> Subscribers will be looking for more flexibility to choose individual programs rather than packages. </w:t>
      </w:r>
      <w:r w:rsidRPr="00732E5A">
        <w:t xml:space="preserve">Commercial </w:t>
      </w:r>
      <w:r>
        <w:t xml:space="preserve">and subscription </w:t>
      </w:r>
      <w:r w:rsidRPr="00732E5A">
        <w:t xml:space="preserve">broadcasters </w:t>
      </w:r>
      <w:r>
        <w:t xml:space="preserve">will also be </w:t>
      </w:r>
      <w:r w:rsidRPr="00732E5A">
        <w:t>under pressure from OTT applications like YouTube, Netflix, Facebook, Pandora</w:t>
      </w:r>
      <w:r w:rsidRPr="00732E5A" w:rsidDel="00421CBF">
        <w:t xml:space="preserve"> </w:t>
      </w:r>
      <w:r w:rsidRPr="00732E5A">
        <w:t>and Spotify</w:t>
      </w:r>
      <w:r>
        <w:t>,</w:t>
      </w:r>
      <w:r w:rsidRPr="00732E5A">
        <w:t xml:space="preserve"> </w:t>
      </w:r>
      <w:r>
        <w:t xml:space="preserve">which </w:t>
      </w:r>
      <w:r w:rsidRPr="00732E5A">
        <w:t xml:space="preserve">are providing global broadcasting type content direct to Australian households. </w:t>
      </w:r>
      <w:r>
        <w:t xml:space="preserve">For example, </w:t>
      </w:r>
      <w:r w:rsidR="0032139B">
        <w:t xml:space="preserve">as noted in Figure 5 below, </w:t>
      </w:r>
      <w:r>
        <w:t>over one</w:t>
      </w:r>
      <w:r w:rsidR="00E549A3">
        <w:t> million</w:t>
      </w:r>
      <w:r>
        <w:t xml:space="preserve"> Australian households </w:t>
      </w:r>
      <w:r w:rsidRPr="00732E5A">
        <w:t xml:space="preserve">have subscribed to </w:t>
      </w:r>
      <w:r>
        <w:t>the SVOD</w:t>
      </w:r>
      <w:r w:rsidRPr="00732E5A">
        <w:t xml:space="preserve"> service Netflix</w:t>
      </w:r>
      <w:r>
        <w:t xml:space="preserve"> since its launch in March 2015</w:t>
      </w:r>
      <w:r w:rsidRPr="00732E5A">
        <w:t>.</w:t>
      </w:r>
      <w:r w:rsidR="0032139B" w:rsidDel="0032139B">
        <w:rPr>
          <w:rStyle w:val="FootnoteReference"/>
        </w:rPr>
        <w:t xml:space="preserve"> </w:t>
      </w:r>
    </w:p>
    <w:p w14:paraId="110C88E7" w14:textId="77777777" w:rsidR="005E6B84" w:rsidRDefault="005E6B84" w:rsidP="005E6B84">
      <w:pPr>
        <w:pStyle w:val="Tablefigureheading"/>
      </w:pPr>
      <w:bookmarkStart w:id="124" w:name="_Toc433970287"/>
      <w:r w:rsidRPr="00B74305">
        <w:t>Figure 5: Netflix take-up</w:t>
      </w:r>
      <w:bookmarkEnd w:id="124"/>
      <w:r w:rsidRPr="009B2D5D">
        <w:rPr>
          <w:rStyle w:val="FootnoteReference"/>
        </w:rPr>
        <w:footnoteReference w:id="23"/>
      </w:r>
    </w:p>
    <w:p w14:paraId="28ECAFCE" w14:textId="77777777" w:rsidR="005E6B84" w:rsidRPr="00E12290" w:rsidRDefault="005E6B84" w:rsidP="005E6B84">
      <w:r>
        <w:rPr>
          <w:noProof/>
          <w:lang w:eastAsia="en-AU"/>
        </w:rPr>
        <w:drawing>
          <wp:inline distT="0" distB="0" distL="0" distR="0" wp14:anchorId="35C628BB" wp14:editId="0E1554E5">
            <wp:extent cx="5698541" cy="3285478"/>
            <wp:effectExtent l="0" t="0" r="0" b="0"/>
            <wp:docPr id="257" name="Picture 257" descr="April 2015: 286,000 households&#10;May 2015: 419,000 households (133,000 net gain on previous month)&#10;June 2015: 571,000 households (152,000 net gain)&#10;July 2015: 737,000 households (166,000 net gain)&#10;August 2015: 855,000 households (118,000 net gain)&#10;September 2015: 968,000 households (113,000 net gain)&#10;October 2015: 1,039,000 households (71,000 net gain)" title="Netflix tak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05905" cy="3289724"/>
                    </a:xfrm>
                    <a:prstGeom prst="rect">
                      <a:avLst/>
                    </a:prstGeom>
                  </pic:spPr>
                </pic:pic>
              </a:graphicData>
            </a:graphic>
          </wp:inline>
        </w:drawing>
      </w:r>
    </w:p>
    <w:p w14:paraId="1B2139EB" w14:textId="77777777" w:rsidR="005E6B84" w:rsidRDefault="005E6B84" w:rsidP="005E6B84">
      <w:r w:rsidRPr="00732E5A">
        <w:t>While Australian</w:t>
      </w:r>
      <w:r>
        <w:t>s</w:t>
      </w:r>
      <w:r w:rsidRPr="00732E5A">
        <w:t xml:space="preserve"> are spending an increasing amount of time consuming media</w:t>
      </w:r>
      <w:r>
        <w:t xml:space="preserve"> content,</w:t>
      </w:r>
      <w:r w:rsidRPr="00732E5A">
        <w:t xml:space="preserve"> their attention is spread across a rapidly expanding range of content and devices. This is challenging the advertising</w:t>
      </w:r>
      <w:r>
        <w:t>-</w:t>
      </w:r>
      <w:r w:rsidRPr="00732E5A">
        <w:t xml:space="preserve">driven broadcasting business model that relies on attracting mass audiences. </w:t>
      </w:r>
      <w:r>
        <w:t>In response, b</w:t>
      </w:r>
      <w:r w:rsidRPr="00732E5A">
        <w:t>roadcasters are investing in digital platforms to recapture some of the advertising expenditure that is migrating online</w:t>
      </w:r>
      <w:r>
        <w:t xml:space="preserve">. For example, the </w:t>
      </w:r>
      <w:r w:rsidRPr="00732E5A">
        <w:t>Seven Media Group and Nine Entertainment Group have invested</w:t>
      </w:r>
      <w:r>
        <w:t xml:space="preserve">, </w:t>
      </w:r>
      <w:r w:rsidRPr="00732E5A">
        <w:t>with partners</w:t>
      </w:r>
      <w:r>
        <w:t xml:space="preserve">, </w:t>
      </w:r>
      <w:r w:rsidRPr="00732E5A">
        <w:t>in SVOD offerings</w:t>
      </w:r>
      <w:r>
        <w:t xml:space="preserve"> </w:t>
      </w:r>
      <w:r w:rsidRPr="00732E5A">
        <w:t>Presto and Stan</w:t>
      </w:r>
      <w:r>
        <w:t>. They have also commenced live-streaming of their broadcast television channels. H</w:t>
      </w:r>
      <w:r w:rsidRPr="00732E5A">
        <w:t xml:space="preserve">owever, the more crowded online advertising market </w:t>
      </w:r>
      <w:r>
        <w:t xml:space="preserve">is unlikely to </w:t>
      </w:r>
      <w:r w:rsidRPr="00732E5A">
        <w:t>deliver the same returns as tra</w:t>
      </w:r>
      <w:r>
        <w:t>ditional broadcast advertising.</w:t>
      </w:r>
    </w:p>
    <w:p w14:paraId="64B7BC2B" w14:textId="77777777" w:rsidR="005E6B84" w:rsidRDefault="005E6B84" w:rsidP="009021CF">
      <w:pPr>
        <w:pStyle w:val="Heading5"/>
      </w:pPr>
      <w:r>
        <w:t>Digital disruption</w:t>
      </w:r>
    </w:p>
    <w:p w14:paraId="77BAA89E" w14:textId="77777777" w:rsidR="005E6B84" w:rsidRDefault="005E6B84" w:rsidP="005E6B84">
      <w:r>
        <w:t>Rapid advancements in ICT have introduced challenges for the communications industry with emerging technology empowering market entrants with new business models to compete across the once well-defined market. This will also lead to disruption in other industries by blurring the boundaries between the communications market, the digital economy and the broader economy.</w:t>
      </w:r>
    </w:p>
    <w:p w14:paraId="4EE39DEC" w14:textId="77777777" w:rsidR="005E6B84" w:rsidRPr="00732E5A" w:rsidRDefault="005E6B84" w:rsidP="005B5DF9">
      <w:pPr>
        <w:keepNext/>
      </w:pPr>
      <w:r w:rsidRPr="00732E5A">
        <w:t>The disruption in the communications market is likely to continue as it is driven by:</w:t>
      </w:r>
    </w:p>
    <w:p w14:paraId="0D2E4F90" w14:textId="77777777" w:rsidR="005E6B84" w:rsidRDefault="005E6B84" w:rsidP="005B5DF9">
      <w:pPr>
        <w:pStyle w:val="Bulletlevel1"/>
        <w:keepNext/>
      </w:pPr>
      <w:r w:rsidRPr="00732E5A">
        <w:t>Growing ubiquity and speed of fixed and mobile broadband networks</w:t>
      </w:r>
      <w:r>
        <w:t>;</w:t>
      </w:r>
    </w:p>
    <w:p w14:paraId="44AEFF36" w14:textId="77777777" w:rsidR="005E6B84" w:rsidRPr="0079781B" w:rsidRDefault="005E6B84" w:rsidP="005B5DF9">
      <w:pPr>
        <w:pStyle w:val="Bulletlevel1"/>
        <w:keepNext/>
      </w:pPr>
      <w:r w:rsidRPr="00B74305">
        <w:t>Availability</w:t>
      </w:r>
      <w:r w:rsidRPr="0079781B">
        <w:t xml:space="preserve"> and uptake of increasingly sophisticated consumer devices (handheld or wearable) that can capture a growing range of inputs (text, voice, images, video, location data, medical or health data) and provide seamless connectivity to share and exchange data across global services, data analytics and ubiquitous social networks;</w:t>
      </w:r>
    </w:p>
    <w:p w14:paraId="0881816E" w14:textId="77777777" w:rsidR="005E6B84" w:rsidRDefault="005E6B84" w:rsidP="005E6B84">
      <w:pPr>
        <w:pStyle w:val="Bulletlevel1"/>
      </w:pPr>
      <w:r w:rsidRPr="00B74305">
        <w:t>Miniaturisation, which is making it economical to embed communications devices in appliances, sensors and logistics supply chains, that is creating the ‘Internet of Things’; and</w:t>
      </w:r>
    </w:p>
    <w:p w14:paraId="6B4EFF06" w14:textId="77777777" w:rsidR="005E6B84" w:rsidRDefault="005E6B84" w:rsidP="005E6B84">
      <w:pPr>
        <w:pStyle w:val="Bulletlevel1"/>
      </w:pPr>
      <w:r w:rsidRPr="00E44725">
        <w:t>Virtualisation of physical infrastructure, which has released service providers from infrastructure ownership and reduced entry costs, for example</w:t>
      </w:r>
      <w:r>
        <w:t>,</w:t>
      </w:r>
      <w:r w:rsidRPr="00E44725">
        <w:t xml:space="preserve"> cloud computing.</w:t>
      </w:r>
    </w:p>
    <w:p w14:paraId="509A6D82" w14:textId="77777777" w:rsidR="005E6B84" w:rsidRDefault="005E6B84" w:rsidP="009021CF">
      <w:pPr>
        <w:pStyle w:val="Heading5"/>
        <w:rPr>
          <w:lang w:eastAsia="en-AU"/>
        </w:rPr>
      </w:pPr>
      <w:r>
        <w:rPr>
          <w:lang w:eastAsia="en-AU"/>
        </w:rPr>
        <w:t>Consumers</w:t>
      </w:r>
    </w:p>
    <w:p w14:paraId="4F67F675" w14:textId="77777777" w:rsidR="00EB2B81" w:rsidRDefault="005E6B84" w:rsidP="00504587">
      <w:pPr>
        <w:rPr>
          <w:lang w:eastAsia="en-AU"/>
        </w:rPr>
      </w:pPr>
      <w:r w:rsidRPr="00732E5A">
        <w:rPr>
          <w:lang w:eastAsia="en-AU"/>
        </w:rPr>
        <w:t xml:space="preserve">In response to the increasing range of </w:t>
      </w:r>
      <w:r>
        <w:rPr>
          <w:lang w:eastAsia="en-AU"/>
        </w:rPr>
        <w:t xml:space="preserve">devices, </w:t>
      </w:r>
      <w:r w:rsidRPr="00732E5A">
        <w:rPr>
          <w:lang w:eastAsia="en-AU"/>
        </w:rPr>
        <w:t>services and applications</w:t>
      </w:r>
      <w:r>
        <w:rPr>
          <w:lang w:eastAsia="en-AU"/>
        </w:rPr>
        <w:t xml:space="preserve"> now available,</w:t>
      </w:r>
      <w:r w:rsidRPr="00732E5A">
        <w:rPr>
          <w:lang w:eastAsia="en-AU"/>
        </w:rPr>
        <w:t xml:space="preserve"> consumers are adopting technology </w:t>
      </w:r>
      <w:r>
        <w:rPr>
          <w:lang w:eastAsia="en-AU"/>
        </w:rPr>
        <w:t>faster</w:t>
      </w:r>
      <w:r w:rsidRPr="00732E5A">
        <w:rPr>
          <w:lang w:eastAsia="en-AU"/>
        </w:rPr>
        <w:t xml:space="preserve"> and earlier, although this is not uniform. Media consumption in multiple forms is increasing and consumers tend to be more engaged online, both in consuming and producing content and </w:t>
      </w:r>
      <w:r>
        <w:rPr>
          <w:lang w:eastAsia="en-AU"/>
        </w:rPr>
        <w:t>in carrying out</w:t>
      </w:r>
      <w:r w:rsidRPr="00732E5A">
        <w:rPr>
          <w:lang w:eastAsia="en-AU"/>
        </w:rPr>
        <w:t xml:space="preserve"> more online transactions.</w:t>
      </w:r>
    </w:p>
    <w:p w14:paraId="6266C55D" w14:textId="77777777" w:rsidR="005E6B84" w:rsidRPr="00732E5A" w:rsidRDefault="005E6B84" w:rsidP="005E6B84">
      <w:r w:rsidRPr="00732E5A">
        <w:t>In this environment the relationship</w:t>
      </w:r>
      <w:r>
        <w:t>s</w:t>
      </w:r>
      <w:r w:rsidRPr="00732E5A">
        <w:t xml:space="preserve"> between the customer, </w:t>
      </w:r>
      <w:r>
        <w:t xml:space="preserve">infrastructure provider, carriage service provider, device manufacturer </w:t>
      </w:r>
      <w:r w:rsidRPr="00732E5A">
        <w:t xml:space="preserve">and applications provider become multi-party and interdependent. Individuals and businesses are </w:t>
      </w:r>
      <w:r>
        <w:t>no longer simply</w:t>
      </w:r>
      <w:r w:rsidRPr="00732E5A">
        <w:t xml:space="preserve"> buying a communications service for voice or data</w:t>
      </w:r>
      <w:r>
        <w:t>;</w:t>
      </w:r>
      <w:r w:rsidRPr="00732E5A">
        <w:t xml:space="preserve"> they</w:t>
      </w:r>
      <w:r>
        <w:t xml:space="preserve"> a</w:t>
      </w:r>
      <w:r w:rsidRPr="00732E5A">
        <w:t>re buying a</w:t>
      </w:r>
      <w:r>
        <w:t xml:space="preserve">n integrated and sophisticated </w:t>
      </w:r>
      <w:r w:rsidRPr="00732E5A">
        <w:t>health, education, or agricultural service</w:t>
      </w:r>
      <w:r>
        <w:t xml:space="preserve"> underpinned by communications technology and networks</w:t>
      </w:r>
      <w:r w:rsidRPr="00732E5A">
        <w:t>, or relying on online services for payments, e-commerce, entertainment, or social networking.</w:t>
      </w:r>
    </w:p>
    <w:p w14:paraId="1BAE58FA" w14:textId="77777777" w:rsidR="005E6B84" w:rsidRDefault="005E6B84" w:rsidP="005E6B84">
      <w:r>
        <w:t>The increased capacity for consumers to access content through a profusion of sources is fundamentally changing consumer markets. Their attention is spread more thinly and consequently is harder to capture, with effects on upstream markets.</w:t>
      </w:r>
    </w:p>
    <w:p w14:paraId="0A9840A5" w14:textId="2B229B9E" w:rsidR="005E6B84" w:rsidRPr="00732E5A" w:rsidRDefault="005E6B84" w:rsidP="005E6B84">
      <w:r>
        <w:t>Consumers have a greater choice of devices, services and networks which in many cases has empowered consumers to more readily change products and services if they are unhappy with a supplier. Consumers also benefit from the online environment where they can access information and influence provider behaviour (via online review sites, Twitter and blogs). In response, a number of companies are placing greater emphasis on customer service as they compete to retain customers and seek to leverage their relationship with the customer to expand into new markets</w:t>
      </w:r>
      <w:r w:rsidR="00A6225D">
        <w:t>.</w:t>
      </w:r>
    </w:p>
    <w:p w14:paraId="0DF4BAE8" w14:textId="77777777" w:rsidR="00EB2B81" w:rsidRDefault="005E6B84" w:rsidP="005E6B84">
      <w:r>
        <w:t xml:space="preserve">Consumers continue to expect reasonable and equitable access to communications services and content wherever they live in order to support their economic and social activity. They also value a diversity of information sources that are fair, accurate and transparent. </w:t>
      </w:r>
      <w:r w:rsidRPr="00732E5A">
        <w:t xml:space="preserve">Audiences continue to expect content that is guided by some form of community standards and </w:t>
      </w:r>
      <w:r>
        <w:t xml:space="preserve">avenues through which </w:t>
      </w:r>
      <w:r w:rsidRPr="00732E5A">
        <w:t xml:space="preserve">they </w:t>
      </w:r>
      <w:r>
        <w:t>are</w:t>
      </w:r>
      <w:r w:rsidRPr="00732E5A">
        <w:t xml:space="preserve"> able to complain </w:t>
      </w:r>
      <w:r>
        <w:t xml:space="preserve">if </w:t>
      </w:r>
      <w:r w:rsidRPr="00732E5A">
        <w:t xml:space="preserve">those standards are not met. Cybersafety and cybersecurity </w:t>
      </w:r>
      <w:r>
        <w:t xml:space="preserve">initiatives </w:t>
      </w:r>
      <w:r w:rsidRPr="00732E5A">
        <w:t>are</w:t>
      </w:r>
      <w:r>
        <w:t xml:space="preserve"> seen as</w:t>
      </w:r>
      <w:r w:rsidRPr="00732E5A">
        <w:t xml:space="preserve"> important to protect those at risk of harm, particularly children, and to </w:t>
      </w:r>
      <w:r>
        <w:t xml:space="preserve">maintain a trusted </w:t>
      </w:r>
      <w:r w:rsidRPr="00732E5A">
        <w:t xml:space="preserve">online </w:t>
      </w:r>
      <w:r>
        <w:t>environment</w:t>
      </w:r>
      <w:r w:rsidRPr="00732E5A">
        <w:t>.</w:t>
      </w:r>
    </w:p>
    <w:p w14:paraId="00B31C45" w14:textId="77777777" w:rsidR="005E6B84" w:rsidRPr="00732E5A" w:rsidRDefault="005E6B84" w:rsidP="00576140">
      <w:r w:rsidRPr="00732E5A">
        <w:t>General consumer protection issue</w:t>
      </w:r>
      <w:r>
        <w:t>s</w:t>
      </w:r>
      <w:r w:rsidRPr="00732E5A">
        <w:t xml:space="preserve"> also arise in relation to communications services, </w:t>
      </w:r>
      <w:r>
        <w:t xml:space="preserve">as they do in other complex, high value industries such as financial services, health insurance and energy, </w:t>
      </w:r>
      <w:r w:rsidRPr="00732E5A">
        <w:t>in areas such as contract terms, unfair dealing,</w:t>
      </w:r>
      <w:r>
        <w:t xml:space="preserve"> billing, consumer credit</w:t>
      </w:r>
      <w:r w:rsidRPr="00732E5A">
        <w:t xml:space="preserve"> and accuracy in advertising. Privacy remains an issue for many, yet the experience of the past decade has shown </w:t>
      </w:r>
      <w:r>
        <w:t xml:space="preserve">many </w:t>
      </w:r>
      <w:r w:rsidRPr="00732E5A">
        <w:t xml:space="preserve">consumers are willing to share their personal information in exchange for </w:t>
      </w:r>
      <w:r>
        <w:t xml:space="preserve">access to </w:t>
      </w:r>
      <w:r w:rsidRPr="00732E5A">
        <w:t>services</w:t>
      </w:r>
      <w:r>
        <w:t xml:space="preserve"> or content</w:t>
      </w:r>
      <w:r w:rsidRPr="00732E5A">
        <w:t>.</w:t>
      </w:r>
    </w:p>
    <w:p w14:paraId="72502934" w14:textId="77777777" w:rsidR="005E6B84" w:rsidRDefault="005E6B84" w:rsidP="009021CF">
      <w:pPr>
        <w:pStyle w:val="Heading3"/>
      </w:pPr>
      <w:bookmarkStart w:id="125" w:name="_MailEndCompose"/>
      <w:bookmarkStart w:id="126" w:name="_Toc435112118"/>
      <w:bookmarkStart w:id="127" w:name="_Toc436923306"/>
      <w:bookmarkStart w:id="128" w:name="_Toc437440607"/>
      <w:bookmarkStart w:id="129" w:name="_Toc437528385"/>
      <w:bookmarkStart w:id="130" w:name="_Toc437594232"/>
      <w:bookmarkStart w:id="131" w:name="_Toc437599271"/>
      <w:bookmarkStart w:id="132" w:name="_Toc437600379"/>
      <w:bookmarkStart w:id="133" w:name="_Toc440536924"/>
      <w:bookmarkStart w:id="134" w:name="_Toc441744265"/>
      <w:bookmarkStart w:id="135" w:name="_Toc441845083"/>
      <w:bookmarkStart w:id="136" w:name="_Toc441847336"/>
      <w:bookmarkStart w:id="137" w:name="_Toc441848268"/>
      <w:bookmarkStart w:id="138" w:name="_Toc442107111"/>
      <w:bookmarkStart w:id="139" w:name="_Toc442108763"/>
      <w:bookmarkStart w:id="140" w:name="_Toc443038162"/>
      <w:bookmarkStart w:id="141" w:name="_Toc443043880"/>
      <w:bookmarkStart w:id="142" w:name="_Toc443052571"/>
      <w:bookmarkStart w:id="143" w:name="_Toc443054860"/>
      <w:bookmarkStart w:id="144" w:name="_Toc449432091"/>
      <w:bookmarkStart w:id="145" w:name="_Toc449438559"/>
      <w:bookmarkStart w:id="146" w:name="_Toc450310131"/>
      <w:bookmarkStart w:id="147" w:name="_Toc441743823"/>
      <w:bookmarkEnd w:id="125"/>
      <w:r>
        <w:t xml:space="preserve">Implications </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t>of market change</w:t>
      </w:r>
      <w:bookmarkEnd w:id="140"/>
      <w:bookmarkEnd w:id="141"/>
      <w:bookmarkEnd w:id="142"/>
      <w:bookmarkEnd w:id="143"/>
      <w:r>
        <w:t xml:space="preserve"> for the ACMA</w:t>
      </w:r>
      <w:bookmarkEnd w:id="144"/>
      <w:bookmarkEnd w:id="145"/>
      <w:bookmarkEnd w:id="146"/>
    </w:p>
    <w:bookmarkEnd w:id="147"/>
    <w:p w14:paraId="08499B31" w14:textId="77777777" w:rsidR="005E6B84" w:rsidRDefault="005E6B84" w:rsidP="005E6B84">
      <w:r w:rsidRPr="00732E5A">
        <w:t>Given the</w:t>
      </w:r>
      <w:r>
        <w:t xml:space="preserve"> changes in the communications market, what implications should be taken into account when designing a f</w:t>
      </w:r>
      <w:r w:rsidRPr="00732E5A">
        <w:t xml:space="preserve">it-for-purpose </w:t>
      </w:r>
      <w:r>
        <w:t>communications regulator?</w:t>
      </w:r>
    </w:p>
    <w:p w14:paraId="0AD36A04" w14:textId="77777777" w:rsidR="00EB2B81" w:rsidRDefault="005E6B84" w:rsidP="005E6B84">
      <w:r>
        <w:t xml:space="preserve">Noting the degree of </w:t>
      </w:r>
      <w:r w:rsidRPr="00732E5A">
        <w:t>unpredictability and speed of change</w:t>
      </w:r>
      <w:r>
        <w:t xml:space="preserve">, the ACMA </w:t>
      </w:r>
      <w:r w:rsidRPr="00732E5A">
        <w:t>need</w:t>
      </w:r>
      <w:r>
        <w:t>s</w:t>
      </w:r>
      <w:r w:rsidRPr="00732E5A">
        <w:t xml:space="preserve"> to be agile, responsive and proportionate in its approach. </w:t>
      </w:r>
      <w:r>
        <w:t>It</w:t>
      </w:r>
      <w:r w:rsidRPr="00732E5A">
        <w:t xml:space="preserve"> will need to be able to engage with risk so it </w:t>
      </w:r>
      <w:r>
        <w:t xml:space="preserve">can </w:t>
      </w:r>
      <w:r w:rsidRPr="00732E5A">
        <w:t>move quickly and with confidence to make sure it does not unnecessarily impede the development of new and innovative services.</w:t>
      </w:r>
    </w:p>
    <w:p w14:paraId="6B96CC4E" w14:textId="77777777" w:rsidR="005E6B84" w:rsidRDefault="005E6B84" w:rsidP="005E6B84">
      <w:r w:rsidRPr="00732E5A">
        <w:t>The regulator will need to have a remit that spans all four layers of the communications sector. It will need to develop a detailed technical understanding of the interaction between layers</w:t>
      </w:r>
      <w:r>
        <w:t>,</w:t>
      </w:r>
      <w:r w:rsidRPr="00732E5A">
        <w:t xml:space="preserve"> as multiple </w:t>
      </w:r>
      <w:r w:rsidRPr="00732E5A">
        <w:rPr>
          <w:rFonts w:eastAsia="Calibri"/>
        </w:rPr>
        <w:t xml:space="preserve">parties must contribute to achieving an assured level of service. </w:t>
      </w:r>
      <w:r w:rsidRPr="00732E5A">
        <w:t xml:space="preserve">The </w:t>
      </w:r>
      <w:r>
        <w:t>regulator</w:t>
      </w:r>
      <w:r w:rsidRPr="00732E5A">
        <w:t xml:space="preserve"> will also need to understand the market dynamics as the number of parties involved in delivering services to customers is </w:t>
      </w:r>
      <w:r>
        <w:t>increasing as supply chains lengthen</w:t>
      </w:r>
      <w:r w:rsidRPr="00732E5A">
        <w:t>.</w:t>
      </w:r>
    </w:p>
    <w:p w14:paraId="1328B6AA" w14:textId="70772ED2" w:rsidR="00EB2B81" w:rsidRDefault="005E6B84" w:rsidP="005E6B84">
      <w:r>
        <w:t>In response to</w:t>
      </w:r>
      <w:r w:rsidRPr="00732E5A">
        <w:t xml:space="preserve"> the increasingly interconnected and global nature of the sector, the </w:t>
      </w:r>
      <w:r>
        <w:t xml:space="preserve">ACMA’s </w:t>
      </w:r>
      <w:r w:rsidRPr="00732E5A">
        <w:t xml:space="preserve">decisions will have </w:t>
      </w:r>
      <w:r>
        <w:t>greater</w:t>
      </w:r>
      <w:r w:rsidRPr="00732E5A">
        <w:t xml:space="preserve"> potential to affect competitive outcomes in the market. </w:t>
      </w:r>
      <w:r>
        <w:t>This means t</w:t>
      </w:r>
      <w:r w:rsidRPr="00732E5A">
        <w:t xml:space="preserve">he regulator will increasingly need to understand </w:t>
      </w:r>
      <w:r>
        <w:t>how</w:t>
      </w:r>
      <w:r w:rsidRPr="00732E5A">
        <w:t xml:space="preserve"> previously distinct market players are competing with each other and operating across multiple layers. It will need to recognise when and how its decisions have implications for competition</w:t>
      </w:r>
      <w:r>
        <w:t xml:space="preserve"> both within the communications sector and more broadly,</w:t>
      </w:r>
      <w:r w:rsidRPr="00732E5A">
        <w:t xml:space="preserve"> and take this into account in its decision</w:t>
      </w:r>
      <w:r w:rsidR="00107479">
        <w:t>-</w:t>
      </w:r>
      <w:r w:rsidRPr="00732E5A">
        <w:t>making.</w:t>
      </w:r>
    </w:p>
    <w:p w14:paraId="1BF441A5" w14:textId="274C207B" w:rsidR="005E6B84" w:rsidRDefault="005E6B84" w:rsidP="005E6B84">
      <w:r w:rsidRPr="00732E5A">
        <w:t>The complexity of the market and pace of technological change will require the ACMA</w:t>
      </w:r>
      <w:r>
        <w:t>’s</w:t>
      </w:r>
      <w:r w:rsidRPr="00732E5A">
        <w:t xml:space="preserve"> decision</w:t>
      </w:r>
      <w:r>
        <w:t xml:space="preserve"> </w:t>
      </w:r>
      <w:r w:rsidRPr="00732E5A">
        <w:t>maker</w:t>
      </w:r>
      <w:r>
        <w:t xml:space="preserve">s to have a comprehensive and authoritative knowledge of the communications market and emerging technologies. They will need to be highly capable regulatory practitioners able to judge when intervention is necessary and which of the ACMA’s regulatory tools is most appropriate in a given scenario. They will need </w:t>
      </w:r>
      <w:r w:rsidRPr="00732E5A">
        <w:t xml:space="preserve">capacity to actively work with </w:t>
      </w:r>
      <w:r>
        <w:t>industry, consumer groups and government</w:t>
      </w:r>
      <w:r w:rsidRPr="00732E5A">
        <w:t xml:space="preserve"> </w:t>
      </w:r>
      <w:r>
        <w:t>as potential harms are assessed to determine if they require a regulatory response, as well as</w:t>
      </w:r>
      <w:r w:rsidRPr="00732E5A">
        <w:t xml:space="preserve"> </w:t>
      </w:r>
      <w:r>
        <w:t>the ability to engage</w:t>
      </w:r>
      <w:r w:rsidRPr="00732E5A">
        <w:t xml:space="preserve"> with </w:t>
      </w:r>
      <w:r>
        <w:t>stakeholders</w:t>
      </w:r>
      <w:r w:rsidRPr="00732E5A">
        <w:t xml:space="preserve"> to provide transparency </w:t>
      </w:r>
      <w:r>
        <w:t xml:space="preserve">of the </w:t>
      </w:r>
      <w:r w:rsidRPr="00732E5A">
        <w:t>decision</w:t>
      </w:r>
      <w:r w:rsidR="00107479">
        <w:t>-</w:t>
      </w:r>
      <w:r w:rsidRPr="00732E5A">
        <w:t>making</w:t>
      </w:r>
      <w:r>
        <w:t xml:space="preserve"> process</w:t>
      </w:r>
      <w:r w:rsidRPr="00732E5A">
        <w:t>.</w:t>
      </w:r>
    </w:p>
    <w:p w14:paraId="04871F07" w14:textId="48F53800" w:rsidR="005E6B84" w:rsidRDefault="005E6B84" w:rsidP="005E6B84">
      <w:r>
        <w:t>T</w:t>
      </w:r>
      <w:r w:rsidRPr="00732E5A">
        <w:t xml:space="preserve">he regulator will need to </w:t>
      </w:r>
      <w:r>
        <w:t xml:space="preserve">be comfortable in an environment of continuous change. It will need to adapt its regulatory posture to </w:t>
      </w:r>
      <w:r w:rsidRPr="00732E5A">
        <w:t>keep</w:t>
      </w:r>
      <w:r>
        <w:t xml:space="preserve"> </w:t>
      </w:r>
      <w:r w:rsidRPr="00732E5A">
        <w:t>pace with changes in the market and technology to make sure it effective</w:t>
      </w:r>
      <w:r>
        <w:t>ly</w:t>
      </w:r>
      <w:r w:rsidRPr="00732E5A">
        <w:t xml:space="preserve"> achiev</w:t>
      </w:r>
      <w:r>
        <w:t xml:space="preserve">es its </w:t>
      </w:r>
      <w:r w:rsidRPr="00732E5A">
        <w:t>goals while imposing the minimum impost on the industry</w:t>
      </w:r>
      <w:r>
        <w:t xml:space="preserve"> and not unnecessarily </w:t>
      </w:r>
      <w:r w:rsidRPr="00732E5A">
        <w:t>imped</w:t>
      </w:r>
      <w:r>
        <w:t>ing</w:t>
      </w:r>
      <w:r w:rsidRPr="00732E5A">
        <w:t xml:space="preserve"> the development of new services and technology.</w:t>
      </w:r>
      <w:r>
        <w:t xml:space="preserve"> The ACMA</w:t>
      </w:r>
      <w:r w:rsidRPr="00A211F8">
        <w:t xml:space="preserve"> </w:t>
      </w:r>
      <w:r>
        <w:t>will need to adapt its structure as functions change, develop new capabilities as new functions arrive and continually adapt as the regulatory regime makes greater use of co</w:t>
      </w:r>
      <w:r w:rsidR="00A6225D">
        <w:t>-</w:t>
      </w:r>
      <w:r>
        <w:t xml:space="preserve"> and self-regulation.</w:t>
      </w:r>
    </w:p>
    <w:p w14:paraId="4EBDF8FA" w14:textId="77777777" w:rsidR="005E6B84" w:rsidRDefault="005E6B84" w:rsidP="002E15A7">
      <w:r>
        <w:br w:type="page"/>
      </w:r>
    </w:p>
    <w:p w14:paraId="690579D1" w14:textId="77777777" w:rsidR="00294F9C" w:rsidRPr="00EF0DB9" w:rsidRDefault="00294F9C" w:rsidP="002D5684">
      <w:pPr>
        <w:pStyle w:val="Heading2"/>
      </w:pPr>
      <w:bookmarkStart w:id="148" w:name="_Toc437528387"/>
      <w:bookmarkStart w:id="149" w:name="_Toc437594233"/>
      <w:bookmarkStart w:id="150" w:name="_Toc437599272"/>
      <w:bookmarkStart w:id="151" w:name="_Toc437600380"/>
      <w:bookmarkStart w:id="152" w:name="_Toc440536925"/>
      <w:bookmarkStart w:id="153" w:name="_Toc441743824"/>
      <w:bookmarkStart w:id="154" w:name="_Toc441744266"/>
      <w:bookmarkStart w:id="155" w:name="_Toc441845084"/>
      <w:bookmarkStart w:id="156" w:name="_Toc441847337"/>
      <w:bookmarkStart w:id="157" w:name="_Toc441848269"/>
      <w:bookmarkStart w:id="158" w:name="_Toc442107112"/>
      <w:bookmarkStart w:id="159" w:name="_Toc442108764"/>
      <w:bookmarkStart w:id="160" w:name="_Toc443038163"/>
      <w:bookmarkStart w:id="161" w:name="_Toc443043881"/>
      <w:bookmarkStart w:id="162" w:name="_Toc443052572"/>
      <w:bookmarkStart w:id="163" w:name="_Toc443054861"/>
      <w:bookmarkStart w:id="164" w:name="_Toc449432092"/>
      <w:bookmarkStart w:id="165" w:name="_Toc449438560"/>
      <w:bookmarkStart w:id="166" w:name="_Toc450310132"/>
      <w:r>
        <w:t>Part Two—</w:t>
      </w:r>
      <w:r w:rsidRPr="00EF0DB9">
        <w:t xml:space="preserve">Design </w:t>
      </w:r>
      <w:r>
        <w:t xml:space="preserve">of a contemporary </w:t>
      </w:r>
      <w:r w:rsidRPr="00EF0DB9">
        <w:t>regulator</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121F2F74" w14:textId="77777777" w:rsidR="00294F9C" w:rsidRDefault="00294F9C" w:rsidP="002D5684">
      <w:pPr>
        <w:pStyle w:val="Heading3"/>
      </w:pPr>
      <w:bookmarkStart w:id="167" w:name="_Toc449432093"/>
      <w:bookmarkStart w:id="168" w:name="_Toc449438561"/>
      <w:bookmarkStart w:id="169" w:name="_Toc450310133"/>
      <w:bookmarkStart w:id="170" w:name="_Toc437528388"/>
      <w:r>
        <w:t>The current ACMA</w:t>
      </w:r>
      <w:bookmarkEnd w:id="167"/>
      <w:bookmarkEnd w:id="168"/>
      <w:bookmarkEnd w:id="169"/>
    </w:p>
    <w:p w14:paraId="516C3787" w14:textId="77777777" w:rsidR="00294F9C" w:rsidRDefault="00294F9C" w:rsidP="00294F9C">
      <w:r>
        <w:t xml:space="preserve">The ACMA was established by the </w:t>
      </w:r>
      <w:r>
        <w:rPr>
          <w:i/>
          <w:iCs/>
        </w:rPr>
        <w:t>Australian Communications and Media Authority Act</w:t>
      </w:r>
      <w:r>
        <w:t xml:space="preserve"> in 2005 to be a converged regulator responsible for the broadcasting, telecommunications, radiocommunications and online industries in Australia, in line with the following industry Acts:</w:t>
      </w:r>
    </w:p>
    <w:p w14:paraId="3F9B0D56" w14:textId="77777777" w:rsidR="00294F9C" w:rsidRPr="00E12290" w:rsidRDefault="00294F9C" w:rsidP="00294F9C">
      <w:pPr>
        <w:pStyle w:val="Bulletlevel1"/>
        <w:rPr>
          <w:i/>
        </w:rPr>
      </w:pPr>
      <w:r w:rsidRPr="00E12290">
        <w:rPr>
          <w:i/>
        </w:rPr>
        <w:t>Australian Communications and Media Authority Act 2005;</w:t>
      </w:r>
    </w:p>
    <w:p w14:paraId="3A5B672C" w14:textId="77777777" w:rsidR="00294F9C" w:rsidRPr="00E12290" w:rsidRDefault="00294F9C" w:rsidP="00294F9C">
      <w:pPr>
        <w:pStyle w:val="Bulletlevel1"/>
        <w:rPr>
          <w:i/>
        </w:rPr>
      </w:pPr>
      <w:r w:rsidRPr="00E12290">
        <w:rPr>
          <w:i/>
        </w:rPr>
        <w:t>Broadcasting Services Act 1992;</w:t>
      </w:r>
    </w:p>
    <w:p w14:paraId="5F91CF09" w14:textId="77777777" w:rsidR="00294F9C" w:rsidRPr="00E12290" w:rsidRDefault="00294F9C" w:rsidP="00294F9C">
      <w:pPr>
        <w:pStyle w:val="Bulletlevel1"/>
        <w:rPr>
          <w:i/>
        </w:rPr>
      </w:pPr>
      <w:r w:rsidRPr="00E12290">
        <w:rPr>
          <w:i/>
        </w:rPr>
        <w:t>Do Not Call Register Act 2006;</w:t>
      </w:r>
    </w:p>
    <w:p w14:paraId="77C0741E" w14:textId="77777777" w:rsidR="00294F9C" w:rsidRPr="00E12290" w:rsidRDefault="00294F9C" w:rsidP="00294F9C">
      <w:pPr>
        <w:pStyle w:val="Bulletlevel1"/>
        <w:rPr>
          <w:i/>
        </w:rPr>
      </w:pPr>
      <w:r w:rsidRPr="00E12290">
        <w:rPr>
          <w:i/>
        </w:rPr>
        <w:t>Interactive Gambling Act 2001;</w:t>
      </w:r>
    </w:p>
    <w:p w14:paraId="2D3399A9" w14:textId="77777777" w:rsidR="00294F9C" w:rsidRPr="00E12290" w:rsidRDefault="00294F9C" w:rsidP="00294F9C">
      <w:pPr>
        <w:pStyle w:val="Bulletlevel1"/>
        <w:rPr>
          <w:i/>
        </w:rPr>
      </w:pPr>
      <w:r w:rsidRPr="00E12290">
        <w:rPr>
          <w:i/>
        </w:rPr>
        <w:t>Radiocommunications Act 1992;</w:t>
      </w:r>
    </w:p>
    <w:p w14:paraId="2F9ABE7D" w14:textId="77777777" w:rsidR="00294F9C" w:rsidRPr="00E12290" w:rsidRDefault="00294F9C" w:rsidP="00294F9C">
      <w:pPr>
        <w:pStyle w:val="Bulletlevel1"/>
        <w:rPr>
          <w:i/>
        </w:rPr>
      </w:pPr>
      <w:r w:rsidRPr="00E12290">
        <w:rPr>
          <w:i/>
        </w:rPr>
        <w:t>Spam Act 2003;</w:t>
      </w:r>
    </w:p>
    <w:p w14:paraId="5E8A8FEF" w14:textId="77777777" w:rsidR="00294F9C" w:rsidRPr="00E12290" w:rsidRDefault="00294F9C" w:rsidP="00294F9C">
      <w:pPr>
        <w:pStyle w:val="Bulletlevel1"/>
        <w:rPr>
          <w:i/>
        </w:rPr>
      </w:pPr>
      <w:r w:rsidRPr="00E12290">
        <w:rPr>
          <w:i/>
        </w:rPr>
        <w:t>Telecommunications Act 1997;</w:t>
      </w:r>
    </w:p>
    <w:p w14:paraId="04C0AB74" w14:textId="77777777" w:rsidR="00294F9C" w:rsidRPr="00E12290" w:rsidRDefault="00294F9C" w:rsidP="00294F9C">
      <w:pPr>
        <w:pStyle w:val="Bulletlevel1"/>
        <w:rPr>
          <w:i/>
        </w:rPr>
      </w:pPr>
      <w:r w:rsidRPr="00E12290">
        <w:rPr>
          <w:i/>
        </w:rPr>
        <w:t>Telecommunications (Consumer Protection and Service Standards) Act 1999.</w:t>
      </w:r>
    </w:p>
    <w:p w14:paraId="6E7E3CA2" w14:textId="77777777" w:rsidR="00294F9C" w:rsidRDefault="00294F9C" w:rsidP="00294F9C">
      <w:r>
        <w:t>General functions of the ACMA include industry regulation, reporting to and advising the Minister for Communications and the Arts, managing Australia’s input into international standards setting and informing and educating the public.</w:t>
      </w:r>
    </w:p>
    <w:p w14:paraId="7BE8F53B" w14:textId="77777777" w:rsidR="00294F9C" w:rsidRDefault="00294F9C" w:rsidP="00294F9C">
      <w:r>
        <w:t>The ACMA administers licensing regimes covering television and radio broadcasters, telecommunications carriers and users of radiofrequency spectrum. It registers industry codes and standards in relation to broadcasting and telecommunications and monitors compliance with them. The ACMA also possesses a range of enforcement powers, including issuing directions to comply with codes and standards, accepting enforceable undertakings, revoking broadcasting, carrier and spectrum licences and instituting Federal Court proceedings seeking injunctions or pecuniary penalties for contraventions of the legislation which it administers.</w:t>
      </w:r>
    </w:p>
    <w:p w14:paraId="3314C54E" w14:textId="502EEBB5" w:rsidR="00294F9C" w:rsidRDefault="00294F9C" w:rsidP="00294F9C">
      <w:r>
        <w:t>The ACMA is a statutory authority and consists of a Chair, Deputy Chair and at least one—and not more than seven—other members (not including associate members).</w:t>
      </w:r>
      <w:r>
        <w:rPr>
          <w:rStyle w:val="FootnoteReference"/>
        </w:rPr>
        <w:footnoteReference w:id="24"/>
      </w:r>
      <w:r>
        <w:t xml:space="preserve"> Members are appointed by the Governor</w:t>
      </w:r>
      <w:r w:rsidR="0046463B">
        <w:t>-</w:t>
      </w:r>
      <w:r>
        <w:t>General, while the Minister for Communications and the Arts may appoint as many associate members as he or she thinks fit.</w:t>
      </w:r>
      <w:r>
        <w:rPr>
          <w:rStyle w:val="FootnoteReference"/>
        </w:rPr>
        <w:footnoteReference w:id="25"/>
      </w:r>
      <w:r>
        <w:t xml:space="preserve"> Appointments are made for a period of up to five years; members may be appointed more than once, though a member’s periods of appointment may not exceed ten years in total. The Chair and Deputy Chair must be full-time appointments; other members may be appointed on a full or part-time basis.</w:t>
      </w:r>
    </w:p>
    <w:p w14:paraId="3EE21854" w14:textId="2E86E1A1" w:rsidR="00294F9C" w:rsidRDefault="00294F9C" w:rsidP="00294F9C">
      <w:r>
        <w:t>The ACMA has a commission structure, under which the Authority itself is the principal decision maker and makes decisions at formal fortnightly meetings at which a majority of members must be present to constitute quorum.</w:t>
      </w:r>
      <w:r>
        <w:rPr>
          <w:rStyle w:val="FootnoteReference"/>
        </w:rPr>
        <w:footnoteReference w:id="26"/>
      </w:r>
      <w:r>
        <w:t xml:space="preserve"> The Authority can delegate decision</w:t>
      </w:r>
      <w:r w:rsidR="00107479">
        <w:t>-</w:t>
      </w:r>
      <w:r>
        <w:t xml:space="preserve">making unless it relates to making, varying or revoking a legislative instrument and certain express decisions under the </w:t>
      </w:r>
      <w:r>
        <w:rPr>
          <w:i/>
          <w:iCs/>
        </w:rPr>
        <w:t xml:space="preserve">Broadcasting Services Act 1992 </w:t>
      </w:r>
      <w:r>
        <w:rPr>
          <w:iCs/>
        </w:rPr>
        <w:t>(in which case, delegations can only be made to a Division of the Authority)</w:t>
      </w:r>
      <w:r>
        <w:t>.</w:t>
      </w:r>
      <w:r>
        <w:rPr>
          <w:rStyle w:val="FootnoteReference"/>
        </w:rPr>
        <w:footnoteReference w:id="27"/>
      </w:r>
    </w:p>
    <w:p w14:paraId="02CC23F0" w14:textId="77777777" w:rsidR="00294F9C" w:rsidRDefault="00294F9C" w:rsidP="00294F9C">
      <w:r>
        <w:t xml:space="preserve">The ACMA is a non-corporate Commonwealth entity within the requirements of the </w:t>
      </w:r>
      <w:r>
        <w:rPr>
          <w:i/>
          <w:iCs/>
        </w:rPr>
        <w:t>Public Governance, Performance and Accountability Act</w:t>
      </w:r>
      <w:r>
        <w:t xml:space="preserve"> </w:t>
      </w:r>
      <w:r>
        <w:rPr>
          <w:i/>
          <w:iCs/>
        </w:rPr>
        <w:t>2013</w:t>
      </w:r>
      <w:r>
        <w:t xml:space="preserve"> (PGPA Act).</w:t>
      </w:r>
    </w:p>
    <w:p w14:paraId="6C8B645C" w14:textId="77777777" w:rsidR="00294F9C" w:rsidRDefault="00294F9C" w:rsidP="00294F9C">
      <w:r>
        <w:t>The Chair of the ACMA is also its CEO. The ACMA states the role of the Chair is to facilitate and manage business, including the performance of its functions and the exercise of its powers.</w:t>
      </w:r>
      <w:r>
        <w:rPr>
          <w:rStyle w:val="FootnoteReference"/>
        </w:rPr>
        <w:footnoteReference w:id="28"/>
      </w:r>
      <w:r>
        <w:t xml:space="preserve"> The Chair is responsible for governing and managing the ACMA and is the Accountable Authority in accordance with the PGPA Act. The Chair manages the ACMA’s resources, including entering contracts on behalf of the Commonwealth.</w:t>
      </w:r>
      <w:r>
        <w:rPr>
          <w:rStyle w:val="FootnoteReference"/>
        </w:rPr>
        <w:footnoteReference w:id="29"/>
      </w:r>
      <w:r>
        <w:t xml:space="preserve"> The Chair is also responsible for preparing the ACMA’s corporate plan, annual report and audited financial statements. The Chair is not subject to direction by the ACMA in relation to his or her performance of functions under the PGPA Act.</w:t>
      </w:r>
      <w:r>
        <w:rPr>
          <w:rStyle w:val="FootnoteReference"/>
        </w:rPr>
        <w:footnoteReference w:id="30"/>
      </w:r>
    </w:p>
    <w:p w14:paraId="3A9603C7" w14:textId="77777777" w:rsidR="00294F9C" w:rsidRPr="00EF0DB9" w:rsidRDefault="00294F9C" w:rsidP="002D5684">
      <w:pPr>
        <w:pStyle w:val="Heading3"/>
      </w:pPr>
      <w:bookmarkStart w:id="171" w:name="_Toc437594234"/>
      <w:bookmarkStart w:id="172" w:name="_Toc437599273"/>
      <w:bookmarkStart w:id="173" w:name="_Toc437600381"/>
      <w:bookmarkStart w:id="174" w:name="_Toc440536926"/>
      <w:bookmarkStart w:id="175" w:name="_Toc441743825"/>
      <w:bookmarkStart w:id="176" w:name="_Toc441744267"/>
      <w:bookmarkStart w:id="177" w:name="_Toc441845085"/>
      <w:bookmarkStart w:id="178" w:name="_Toc441847338"/>
      <w:bookmarkStart w:id="179" w:name="_Toc441848270"/>
      <w:bookmarkStart w:id="180" w:name="_Toc442107113"/>
      <w:bookmarkStart w:id="181" w:name="_Toc442108765"/>
      <w:bookmarkStart w:id="182" w:name="_Toc443038164"/>
      <w:bookmarkStart w:id="183" w:name="_Toc443043882"/>
      <w:bookmarkStart w:id="184" w:name="_Toc443052573"/>
      <w:bookmarkStart w:id="185" w:name="_Toc443054862"/>
      <w:bookmarkStart w:id="186" w:name="_Toc449432094"/>
      <w:bookmarkStart w:id="187" w:name="_Toc449438562"/>
      <w:bookmarkStart w:id="188" w:name="_Toc450310134"/>
      <w:bookmarkEnd w:id="170"/>
      <w:r w:rsidRPr="00EF0DB9">
        <w:t>Remit</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281BB87E" w14:textId="77777777" w:rsidR="00294F9C" w:rsidRPr="00965C9F" w:rsidRDefault="00294F9C" w:rsidP="00294F9C">
      <w:r>
        <w:t>T</w:t>
      </w:r>
      <w:r w:rsidRPr="00965C9F">
        <w:t>he increasing importance of communications networks</w:t>
      </w:r>
      <w:r>
        <w:t xml:space="preserve"> to social and economic activity, combined with convergence,</w:t>
      </w:r>
      <w:r w:rsidRPr="00965C9F">
        <w:t xml:space="preserve"> means that describing the communications regulator’s remit is difficult. As the ACMA </w:t>
      </w:r>
      <w:r>
        <w:t xml:space="preserve">itself </w:t>
      </w:r>
      <w:r w:rsidRPr="00965C9F">
        <w:t>notes:</w:t>
      </w:r>
    </w:p>
    <w:p w14:paraId="4A819363" w14:textId="77777777" w:rsidR="00294F9C" w:rsidRPr="00CB4DEF" w:rsidRDefault="00294F9C" w:rsidP="00294F9C">
      <w:pPr>
        <w:pStyle w:val="Quote"/>
        <w:rPr>
          <w:color w:val="auto"/>
        </w:rPr>
      </w:pPr>
      <w:r w:rsidRPr="00CB4DEF">
        <w:rPr>
          <w:color w:val="auto"/>
        </w:rPr>
        <w:t>… it is increasingly difficult to clearly delineate between those matters that are appropriately the focus of a communications specific regulator as the networks and services delivered over them become more and more embedded into the economy as a whole, alongside existing telecommunications and media services.</w:t>
      </w:r>
      <w:r w:rsidRPr="00CB4DEF">
        <w:rPr>
          <w:color w:val="auto"/>
          <w:vertAlign w:val="superscript"/>
        </w:rPr>
        <w:footnoteReference w:id="31"/>
      </w:r>
    </w:p>
    <w:p w14:paraId="68002018" w14:textId="4F66E1DC" w:rsidR="00294F9C" w:rsidRDefault="00294F9C" w:rsidP="00294F9C">
      <w:r>
        <w:t>Communications networks</w:t>
      </w:r>
      <w:r w:rsidRPr="00D6025F">
        <w:t xml:space="preserve"> are vitally important to economic and social activity. These networks</w:t>
      </w:r>
      <w:r>
        <w:t xml:space="preserve"> </w:t>
      </w:r>
      <w:r w:rsidRPr="009852BB">
        <w:t xml:space="preserve">enable </w:t>
      </w:r>
      <w:r>
        <w:t>the delivery of services and applications across the entire economy as well as supporting cultural diversity and access to news and information. At the same time these are dynamic networks where technological change drives innovation and the development of new products and services. The emergence of new products and services constantly generate</w:t>
      </w:r>
      <w:r w:rsidR="0090123D">
        <w:t>s</w:t>
      </w:r>
      <w:r>
        <w:t xml:space="preserve"> questions for policy makers and regulators as to whether consumer or technical issues require intervention or whether they will be resolved by the market.</w:t>
      </w:r>
    </w:p>
    <w:p w14:paraId="67DC1E78" w14:textId="77777777" w:rsidR="00294F9C" w:rsidRDefault="00294F9C" w:rsidP="00294F9C">
      <w:r w:rsidRPr="00D6025F">
        <w:t xml:space="preserve">The Department supports a description of the </w:t>
      </w:r>
      <w:r>
        <w:t>regulator’s</w:t>
      </w:r>
      <w:r w:rsidRPr="00D6025F">
        <w:t xml:space="preserve"> remit that reflects the reality that these networks underpin almost all economic activity in our society</w:t>
      </w:r>
      <w:r>
        <w:t xml:space="preserve"> and that the regulator has an integral role in making sure these networks continue to function efficiently while minimising harms arising from their operation.</w:t>
      </w:r>
    </w:p>
    <w:p w14:paraId="0289D510" w14:textId="77777777" w:rsidR="00294F9C" w:rsidRDefault="00294F9C" w:rsidP="00294F9C">
      <w:r>
        <w:t>As noted above, the communications market has transitioned from vertically integrated segments comprising telecommunications, media and online industries to a series of horizontal layers of service where each layer provides services to the one above and concurrently depends on the layers below. Within this market e</w:t>
      </w:r>
      <w:r w:rsidRPr="00D6025F">
        <w:t>ach layer must combine to deliver services to the end user</w:t>
      </w:r>
      <w:r>
        <w:t>. F</w:t>
      </w:r>
      <w:r w:rsidRPr="00D6025F">
        <w:t xml:space="preserve">or example, an end-user needs access to an application, a device to connect to the network and a network connection. A network operator requires the essential inputs to build a network. However, each layer can </w:t>
      </w:r>
      <w:r>
        <w:t xml:space="preserve">also </w:t>
      </w:r>
      <w:r w:rsidRPr="00D6025F">
        <w:t>be discrete.</w:t>
      </w:r>
    </w:p>
    <w:p w14:paraId="7CBF76C3" w14:textId="77777777" w:rsidR="00294F9C" w:rsidRDefault="00294F9C" w:rsidP="00294F9C">
      <w:r>
        <w:t>The Department</w:t>
      </w:r>
      <w:r w:rsidRPr="00D6025F">
        <w:t xml:space="preserve"> </w:t>
      </w:r>
      <w:r>
        <w:t>considers that the ACMA’s remit should span across all of the layers of the communications sector and that it should develop an in-depth understanding of these layers in order to carry out its responsibilities.</w:t>
      </w:r>
    </w:p>
    <w:p w14:paraId="583C20A2" w14:textId="77777777" w:rsidR="00294F9C" w:rsidRDefault="00294F9C" w:rsidP="00294F9C">
      <w:r w:rsidRPr="00D6025F">
        <w:t>The ACMA has been at the forefront of describ</w:t>
      </w:r>
      <w:r>
        <w:t>ing these layers</w:t>
      </w:r>
      <w:r w:rsidRPr="00D6025F">
        <w:t>. It has done so by referring to what it calls “enablers”: infrastructure, devices, services and apps, digital content/information, and users (business and citizens).</w:t>
      </w:r>
      <w:r>
        <w:rPr>
          <w:rStyle w:val="FootnoteReference"/>
        </w:rPr>
        <w:footnoteReference w:id="32"/>
      </w:r>
      <w:r w:rsidRPr="00D6025F">
        <w:t xml:space="preserve"> This is a useful approach. However, recent OECD work that examines policy and regulatory issues </w:t>
      </w:r>
      <w:r>
        <w:t>focuses on the centrality of general purpose networks</w:t>
      </w:r>
      <w:r w:rsidR="005F14ED">
        <w:t>—</w:t>
      </w:r>
      <w:r>
        <w:t>that is, those IP broadband networks that underpin nearly all economic activity</w:t>
      </w:r>
      <w:r>
        <w:rPr>
          <w:rStyle w:val="FootnoteReference"/>
        </w:rPr>
        <w:footnoteReference w:id="33"/>
      </w:r>
      <w:r>
        <w:t>. The Review has</w:t>
      </w:r>
      <w:r w:rsidRPr="00D6025F">
        <w:t xml:space="preserve"> therefore built upon the ACMA’s work to arrive at a slightly simplified definition comprising of four layers:</w:t>
      </w:r>
    </w:p>
    <w:p w14:paraId="15BCD91F" w14:textId="77777777" w:rsidR="00294F9C" w:rsidRDefault="00294F9C" w:rsidP="00294F9C">
      <w:r w:rsidRPr="00BE7C42">
        <w:rPr>
          <w:b/>
        </w:rPr>
        <w:t>APPLICATIONS/CONTENT LAYER</w:t>
      </w:r>
      <w:r>
        <w:t>—This layer includes software such as apps that support additional functionality, including content and the ability to make voice and video calls. Increasingly, services such as voice can be seen as applications in all IP networks. This layer also includes applications to access content, such as iView, Netflix, Presto, Stan and the content itself.</w:t>
      </w:r>
    </w:p>
    <w:p w14:paraId="08E22DD1" w14:textId="77777777" w:rsidR="00294F9C" w:rsidRDefault="00294F9C" w:rsidP="00294F9C">
      <w:r w:rsidRPr="00BE7C42">
        <w:rPr>
          <w:b/>
        </w:rPr>
        <w:t>DEVICES LAYER</w:t>
      </w:r>
      <w:r>
        <w:t>—Devices are an essential means to access communications networks. Devices include televisions, radios, mobile phones and tablets.</w:t>
      </w:r>
    </w:p>
    <w:p w14:paraId="68045D33" w14:textId="77777777" w:rsidR="00EB2B81" w:rsidRDefault="00294F9C" w:rsidP="00294F9C">
      <w:r w:rsidRPr="00BE7C42">
        <w:rPr>
          <w:b/>
        </w:rPr>
        <w:t>TRANSPORT LAYER</w:t>
      </w:r>
      <w:r>
        <w:t>—The transport layer provides the intelligence needed to support applications and functionality over the network. Networking and routing protocols enable error-free transmission of the bit stream and provide for the quality of service. Technical standards also enable interoperability and any-to-any connectivity between different networks.</w:t>
      </w:r>
    </w:p>
    <w:p w14:paraId="0A78692A" w14:textId="77777777" w:rsidR="00294F9C" w:rsidRDefault="00294F9C" w:rsidP="00294F9C">
      <w:r w:rsidRPr="00BE7C42">
        <w:rPr>
          <w:b/>
        </w:rPr>
        <w:t>INFRASTRUCTURE LAYER</w:t>
      </w:r>
      <w:r w:rsidR="005F14ED">
        <w:t>—</w:t>
      </w:r>
      <w:r>
        <w:t>The infrastructure layer includes the passive infrastructure and electromagnetic mediums that support the transmission of raw bit streams over a physical medium.</w:t>
      </w:r>
    </w:p>
    <w:p w14:paraId="4867187E" w14:textId="77777777" w:rsidR="00294F9C" w:rsidRDefault="00294F9C" w:rsidP="00294F9C">
      <w:r w:rsidRPr="009852BB">
        <w:t xml:space="preserve">Importantly, the </w:t>
      </w:r>
      <w:r>
        <w:t xml:space="preserve">ACMA’s </w:t>
      </w:r>
      <w:r w:rsidRPr="009852BB">
        <w:t xml:space="preserve">role will require it to monitor activity across all these layers and understand how they interact to deliver services </w:t>
      </w:r>
      <w:r>
        <w:t xml:space="preserve">and content </w:t>
      </w:r>
      <w:r w:rsidRPr="009852BB">
        <w:t xml:space="preserve">to end users. However, this </w:t>
      </w:r>
      <w:r>
        <w:t>does not mean that it</w:t>
      </w:r>
      <w:r w:rsidRPr="001A23E4">
        <w:t xml:space="preserve"> should be involved in all regulation at </w:t>
      </w:r>
      <w:r>
        <w:t>each</w:t>
      </w:r>
      <w:r w:rsidRPr="001A23E4">
        <w:t xml:space="preserve"> lay</w:t>
      </w:r>
      <w:r w:rsidRPr="00D6025F">
        <w:t>er</w:t>
      </w:r>
      <w:r>
        <w:t>, as there are other regulators with relevant responsibilities</w:t>
      </w:r>
      <w:r w:rsidRPr="00D6025F">
        <w:t xml:space="preserve">. </w:t>
      </w:r>
      <w:r>
        <w:t>The ACMA’s remit should be interpreted from the perspective of the communications industry enabling activity in other sectors of the economy, but it would not extend into these other sectors. The ACMA is not responsible for regulating a service because it is carried over communications networks, unless it is content or a communications service or application.</w:t>
      </w:r>
    </w:p>
    <w:p w14:paraId="3623885E" w14:textId="77777777" w:rsidR="00294F9C" w:rsidRPr="00B74305" w:rsidRDefault="00294F9C" w:rsidP="00294F9C">
      <w:pPr>
        <w:pStyle w:val="Tablefigureheading"/>
        <w:rPr>
          <w:lang w:eastAsia="en-AU"/>
        </w:rPr>
      </w:pPr>
      <w:r w:rsidRPr="00B74305">
        <w:rPr>
          <w:lang w:eastAsia="en-AU"/>
        </w:rPr>
        <w:t>Figure 6: Layers of the communications sector</w:t>
      </w:r>
    </w:p>
    <w:p w14:paraId="0C335BE3" w14:textId="77777777" w:rsidR="0045654C" w:rsidRDefault="0045654C" w:rsidP="00294F9C">
      <w:pPr>
        <w:rPr>
          <w:lang w:eastAsia="en-AU"/>
        </w:rPr>
      </w:pPr>
      <w:r>
        <w:rPr>
          <w:noProof/>
          <w:lang w:eastAsia="en-AU"/>
        </w:rPr>
        <w:drawing>
          <wp:inline distT="0" distB="0" distL="0" distR="0" wp14:anchorId="63668931" wp14:editId="6FA9F8E3">
            <wp:extent cx="5542857" cy="1257143"/>
            <wp:effectExtent l="0" t="0" r="1270" b="635"/>
            <wp:docPr id="22" name="Picture 22" descr="Applications/Content&#10;Devices&#10;Transport&#10;Infrastructure" title="Layers of the communications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42857" cy="1257143"/>
                    </a:xfrm>
                    <a:prstGeom prst="rect">
                      <a:avLst/>
                    </a:prstGeom>
                  </pic:spPr>
                </pic:pic>
              </a:graphicData>
            </a:graphic>
          </wp:inline>
        </w:drawing>
      </w:r>
    </w:p>
    <w:p w14:paraId="2958CFDC" w14:textId="77777777" w:rsidR="00294F9C" w:rsidRDefault="00294F9C" w:rsidP="00CB4DEF">
      <w:pPr>
        <w:pBdr>
          <w:top w:val="single" w:sz="4" w:space="1" w:color="auto"/>
          <w:left w:val="single" w:sz="4" w:space="1" w:color="auto"/>
          <w:bottom w:val="single" w:sz="4" w:space="1" w:color="auto"/>
          <w:right w:val="single" w:sz="4" w:space="1" w:color="auto"/>
        </w:pBdr>
        <w:shd w:val="clear" w:color="auto" w:fill="DEEAF6" w:themeFill="accent1" w:themeFillTint="33"/>
        <w:spacing w:line="276" w:lineRule="auto"/>
      </w:pPr>
      <w:r>
        <w:t>Draft proposal:</w:t>
      </w:r>
    </w:p>
    <w:p w14:paraId="4F2AEDD5" w14:textId="77777777" w:rsidR="00294F9C" w:rsidRDefault="00294F9C" w:rsidP="00CB4DEF">
      <w:pPr>
        <w:pStyle w:val="Bulletlevel1"/>
        <w:numPr>
          <w:ilvl w:val="0"/>
          <w:numId w:val="27"/>
        </w:numPr>
        <w:pBdr>
          <w:top w:val="single" w:sz="4" w:space="1" w:color="auto"/>
          <w:left w:val="single" w:sz="4" w:space="1" w:color="auto"/>
          <w:bottom w:val="single" w:sz="4" w:space="1" w:color="auto"/>
          <w:right w:val="single" w:sz="4" w:space="1" w:color="auto"/>
        </w:pBdr>
        <w:shd w:val="clear" w:color="auto" w:fill="DEEAF6" w:themeFill="accent1" w:themeFillTint="33"/>
        <w:ind w:left="426" w:hanging="426"/>
      </w:pPr>
      <w:r>
        <w:t>That the ACMA’s remit cover all the layers of the communications market, including infrastructure, transport, devices, content and applications.</w:t>
      </w:r>
    </w:p>
    <w:p w14:paraId="3CF2E616" w14:textId="77777777" w:rsidR="000F678C" w:rsidRDefault="000F678C" w:rsidP="00F91883">
      <w:pPr>
        <w:pStyle w:val="Heading4"/>
      </w:pPr>
      <w:bookmarkStart w:id="189" w:name="_Toc449619985"/>
      <w:bookmarkStart w:id="190" w:name="_Toc450310135"/>
      <w:r w:rsidRPr="00361CED">
        <w:t>Institutional ambiguity</w:t>
      </w:r>
      <w:bookmarkEnd w:id="189"/>
      <w:bookmarkEnd w:id="190"/>
    </w:p>
    <w:p w14:paraId="3C741242" w14:textId="5EA9490B" w:rsidR="00D81F6E" w:rsidRDefault="00016A5D" w:rsidP="00D81F6E">
      <w:r>
        <w:t>When defining the communications regulator’s remit there remains a critical distinction between users of the sectors</w:t>
      </w:r>
      <w:r w:rsidR="00D81F6E">
        <w:t>’</w:t>
      </w:r>
      <w:r>
        <w:t xml:space="preserve"> infrastructure and services and the sector itself. This is particularly important when considering OTT service providers and internet </w:t>
      </w:r>
      <w:r w:rsidR="001C5039">
        <w:t xml:space="preserve">and mobile </w:t>
      </w:r>
      <w:r>
        <w:t xml:space="preserve">platforms. </w:t>
      </w:r>
      <w:r w:rsidR="00D81F6E">
        <w:t>The ACMA provides an example of where a mobile phone is used as a mobile wallet where the mobile phone account is used as an alternative to cash</w:t>
      </w:r>
      <w:r w:rsidR="006D1BA4">
        <w:t xml:space="preserve">, that </w:t>
      </w:r>
      <w:r w:rsidR="00D81F6E">
        <w:t>potentially raises issues for both the communications and financial services regulators.</w:t>
      </w:r>
      <w:r w:rsidR="00D81F6E">
        <w:rPr>
          <w:rStyle w:val="FootnoteReference"/>
        </w:rPr>
        <w:footnoteReference w:id="34"/>
      </w:r>
    </w:p>
    <w:p w14:paraId="1D3DCD5D" w14:textId="0E35C4CE" w:rsidR="000F678C" w:rsidRDefault="00016A5D" w:rsidP="000F678C">
      <w:r>
        <w:t xml:space="preserve">This has implications for policy </w:t>
      </w:r>
      <w:r w:rsidR="000F678C">
        <w:t xml:space="preserve">makers </w:t>
      </w:r>
      <w:r>
        <w:t>in determining</w:t>
      </w:r>
      <w:r w:rsidR="000F678C">
        <w:t xml:space="preserve"> which regulator is best placed to deal with market power, consumer safeguards or other issues </w:t>
      </w:r>
      <w:r>
        <w:t xml:space="preserve">that arise in the delivery of such services. </w:t>
      </w:r>
    </w:p>
    <w:p w14:paraId="74FC9829" w14:textId="3FCBC7E3" w:rsidR="000F678C" w:rsidRDefault="000F678C" w:rsidP="000F678C">
      <w:r>
        <w:t xml:space="preserve">For these reasons, the Review considers that where an issue arises that does not fit within the remit described above or that may fall to another </w:t>
      </w:r>
      <w:r w:rsidR="001C5039">
        <w:t>regulator</w:t>
      </w:r>
      <w:r>
        <w:t>, ownership of that issue is a matter of policy judgement for the government of the day to determine. This enables the ACMA to maintain vigilance over the communications sector and provide advice to government on whether interventions may be required.</w:t>
      </w:r>
    </w:p>
    <w:p w14:paraId="19664007" w14:textId="77777777" w:rsidR="00EB2B81" w:rsidRDefault="000F678C" w:rsidP="000F678C">
      <w:r>
        <w:t>The communications regulator’s remit is therefore broad given its responsibility across a range of issues. This has several implications.</w:t>
      </w:r>
    </w:p>
    <w:p w14:paraId="02B30C03" w14:textId="77777777" w:rsidR="00EB2B81" w:rsidRDefault="000F678C" w:rsidP="000F678C">
      <w:r>
        <w:t>Firstly, the communications regulator has a role in understanding industry and consumer activities across the horizontal layers of the communications market. It monitors these markets enabling it to identify harms that arise. This is a forward-looking approach</w:t>
      </w:r>
      <w:r w:rsidR="005F14ED">
        <w:t>—</w:t>
      </w:r>
      <w:r>
        <w:t>scanning the environment to ensure the efficient and effective operation of communications networks, as well as the ACMA’s unique role in regulating some kinds of digital content.</w:t>
      </w:r>
    </w:p>
    <w:p w14:paraId="29E07CCC" w14:textId="77777777" w:rsidR="000F678C" w:rsidRDefault="000F678C" w:rsidP="000F678C">
      <w:r>
        <w:t>If the ACMA observes harms emerging in the market which may require interventions outside the remit of the regulator or new powers to address these emerging harms, it has a role in providing advice to government, and it is for the government to consider if the ACMA’s remit or powers should be expanded to address these harms, or whether another form of intervention is appropriate. Where governments decide to intervene, the remit of the regulator should always be considered to ensure that new functions do not fall outside it.</w:t>
      </w:r>
    </w:p>
    <w:p w14:paraId="2420704F" w14:textId="77777777" w:rsidR="000F678C" w:rsidRDefault="000F678C" w:rsidP="000F678C">
      <w:r>
        <w:t>This remit remains broadly consistent with the categories of functions carried out by the ACMA. The Review has identified these from the ACMA’s statutory responsibilities as:</w:t>
      </w:r>
    </w:p>
    <w:p w14:paraId="0B815B26" w14:textId="77777777" w:rsidR="000F678C" w:rsidRPr="00D6025F" w:rsidRDefault="000F678C" w:rsidP="000F678C">
      <w:pPr>
        <w:pStyle w:val="Bulletlevel1"/>
      </w:pPr>
      <w:r w:rsidRPr="001A23E4">
        <w:t>Resource planning and management</w:t>
      </w:r>
      <w:r w:rsidR="005F14ED">
        <w:t>—</w:t>
      </w:r>
      <w:r w:rsidRPr="001A23E4">
        <w:t>activities relating to planning and allocating resources such as radiofrequency spectrum and numbering</w:t>
      </w:r>
      <w:r>
        <w:t>;</w:t>
      </w:r>
    </w:p>
    <w:p w14:paraId="7C92691D" w14:textId="77777777" w:rsidR="000F678C" w:rsidRPr="00D6025F" w:rsidRDefault="000F678C" w:rsidP="00EB2B81">
      <w:pPr>
        <w:pStyle w:val="Bulletlevel1"/>
      </w:pPr>
      <w:r w:rsidRPr="00D6025F">
        <w:t>Licensing</w:t>
      </w:r>
      <w:r w:rsidR="005F14ED">
        <w:t>—</w:t>
      </w:r>
      <w:r w:rsidRPr="00D6025F">
        <w:t>all licensing activities under the Broadcasting Services Act, including ownership and control, the Telecommunications Act and Radiocommunications Act</w:t>
      </w:r>
      <w:r>
        <w:t>;</w:t>
      </w:r>
    </w:p>
    <w:p w14:paraId="17D7731A" w14:textId="77777777" w:rsidR="000F678C" w:rsidRPr="00D6025F" w:rsidRDefault="000F678C" w:rsidP="00EB2B81">
      <w:pPr>
        <w:pStyle w:val="Bulletlevel1"/>
      </w:pPr>
      <w:r w:rsidRPr="00D6025F">
        <w:t>Technical regulation</w:t>
      </w:r>
      <w:r w:rsidR="005F14ED">
        <w:t>—</w:t>
      </w:r>
      <w:r w:rsidRPr="00D6025F">
        <w:t>for example, transmission standards for broadcasting, connection rules and permits, cabling and device regulation</w:t>
      </w:r>
      <w:r>
        <w:t>;</w:t>
      </w:r>
    </w:p>
    <w:p w14:paraId="3F675FC6" w14:textId="77777777" w:rsidR="000F678C" w:rsidRPr="00D6025F" w:rsidRDefault="000F678C" w:rsidP="00EB2B81">
      <w:pPr>
        <w:pStyle w:val="Bulletlevel1"/>
      </w:pPr>
      <w:r w:rsidRPr="00D6025F">
        <w:t>National interest</w:t>
      </w:r>
      <w:r w:rsidR="005F14ED">
        <w:t>—</w:t>
      </w:r>
      <w:r w:rsidRPr="00D6025F">
        <w:t xml:space="preserve">acts a technical adviser and arbitrator for national interest and defence purposes, compliance with </w:t>
      </w:r>
      <w:r>
        <w:t>the Integrated Public Number Database (</w:t>
      </w:r>
      <w:r w:rsidRPr="00D6025F">
        <w:t>IPND</w:t>
      </w:r>
      <w:r>
        <w:t>) and</w:t>
      </w:r>
      <w:r w:rsidRPr="00D6025F">
        <w:t xml:space="preserve"> Part 13 </w:t>
      </w:r>
      <w:r>
        <w:t xml:space="preserve">of </w:t>
      </w:r>
      <w:r w:rsidRPr="00D6025F">
        <w:t xml:space="preserve">the </w:t>
      </w:r>
      <w:r w:rsidRPr="0079781B">
        <w:rPr>
          <w:i/>
        </w:rPr>
        <w:t>Telecommunications Act 19</w:t>
      </w:r>
      <w:r>
        <w:rPr>
          <w:i/>
        </w:rPr>
        <w:t>9</w:t>
      </w:r>
      <w:r w:rsidRPr="0079781B">
        <w:rPr>
          <w:i/>
        </w:rPr>
        <w:t>7</w:t>
      </w:r>
      <w:r>
        <w:rPr>
          <w:i/>
        </w:rPr>
        <w:t>;</w:t>
      </w:r>
    </w:p>
    <w:p w14:paraId="7BD1F2A9" w14:textId="77777777" w:rsidR="000F678C" w:rsidRPr="00D6025F" w:rsidRDefault="000F678C" w:rsidP="00EB2B81">
      <w:pPr>
        <w:pStyle w:val="Bulletlevel1"/>
      </w:pPr>
      <w:r w:rsidRPr="00D6025F">
        <w:t>Accessibility</w:t>
      </w:r>
      <w:r w:rsidR="005F14ED">
        <w:t>—</w:t>
      </w:r>
      <w:r w:rsidRPr="00D6025F">
        <w:t>for example, national relay service, universal service obligation, customer service guarantee, payphone</w:t>
      </w:r>
      <w:r>
        <w:t>;</w:t>
      </w:r>
    </w:p>
    <w:p w14:paraId="40574564" w14:textId="77777777" w:rsidR="000F678C" w:rsidRPr="00D6025F" w:rsidRDefault="000F678C" w:rsidP="00EB2B81">
      <w:pPr>
        <w:pStyle w:val="Bulletlevel1"/>
      </w:pPr>
      <w:r w:rsidRPr="00D6025F">
        <w:t>Content regulation</w:t>
      </w:r>
      <w:r w:rsidR="005F14ED">
        <w:t>—</w:t>
      </w:r>
      <w:r w:rsidRPr="00D6025F">
        <w:t>for example, the Australian Children’s Content Standard, quotas for Australian content, local news. Also includes discrete online content such as the Interactive Gambling Act</w:t>
      </w:r>
      <w:r>
        <w:t>;</w:t>
      </w:r>
    </w:p>
    <w:p w14:paraId="6F0DDAE0" w14:textId="77777777" w:rsidR="000F678C" w:rsidRPr="00D6025F" w:rsidRDefault="000F678C" w:rsidP="00EB2B81">
      <w:pPr>
        <w:pStyle w:val="Bulletlevel1"/>
      </w:pPr>
      <w:r w:rsidRPr="00D6025F">
        <w:t>Revenue collection</w:t>
      </w:r>
      <w:r>
        <w:t>;</w:t>
      </w:r>
    </w:p>
    <w:p w14:paraId="0192C382" w14:textId="77777777" w:rsidR="000F678C" w:rsidRDefault="000F678C" w:rsidP="00EB2B81">
      <w:pPr>
        <w:pStyle w:val="Bulletlevel1"/>
      </w:pPr>
      <w:r w:rsidRPr="00D6025F">
        <w:t>Reporting to and advising the Minister</w:t>
      </w:r>
      <w:r>
        <w:t>;</w:t>
      </w:r>
    </w:p>
    <w:p w14:paraId="7662F6B7" w14:textId="77777777" w:rsidR="000F678C" w:rsidRDefault="000F678C" w:rsidP="00EB2B81">
      <w:pPr>
        <w:pStyle w:val="Bulletlevel1"/>
      </w:pPr>
      <w:r w:rsidRPr="00D6025F">
        <w:t>Making information available to the public on certain matters</w:t>
      </w:r>
      <w:r>
        <w:t>;</w:t>
      </w:r>
    </w:p>
    <w:p w14:paraId="4D9FB5EE" w14:textId="77777777" w:rsidR="000F678C" w:rsidRDefault="000F678C" w:rsidP="00EB2B81">
      <w:pPr>
        <w:pStyle w:val="Bulletlevel1"/>
      </w:pPr>
      <w:r>
        <w:t>Consumer protection</w:t>
      </w:r>
      <w:r w:rsidR="005F14ED">
        <w:t>—</w:t>
      </w:r>
      <w:r>
        <w:t xml:space="preserve">for example, compliance and enforcement of rules in the </w:t>
      </w:r>
      <w:r w:rsidRPr="00B74305">
        <w:rPr>
          <w:i/>
        </w:rPr>
        <w:t xml:space="preserve">Telecommunications </w:t>
      </w:r>
      <w:r>
        <w:rPr>
          <w:i/>
        </w:rPr>
        <w:t>(</w:t>
      </w:r>
      <w:r w:rsidRPr="00B74305">
        <w:rPr>
          <w:i/>
        </w:rPr>
        <w:t>Consumer Protection and Service Standards Act 1999</w:t>
      </w:r>
      <w:r>
        <w:rPr>
          <w:i/>
        </w:rPr>
        <w:t>)</w:t>
      </w:r>
      <w:r>
        <w:t>; and</w:t>
      </w:r>
    </w:p>
    <w:p w14:paraId="03133C9D" w14:textId="77777777" w:rsidR="000F678C" w:rsidRPr="00D6025F" w:rsidRDefault="000F678C" w:rsidP="000F678C">
      <w:pPr>
        <w:pStyle w:val="Bulletlevel1"/>
      </w:pPr>
      <w:r>
        <w:t>Unsolicited communications</w:t>
      </w:r>
      <w:r w:rsidR="005F14ED">
        <w:t>—</w:t>
      </w:r>
      <w:r>
        <w:t xml:space="preserve">for example, management of the </w:t>
      </w:r>
      <w:r w:rsidRPr="00B74305">
        <w:rPr>
          <w:i/>
        </w:rPr>
        <w:t>Spam Act 2003</w:t>
      </w:r>
      <w:r>
        <w:t xml:space="preserve"> and Do Not Call Register.</w:t>
      </w:r>
    </w:p>
    <w:p w14:paraId="1408FBA6" w14:textId="77777777" w:rsidR="000F678C" w:rsidRDefault="000F678C" w:rsidP="000F678C">
      <w:pPr>
        <w:rPr>
          <w:b/>
        </w:rPr>
      </w:pPr>
      <w:r>
        <w:t>The following section conducts an analysis of the ACMA’s functions to determine whether they fit within this remit.</w:t>
      </w:r>
    </w:p>
    <w:p w14:paraId="37AAD404" w14:textId="77777777" w:rsidR="000F678C" w:rsidRDefault="000F678C" w:rsidP="00F91883">
      <w:pPr>
        <w:pStyle w:val="Heading5"/>
      </w:pPr>
      <w:r w:rsidRPr="007302BD">
        <w:t>Functional analysis</w:t>
      </w:r>
    </w:p>
    <w:p w14:paraId="2F947D96" w14:textId="77777777" w:rsidR="00EB2B81" w:rsidRDefault="000F678C" w:rsidP="002E15A7">
      <w:r w:rsidRPr="00486F96">
        <w:t xml:space="preserve">Over time, the ACMA has responded positively to </w:t>
      </w:r>
      <w:r>
        <w:t>g</w:t>
      </w:r>
      <w:r w:rsidRPr="00486F96">
        <w:t xml:space="preserve">overnment requests for it to take on more functions, but these </w:t>
      </w:r>
      <w:r>
        <w:t>were</w:t>
      </w:r>
      <w:r w:rsidRPr="00486F96">
        <w:t xml:space="preserve"> not always informed by a coherent view of the regulator’s role.</w:t>
      </w:r>
    </w:p>
    <w:p w14:paraId="6EA2BF0D" w14:textId="77777777" w:rsidR="000F678C" w:rsidRPr="00486F96" w:rsidRDefault="000F678C" w:rsidP="000F678C">
      <w:r w:rsidRPr="00486F96">
        <w:t>In examining</w:t>
      </w:r>
      <w:r>
        <w:t xml:space="preserve"> the</w:t>
      </w:r>
      <w:r w:rsidRPr="00486F96">
        <w:t xml:space="preserve"> ACMA’s functions, </w:t>
      </w:r>
      <w:r>
        <w:t>the</w:t>
      </w:r>
      <w:r w:rsidRPr="00486F96">
        <w:t xml:space="preserve"> </w:t>
      </w:r>
      <w:r>
        <w:t>Review has taken into account</w:t>
      </w:r>
      <w:r w:rsidRPr="00486F96">
        <w:t>:</w:t>
      </w:r>
    </w:p>
    <w:p w14:paraId="74885493" w14:textId="77777777" w:rsidR="000F678C" w:rsidRPr="00C83625" w:rsidRDefault="000F678C" w:rsidP="00EB2B81">
      <w:pPr>
        <w:pStyle w:val="Bulletlevel1"/>
      </w:pPr>
      <w:r w:rsidRPr="00C83625">
        <w:t>a ‘stocktake’ of the ACMA’s legislated functions</w:t>
      </w:r>
      <w:r w:rsidRPr="0079781B">
        <w:t>;</w:t>
      </w:r>
    </w:p>
    <w:p w14:paraId="2D21792C" w14:textId="77777777" w:rsidR="000F678C" w:rsidRPr="00486F96" w:rsidRDefault="000F678C" w:rsidP="00EB2B81">
      <w:pPr>
        <w:pStyle w:val="Bulletlevel1"/>
      </w:pPr>
      <w:r>
        <w:t>identification of functions which the ACMA performs but for which it may not have statutory responsibility;</w:t>
      </w:r>
    </w:p>
    <w:p w14:paraId="78326ADE" w14:textId="77777777" w:rsidR="000F678C" w:rsidRPr="00486F96" w:rsidRDefault="000F678C" w:rsidP="00EB2B81">
      <w:pPr>
        <w:pStyle w:val="Bulletlevel1"/>
      </w:pPr>
      <w:r>
        <w:t>s</w:t>
      </w:r>
      <w:r w:rsidRPr="00486F96">
        <w:t>ubmissions to the Issues Paper and other consultation with relevant businesses and industry representatives</w:t>
      </w:r>
      <w:r>
        <w:t>; and</w:t>
      </w:r>
    </w:p>
    <w:p w14:paraId="413AB757" w14:textId="77777777" w:rsidR="000F678C" w:rsidRDefault="000F678C" w:rsidP="00EB2B81">
      <w:pPr>
        <w:pStyle w:val="Bulletlevel1"/>
      </w:pPr>
      <w:r>
        <w:t>i</w:t>
      </w:r>
      <w:r w:rsidRPr="00486F96">
        <w:t>nternal advice from the Department an</w:t>
      </w:r>
      <w:r>
        <w:t>d feedback from the ACMA itself.</w:t>
      </w:r>
    </w:p>
    <w:p w14:paraId="049865A4" w14:textId="637DA390" w:rsidR="000F678C" w:rsidRDefault="000F678C" w:rsidP="002E15A7">
      <w:r>
        <w:t>Consistent with the Terms of Reference for the Review, an important part of this analysis has been to assess the ACMA’s functions against the Government’s Contestability Programme.</w:t>
      </w:r>
      <w:r>
        <w:rPr>
          <w:rStyle w:val="FootnoteReference"/>
        </w:rPr>
        <w:footnoteReference w:id="35"/>
      </w:r>
      <w:r>
        <w:t xml:space="preserve"> This </w:t>
      </w:r>
      <w:r w:rsidR="0032139B">
        <w:t>P</w:t>
      </w:r>
      <w:r>
        <w:t>rogramme assumes that while public sector bodies may have been initially delivering their functions both efficiently and effectively, over time this may no longer be the case. The Programme uses the concept of contestability to consider:</w:t>
      </w:r>
    </w:p>
    <w:p w14:paraId="658000AB" w14:textId="77777777" w:rsidR="000F678C" w:rsidRDefault="000F678C" w:rsidP="000F678C">
      <w:pPr>
        <w:pStyle w:val="Bulletlevel1"/>
      </w:pPr>
      <w:r>
        <w:t>What role the government should have;</w:t>
      </w:r>
    </w:p>
    <w:p w14:paraId="7AA693E2" w14:textId="77777777" w:rsidR="000F678C" w:rsidRDefault="000F678C" w:rsidP="000F678C">
      <w:pPr>
        <w:pStyle w:val="Bulletlevel1"/>
      </w:pPr>
      <w:r>
        <w:t>How functions align to government priorities;</w:t>
      </w:r>
    </w:p>
    <w:p w14:paraId="6384374A" w14:textId="77777777" w:rsidR="000F678C" w:rsidRDefault="000F678C" w:rsidP="000F678C">
      <w:pPr>
        <w:pStyle w:val="Bulletlevel1"/>
      </w:pPr>
      <w:r>
        <w:t>How to best achieve a function’s intended effect;</w:t>
      </w:r>
    </w:p>
    <w:p w14:paraId="624A0B31" w14:textId="77777777" w:rsidR="000F678C" w:rsidRDefault="000F678C" w:rsidP="000F678C">
      <w:pPr>
        <w:pStyle w:val="Bulletlevel1"/>
      </w:pPr>
      <w:r>
        <w:t>Who is best placed to undertake a function;</w:t>
      </w:r>
    </w:p>
    <w:p w14:paraId="4D9C3390" w14:textId="77777777" w:rsidR="000F678C" w:rsidRDefault="000F678C" w:rsidP="000F678C">
      <w:pPr>
        <w:pStyle w:val="Bulletlevel1"/>
      </w:pPr>
      <w:r>
        <w:t>How to encourage entities to continue to improve the efficiency and delivery of the function, through the possibility of competition; and</w:t>
      </w:r>
    </w:p>
    <w:p w14:paraId="7C72F034" w14:textId="77777777" w:rsidR="000F678C" w:rsidRDefault="000F678C" w:rsidP="000F678C">
      <w:pPr>
        <w:pStyle w:val="Bulletlevel1"/>
      </w:pPr>
      <w:r>
        <w:t>Proposed new remit.</w:t>
      </w:r>
    </w:p>
    <w:p w14:paraId="6075F360" w14:textId="77777777" w:rsidR="00EB2B81" w:rsidRDefault="000F678C" w:rsidP="000F678C">
      <w:r>
        <w:t>T</w:t>
      </w:r>
      <w:r w:rsidRPr="00486F96">
        <w:t xml:space="preserve">he </w:t>
      </w:r>
      <w:r>
        <w:t>R</w:t>
      </w:r>
      <w:r w:rsidRPr="00486F96">
        <w:t xml:space="preserve">eview has </w:t>
      </w:r>
      <w:r>
        <w:t>taken the broad parameters of the Contestability Programme into account in</w:t>
      </w:r>
      <w:r w:rsidRPr="00486F96">
        <w:t xml:space="preserve"> consider</w:t>
      </w:r>
      <w:r>
        <w:t>ing</w:t>
      </w:r>
      <w:r w:rsidRPr="00486F96">
        <w:t xml:space="preserve"> whether any of the </w:t>
      </w:r>
      <w:r>
        <w:t xml:space="preserve">ACMA’s </w:t>
      </w:r>
      <w:r w:rsidRPr="00486F96">
        <w:t xml:space="preserve">functions or services </w:t>
      </w:r>
      <w:r>
        <w:t>could</w:t>
      </w:r>
      <w:r w:rsidRPr="00486F96">
        <w:t xml:space="preserve"> </w:t>
      </w:r>
      <w:r>
        <w:t>stop</w:t>
      </w:r>
      <w:r w:rsidRPr="00486F96">
        <w:t>, be provided by other agencies or by the industry itself. It has also considered whether there are functions of, or services provided by, other agencies that may be more efficiently and ef</w:t>
      </w:r>
      <w:r>
        <w:t>fectively delivered by the ACMA.</w:t>
      </w:r>
    </w:p>
    <w:p w14:paraId="280686B7" w14:textId="77777777" w:rsidR="00EB2B81" w:rsidRDefault="000F678C" w:rsidP="00F91883">
      <w:pPr>
        <w:pStyle w:val="Heading3"/>
      </w:pPr>
      <w:bookmarkStart w:id="191" w:name="_Toc441845086"/>
      <w:bookmarkStart w:id="192" w:name="_Toc441847339"/>
      <w:bookmarkStart w:id="193" w:name="_Toc441848271"/>
      <w:bookmarkStart w:id="194" w:name="_Toc442107114"/>
      <w:bookmarkStart w:id="195" w:name="_Toc442108766"/>
      <w:bookmarkStart w:id="196" w:name="_Toc443038165"/>
      <w:bookmarkStart w:id="197" w:name="_Toc443043883"/>
      <w:bookmarkStart w:id="198" w:name="_Toc443052574"/>
      <w:bookmarkStart w:id="199" w:name="_Toc443054863"/>
      <w:bookmarkStart w:id="200" w:name="_Toc449432095"/>
      <w:bookmarkStart w:id="201" w:name="_Toc449438563"/>
      <w:bookmarkStart w:id="202" w:name="_Toc450310136"/>
      <w:r>
        <w:t>Functions</w:t>
      </w:r>
      <w:bookmarkEnd w:id="191"/>
      <w:bookmarkEnd w:id="192"/>
      <w:bookmarkEnd w:id="193"/>
      <w:bookmarkEnd w:id="194"/>
      <w:bookmarkEnd w:id="195"/>
      <w:bookmarkEnd w:id="196"/>
      <w:bookmarkEnd w:id="197"/>
      <w:bookmarkEnd w:id="198"/>
      <w:bookmarkEnd w:id="199"/>
      <w:bookmarkEnd w:id="200"/>
      <w:bookmarkEnd w:id="201"/>
      <w:bookmarkEnd w:id="202"/>
    </w:p>
    <w:p w14:paraId="1D6ACFFB" w14:textId="77777777" w:rsidR="00EB2B81" w:rsidRDefault="000F678C" w:rsidP="000F678C">
      <w:bookmarkStart w:id="203" w:name="_Toc435112155"/>
      <w:bookmarkStart w:id="204" w:name="_Toc436923340"/>
      <w:bookmarkStart w:id="205" w:name="_Toc437440642"/>
      <w:bookmarkStart w:id="206" w:name="_Toc437528395"/>
      <w:bookmarkStart w:id="207" w:name="_Toc437594252"/>
      <w:r>
        <w:t>While many of the ACMA’s functions will remain relevant, the Review has found that some arrangements can be refined.</w:t>
      </w:r>
    </w:p>
    <w:p w14:paraId="25B99E30" w14:textId="07C01A06" w:rsidR="000F678C" w:rsidRPr="00E7136E" w:rsidRDefault="000F678C" w:rsidP="00F91883">
      <w:pPr>
        <w:pStyle w:val="Heading4"/>
      </w:pPr>
      <w:bookmarkStart w:id="208" w:name="_Toc450310137"/>
      <w:bookmarkStart w:id="209" w:name="_Toc449619987"/>
      <w:r w:rsidRPr="00E7136E">
        <w:t>Cybersecurity</w:t>
      </w:r>
      <w:bookmarkEnd w:id="208"/>
      <w:r w:rsidRPr="00E7136E">
        <w:t xml:space="preserve"> </w:t>
      </w:r>
      <w:bookmarkEnd w:id="203"/>
      <w:bookmarkEnd w:id="204"/>
      <w:bookmarkEnd w:id="205"/>
      <w:bookmarkEnd w:id="206"/>
      <w:bookmarkEnd w:id="207"/>
      <w:bookmarkEnd w:id="209"/>
    </w:p>
    <w:p w14:paraId="5CF64E49" w14:textId="21F4DCDC" w:rsidR="00EB2B81" w:rsidRDefault="000F678C" w:rsidP="000F678C">
      <w:r w:rsidRPr="00480414">
        <w:t>The ACMA carries out a number of cybersecurity activities</w:t>
      </w:r>
      <w:r w:rsidR="00276342">
        <w:t>. It undertakes</w:t>
      </w:r>
      <w:r w:rsidR="00602AF7">
        <w:t xml:space="preserve"> </w:t>
      </w:r>
      <w:r w:rsidR="006D1BA4">
        <w:t xml:space="preserve">technical and </w:t>
      </w:r>
      <w:r w:rsidR="00602AF7">
        <w:t>regulatory functions, which primarily concern enforcing Australia’s anti-spam law and investigating online content and gambling complaints</w:t>
      </w:r>
      <w:r w:rsidR="00276342">
        <w:t>. It also undertakes</w:t>
      </w:r>
      <w:r w:rsidR="00602AF7">
        <w:t xml:space="preserve"> cybersecurity </w:t>
      </w:r>
      <w:r w:rsidR="001B7547">
        <w:t xml:space="preserve">outreach </w:t>
      </w:r>
      <w:r w:rsidR="00602AF7">
        <w:t>activities</w:t>
      </w:r>
      <w:r w:rsidRPr="00480414">
        <w:t xml:space="preserve"> includ</w:t>
      </w:r>
      <w:r w:rsidR="00276342">
        <w:t>ing</w:t>
      </w:r>
      <w:r w:rsidRPr="00480414">
        <w:t xml:space="preserve"> the Australian Internet Security Initiative (AISI), cybersecurity news e-bulletin, phishing alert services and the spam and cybersecurity public awareness website.</w:t>
      </w:r>
    </w:p>
    <w:p w14:paraId="70261EDB" w14:textId="77777777" w:rsidR="000F678C" w:rsidRPr="00480414" w:rsidRDefault="000F678C" w:rsidP="009021CF">
      <w:pPr>
        <w:pStyle w:val="Bulletlevel1"/>
      </w:pPr>
      <w:r w:rsidRPr="00480414">
        <w:t>The AISI’s objective is to minimise the cybersecurity threat to Australian internet users by providing ISPs and other AISI partners with daily reports listing malware infections and vulnerable services and devices in their networks. Partners can then take action to remove the affected devices or services.</w:t>
      </w:r>
    </w:p>
    <w:p w14:paraId="017ABDAF" w14:textId="77777777" w:rsidR="000F678C" w:rsidRDefault="000F678C" w:rsidP="000F678C">
      <w:pPr>
        <w:pStyle w:val="Bulletlevel1"/>
      </w:pPr>
      <w:r w:rsidRPr="00480414">
        <w:t xml:space="preserve">The Phishing Alert Service uses information derived from the thousands of spam reports received by the ACMA every day to identify phishing emails. Phishing emails typically masquerade as being sent from critical infrastructure providers (such as banks, </w:t>
      </w:r>
      <w:r>
        <w:t>tele</w:t>
      </w:r>
      <w:r w:rsidRPr="00480414">
        <w:t>communications companies or internet service providers), government agencies (such as the Australian Taxation Office) or other major commercial entities.</w:t>
      </w:r>
    </w:p>
    <w:p w14:paraId="5CCB9B72" w14:textId="77777777" w:rsidR="000F678C" w:rsidRDefault="000F678C" w:rsidP="000F678C">
      <w:r w:rsidRPr="00480414">
        <w:t>These are well-regarded program</w:t>
      </w:r>
      <w:r>
        <w:t>me</w:t>
      </w:r>
      <w:r w:rsidRPr="00480414">
        <w:t>s and have been effective within their means. Small business and individuals in particular benefit from assistance to strengthen their cyber defences.</w:t>
      </w:r>
    </w:p>
    <w:p w14:paraId="0A173916" w14:textId="77777777" w:rsidR="000F678C" w:rsidRDefault="000F678C" w:rsidP="000F678C">
      <w:r>
        <w:t>The Review has</w:t>
      </w:r>
      <w:r w:rsidRPr="00480414">
        <w:t xml:space="preserve"> considered the program</w:t>
      </w:r>
      <w:r>
        <w:t>me</w:t>
      </w:r>
      <w:r w:rsidRPr="00480414">
        <w:t>s against the broad parameters of the Contestability Programme and considers there is scope to increase the effectiveness of these initiatives by linking them more closely with Commonwealth Government initiatives with similar objectives.</w:t>
      </w:r>
    </w:p>
    <w:p w14:paraId="37F5C9AC" w14:textId="77777777" w:rsidR="000F678C" w:rsidRDefault="000F678C" w:rsidP="000F678C">
      <w:r w:rsidRPr="00480414">
        <w:t>The Australian Cyber Security Centre (ACSC) opened in November 2014 with the aim of ensuring Australian networks are amongst the hardest in the world to compromise. The ACSC operates on a co-location model—existing capabilities across the Defence portfolio, the Attorney-General’s Department, the Australian Security Intelligence Organisation, Australian Federal Police (AFP) and Australian Crime Commission (ACC) operate out of a single location in Canberra.</w:t>
      </w:r>
    </w:p>
    <w:p w14:paraId="6B46ACAA" w14:textId="179FDA37" w:rsidR="000F678C" w:rsidRDefault="000F678C" w:rsidP="000F678C">
      <w:r w:rsidRPr="00480414">
        <w:t xml:space="preserve">The ACSC is a hub for greater collaboration and information sharing and the </w:t>
      </w:r>
      <w:r>
        <w:t>R</w:t>
      </w:r>
      <w:r w:rsidRPr="00480414">
        <w:t xml:space="preserve">eview considers the existing resources of the ACMA devoted to cybersecurity would be best transferred to the Attorney-General’s Department to be co-located within the ACSC. This is more likely to contribute to a coordinated Commonwealth outreach strategy and clear messages on cybersecurity awareness. In addition, there is already some duplication of relationships as ACSC agencies have relationships with some of the </w:t>
      </w:r>
      <w:r>
        <w:t>same</w:t>
      </w:r>
      <w:r w:rsidRPr="00480414">
        <w:t xml:space="preserve"> service providers as the ACMA under its program</w:t>
      </w:r>
      <w:r w:rsidR="00464D44">
        <w:t>me</w:t>
      </w:r>
      <w:r w:rsidRPr="00480414">
        <w:t>s.</w:t>
      </w:r>
    </w:p>
    <w:p w14:paraId="4E6A2755" w14:textId="399782A4" w:rsidR="00F13C5C" w:rsidRDefault="00F13C5C" w:rsidP="000F678C">
      <w:r>
        <w:t xml:space="preserve">The Australian Government’s Cyber Security Strategy has emphasised the importance of better coordination and sharing of information in order to enhance the effectiveness of existing government programmes. </w:t>
      </w:r>
      <w:r w:rsidR="000F678C" w:rsidRPr="00480414">
        <w:t xml:space="preserve">The ACMA already supplies data from the AISI daily to the AFP to support cybercrime investigations. It also supplies AISI data to the ACC, which drew heavily on this resource in the first Australian Cyber Security Centre Threat Report, published in July 2015. </w:t>
      </w:r>
      <w:r w:rsidR="000F678C">
        <w:t xml:space="preserve">Transfer of these cybersecurity programmes </w:t>
      </w:r>
      <w:r>
        <w:t xml:space="preserve">to the </w:t>
      </w:r>
      <w:r w:rsidR="00626C73">
        <w:t xml:space="preserve">ACSC </w:t>
      </w:r>
      <w:r w:rsidR="000F678C">
        <w:t xml:space="preserve">would allow them to be integrated with </w:t>
      </w:r>
      <w:r w:rsidR="00481B23">
        <w:t xml:space="preserve">other </w:t>
      </w:r>
      <w:r w:rsidR="000F678C">
        <w:t xml:space="preserve">relevant </w:t>
      </w:r>
      <w:r w:rsidR="00481B23">
        <w:t xml:space="preserve">Australian Government cyber security </w:t>
      </w:r>
      <w:r w:rsidR="000F678C">
        <w:t xml:space="preserve">initiatives </w:t>
      </w:r>
      <w:r>
        <w:t xml:space="preserve">to </w:t>
      </w:r>
      <w:r w:rsidR="00532A5A">
        <w:t>enhance</w:t>
      </w:r>
      <w:r>
        <w:t xml:space="preserve"> their effectiveness in protecting consumers and busi</w:t>
      </w:r>
      <w:r w:rsidR="00532A5A">
        <w:t xml:space="preserve">ness from cyber threats. </w:t>
      </w:r>
    </w:p>
    <w:p w14:paraId="673C2B53" w14:textId="77777777" w:rsidR="000F678C" w:rsidRDefault="000F678C" w:rsidP="000F678C">
      <w:r w:rsidRPr="00480414">
        <w:t>In addition, it may lead to better reporting of cybersecurity risks. A recent survey of AISI users identified that while large ISPs have good links to relevant cybersecurity agencies, medium and small ISPs are unsure about which organisation to report cybersecurity incidents to.</w:t>
      </w:r>
      <w:r w:rsidRPr="00480414">
        <w:rPr>
          <w:vertAlign w:val="superscript"/>
        </w:rPr>
        <w:footnoteReference w:id="36"/>
      </w:r>
    </w:p>
    <w:p w14:paraId="0A570219" w14:textId="77777777" w:rsidR="000F678C" w:rsidRDefault="000F678C" w:rsidP="000F678C">
      <w:r>
        <w:t>In regard to the Phishing Alert Service and spam public awareness website, while operational responsibility for these programmes would be transferred, the ACMA would retain its regulatory role in its continued responsibility for the Spam Act.</w:t>
      </w:r>
    </w:p>
    <w:p w14:paraId="46F81E9F" w14:textId="77777777" w:rsidR="00F91883" w:rsidRDefault="00F91883" w:rsidP="00CB4DEF">
      <w:pPr>
        <w:pBdr>
          <w:top w:val="single" w:sz="4" w:space="1" w:color="auto"/>
          <w:left w:val="single" w:sz="4" w:space="4" w:color="auto"/>
          <w:bottom w:val="single" w:sz="4" w:space="1" w:color="auto"/>
          <w:right w:val="single" w:sz="4" w:space="4" w:color="auto"/>
        </w:pBdr>
        <w:shd w:val="clear" w:color="auto" w:fill="DEEAF6" w:themeFill="accent1" w:themeFillTint="33"/>
      </w:pPr>
      <w:r>
        <w:t>Draft proposal:</w:t>
      </w:r>
    </w:p>
    <w:p w14:paraId="37BB93AD" w14:textId="0B90F70A" w:rsidR="00F91883" w:rsidRPr="00E7136E" w:rsidRDefault="00F91883" w:rsidP="00CB4DEF">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EEAF6" w:themeFill="accent1" w:themeFillTint="33"/>
        <w:ind w:left="426" w:hanging="426"/>
      </w:pPr>
      <w:r>
        <w:t>That the ACMA’s cyber-security programmes be transferred, along with staff and funding, to the Attorney-General’s Department.</w:t>
      </w:r>
    </w:p>
    <w:p w14:paraId="321D2C7D" w14:textId="77777777" w:rsidR="000F678C" w:rsidRDefault="000F678C" w:rsidP="00F91883">
      <w:pPr>
        <w:pStyle w:val="Heading4"/>
      </w:pPr>
      <w:bookmarkStart w:id="210" w:name="_Toc449619988"/>
      <w:bookmarkStart w:id="211" w:name="_Toc450310138"/>
      <w:bookmarkStart w:id="212" w:name="_Toc435112157"/>
      <w:bookmarkStart w:id="213" w:name="_Toc436923342"/>
      <w:bookmarkStart w:id="214" w:name="_Toc437440644"/>
      <w:bookmarkStart w:id="215" w:name="_Toc437528397"/>
      <w:bookmarkStart w:id="216" w:name="_Toc437594254"/>
      <w:bookmarkStart w:id="217" w:name="_Toc437599283"/>
      <w:r>
        <w:t>Research and analysis</w:t>
      </w:r>
      <w:bookmarkEnd w:id="210"/>
      <w:bookmarkEnd w:id="211"/>
    </w:p>
    <w:p w14:paraId="24408CAE" w14:textId="5A903E60" w:rsidR="000F678C" w:rsidRDefault="000F678C" w:rsidP="000F678C">
      <w:r>
        <w:t>In its responsibility for a number of programme functions, the ACMA is required to undertake significant research and analysis of the communications environment. The Department has found this to include strategic</w:t>
      </w:r>
      <w:r w:rsidRPr="0076466F">
        <w:t xml:space="preserve"> market/environment scanning research</w:t>
      </w:r>
      <w:r>
        <w:rPr>
          <w:rStyle w:val="FootnoteReference"/>
        </w:rPr>
        <w:footnoteReference w:id="37"/>
      </w:r>
      <w:r w:rsidR="00797F96">
        <w:t>,</w:t>
      </w:r>
      <w:r w:rsidRPr="0076466F">
        <w:t xml:space="preserve"> </w:t>
      </w:r>
      <w:r>
        <w:t>in addition to research that</w:t>
      </w:r>
      <w:r w:rsidRPr="0076466F">
        <w:t xml:space="preserve"> informs the </w:t>
      </w:r>
      <w:r>
        <w:t>agency’s</w:t>
      </w:r>
      <w:r w:rsidRPr="0076466F">
        <w:t xml:space="preserve"> rule</w:t>
      </w:r>
      <w:r w:rsidR="009F41FF">
        <w:t>-</w:t>
      </w:r>
      <w:r w:rsidRPr="0076466F">
        <w:t>making</w:t>
      </w:r>
      <w:r>
        <w:rPr>
          <w:rStyle w:val="FootnoteReference"/>
        </w:rPr>
        <w:footnoteReference w:id="38"/>
      </w:r>
      <w:r w:rsidRPr="0076466F">
        <w:t>, its compliance and enforcement activity</w:t>
      </w:r>
      <w:r>
        <w:t>,</w:t>
      </w:r>
      <w:r w:rsidRPr="0076466F">
        <w:t xml:space="preserve"> and </w:t>
      </w:r>
      <w:r>
        <w:t>also research pieces that</w:t>
      </w:r>
      <w:r w:rsidRPr="0076466F">
        <w:t xml:space="preserve"> reflect on the effectiveness of governing frameworks</w:t>
      </w:r>
      <w:r>
        <w:rPr>
          <w:rStyle w:val="FootnoteReference"/>
        </w:rPr>
        <w:footnoteReference w:id="39"/>
      </w:r>
      <w:r w:rsidR="00D75B71">
        <w:t>.</w:t>
      </w:r>
    </w:p>
    <w:p w14:paraId="5B61BDCF" w14:textId="77777777" w:rsidR="000F678C" w:rsidRPr="0076466F" w:rsidRDefault="000F678C" w:rsidP="000F678C">
      <w:r>
        <w:t>However, these</w:t>
      </w:r>
      <w:r w:rsidRPr="0076466F">
        <w:t xml:space="preserve"> priorities </w:t>
      </w:r>
      <w:r>
        <w:t>on strategic market/environment scanning</w:t>
      </w:r>
      <w:r w:rsidRPr="0076466F">
        <w:t xml:space="preserve"> are </w:t>
      </w:r>
      <w:r>
        <w:t>not effectively</w:t>
      </w:r>
      <w:r w:rsidRPr="0076466F">
        <w:t xml:space="preserve"> focused, as they neither reflect on the ACMA’s regulatory role and responsibilities, nor sufficiently focus on the emerging issues for its role as a regulator. </w:t>
      </w:r>
      <w:r>
        <w:t xml:space="preserve">Further, the Department’s </w:t>
      </w:r>
      <w:r w:rsidRPr="0076466F">
        <w:t xml:space="preserve">Bureau of Communications Research </w:t>
      </w:r>
      <w:r>
        <w:t xml:space="preserve">(BCR) </w:t>
      </w:r>
      <w:r w:rsidRPr="0076466F">
        <w:t xml:space="preserve">is a professional, independent, economic and statistical research unit </w:t>
      </w:r>
      <w:r>
        <w:t xml:space="preserve">which carries out analysis which </w:t>
      </w:r>
      <w:r w:rsidRPr="0076466F">
        <w:t>support</w:t>
      </w:r>
      <w:r>
        <w:t>s</w:t>
      </w:r>
      <w:r w:rsidRPr="0076466F">
        <w:t xml:space="preserve"> the development of public policy by:</w:t>
      </w:r>
    </w:p>
    <w:p w14:paraId="4FBB9CCB" w14:textId="77777777" w:rsidR="000F678C" w:rsidRDefault="000F678C" w:rsidP="000F678C">
      <w:pPr>
        <w:pStyle w:val="Bulletlevel1"/>
      </w:pPr>
      <w:r>
        <w:t>R</w:t>
      </w:r>
      <w:r w:rsidRPr="0076466F">
        <w:t>esearching economic</w:t>
      </w:r>
      <w:r>
        <w:t>, market</w:t>
      </w:r>
      <w:r w:rsidRPr="0076466F">
        <w:t xml:space="preserve"> and technological developments</w:t>
      </w:r>
      <w:r>
        <w:t>;</w:t>
      </w:r>
    </w:p>
    <w:p w14:paraId="6B7AF57B" w14:textId="77777777" w:rsidR="000F678C" w:rsidRPr="0076466F" w:rsidRDefault="000F678C" w:rsidP="000F678C">
      <w:pPr>
        <w:pStyle w:val="Bulletlevel1"/>
      </w:pPr>
      <w:r>
        <w:t>An</w:t>
      </w:r>
      <w:r w:rsidRPr="0076466F">
        <w:t>alysing communications policy, trends and issues</w:t>
      </w:r>
      <w:r>
        <w:t>;</w:t>
      </w:r>
    </w:p>
    <w:p w14:paraId="67285270" w14:textId="77777777" w:rsidR="000F678C" w:rsidRPr="0076466F" w:rsidRDefault="000F678C" w:rsidP="000F678C">
      <w:pPr>
        <w:pStyle w:val="Bulletlevel1"/>
      </w:pPr>
      <w:r>
        <w:t>P</w:t>
      </w:r>
      <w:r w:rsidRPr="0076466F">
        <w:t>ublishing communications data and research in an easy-to-read format so government, researchers and the public can use the information</w:t>
      </w:r>
      <w:r>
        <w:t>; and</w:t>
      </w:r>
    </w:p>
    <w:p w14:paraId="10EF7C1D" w14:textId="77777777" w:rsidR="00EB2B81" w:rsidRDefault="000F678C" w:rsidP="00F91883">
      <w:pPr>
        <w:pStyle w:val="Bulletlevel1"/>
      </w:pPr>
      <w:r>
        <w:t>W</w:t>
      </w:r>
      <w:r w:rsidRPr="0076466F">
        <w:t xml:space="preserve">orking with </w:t>
      </w:r>
      <w:r>
        <w:t>stakeholders</w:t>
      </w:r>
      <w:r w:rsidRPr="0076466F">
        <w:t xml:space="preserve"> in the communications sector to support informed discussion on policy and regulatory issues.</w:t>
      </w:r>
    </w:p>
    <w:p w14:paraId="4E792DD1" w14:textId="77777777" w:rsidR="00EB2B81" w:rsidRDefault="000F678C" w:rsidP="000F678C">
      <w:r w:rsidRPr="0076466F">
        <w:t xml:space="preserve">Given the establishment of the BCR, it is desirable to reduce potential duplication of research and confusion by increasing the focus of the ACMA to </w:t>
      </w:r>
      <w:r>
        <w:t>carry out</w:t>
      </w:r>
      <w:r w:rsidRPr="0076466F">
        <w:t xml:space="preserve"> research that best aligns with its institutional objectives and promotes better understanding about the effectiveness of regulation.</w:t>
      </w:r>
    </w:p>
    <w:p w14:paraId="19DF7721" w14:textId="77777777" w:rsidR="00F91883" w:rsidRDefault="00F91883" w:rsidP="00CB4DEF">
      <w:pPr>
        <w:pBdr>
          <w:top w:val="single" w:sz="4" w:space="1" w:color="auto"/>
          <w:left w:val="single" w:sz="4" w:space="4" w:color="auto"/>
          <w:bottom w:val="single" w:sz="4" w:space="1" w:color="auto"/>
          <w:right w:val="single" w:sz="4" w:space="4" w:color="auto"/>
        </w:pBdr>
        <w:shd w:val="clear" w:color="auto" w:fill="DEEAF6" w:themeFill="accent1" w:themeFillTint="33"/>
      </w:pPr>
      <w:r>
        <w:t>Draft proposal:</w:t>
      </w:r>
    </w:p>
    <w:p w14:paraId="2CE9FC6A" w14:textId="77777777" w:rsidR="000F678C" w:rsidRDefault="000F678C" w:rsidP="00CB4DEF">
      <w:pPr>
        <w:pStyle w:val="Bulletlevel1"/>
        <w:numPr>
          <w:ilvl w:val="0"/>
          <w:numId w:val="38"/>
        </w:numPr>
        <w:pBdr>
          <w:top w:val="single" w:sz="4" w:space="1" w:color="auto"/>
          <w:left w:val="single" w:sz="4" w:space="4" w:color="auto"/>
          <w:bottom w:val="single" w:sz="4" w:space="1" w:color="auto"/>
          <w:right w:val="single" w:sz="4" w:space="4" w:color="auto"/>
        </w:pBdr>
        <w:shd w:val="clear" w:color="auto" w:fill="DEEAF6" w:themeFill="accent1" w:themeFillTint="33"/>
        <w:ind w:left="426" w:hanging="426"/>
      </w:pPr>
      <w:r>
        <w:t>That the Bureau of Communications Research assume the lead in taking forward research about the emerging environment and market trends, with the ACMA’s regulatory research programme focusing on supporting the effectiveness of regulatory functions and harms that are affecting businesses and consumers.</w:t>
      </w:r>
    </w:p>
    <w:p w14:paraId="278536AA" w14:textId="77777777" w:rsidR="000F678C" w:rsidRDefault="000F678C" w:rsidP="00947649">
      <w:pPr>
        <w:pStyle w:val="Heading4"/>
      </w:pPr>
      <w:bookmarkStart w:id="218" w:name="_Toc450310139"/>
      <w:r>
        <w:t>International Engagement</w:t>
      </w:r>
      <w:bookmarkEnd w:id="218"/>
    </w:p>
    <w:p w14:paraId="3C8EEE86" w14:textId="6AB5C329" w:rsidR="000F678C" w:rsidRDefault="000F678C" w:rsidP="000F678C">
      <w:r>
        <w:t xml:space="preserve">Similarly, there is a risk of overlap between the ACMA and the Department’s international engagement strategies. </w:t>
      </w:r>
      <w:r w:rsidRPr="0020706F">
        <w:t>The ACMA has international engagement</w:t>
      </w:r>
      <w:r>
        <w:t xml:space="preserve"> </w:t>
      </w:r>
      <w:r w:rsidRPr="0020706F">
        <w:t xml:space="preserve">responsibilities </w:t>
      </w:r>
      <w:r>
        <w:t>with particular</w:t>
      </w:r>
      <w:r w:rsidRPr="0020706F">
        <w:t xml:space="preserve"> regard to radiofrequency spectrum. </w:t>
      </w:r>
      <w:r>
        <w:t xml:space="preserve">It participates in forums which focus on </w:t>
      </w:r>
      <w:r w:rsidRPr="0020706F">
        <w:t xml:space="preserve">international standard-setting and harmonisation </w:t>
      </w:r>
      <w:r>
        <w:t xml:space="preserve">issues, </w:t>
      </w:r>
      <w:r w:rsidRPr="0020706F">
        <w:t>such as those held by the International Telecommunication Union (ITU). Australian delegations to policy-setting meetings of the ITU</w:t>
      </w:r>
      <w:r w:rsidR="00D75B71">
        <w:t>-</w:t>
      </w:r>
      <w:r w:rsidRPr="0020706F">
        <w:t xml:space="preserve"> the ITU Council, Plenipotentiary and World Conference on International Telecommunications (WCIT)</w:t>
      </w:r>
      <w:r w:rsidR="00D75B71">
        <w:t>-</w:t>
      </w:r>
      <w:r w:rsidRPr="0020706F">
        <w:t xml:space="preserve"> are headed by the Department and supported by the ACMA. These arrangements work well and are effective.</w:t>
      </w:r>
    </w:p>
    <w:p w14:paraId="5261718E" w14:textId="17884775" w:rsidR="000F678C" w:rsidRPr="0020706F" w:rsidRDefault="000F678C" w:rsidP="000F678C">
      <w:r>
        <w:t>An</w:t>
      </w:r>
      <w:r w:rsidRPr="0020706F">
        <w:t>other relevant international forum is the ITU Radiocommunication Sector (ITU-R)</w:t>
      </w:r>
      <w:r>
        <w:t>,</w:t>
      </w:r>
      <w:r w:rsidRPr="0020706F">
        <w:t xml:space="preserve"> which meets every three to four years at the World Radiocommunication Conference (WRC) to revise </w:t>
      </w:r>
      <w:r>
        <w:t>ra</w:t>
      </w:r>
      <w:r w:rsidRPr="0020706F">
        <w:t xml:space="preserve">dio </w:t>
      </w:r>
      <w:r>
        <w:t>r</w:t>
      </w:r>
      <w:r w:rsidRPr="0020706F">
        <w:t xml:space="preserve">egulations, the international treaty governing radiofrequency spectrum </w:t>
      </w:r>
      <w:r>
        <w:t xml:space="preserve">use </w:t>
      </w:r>
      <w:r w:rsidRPr="0020706F">
        <w:t xml:space="preserve">and satellite orbits. </w:t>
      </w:r>
      <w:r>
        <w:t xml:space="preserve">The WRC </w:t>
      </w:r>
      <w:r w:rsidRPr="0020706F">
        <w:t>has been considered a technical forum and</w:t>
      </w:r>
      <w:r w:rsidR="00D75B71">
        <w:t>,</w:t>
      </w:r>
      <w:r w:rsidRPr="0020706F">
        <w:t xml:space="preserve"> </w:t>
      </w:r>
      <w:r>
        <w:t xml:space="preserve">as such, </w:t>
      </w:r>
      <w:r w:rsidRPr="0020706F">
        <w:t xml:space="preserve">the ACMA has headed the delegation. </w:t>
      </w:r>
      <w:r>
        <w:t>However, i</w:t>
      </w:r>
      <w:r w:rsidRPr="0020706F">
        <w:t>ncreasingly</w:t>
      </w:r>
      <w:r>
        <w:t>, r</w:t>
      </w:r>
      <w:r w:rsidRPr="0020706F">
        <w:t xml:space="preserve">adio </w:t>
      </w:r>
      <w:r>
        <w:t>r</w:t>
      </w:r>
      <w:r w:rsidRPr="0020706F">
        <w:t xml:space="preserve">egulations have significant implications for use of and investment in spectrum in Australia. In this environment of increasing </w:t>
      </w:r>
      <w:r>
        <w:t>demand</w:t>
      </w:r>
      <w:r w:rsidRPr="0020706F">
        <w:t xml:space="preserve"> for spectrum, the WRC is transforming from a technical to </w:t>
      </w:r>
      <w:r>
        <w:t xml:space="preserve">a </w:t>
      </w:r>
      <w:r w:rsidRPr="0020706F">
        <w:t>policy forum where microeconomic spectrum reform is settled at treaty-level. While the ACMA has played an important role in heading the WRC delegation, it is technically focused</w:t>
      </w:r>
      <w:r>
        <w:t>,</w:t>
      </w:r>
      <w:r w:rsidRPr="0020706F">
        <w:t xml:space="preserve"> and properly so. However, </w:t>
      </w:r>
      <w:r>
        <w:t xml:space="preserve">the ACMA </w:t>
      </w:r>
      <w:r w:rsidRPr="0020706F">
        <w:t xml:space="preserve">is not always able to identify policy issues and manage competing domestic and international policy issues that arise during negotiations. </w:t>
      </w:r>
      <w:r>
        <w:t>In this regard, the ACMA may not be as well placed as the Department to escalate matters within government or obtain prompt policy guidance on significant issues which arise ‘on-the-floor’ in international negotiations.</w:t>
      </w:r>
    </w:p>
    <w:p w14:paraId="7F4E3D7B" w14:textId="77777777" w:rsidR="000F678C" w:rsidRDefault="000F678C" w:rsidP="000F678C">
      <w:r>
        <w:t>T</w:t>
      </w:r>
      <w:r w:rsidRPr="0020706F">
        <w:t xml:space="preserve">he </w:t>
      </w:r>
      <w:r>
        <w:t>R</w:t>
      </w:r>
      <w:r w:rsidRPr="0020706F">
        <w:t xml:space="preserve">eview </w:t>
      </w:r>
      <w:r>
        <w:t xml:space="preserve">therefore </w:t>
      </w:r>
      <w:r w:rsidRPr="0020706F">
        <w:t xml:space="preserve">recommends </w:t>
      </w:r>
      <w:r>
        <w:t xml:space="preserve">that </w:t>
      </w:r>
      <w:r w:rsidRPr="0020706F">
        <w:t xml:space="preserve">head of delegation roles in key international forums, including the WRC, should be </w:t>
      </w:r>
      <w:r>
        <w:t xml:space="preserve">transferred to </w:t>
      </w:r>
      <w:r w:rsidRPr="0020706F">
        <w:t xml:space="preserve">the Department, and that it </w:t>
      </w:r>
      <w:r>
        <w:t>take responsibility</w:t>
      </w:r>
      <w:r w:rsidRPr="0020706F">
        <w:t xml:space="preserve"> for developing policy positions and signing the final acts. The ACMA should continue to </w:t>
      </w:r>
      <w:r>
        <w:t>take part</w:t>
      </w:r>
      <w:r w:rsidRPr="0020706F">
        <w:t xml:space="preserve"> in a technical capacity, supporting the delegation. The </w:t>
      </w:r>
      <w:r>
        <w:t>R</w:t>
      </w:r>
      <w:r w:rsidRPr="0020706F">
        <w:t xml:space="preserve">eview considers the </w:t>
      </w:r>
      <w:r>
        <w:t xml:space="preserve">ACMA </w:t>
      </w:r>
      <w:r w:rsidRPr="0020706F">
        <w:t>should continue to lead delegations on primarily technical matters and, in these circumstances, the Department should provide a statement of policy to guide the ACMA’s decisions.</w:t>
      </w:r>
    </w:p>
    <w:p w14:paraId="7799A346" w14:textId="77777777" w:rsidR="00F91883" w:rsidRDefault="00F91883" w:rsidP="00CB4DEF">
      <w:pPr>
        <w:pBdr>
          <w:top w:val="single" w:sz="4" w:space="1" w:color="auto"/>
          <w:left w:val="single" w:sz="4" w:space="4" w:color="auto"/>
          <w:bottom w:val="single" w:sz="4" w:space="1" w:color="auto"/>
          <w:right w:val="single" w:sz="4" w:space="4" w:color="auto"/>
        </w:pBdr>
        <w:shd w:val="clear" w:color="auto" w:fill="DEEAF6" w:themeFill="accent1" w:themeFillTint="33"/>
      </w:pPr>
      <w:bookmarkStart w:id="219" w:name="_Toc435112159"/>
      <w:bookmarkStart w:id="220" w:name="_Toc436923344"/>
      <w:bookmarkStart w:id="221" w:name="_Toc437440646"/>
      <w:bookmarkStart w:id="222" w:name="_Toc437528399"/>
      <w:bookmarkStart w:id="223" w:name="_Toc437594256"/>
      <w:bookmarkEnd w:id="212"/>
      <w:bookmarkEnd w:id="213"/>
      <w:bookmarkEnd w:id="214"/>
      <w:bookmarkEnd w:id="215"/>
      <w:bookmarkEnd w:id="216"/>
      <w:bookmarkEnd w:id="217"/>
      <w:r w:rsidRPr="001C62EF">
        <w:t>Draft proposal:</w:t>
      </w:r>
    </w:p>
    <w:p w14:paraId="5C199D8D" w14:textId="0201860F" w:rsidR="00F91883" w:rsidRDefault="00F91883" w:rsidP="00CB4DEF">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EEAF6" w:themeFill="accent1" w:themeFillTint="33"/>
        <w:tabs>
          <w:tab w:val="left" w:pos="567"/>
        </w:tabs>
        <w:spacing w:line="276" w:lineRule="auto"/>
        <w:ind w:left="426" w:hanging="426"/>
      </w:pPr>
      <w:r w:rsidRPr="00B664BC">
        <w:t xml:space="preserve">That the Department </w:t>
      </w:r>
      <w:r>
        <w:t xml:space="preserve">of Communications and the Arts </w:t>
      </w:r>
      <w:r w:rsidRPr="00B664BC">
        <w:t>be responsible for head of delegation roles to key international policy-setting forums, including the World Radiocommunication Conference</w:t>
      </w:r>
      <w:r>
        <w:t>, and that clear guidance and negotiating parameters be provided by the Department to heads of delegation</w:t>
      </w:r>
      <w:r w:rsidRPr="00B664BC">
        <w:t>.</w:t>
      </w:r>
    </w:p>
    <w:p w14:paraId="5DBE246E" w14:textId="77777777" w:rsidR="000F678C" w:rsidRPr="00CD6A25" w:rsidRDefault="000F678C" w:rsidP="00F91883">
      <w:pPr>
        <w:pStyle w:val="Heading4"/>
      </w:pPr>
      <w:bookmarkStart w:id="224" w:name="_Toc449619989"/>
      <w:bookmarkStart w:id="225" w:name="_Toc450310140"/>
      <w:r w:rsidRPr="00CD6A25">
        <w:t>Revenue collection</w:t>
      </w:r>
      <w:bookmarkEnd w:id="219"/>
      <w:bookmarkEnd w:id="220"/>
      <w:bookmarkEnd w:id="221"/>
      <w:bookmarkEnd w:id="222"/>
      <w:bookmarkEnd w:id="223"/>
      <w:bookmarkEnd w:id="224"/>
      <w:bookmarkEnd w:id="225"/>
    </w:p>
    <w:p w14:paraId="6288739D" w14:textId="77777777" w:rsidR="000F678C" w:rsidRDefault="000F678C" w:rsidP="000F678C">
      <w:r w:rsidRPr="00427A21">
        <w:t xml:space="preserve">In </w:t>
      </w:r>
      <w:r w:rsidR="00A1725C">
        <w:t>2014–15</w:t>
      </w:r>
      <w:r w:rsidRPr="00CD6A25">
        <w:t>, the ACMA collected a total of $654.51</w:t>
      </w:r>
      <w:r w:rsidR="00E549A3">
        <w:t> million</w:t>
      </w:r>
      <w:r w:rsidRPr="00CD6A25">
        <w:t xml:space="preserve"> from six industry-specific revenue streams. These are collected annually via a mixture of resource taxes, cost recovery fees and levies, as well as revenue-based levies. Over time, the ACMA has become the third largest tax collector in the Commonwealth</w:t>
      </w:r>
      <w:r w:rsidRPr="00CD6A25">
        <w:rPr>
          <w:rStyle w:val="FootnoteReference"/>
        </w:rPr>
        <w:footnoteReference w:id="40"/>
      </w:r>
      <w:r w:rsidRPr="00CD6A25">
        <w:t xml:space="preserve"> and this is arguably not a core function for it to administer.</w:t>
      </w:r>
    </w:p>
    <w:p w14:paraId="27C83E34" w14:textId="77777777" w:rsidR="000F678C" w:rsidRDefault="000F678C" w:rsidP="000F678C">
      <w:r w:rsidRPr="00427A21">
        <w:t>Some revenues, such as the indirect costs of managing spectrum, have complex charging calculations that have become increasingly</w:t>
      </w:r>
      <w:r w:rsidRPr="00CD6A25">
        <w:t xml:space="preserve"> opaque over the years. Charges may be broken down into multiple components. For example, the apparatus licence tax includes a fee charged for the apparatus licence and a cost recovery charge for Australia’s annual member state contribution to the International Telecommunication Union.</w:t>
      </w:r>
    </w:p>
    <w:p w14:paraId="48072782" w14:textId="77777777" w:rsidR="000F678C" w:rsidRPr="00486F96" w:rsidRDefault="000F678C" w:rsidP="000F678C">
      <w:r w:rsidRPr="00CD6A25">
        <w:t>The Review proposes the possible transfer of this function to the Australian Taxation Office be examined. However, the function should only be transferred if efficiencies exist. The ACMA provides this function reasonably efficiently and migration of its data collection to another agency and associated system development costs may mean there is no net benefit in it.</w:t>
      </w:r>
    </w:p>
    <w:p w14:paraId="55837F2A" w14:textId="77777777" w:rsidR="00F91883" w:rsidRDefault="00F91883" w:rsidP="00CB4DEF">
      <w:pPr>
        <w:pBdr>
          <w:top w:val="single" w:sz="4" w:space="1" w:color="auto"/>
          <w:left w:val="single" w:sz="4" w:space="4" w:color="auto"/>
          <w:bottom w:val="single" w:sz="4" w:space="1" w:color="auto"/>
          <w:right w:val="single" w:sz="4" w:space="4" w:color="auto"/>
        </w:pBdr>
        <w:shd w:val="clear" w:color="auto" w:fill="DEEAF6" w:themeFill="accent1" w:themeFillTint="33"/>
      </w:pPr>
      <w:r w:rsidRPr="00CD6A25">
        <w:t>Draft proposal:</w:t>
      </w:r>
    </w:p>
    <w:p w14:paraId="30B25F67" w14:textId="3F72B09D" w:rsidR="00F91883" w:rsidRDefault="00F91883" w:rsidP="00CB4DEF">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DEEAF6" w:themeFill="accent1" w:themeFillTint="33"/>
        <w:ind w:left="426" w:hanging="426"/>
      </w:pPr>
      <w:r w:rsidRPr="00427A21">
        <w:t>That further work be undertaken to determine whether it may be more efficient for another body, such as the Australian Taxati</w:t>
      </w:r>
      <w:r w:rsidRPr="00CD6A25">
        <w:t>on Office, to undertake the revenue collection functions currently performed by the ACMA.</w:t>
      </w:r>
    </w:p>
    <w:p w14:paraId="4602B089" w14:textId="77777777" w:rsidR="000F678C" w:rsidRPr="00486F96" w:rsidRDefault="000F678C" w:rsidP="009021CF">
      <w:pPr>
        <w:pStyle w:val="Heading4"/>
      </w:pPr>
      <w:bookmarkStart w:id="226" w:name="_Toc449619990"/>
      <w:bookmarkStart w:id="227" w:name="_Toc450310141"/>
      <w:r>
        <w:t>Revitalising self-regulation</w:t>
      </w:r>
      <w:bookmarkEnd w:id="226"/>
      <w:bookmarkEnd w:id="227"/>
    </w:p>
    <w:p w14:paraId="703B417F" w14:textId="02E46D1E" w:rsidR="000F678C" w:rsidRDefault="000F678C" w:rsidP="000F678C">
      <w:r w:rsidRPr="009C504C">
        <w:t xml:space="preserve">A key theme of the </w:t>
      </w:r>
      <w:r>
        <w:t>R</w:t>
      </w:r>
      <w:r w:rsidRPr="009C504C">
        <w:t>eview is for the ACMA to revitalise its commitment to encouraging industry</w:t>
      </w:r>
      <w:r w:rsidRPr="00486F96">
        <w:t xml:space="preserve"> self-regulation</w:t>
      </w:r>
      <w:r>
        <w:t xml:space="preserve"> and to embark on a program</w:t>
      </w:r>
      <w:r w:rsidR="0032139B">
        <w:t>me</w:t>
      </w:r>
      <w:r>
        <w:t xml:space="preserve"> of continuous review</w:t>
      </w:r>
      <w:r w:rsidRPr="00486F96">
        <w:t xml:space="preserve">. This </w:t>
      </w:r>
      <w:r>
        <w:t>could</w:t>
      </w:r>
      <w:r w:rsidRPr="00486F96">
        <w:t xml:space="preserve"> be done at many points in the regulatory cycle. Industry </w:t>
      </w:r>
      <w:r>
        <w:t>could</w:t>
      </w:r>
      <w:r w:rsidRPr="00486F96">
        <w:t xml:space="preserve"> be encouraged to pre-emptively </w:t>
      </w:r>
      <w:r>
        <w:t xml:space="preserve">fix the problem before government involvement is necessary and/or </w:t>
      </w:r>
      <w:r w:rsidRPr="00486F96">
        <w:t xml:space="preserve">develop codes if certain harms are likely </w:t>
      </w:r>
      <w:r>
        <w:t xml:space="preserve">to materialise </w:t>
      </w:r>
      <w:r w:rsidRPr="00486F96">
        <w:t xml:space="preserve">or to ensure consistent consumer practices across firms. </w:t>
      </w:r>
      <w:r>
        <w:t>Imposing</w:t>
      </w:r>
      <w:r w:rsidRPr="00486F96">
        <w:t xml:space="preserve"> regulation to minimise a harm can encourage compliance and educate consumers. As harms are reduced, regulation </w:t>
      </w:r>
      <w:r>
        <w:t>could</w:t>
      </w:r>
      <w:r w:rsidRPr="00486F96">
        <w:t xml:space="preserve"> be wound back or </w:t>
      </w:r>
      <w:r>
        <w:t>transferred</w:t>
      </w:r>
      <w:r w:rsidRPr="00486F96">
        <w:t xml:space="preserve"> to industry</w:t>
      </w:r>
      <w:r>
        <w:t xml:space="preserve"> for management</w:t>
      </w:r>
      <w:r w:rsidRPr="00486F96">
        <w:t>.</w:t>
      </w:r>
    </w:p>
    <w:p w14:paraId="2C4C9B26" w14:textId="77777777" w:rsidR="000F678C" w:rsidRDefault="000F678C" w:rsidP="000F678C">
      <w:r>
        <w:t>Importantly, industry has a key role in proactively submitting to the regulator when it considers a function could be self-regulated. By committing time and resources to scoping issues and developing strong proposals for self-regulation of particular functions, industry can assist in achieving deregulatory outcomes.</w:t>
      </w:r>
    </w:p>
    <w:p w14:paraId="11E8DDF2" w14:textId="0052C25C" w:rsidR="000F678C" w:rsidRDefault="000F678C" w:rsidP="000F678C">
      <w:r>
        <w:t xml:space="preserve">In the regulatory performance section of this report, the Review proposes </w:t>
      </w:r>
      <w:r w:rsidRPr="00486F96">
        <w:t>the ACMA continuously review</w:t>
      </w:r>
      <w:r>
        <w:t xml:space="preserve"> regulation to consider whether </w:t>
      </w:r>
      <w:r w:rsidRPr="00486F96">
        <w:t xml:space="preserve">functions can be outsourced to industry or whether it can be repealed. However, </w:t>
      </w:r>
      <w:r>
        <w:t>some</w:t>
      </w:r>
      <w:r w:rsidRPr="00486F96">
        <w:t xml:space="preserve"> submissions</w:t>
      </w:r>
      <w:r w:rsidRPr="00486F96">
        <w:rPr>
          <w:rStyle w:val="FootnoteReference"/>
        </w:rPr>
        <w:footnoteReference w:id="41"/>
      </w:r>
      <w:r w:rsidRPr="00486F96">
        <w:t xml:space="preserve"> to the Issues Paper raised certain functions as being potentially suitable for self-regulation, and </w:t>
      </w:r>
      <w:r>
        <w:t>the Review</w:t>
      </w:r>
      <w:r w:rsidRPr="00486F96">
        <w:t xml:space="preserve"> consider</w:t>
      </w:r>
      <w:r>
        <w:t>s that</w:t>
      </w:r>
      <w:r w:rsidRPr="00486F96">
        <w:t xml:space="preserve"> the ACMA should </w:t>
      </w:r>
      <w:r>
        <w:t>explore whether there are opportunities for industry to self-regulate in areas such as technical regulation, number allocation and mature regulatory schemes such as the Do Not Call Register</w:t>
      </w:r>
      <w:r w:rsidRPr="00486F96">
        <w:t>.</w:t>
      </w:r>
    </w:p>
    <w:p w14:paraId="2D9737ED" w14:textId="1DA46FFD" w:rsidR="000F678C" w:rsidRPr="00486F96" w:rsidRDefault="00005E54" w:rsidP="000F678C">
      <w:r w:rsidRPr="00F8137F">
        <w:t xml:space="preserve">The Do Not Call </w:t>
      </w:r>
      <w:r w:rsidR="005D22C9">
        <w:t xml:space="preserve">Scheme involves rules applying to telemarketers to </w:t>
      </w:r>
      <w:r w:rsidRPr="00F8137F">
        <w:t>prevent</w:t>
      </w:r>
      <w:r w:rsidR="005D22C9">
        <w:t xml:space="preserve"> </w:t>
      </w:r>
      <w:r w:rsidRPr="00F8137F">
        <w:t>or limit unwanted contact for consumers</w:t>
      </w:r>
      <w:r w:rsidR="005D22C9">
        <w:t xml:space="preserve"> and a Register which allows Australians to ‘opt-out’ of certain telemarketing calls. The </w:t>
      </w:r>
      <w:r w:rsidR="000F678C" w:rsidRPr="007959E3">
        <w:t xml:space="preserve">Register is </w:t>
      </w:r>
      <w:r>
        <w:t xml:space="preserve">currently </w:t>
      </w:r>
      <w:r w:rsidR="000F678C" w:rsidRPr="007959E3">
        <w:t xml:space="preserve">run under contract with the ACMA managing not only the contract, but the cost-recovery fees, website and statistics. The </w:t>
      </w:r>
      <w:r w:rsidR="005D22C9">
        <w:t>Scheme</w:t>
      </w:r>
      <w:r w:rsidR="005D22C9" w:rsidRPr="007959E3">
        <w:t xml:space="preserve"> </w:t>
      </w:r>
      <w:r w:rsidR="000F678C" w:rsidRPr="007959E3">
        <w:t xml:space="preserve">has been in place since 2007 and is mature with high levels of industry compliance (three formal warnings and one infringement notice were issued in 2014). Complaints are handled by the register operator, with potential breaches passed to the ACMA for investigation. </w:t>
      </w:r>
      <w:r w:rsidR="005D22C9">
        <w:t>I</w:t>
      </w:r>
      <w:r w:rsidR="000F678C" w:rsidRPr="007959E3">
        <w:t>t seems likely that the function of managing the Register could be performed by industry, if a relevant coordinating body exists</w:t>
      </w:r>
      <w:r w:rsidR="005D22C9">
        <w:t>, with the ACMA retaining its regulatory role in the scheme</w:t>
      </w:r>
      <w:r w:rsidR="000F678C" w:rsidRPr="007959E3">
        <w:t>.</w:t>
      </w:r>
    </w:p>
    <w:p w14:paraId="1D493C9E" w14:textId="77777777" w:rsidR="000F678C" w:rsidRDefault="000F678C" w:rsidP="000F678C">
      <w:r w:rsidRPr="00486F96">
        <w:t xml:space="preserve">There are other technical regulation matters that may be able to be developed and self-regulated by industry. For example, the ACMA has powers under the Telecommunications Act to make technical standards, which could potentially be made by a representative industry body. </w:t>
      </w:r>
      <w:r>
        <w:t>Submissions considered that e</w:t>
      </w:r>
      <w:r w:rsidRPr="00486F96">
        <w:t xml:space="preserve">lements of spectrum technical coordination could potentially be managed by industry. </w:t>
      </w:r>
      <w:r w:rsidRPr="00A84F7B">
        <w:t xml:space="preserve">The Integrated Public Number Database </w:t>
      </w:r>
      <w:r w:rsidRPr="00656C05">
        <w:t>is currently run by Telstra under a licence condition</w:t>
      </w:r>
      <w:r w:rsidRPr="00A84F7B">
        <w:t xml:space="preserve"> established in 1997. This could potentially be run by industry more broadly.</w:t>
      </w:r>
    </w:p>
    <w:p w14:paraId="1DA731BF" w14:textId="01F6FA20" w:rsidR="000F678C" w:rsidRDefault="000F678C" w:rsidP="000F678C">
      <w:r>
        <w:t>The</w:t>
      </w:r>
      <w:r w:rsidRPr="00486F96">
        <w:t xml:space="preserve"> </w:t>
      </w:r>
      <w:r>
        <w:t xml:space="preserve">Review </w:t>
      </w:r>
      <w:r w:rsidRPr="00486F96">
        <w:t>consider</w:t>
      </w:r>
      <w:r>
        <w:t>s that</w:t>
      </w:r>
      <w:r w:rsidRPr="00486F96">
        <w:t xml:space="preserve"> the ACMA should </w:t>
      </w:r>
      <w:r>
        <w:t>explore further</w:t>
      </w:r>
      <w:r w:rsidRPr="00486F96">
        <w:t xml:space="preserve"> whether it could outsource certain functions, </w:t>
      </w:r>
      <w:r>
        <w:t>or parts of functions</w:t>
      </w:r>
      <w:r w:rsidRPr="00486F96">
        <w:t xml:space="preserve">, and report back to the Minister </w:t>
      </w:r>
      <w:r>
        <w:t xml:space="preserve">within twelve months </w:t>
      </w:r>
      <w:r w:rsidRPr="00486F96">
        <w:t xml:space="preserve">on any legislative or other impediments to doing </w:t>
      </w:r>
      <w:r>
        <w:t>this</w:t>
      </w:r>
      <w:r w:rsidRPr="00486F96">
        <w:t xml:space="preserve">. </w:t>
      </w:r>
      <w:r>
        <w:t xml:space="preserve">In addition, the ACMA should consider whether any of these arrangements could change and look more like self-regulation, thereby giving effect to a key theme of this </w:t>
      </w:r>
      <w:r w:rsidR="00955842">
        <w:t>R</w:t>
      </w:r>
      <w:r>
        <w:t>eview. This review of the administration and placement of these functions will</w:t>
      </w:r>
      <w:r w:rsidRPr="00486F96">
        <w:t xml:space="preserve"> have the additional benefit of increasing the ACMA’s capability to implement continuous review.</w:t>
      </w:r>
    </w:p>
    <w:p w14:paraId="322C36A4" w14:textId="77777777" w:rsidR="00F91883" w:rsidRDefault="00F91883" w:rsidP="00CB4DEF">
      <w:pPr>
        <w:pBdr>
          <w:top w:val="single" w:sz="4" w:space="1" w:color="auto"/>
          <w:left w:val="single" w:sz="4" w:space="1" w:color="auto"/>
          <w:bottom w:val="single" w:sz="4" w:space="1" w:color="auto"/>
          <w:right w:val="single" w:sz="4" w:space="1" w:color="auto"/>
        </w:pBdr>
        <w:shd w:val="clear" w:color="auto" w:fill="DEEAF6" w:themeFill="accent1" w:themeFillTint="33"/>
      </w:pPr>
      <w:r w:rsidRPr="007E71A7">
        <w:t>Draft proposal:</w:t>
      </w:r>
    </w:p>
    <w:p w14:paraId="65390BA4" w14:textId="74F85030" w:rsidR="00F91883" w:rsidRPr="007E71A7" w:rsidRDefault="00F91883" w:rsidP="00CB4DEF">
      <w:pPr>
        <w:pStyle w:val="ListParagraph"/>
        <w:numPr>
          <w:ilvl w:val="0"/>
          <w:numId w:val="38"/>
        </w:numPr>
        <w:pBdr>
          <w:top w:val="single" w:sz="4" w:space="1" w:color="auto"/>
          <w:left w:val="single" w:sz="4" w:space="1" w:color="auto"/>
          <w:bottom w:val="single" w:sz="4" w:space="1" w:color="auto"/>
          <w:right w:val="single" w:sz="4" w:space="1" w:color="auto"/>
        </w:pBdr>
        <w:shd w:val="clear" w:color="auto" w:fill="DEEAF6" w:themeFill="accent1" w:themeFillTint="33"/>
        <w:spacing w:after="120"/>
        <w:ind w:left="426" w:hanging="426"/>
      </w:pPr>
      <w:r w:rsidRPr="007E71A7">
        <w:t>That</w:t>
      </w:r>
      <w:r>
        <w:t>, within the next 12 months,</w:t>
      </w:r>
      <w:r w:rsidRPr="007E71A7">
        <w:t xml:space="preserve"> the ACMA examine whether </w:t>
      </w:r>
      <w:r>
        <w:t xml:space="preserve">some or all of </w:t>
      </w:r>
      <w:r w:rsidRPr="007E71A7">
        <w:t>the following functions can be referred to industry for self-regulation, in consultation with relevant industry bodies:</w:t>
      </w:r>
    </w:p>
    <w:p w14:paraId="58807927" w14:textId="77777777" w:rsidR="00F91883" w:rsidRPr="00F91883" w:rsidRDefault="00F91883" w:rsidP="00CB4DEF">
      <w:pPr>
        <w:pStyle w:val="Bulletlevel1"/>
        <w:pBdr>
          <w:top w:val="single" w:sz="4" w:space="1" w:color="auto"/>
          <w:left w:val="single" w:sz="4" w:space="1" w:color="auto"/>
          <w:bottom w:val="single" w:sz="4" w:space="1" w:color="auto"/>
          <w:right w:val="single" w:sz="4" w:space="1" w:color="auto"/>
        </w:pBdr>
        <w:shd w:val="clear" w:color="auto" w:fill="DEEAF6" w:themeFill="accent1" w:themeFillTint="33"/>
      </w:pPr>
      <w:r w:rsidRPr="00F91883">
        <w:t>technical standards;</w:t>
      </w:r>
    </w:p>
    <w:p w14:paraId="53B4C08F" w14:textId="77777777" w:rsidR="00F91883" w:rsidRPr="00F91883" w:rsidRDefault="00F91883" w:rsidP="00CB4DEF">
      <w:pPr>
        <w:pStyle w:val="Bulletlevel1"/>
        <w:pBdr>
          <w:top w:val="single" w:sz="4" w:space="1" w:color="auto"/>
          <w:left w:val="single" w:sz="4" w:space="1" w:color="auto"/>
          <w:bottom w:val="single" w:sz="4" w:space="1" w:color="auto"/>
          <w:right w:val="single" w:sz="4" w:space="1" w:color="auto"/>
        </w:pBdr>
        <w:shd w:val="clear" w:color="auto" w:fill="DEEAF6" w:themeFill="accent1" w:themeFillTint="33"/>
      </w:pPr>
      <w:r w:rsidRPr="00F91883">
        <w:t>Integrated Public Number Database;</w:t>
      </w:r>
    </w:p>
    <w:p w14:paraId="584BFD4C" w14:textId="77777777" w:rsidR="00F91883" w:rsidRPr="00F91883" w:rsidRDefault="00F91883" w:rsidP="00CB4DEF">
      <w:pPr>
        <w:pStyle w:val="Bulletlevel1"/>
        <w:pBdr>
          <w:top w:val="single" w:sz="4" w:space="1" w:color="auto"/>
          <w:left w:val="single" w:sz="4" w:space="1" w:color="auto"/>
          <w:bottom w:val="single" w:sz="4" w:space="1" w:color="auto"/>
          <w:right w:val="single" w:sz="4" w:space="1" w:color="auto"/>
        </w:pBdr>
        <w:shd w:val="clear" w:color="auto" w:fill="DEEAF6" w:themeFill="accent1" w:themeFillTint="33"/>
      </w:pPr>
      <w:r w:rsidRPr="00F91883">
        <w:t>Do Not Call Register;</w:t>
      </w:r>
    </w:p>
    <w:p w14:paraId="76413428" w14:textId="77777777" w:rsidR="00F91883" w:rsidRDefault="00F91883" w:rsidP="00CB4DEF">
      <w:pPr>
        <w:pStyle w:val="Bulletlevel1"/>
        <w:pBdr>
          <w:top w:val="single" w:sz="4" w:space="1" w:color="auto"/>
          <w:left w:val="single" w:sz="4" w:space="1" w:color="auto"/>
          <w:bottom w:val="single" w:sz="4" w:space="1" w:color="auto"/>
          <w:right w:val="single" w:sz="4" w:space="1" w:color="auto"/>
        </w:pBdr>
        <w:shd w:val="clear" w:color="auto" w:fill="DEEAF6" w:themeFill="accent1" w:themeFillTint="33"/>
      </w:pPr>
      <w:r w:rsidRPr="00F91883">
        <w:t>Action on</w:t>
      </w:r>
      <w:r>
        <w:t xml:space="preserve"> unsolicited communications, including Spam.</w:t>
      </w:r>
    </w:p>
    <w:p w14:paraId="3E7AE3C8" w14:textId="77777777" w:rsidR="000F678C" w:rsidRPr="00A1575E" w:rsidRDefault="000F678C" w:rsidP="00F91883">
      <w:pPr>
        <w:pStyle w:val="Heading3"/>
      </w:pPr>
      <w:bookmarkStart w:id="228" w:name="_Toc433813778"/>
      <w:bookmarkStart w:id="229" w:name="_Toc435112161"/>
      <w:bookmarkStart w:id="230" w:name="_Toc436923346"/>
      <w:bookmarkStart w:id="231" w:name="_Toc437440648"/>
      <w:bookmarkStart w:id="232" w:name="_Toc437528401"/>
      <w:bookmarkStart w:id="233" w:name="_Toc437594258"/>
      <w:bookmarkStart w:id="234" w:name="_Toc437599284"/>
      <w:bookmarkStart w:id="235" w:name="_Toc437600389"/>
      <w:bookmarkStart w:id="236" w:name="_Toc440536931"/>
      <w:bookmarkStart w:id="237" w:name="_Toc441743827"/>
      <w:bookmarkStart w:id="238" w:name="_Toc441744269"/>
      <w:bookmarkStart w:id="239" w:name="_Toc441845087"/>
      <w:bookmarkStart w:id="240" w:name="_Toc441847340"/>
      <w:bookmarkStart w:id="241" w:name="_Toc441848272"/>
      <w:bookmarkStart w:id="242" w:name="_Toc442107115"/>
      <w:bookmarkStart w:id="243" w:name="_Toc442108767"/>
      <w:bookmarkStart w:id="244" w:name="_Toc443038166"/>
      <w:bookmarkStart w:id="245" w:name="_Toc443043884"/>
      <w:bookmarkStart w:id="246" w:name="_Toc443052575"/>
      <w:bookmarkStart w:id="247" w:name="_Toc443054864"/>
      <w:bookmarkStart w:id="248" w:name="_Toc443307371"/>
      <w:bookmarkStart w:id="249" w:name="_Toc445810568"/>
      <w:bookmarkStart w:id="250" w:name="_Toc449432096"/>
      <w:bookmarkStart w:id="251" w:name="_Toc449438564"/>
      <w:bookmarkStart w:id="252" w:name="_Toc449619991"/>
      <w:bookmarkStart w:id="253" w:name="_Toc450310142"/>
      <w:r w:rsidRPr="00A1575E">
        <w:t xml:space="preserve">Functions </w:t>
      </w:r>
      <w:r>
        <w:t>which</w:t>
      </w:r>
      <w:r w:rsidRPr="00A1575E">
        <w:t xml:space="preserve"> could transfer to the ACMA</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0B81563D" w14:textId="6E720D21" w:rsidR="000F678C" w:rsidRDefault="000F678C" w:rsidP="000F678C">
      <w:r w:rsidRPr="0076466F">
        <w:t xml:space="preserve">The </w:t>
      </w:r>
      <w:r>
        <w:t>R</w:t>
      </w:r>
      <w:r w:rsidRPr="0076466F">
        <w:t xml:space="preserve">eview also </w:t>
      </w:r>
      <w:r>
        <w:t xml:space="preserve">considered </w:t>
      </w:r>
      <w:r w:rsidR="002E2A74">
        <w:t>whether</w:t>
      </w:r>
      <w:r>
        <w:t xml:space="preserve"> there are</w:t>
      </w:r>
      <w:r w:rsidRPr="0076466F">
        <w:t xml:space="preserve"> functions </w:t>
      </w:r>
      <w:r>
        <w:t xml:space="preserve">currently being administered outside the ACMA that fit within its future remit described above. </w:t>
      </w:r>
      <w:r w:rsidRPr="0076466F">
        <w:t xml:space="preserve">Content classification, for example, </w:t>
      </w:r>
      <w:r>
        <w:t>was</w:t>
      </w:r>
      <w:r w:rsidRPr="0076466F">
        <w:t xml:space="preserve"> discussed in the future regulatory regime section as an area where some operational functions could potentially be brought within the ACMA to facilitate ongoing reform.</w:t>
      </w:r>
    </w:p>
    <w:p w14:paraId="7BD608D2" w14:textId="77777777" w:rsidR="000F678C" w:rsidRPr="006D1268" w:rsidRDefault="000F678C" w:rsidP="00F91883">
      <w:pPr>
        <w:pStyle w:val="Heading4"/>
      </w:pPr>
      <w:bookmarkStart w:id="254" w:name="_Toc441845088"/>
      <w:bookmarkStart w:id="255" w:name="_Toc441847341"/>
      <w:bookmarkStart w:id="256" w:name="_Toc441848273"/>
      <w:bookmarkStart w:id="257" w:name="_Toc442107116"/>
      <w:bookmarkStart w:id="258" w:name="_Toc442108768"/>
      <w:bookmarkStart w:id="259" w:name="_Toc449619992"/>
      <w:bookmarkStart w:id="260" w:name="_Toc450310143"/>
      <w:r w:rsidRPr="006D1268">
        <w:t>Classification</w:t>
      </w:r>
      <w:bookmarkEnd w:id="254"/>
      <w:bookmarkEnd w:id="255"/>
      <w:bookmarkEnd w:id="256"/>
      <w:bookmarkEnd w:id="257"/>
      <w:bookmarkEnd w:id="258"/>
      <w:bookmarkEnd w:id="259"/>
      <w:bookmarkEnd w:id="260"/>
    </w:p>
    <w:p w14:paraId="5D1D5600" w14:textId="6325A50A" w:rsidR="00EB2B81" w:rsidRDefault="000F678C" w:rsidP="000F678C">
      <w:r>
        <w:t xml:space="preserve">The Classification Board is an independent statutory body established under the </w:t>
      </w:r>
      <w:r>
        <w:rPr>
          <w:i/>
          <w:iCs/>
        </w:rPr>
        <w:t>Classification (Publications, Films and Computer Games) Act 1995</w:t>
      </w:r>
      <w:r>
        <w:t>. It is responsible for classifying films, computer games and certain publications for exhibition, sale or hire in Australia</w:t>
      </w:r>
      <w:r w:rsidRPr="002E28E6">
        <w:t>. This national scheme is complemented by state and territory enforcement legislation.</w:t>
      </w:r>
      <w:r>
        <w:t xml:space="preserve"> The Classification Board also decides what consumer advice will accompany each classification decision. In doing so, the Board is required to reflect contemporary community standards. The Board’s classification decisions and consumer advice help consumers make informed choices about what they and their children read, view and play. Decisions of the Board are trusted by consumers</w:t>
      </w:r>
      <w:r w:rsidR="001A3923">
        <w:t>,</w:t>
      </w:r>
      <w:r>
        <w:t xml:space="preserve"> who value the independence </w:t>
      </w:r>
      <w:r w:rsidR="001A3923">
        <w:t xml:space="preserve">and consistency </w:t>
      </w:r>
      <w:r>
        <w:t xml:space="preserve">of </w:t>
      </w:r>
      <w:r w:rsidR="006D3E19">
        <w:t xml:space="preserve">its </w:t>
      </w:r>
      <w:r>
        <w:t>decision</w:t>
      </w:r>
      <w:r w:rsidR="001A3923">
        <w:t>-</w:t>
      </w:r>
      <w:r>
        <w:t>making. Decisions of the Classification Board may be reviewed by the Classification Review Board, a separate independent statutory body.</w:t>
      </w:r>
    </w:p>
    <w:p w14:paraId="497925A0" w14:textId="77777777" w:rsidR="000F678C" w:rsidRDefault="000F678C" w:rsidP="000F678C">
      <w:r>
        <w:t>The Classification Board and Classification Review Board are supported by the Classification Branch of the Department of Communications and the Arts. The Classification Branch provides secretariat and operational support to the Classification Board and conducts training for board members, government and industry. The Branch also undertakes research and provides policy advice to the Minister for Communications on classification issues and the National Classification Scheme.</w:t>
      </w:r>
    </w:p>
    <w:p w14:paraId="47A54CFB" w14:textId="77777777" w:rsidR="000F678C" w:rsidRDefault="000F678C" w:rsidP="000F678C">
      <w:r w:rsidRPr="00446497">
        <w:t>Content classification in Australia is highly fragmented and responsibility for regulation is split across the Classification Board, the ACMA, the Children’s eSafety Commissioner and state and territory law enforcement</w:t>
      </w:r>
      <w:r>
        <w:t xml:space="preserve"> bodies</w:t>
      </w:r>
      <w:r w:rsidRPr="00446497">
        <w:t>. For example, while films exhibited in cinemas and released on DVD are classified by the Classification Board, the same content, if broadcast on television, is classified under industry codes administered by the ACMA. There is also regulatory duplication with respect to online films and computer games, which fall under the responsibility of both the Classification Board and the Children’s eSafety Commissioner.</w:t>
      </w:r>
    </w:p>
    <w:p w14:paraId="2B871B91" w14:textId="36396A2B" w:rsidR="000F678C" w:rsidRPr="00446497" w:rsidRDefault="000F678C" w:rsidP="000F678C">
      <w:r w:rsidRPr="00446497">
        <w:t>The internet and media convergence ha</w:t>
      </w:r>
      <w:r w:rsidR="00B010E8">
        <w:t>ve</w:t>
      </w:r>
      <w:r w:rsidRPr="00446497">
        <w:t xml:space="preserve"> eroded the traditional barriers between content delivery platforms to such an extent that the current fragmented approach to classification is no longer feasible. The existing platform-based regulatory environment is leading to confusion and inefficient ‘double-handling’ of media, creating barriers for industry innovation and the delivery of content to consumers. These challenges are expected to increase as the media landscape and content-delivery technologies continue to evolve.</w:t>
      </w:r>
    </w:p>
    <w:p w14:paraId="7939501B" w14:textId="77777777" w:rsidR="000F678C" w:rsidRDefault="000F678C" w:rsidP="000F678C">
      <w:r w:rsidRPr="00446497">
        <w:t xml:space="preserve">In 2012, the Australian Law Reform Commission (ALRC) published the report </w:t>
      </w:r>
      <w:r w:rsidRPr="00446497">
        <w:rPr>
          <w:i/>
        </w:rPr>
        <w:t>Classification—Content Regulation and Convergent Media</w:t>
      </w:r>
      <w:r w:rsidRPr="00446497">
        <w:t>, which recognised the need for a new classification framework that is responsive to</w:t>
      </w:r>
      <w:r>
        <w:t xml:space="preserve"> technological change and focus</w:t>
      </w:r>
      <w:r w:rsidRPr="00446497">
        <w:t>ed on content rather than platform. The ALRC recommended a single Commonwealth scheme for classifying content across all platforms. The ALRC also noted that there should be a greater role for industry</w:t>
      </w:r>
      <w:r>
        <w:t>.</w:t>
      </w:r>
    </w:p>
    <w:p w14:paraId="7AA0C70F" w14:textId="27526EF9" w:rsidR="00276342" w:rsidRDefault="000F678C" w:rsidP="000F678C">
      <w:r w:rsidRPr="007C741D">
        <w:t xml:space="preserve">The ACMA </w:t>
      </w:r>
      <w:r>
        <w:t>would be</w:t>
      </w:r>
      <w:r w:rsidRPr="007C741D">
        <w:t xml:space="preserve"> well placed to </w:t>
      </w:r>
      <w:r>
        <w:t>administer a</w:t>
      </w:r>
      <w:r w:rsidRPr="007C741D">
        <w:t xml:space="preserve"> harmonise</w:t>
      </w:r>
      <w:r>
        <w:t>d</w:t>
      </w:r>
      <w:r w:rsidRPr="007C741D">
        <w:t xml:space="preserve"> classification </w:t>
      </w:r>
      <w:r>
        <w:t>scheme, including associated</w:t>
      </w:r>
      <w:r w:rsidRPr="007C741D">
        <w:t xml:space="preserve"> industry self-classif</w:t>
      </w:r>
      <w:r>
        <w:t>ication arrangements</w:t>
      </w:r>
      <w:r w:rsidRPr="007C741D">
        <w:t xml:space="preserve"> and electronic classification </w:t>
      </w:r>
      <w:r>
        <w:t>tools</w:t>
      </w:r>
      <w:r w:rsidRPr="007C741D">
        <w:t>.</w:t>
      </w:r>
      <w:r>
        <w:t xml:space="preserve"> This would unite</w:t>
      </w:r>
      <w:r w:rsidRPr="007C741D">
        <w:t xml:space="preserve"> online and offline classification functions </w:t>
      </w:r>
      <w:r>
        <w:t>within a modernised classification scheme for the benefit of consumer</w:t>
      </w:r>
      <w:r w:rsidR="006D3E19">
        <w:t>s</w:t>
      </w:r>
      <w:r>
        <w:t xml:space="preserve"> and industry. The </w:t>
      </w:r>
      <w:r w:rsidRPr="007C741D">
        <w:t>ACMA</w:t>
      </w:r>
      <w:r>
        <w:t>’s</w:t>
      </w:r>
      <w:r w:rsidRPr="007C741D">
        <w:t xml:space="preserve"> background and knowledge of the </w:t>
      </w:r>
      <w:r>
        <w:t xml:space="preserve">broadcast and online </w:t>
      </w:r>
      <w:r w:rsidRPr="007C741D">
        <w:t xml:space="preserve">communications and media </w:t>
      </w:r>
      <w:r>
        <w:t xml:space="preserve">sectors, together with the existing expertise in the classification function for films and computer games, can be leveraged to meet the challenges of a converged media environment. This could include taking on the functions of classification currently performed by the Classification Board and the Classification Review Board, </w:t>
      </w:r>
      <w:r w:rsidRPr="002E28E6">
        <w:t>in consultation with</w:t>
      </w:r>
      <w:r w:rsidR="008C5BDD">
        <w:t xml:space="preserve"> the</w:t>
      </w:r>
      <w:r w:rsidRPr="002E28E6">
        <w:t xml:space="preserve"> States and Territories.</w:t>
      </w:r>
      <w:r w:rsidR="00276342" w:rsidRPr="00276342">
        <w:t xml:space="preserve"> </w:t>
      </w:r>
    </w:p>
    <w:p w14:paraId="26C3121F" w14:textId="65F8A826" w:rsidR="00EB2B81" w:rsidRDefault="00276342" w:rsidP="000F678C">
      <w:r>
        <w:t>The Department will consult further with consumer, industry and government stakeholders to determine what a modernised scheme should look like. This would recognise the importance to the community</w:t>
      </w:r>
      <w:r w:rsidRPr="00DC3084">
        <w:t xml:space="preserve"> </w:t>
      </w:r>
      <w:r>
        <w:t>of maintaining community safeguards, such as independence from government, transparency and consistency in classification decision</w:t>
      </w:r>
      <w:r w:rsidR="00107479">
        <w:t>-</w:t>
      </w:r>
      <w:r>
        <w:t>making while considering what and how content should be effectively classified in the future.</w:t>
      </w:r>
    </w:p>
    <w:p w14:paraId="3EE5630F" w14:textId="77777777" w:rsidR="00F91883" w:rsidRDefault="00F91883" w:rsidP="00CB4DEF">
      <w:pPr>
        <w:pBdr>
          <w:top w:val="single" w:sz="4" w:space="1" w:color="auto"/>
          <w:left w:val="single" w:sz="4" w:space="4" w:color="auto"/>
          <w:bottom w:val="single" w:sz="4" w:space="1" w:color="auto"/>
          <w:right w:val="single" w:sz="4" w:space="4" w:color="auto"/>
        </w:pBdr>
        <w:shd w:val="clear" w:color="auto" w:fill="DEEAF6" w:themeFill="accent1" w:themeFillTint="33"/>
      </w:pPr>
      <w:r w:rsidRPr="007E71A7">
        <w:t>Draft proposal:</w:t>
      </w:r>
    </w:p>
    <w:p w14:paraId="0115FCF6" w14:textId="3DDC9575" w:rsidR="00F91883" w:rsidRDefault="00F91883" w:rsidP="00CB4DEF">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DEEAF6" w:themeFill="accent1" w:themeFillTint="33"/>
        <w:tabs>
          <w:tab w:val="left" w:pos="567"/>
        </w:tabs>
        <w:spacing w:line="276" w:lineRule="auto"/>
        <w:ind w:left="567" w:hanging="567"/>
      </w:pPr>
      <w:r>
        <w:t>That the Department will undertake further work on the potential to expand the ACMA’s remit to include the functions of the Classification Board and Classification Review Board Scheme.</w:t>
      </w:r>
    </w:p>
    <w:p w14:paraId="439619EC" w14:textId="77777777" w:rsidR="000F678C" w:rsidRDefault="000F678C" w:rsidP="009021CF">
      <w:pPr>
        <w:pStyle w:val="Heading4"/>
      </w:pPr>
      <w:bookmarkStart w:id="261" w:name="_Toc449619993"/>
      <w:bookmarkStart w:id="262" w:name="_Toc450310144"/>
      <w:r w:rsidRPr="00A1575E">
        <w:t>Interactive Gambling Act</w:t>
      </w:r>
      <w:bookmarkEnd w:id="261"/>
      <w:bookmarkEnd w:id="262"/>
    </w:p>
    <w:p w14:paraId="706D412F" w14:textId="77777777" w:rsidR="000F678C" w:rsidRDefault="000F678C" w:rsidP="000F678C">
      <w:r w:rsidRPr="0076466F">
        <w:t xml:space="preserve">There are a number of issues relating to compliance and enforcement of the </w:t>
      </w:r>
      <w:r w:rsidRPr="0076466F">
        <w:rPr>
          <w:i/>
        </w:rPr>
        <w:t>Interactive Gambling Act 2001</w:t>
      </w:r>
      <w:r w:rsidRPr="0076466F">
        <w:t xml:space="preserve"> (the IGA).</w:t>
      </w:r>
    </w:p>
    <w:p w14:paraId="2A6A9433" w14:textId="77777777" w:rsidR="000F678C" w:rsidRPr="0076466F" w:rsidRDefault="000F678C" w:rsidP="000F678C">
      <w:r w:rsidRPr="0076466F">
        <w:t>The IGA contains a complaint mechanism for reporting prohibited interactive gambling services to the ACMA but is silent on who should handle complaints relating to the advertising of such services. Consequently, the Department of Communications and the Arts handles these complaints. Both types of complaints are referred to the AFP, which has indicated it would prefer to deal with referrals from one agency.</w:t>
      </w:r>
    </w:p>
    <w:p w14:paraId="55C42033" w14:textId="77777777" w:rsidR="000F678C" w:rsidRDefault="000F678C" w:rsidP="000F678C">
      <w:r>
        <w:t>Regarding</w:t>
      </w:r>
      <w:r w:rsidRPr="0076466F">
        <w:t xml:space="preserve"> </w:t>
      </w:r>
      <w:r>
        <w:t xml:space="preserve">IGA </w:t>
      </w:r>
      <w:r w:rsidRPr="0076466F">
        <w:t>investigations, if the content is hosted in Australia, the ACMA refers the content to the AFP. If the content is hosted overseas, the ACMA investigates the complaint and then refers the URL to the AFP and accredited internet filter providers. This inconsistent approach is confusing.</w:t>
      </w:r>
    </w:p>
    <w:p w14:paraId="60141CCB" w14:textId="77777777" w:rsidR="00EB2B81" w:rsidRDefault="000F678C" w:rsidP="000F678C">
      <w:r>
        <w:t>Separately</w:t>
      </w:r>
      <w:r w:rsidRPr="0076466F">
        <w:t xml:space="preserve">, </w:t>
      </w:r>
      <w:r>
        <w:t>in the course of our analysis</w:t>
      </w:r>
      <w:r w:rsidRPr="0076466F">
        <w:t xml:space="preserve"> </w:t>
      </w:r>
      <w:r>
        <w:t>the Review</w:t>
      </w:r>
      <w:r w:rsidRPr="0076466F">
        <w:t xml:space="preserve"> </w:t>
      </w:r>
      <w:r>
        <w:t xml:space="preserve">identified that the Department’s </w:t>
      </w:r>
      <w:r w:rsidRPr="0076466F">
        <w:t xml:space="preserve">2012 </w:t>
      </w:r>
      <w:r>
        <w:t>r</w:t>
      </w:r>
      <w:r w:rsidRPr="0076466F">
        <w:t xml:space="preserve">eview of the IGA recommended civil penalties and other enforcement measures be introduced </w:t>
      </w:r>
      <w:r>
        <w:t>and</w:t>
      </w:r>
      <w:r w:rsidRPr="0076466F">
        <w:t xml:space="preserve"> operate in addition to the existing criminal penalties</w:t>
      </w:r>
      <w:r>
        <w:t xml:space="preserve">. The Review </w:t>
      </w:r>
      <w:r w:rsidRPr="0076466F">
        <w:t>consider</w:t>
      </w:r>
      <w:r>
        <w:t>s that</w:t>
      </w:r>
      <w:r w:rsidRPr="0076466F">
        <w:t xml:space="preserve"> enforcement of the </w:t>
      </w:r>
      <w:r>
        <w:t xml:space="preserve">interactive gambling </w:t>
      </w:r>
      <w:r w:rsidRPr="0076466F">
        <w:t>regime could be strengthened</w:t>
      </w:r>
      <w:r>
        <w:t xml:space="preserve"> if these recommendations were implemented.</w:t>
      </w:r>
    </w:p>
    <w:p w14:paraId="7EA17088" w14:textId="77777777" w:rsidR="000F678C" w:rsidRDefault="000F678C" w:rsidP="000F678C">
      <w:r>
        <w:t xml:space="preserve">On 7 September 2015 the Government announced a </w:t>
      </w:r>
      <w:r w:rsidRPr="0076466F">
        <w:t>Review of the Impact of Illegal Offshore Wagering</w:t>
      </w:r>
      <w:r>
        <w:t xml:space="preserve"> which is also considering methods to strengthen enforcement of the IGA</w:t>
      </w:r>
      <w:r w:rsidRPr="0076466F">
        <w:t xml:space="preserve">. </w:t>
      </w:r>
      <w:r>
        <w:t xml:space="preserve">The Department has consulted with the </w:t>
      </w:r>
      <w:r w:rsidRPr="0076466F">
        <w:t>Review of the Impact of Illegal Offshore Wagering</w:t>
      </w:r>
      <w:r>
        <w:t xml:space="preserve"> which is also considering enforcement measures</w:t>
      </w:r>
      <w:r w:rsidRPr="0076466F">
        <w:t>.</w:t>
      </w:r>
    </w:p>
    <w:p w14:paraId="12671AFA" w14:textId="77777777" w:rsidR="00F91883" w:rsidRDefault="00F91883" w:rsidP="008C5BDD">
      <w:pPr>
        <w:pBdr>
          <w:top w:val="single" w:sz="4" w:space="1" w:color="auto"/>
          <w:left w:val="single" w:sz="4" w:space="1" w:color="auto"/>
          <w:bottom w:val="single" w:sz="4" w:space="1" w:color="auto"/>
          <w:right w:val="single" w:sz="4" w:space="1" w:color="auto"/>
        </w:pBdr>
        <w:shd w:val="clear" w:color="auto" w:fill="DEEAF6" w:themeFill="accent1" w:themeFillTint="33"/>
      </w:pPr>
      <w:r w:rsidRPr="0087248E">
        <w:t>Draft proposal:</w:t>
      </w:r>
    </w:p>
    <w:p w14:paraId="1882AF2E" w14:textId="0B89F5C1" w:rsidR="00F91883" w:rsidRPr="0087248E" w:rsidRDefault="00F91883" w:rsidP="00CB4DEF">
      <w:pPr>
        <w:pStyle w:val="ListParagraph"/>
        <w:numPr>
          <w:ilvl w:val="0"/>
          <w:numId w:val="13"/>
        </w:numPr>
        <w:pBdr>
          <w:top w:val="single" w:sz="4" w:space="1" w:color="auto"/>
          <w:left w:val="single" w:sz="4" w:space="1" w:color="auto"/>
          <w:bottom w:val="single" w:sz="4" w:space="1" w:color="auto"/>
          <w:right w:val="single" w:sz="4" w:space="1" w:color="auto"/>
        </w:pBdr>
        <w:shd w:val="clear" w:color="auto" w:fill="DEEAF6" w:themeFill="accent1" w:themeFillTint="33"/>
        <w:spacing w:after="120"/>
      </w:pPr>
      <w:r w:rsidRPr="0087248E">
        <w:t xml:space="preserve">That the </w:t>
      </w:r>
      <w:r w:rsidRPr="00947649">
        <w:rPr>
          <w:i/>
        </w:rPr>
        <w:t>Interactive Gambling Act 2001</w:t>
      </w:r>
      <w:r w:rsidRPr="0076466F">
        <w:t xml:space="preserve"> </w:t>
      </w:r>
      <w:r w:rsidRPr="0087248E">
        <w:t xml:space="preserve">be amended to require </w:t>
      </w:r>
      <w:r>
        <w:t xml:space="preserve">the </w:t>
      </w:r>
      <w:r w:rsidRPr="0087248E">
        <w:t>ACMA to:</w:t>
      </w:r>
    </w:p>
    <w:p w14:paraId="688740B0" w14:textId="77777777" w:rsidR="00F91883" w:rsidRPr="0087248E" w:rsidRDefault="00F91883" w:rsidP="008C5BDD">
      <w:pPr>
        <w:pStyle w:val="Bulletlevel1"/>
        <w:pBdr>
          <w:top w:val="single" w:sz="4" w:space="1" w:color="auto"/>
          <w:left w:val="single" w:sz="4" w:space="1" w:color="auto"/>
          <w:bottom w:val="single" w:sz="4" w:space="1" w:color="auto"/>
          <w:right w:val="single" w:sz="4" w:space="1" w:color="auto"/>
        </w:pBdr>
        <w:shd w:val="clear" w:color="auto" w:fill="DEEAF6" w:themeFill="accent1" w:themeFillTint="33"/>
      </w:pPr>
      <w:r w:rsidRPr="0087248E">
        <w:t>Handle all complaints relating to interactive gambling services and advertisement</w:t>
      </w:r>
      <w:r>
        <w:t>s;</w:t>
      </w:r>
    </w:p>
    <w:p w14:paraId="27C99CFF" w14:textId="77777777" w:rsidR="00F91883" w:rsidRPr="0087248E" w:rsidRDefault="00F91883" w:rsidP="008C5BDD">
      <w:pPr>
        <w:pStyle w:val="Bulletlevel1"/>
        <w:pBdr>
          <w:top w:val="single" w:sz="4" w:space="1" w:color="auto"/>
          <w:left w:val="single" w:sz="4" w:space="1" w:color="auto"/>
          <w:bottom w:val="single" w:sz="4" w:space="1" w:color="auto"/>
          <w:right w:val="single" w:sz="4" w:space="1" w:color="auto"/>
        </w:pBdr>
        <w:shd w:val="clear" w:color="auto" w:fill="DEEAF6" w:themeFill="accent1" w:themeFillTint="33"/>
      </w:pPr>
      <w:r w:rsidRPr="0087248E">
        <w:t>Conduct the same investigation process irrespective of whether the content is hosted in Australia or overseas</w:t>
      </w:r>
      <w:r>
        <w:t>; and</w:t>
      </w:r>
    </w:p>
    <w:p w14:paraId="7C989C2E" w14:textId="77777777" w:rsidR="00F91883" w:rsidRPr="0087248E" w:rsidRDefault="00F91883" w:rsidP="008C5BDD">
      <w:pPr>
        <w:pStyle w:val="Bulletlevel1"/>
        <w:pBdr>
          <w:top w:val="single" w:sz="4" w:space="1" w:color="auto"/>
          <w:left w:val="single" w:sz="4" w:space="1" w:color="auto"/>
          <w:bottom w:val="single" w:sz="4" w:space="1" w:color="auto"/>
          <w:right w:val="single" w:sz="4" w:space="1" w:color="auto"/>
        </w:pBdr>
        <w:shd w:val="clear" w:color="auto" w:fill="DEEAF6" w:themeFill="accent1" w:themeFillTint="33"/>
      </w:pPr>
      <w:r>
        <w:t>Enforce civil penalties for breaches of the Act.</w:t>
      </w:r>
    </w:p>
    <w:p w14:paraId="456053DD" w14:textId="77777777" w:rsidR="000F678C" w:rsidRPr="00A1575E" w:rsidRDefault="000F678C" w:rsidP="009021CF">
      <w:pPr>
        <w:pStyle w:val="Heading4"/>
      </w:pPr>
      <w:bookmarkStart w:id="263" w:name="_Toc449619994"/>
      <w:bookmarkStart w:id="264" w:name="_Toc450310145"/>
      <w:r w:rsidRPr="00A1575E">
        <w:t>Economic regulation</w:t>
      </w:r>
      <w:bookmarkEnd w:id="263"/>
      <w:bookmarkEnd w:id="264"/>
    </w:p>
    <w:p w14:paraId="1B7E1277" w14:textId="77777777" w:rsidR="000F678C" w:rsidRDefault="000F678C" w:rsidP="000F678C">
      <w:r w:rsidRPr="006A13DE">
        <w:t xml:space="preserve">A review of the ACMA inevitably raises the issue of the proper home for economic regulation of the communications sector. The </w:t>
      </w:r>
      <w:r>
        <w:t>R</w:t>
      </w:r>
      <w:r w:rsidRPr="006A13DE">
        <w:t>eview’s Issues Paper sought comment on whether the characteristics of the communications sector mean a sector-specific regulator should be responsible for most aspects of industry regulation including economic regulation</w:t>
      </w:r>
      <w:r>
        <w:t xml:space="preserve"> as is done by the Office of Communications (Ofcom) in the United Kingdom.</w:t>
      </w:r>
    </w:p>
    <w:p w14:paraId="4E971627" w14:textId="77777777" w:rsidR="000F678C" w:rsidRDefault="000F678C" w:rsidP="000F678C">
      <w:r w:rsidRPr="006A13DE">
        <w:t xml:space="preserve">Prior to the 1997 telecommunications reforms, Australia had an industry-specific regulator in the Australian Telecommunications Authority (AUSTEL). The reforms merged AUSTEL with the Spectrum Management Agency to become the Australian Communications Authority and its access and pricing functions were moved to the ACCC in light of the </w:t>
      </w:r>
      <w:r>
        <w:t>National Competition Policy Review (1993) (the Hilmer R</w:t>
      </w:r>
      <w:r w:rsidRPr="006A13DE">
        <w:t>eview</w:t>
      </w:r>
      <w:r>
        <w:t>)</w:t>
      </w:r>
      <w:r w:rsidRPr="006A13DE">
        <w:t xml:space="preserve">. The rationale for centralisation was that it would allow the ACCC to develop expertise in access pricing issues across sectors and apply knowledge and experience gained in one industry sector to another. </w:t>
      </w:r>
      <w:r>
        <w:t>In addition, consistency across regulated industries (generally network industries) was thought to reduce investment distortion (where capital would move to the least regulated industry) and would increase allocative efficiency and productivity.</w:t>
      </w:r>
    </w:p>
    <w:p w14:paraId="1539B57B" w14:textId="77777777" w:rsidR="00EB2B81" w:rsidRDefault="000F678C" w:rsidP="000F678C">
      <w:r>
        <w:t xml:space="preserve">Despite this, it was considered that sufficient justification existed to develop telecommunications-specific competition provisions under the </w:t>
      </w:r>
      <w:r w:rsidRPr="00D44043">
        <w:rPr>
          <w:i/>
        </w:rPr>
        <w:t>Competition and Consumer Act 2010</w:t>
      </w:r>
      <w:r>
        <w:t xml:space="preserve"> (CCA, formerly the </w:t>
      </w:r>
      <w:r w:rsidRPr="00F66132">
        <w:rPr>
          <w:i/>
        </w:rPr>
        <w:t>Trade Practices Act 1974</w:t>
      </w:r>
      <w:r>
        <w:t>) in addition to the economy-wide essential infrastructure access provisions under Part IIIA.</w:t>
      </w:r>
      <w:r>
        <w:rPr>
          <w:rStyle w:val="FootnoteReference"/>
        </w:rPr>
        <w:footnoteReference w:id="42"/>
      </w:r>
      <w:r>
        <w:t xml:space="preserve"> This was due to the industry being characterised by “the tension between industry participants needing to compete vigorously while simultaneously co-operating to ensure the seamless functioning of the telecommunications network as a whole.”</w:t>
      </w:r>
      <w:r>
        <w:rPr>
          <w:rStyle w:val="FootnoteReference"/>
        </w:rPr>
        <w:footnoteReference w:id="43"/>
      </w:r>
      <w:r>
        <w:t xml:space="preserve"> It also stemmed from the strong residual market position of the incumbent vertically-integrated telecommunications provider, Telstra. Compared with Part IIIA, the telecommunications access regime is quite specific, and this reflects the often competing objectives of promoting competition, ensuring any-to-any connectivity and encouraging efficient investment in and use of telecommunications infrastructure.</w:t>
      </w:r>
    </w:p>
    <w:p w14:paraId="61F3E4F5" w14:textId="284DBDBC" w:rsidR="000F678C" w:rsidRDefault="000F678C" w:rsidP="000F678C">
      <w:r>
        <w:t xml:space="preserve">The framework for communications competition regulation is primarily contained in the CCA. The ACCC administers the communications access regime contained in Part XIC of that Act (and the digital radio access regime under the </w:t>
      </w:r>
      <w:r w:rsidRPr="00D44043">
        <w:rPr>
          <w:i/>
        </w:rPr>
        <w:t>Radiocommunications Act 1992</w:t>
      </w:r>
      <w:r>
        <w:t xml:space="preserve">) and regulates anti-competitive conduct under the telecommunications-specific Part XIB. The ACCC has responsibility for the level playing field rules under the </w:t>
      </w:r>
      <w:r w:rsidRPr="00045238">
        <w:rPr>
          <w:i/>
        </w:rPr>
        <w:t>Telecommunications Act 1997</w:t>
      </w:r>
      <w:r>
        <w:t xml:space="preserve"> and </w:t>
      </w:r>
      <w:r w:rsidR="0020342E">
        <w:t>nbn</w:t>
      </w:r>
      <w:r>
        <w:t xml:space="preserve">’s wholesale-only obligations under the </w:t>
      </w:r>
      <w:r w:rsidRPr="006B216E">
        <w:rPr>
          <w:i/>
        </w:rPr>
        <w:t>National Broadband Network Companies Act 2011</w:t>
      </w:r>
      <w:r>
        <w:t>. It also administers general competition laws relating to anti-competitive conduct, mergers, restrictive trade practices and consumer protection as set out in the Australian Consumer Law.</w:t>
      </w:r>
      <w:r>
        <w:rPr>
          <w:rStyle w:val="FootnoteReference"/>
        </w:rPr>
        <w:footnoteReference w:id="44"/>
      </w:r>
    </w:p>
    <w:p w14:paraId="10CDC005" w14:textId="77777777" w:rsidR="00A7161F" w:rsidRDefault="000F678C" w:rsidP="000F678C">
      <w:r w:rsidRPr="00D44043">
        <w:t xml:space="preserve">The ACCC is also responsible for </w:t>
      </w:r>
      <w:r>
        <w:t xml:space="preserve">administering other industry-specific legislation under the </w:t>
      </w:r>
      <w:r w:rsidRPr="00045238">
        <w:t>Telecommunications Act</w:t>
      </w:r>
      <w:r w:rsidRPr="006B216E">
        <w:t xml:space="preserve"> </w:t>
      </w:r>
      <w:r>
        <w:t xml:space="preserve">and related legislation, including in relation to aspects of pre-selection and number portability, and access to network, service and physical infrastructure (facilities access). </w:t>
      </w:r>
    </w:p>
    <w:p w14:paraId="6C381A70" w14:textId="582A789A" w:rsidR="00EB2B81" w:rsidRDefault="000F678C" w:rsidP="000F678C">
      <w:r>
        <w:t>The ACCC also has a number of consultative roles in relation to industry codes and spectrum allocation.</w:t>
      </w:r>
      <w:r>
        <w:rPr>
          <w:rStyle w:val="FootnoteReference"/>
        </w:rPr>
        <w:footnoteReference w:id="45"/>
      </w:r>
      <w:r w:rsidR="00A7161F">
        <w:t xml:space="preserve"> For example, t</w:t>
      </w:r>
      <w:r w:rsidR="004F2DD4" w:rsidRPr="004F2DD4">
        <w:t xml:space="preserve">he </w:t>
      </w:r>
      <w:r w:rsidR="004F2DD4" w:rsidRPr="00196FD5">
        <w:rPr>
          <w:i/>
        </w:rPr>
        <w:t>Radiocommunications Act 1992</w:t>
      </w:r>
      <w:r w:rsidR="004F2DD4" w:rsidRPr="004F2DD4">
        <w:t xml:space="preserve"> </w:t>
      </w:r>
      <w:r w:rsidR="004F2DD4">
        <w:t>currently provides for the setting of</w:t>
      </w:r>
      <w:r w:rsidR="004F2DD4" w:rsidRPr="004F2DD4">
        <w:t xml:space="preserve"> limits </w:t>
      </w:r>
      <w:r w:rsidR="00276342">
        <w:t xml:space="preserve">by the ACMA </w:t>
      </w:r>
      <w:r w:rsidR="004F2DD4" w:rsidRPr="004F2DD4">
        <w:t xml:space="preserve">(commonly referred to as competition limits) to be imposed at the time a spectrum or apparatus licence is issued. </w:t>
      </w:r>
      <w:r w:rsidR="000A2A4A">
        <w:t xml:space="preserve">Changes to </w:t>
      </w:r>
      <w:r w:rsidR="00276342">
        <w:t>streamline the</w:t>
      </w:r>
      <w:r w:rsidR="000A2A4A">
        <w:t xml:space="preserve"> power to set competition limits</w:t>
      </w:r>
      <w:r w:rsidR="008354ED">
        <w:t xml:space="preserve"> </w:t>
      </w:r>
      <w:r w:rsidR="000A2A4A">
        <w:t xml:space="preserve">are currently being considered as part of the </w:t>
      </w:r>
      <w:r w:rsidR="00C55864">
        <w:t>Spectrum Review</w:t>
      </w:r>
      <w:r w:rsidR="000A2A4A">
        <w:t>.</w:t>
      </w:r>
    </w:p>
    <w:p w14:paraId="298A7307" w14:textId="77777777" w:rsidR="000F678C" w:rsidRPr="00F66279" w:rsidRDefault="000F678C" w:rsidP="009021CF">
      <w:pPr>
        <w:pStyle w:val="Heading5"/>
      </w:pPr>
      <w:r w:rsidRPr="00F66279">
        <w:t>Submissions</w:t>
      </w:r>
    </w:p>
    <w:p w14:paraId="3F6BA3B7" w14:textId="77777777" w:rsidR="000F678C" w:rsidRDefault="000F678C" w:rsidP="000F678C">
      <w:r w:rsidRPr="00E230FC">
        <w:t>Submissions to the Issues Paper contained a range of views</w:t>
      </w:r>
      <w:r>
        <w:t xml:space="preserve"> on where communications economic regulation should sit</w:t>
      </w:r>
      <w:r w:rsidRPr="00E230FC">
        <w:t>.</w:t>
      </w:r>
    </w:p>
    <w:p w14:paraId="1F748AF5" w14:textId="77777777" w:rsidR="000F678C" w:rsidRDefault="000F678C" w:rsidP="00EB2B81">
      <w:pPr>
        <w:pStyle w:val="Bulletlevel1"/>
      </w:pPr>
      <w:r w:rsidRPr="00CA44EE">
        <w:t>Telstra argued that moving access and competition functions from the ACCC to the ACMA would result in overlap and inefficiency between the two regulators. Further, it argued it would lead to competition issues being considered by two regulators.</w:t>
      </w:r>
      <w:r w:rsidRPr="00E230FC">
        <w:rPr>
          <w:vertAlign w:val="superscript"/>
        </w:rPr>
        <w:footnoteReference w:id="46"/>
      </w:r>
    </w:p>
    <w:p w14:paraId="5503ACEC" w14:textId="77777777" w:rsidR="000F678C" w:rsidRDefault="000F678C" w:rsidP="00EB2B81">
      <w:pPr>
        <w:pStyle w:val="Bulletlevel1"/>
      </w:pPr>
      <w:r w:rsidRPr="00CA44EE">
        <w:t>ASTRA also believed that moving competition powers to the ACMA would increase duplication of functions, uncertainty and cost to government and industry.</w:t>
      </w:r>
      <w:r w:rsidRPr="00E230FC">
        <w:rPr>
          <w:vertAlign w:val="superscript"/>
        </w:rPr>
        <w:footnoteReference w:id="47"/>
      </w:r>
    </w:p>
    <w:p w14:paraId="090DC45C" w14:textId="77777777" w:rsidR="000F678C" w:rsidRDefault="000F678C" w:rsidP="00EB2B81">
      <w:pPr>
        <w:pStyle w:val="Bulletlevel1"/>
      </w:pPr>
      <w:r w:rsidRPr="00CA44EE">
        <w:t>Optus thought there was merit in an independent, industry-specific communications regulator and proposed a new independent regulatory body with responsibility for telecommunications-specific functions</w:t>
      </w:r>
      <w:r>
        <w:t xml:space="preserve"> currently</w:t>
      </w:r>
      <w:r w:rsidRPr="00CA44EE">
        <w:t xml:space="preserve"> under the </w:t>
      </w:r>
      <w:r w:rsidRPr="00CA44EE">
        <w:rPr>
          <w:i/>
        </w:rPr>
        <w:t>Competition and Consumer Act 2010,</w:t>
      </w:r>
      <w:r w:rsidRPr="00CA44EE">
        <w:t xml:space="preserve"> and responsibility for regulating telecommunications, broadcasting and radiocommunications.</w:t>
      </w:r>
      <w:r w:rsidRPr="00E230FC">
        <w:rPr>
          <w:vertAlign w:val="superscript"/>
        </w:rPr>
        <w:footnoteReference w:id="48"/>
      </w:r>
    </w:p>
    <w:p w14:paraId="7032C31A" w14:textId="2E158F1F" w:rsidR="000F678C" w:rsidRDefault="000F678C" w:rsidP="00EB2B81">
      <w:pPr>
        <w:pStyle w:val="Bulletlevel1"/>
      </w:pPr>
      <w:r w:rsidRPr="00CA44EE">
        <w:t>VHA</w:t>
      </w:r>
      <w:r>
        <w:t xml:space="preserve"> considered that the ACMA should focus more on competition and provided three options to achieve this: expressly mandate the promotion of competition by the ACMA (see draft proposal 18 </w:t>
      </w:r>
      <w:r w:rsidR="00062BA9">
        <w:t>in Part Three</w:t>
      </w:r>
      <w:r>
        <w:t>); maintain a role for the ACCC in setting overarching competition principles but transfer all responsibility for Parts XIB and XIC of the CCA to the ACMA; and transfer all responsibility for competition, except for mergers and the Australian Consumer Law, to the ACMA.</w:t>
      </w:r>
      <w:r>
        <w:rPr>
          <w:rStyle w:val="FootnoteReference"/>
        </w:rPr>
        <w:footnoteReference w:id="49"/>
      </w:r>
      <w:r>
        <w:t xml:space="preserve"> VHA </w:t>
      </w:r>
      <w:r w:rsidRPr="00CA44EE">
        <w:t xml:space="preserve">noted </w:t>
      </w:r>
      <w:r w:rsidR="00CA68F6">
        <w:t>that</w:t>
      </w:r>
      <w:r w:rsidRPr="00CA44EE">
        <w:t xml:space="preserve"> while there are benefits to the generalist Australian approach to competition regulation, a disadvantage is that ‘sectoral regulators can develop a culture of avoiding or ignoring competition policy principles in their decision-making, indeed sometime</w:t>
      </w:r>
      <w:r>
        <w:t xml:space="preserve"> [sic]</w:t>
      </w:r>
      <w:r w:rsidRPr="00CA44EE">
        <w:t xml:space="preserve"> they feel that that [sic] not qualified to make economic efficiency assessments on a particular issue.’</w:t>
      </w:r>
      <w:r w:rsidRPr="00E230FC">
        <w:rPr>
          <w:vertAlign w:val="superscript"/>
        </w:rPr>
        <w:footnoteReference w:id="50"/>
      </w:r>
      <w:r w:rsidRPr="00CA44EE">
        <w:t xml:space="preserve"> VHA argued the regulator must have the capacity and capability to carry out economic analysis where required.</w:t>
      </w:r>
    </w:p>
    <w:p w14:paraId="6673B9CC" w14:textId="4974A791" w:rsidR="000F678C" w:rsidRPr="00CA44EE" w:rsidRDefault="000F678C" w:rsidP="00EB2B81">
      <w:pPr>
        <w:pStyle w:val="Bulletlevel1"/>
      </w:pPr>
      <w:r w:rsidRPr="00CA44EE">
        <w:t>Dwyer, Fraser, Hitchens and Wilding noted there may be significant benefits in establishing a single regulator, saying that ‘</w:t>
      </w:r>
      <w:r w:rsidR="00CA68F6">
        <w:t>[i]</w:t>
      </w:r>
      <w:r w:rsidRPr="00CA44EE">
        <w:t>n time, it may be futile to attempt to keep them separate.’</w:t>
      </w:r>
      <w:r w:rsidRPr="00E230FC">
        <w:rPr>
          <w:vertAlign w:val="superscript"/>
        </w:rPr>
        <w:footnoteReference w:id="51"/>
      </w:r>
    </w:p>
    <w:p w14:paraId="00ABC2F8" w14:textId="77777777" w:rsidR="000F678C" w:rsidRPr="00F66279" w:rsidRDefault="000F678C" w:rsidP="009021CF">
      <w:pPr>
        <w:pStyle w:val="Heading5"/>
      </w:pPr>
      <w:r w:rsidRPr="00F66279">
        <w:t>Issues Identification</w:t>
      </w:r>
    </w:p>
    <w:p w14:paraId="5863613C" w14:textId="77777777" w:rsidR="00EB2B81" w:rsidRDefault="000F678C" w:rsidP="000F678C">
      <w:r>
        <w:t xml:space="preserve">The Review’s analysis of this issue has involved investigation of international approaches, related reviews and current academic literature and </w:t>
      </w:r>
      <w:r w:rsidRPr="006A13DE">
        <w:t>has i</w:t>
      </w:r>
      <w:r>
        <w:t>dentified two potential issues.</w:t>
      </w:r>
    </w:p>
    <w:p w14:paraId="77961D07" w14:textId="5E6BDDEA" w:rsidR="00EB2B81" w:rsidRDefault="000F678C" w:rsidP="000F678C">
      <w:r w:rsidRPr="006A13DE">
        <w:t xml:space="preserve">First, submissions identified concerns </w:t>
      </w:r>
      <w:r>
        <w:t xml:space="preserve">that </w:t>
      </w:r>
      <w:r w:rsidRPr="006A13DE">
        <w:t xml:space="preserve">the ACMA appears to not give sufficient consideration to competition impacts in making regulatory decisions, even though its decisions can have implications for competition and market structures. The key area </w:t>
      </w:r>
      <w:r w:rsidR="00812089">
        <w:t xml:space="preserve">in which </w:t>
      </w:r>
      <w:r w:rsidRPr="006A13DE">
        <w:t>this occurs is radiofrequency spectrum.</w:t>
      </w:r>
    </w:p>
    <w:p w14:paraId="54E47FDE" w14:textId="77777777" w:rsidR="00EB2B81" w:rsidRDefault="000F678C" w:rsidP="000F678C">
      <w:r w:rsidRPr="006A13DE">
        <w:t>Arguably, all regulators need to be sensitive to competition concerns when making regulatory decisions. For example, the recent Financial Services Inquiry recommended the Australian Security and Investment Commission be given a specific competition mandate. It argued that despite the ACCC being the competition regulator:</w:t>
      </w:r>
    </w:p>
    <w:p w14:paraId="5D0A37E5" w14:textId="77777777" w:rsidR="00EB2B81" w:rsidRPr="00CB4DEF" w:rsidRDefault="000F678C" w:rsidP="00F91883">
      <w:pPr>
        <w:pStyle w:val="Quote"/>
        <w:rPr>
          <w:color w:val="auto"/>
        </w:rPr>
      </w:pPr>
      <w:r w:rsidRPr="00CB4DEF">
        <w:rPr>
          <w:color w:val="auto"/>
        </w:rPr>
        <w:t>‘The current framework does not systematically identify and address competition trade-offs in regulatory settings. … Policy makers and regulators need to take increased account of competition when making regulatory decisions.’</w:t>
      </w:r>
      <w:r w:rsidRPr="00CB4DEF">
        <w:rPr>
          <w:color w:val="auto"/>
          <w:vertAlign w:val="superscript"/>
        </w:rPr>
        <w:footnoteReference w:id="52"/>
      </w:r>
    </w:p>
    <w:p w14:paraId="6C0F3AA2" w14:textId="77777777" w:rsidR="000F678C" w:rsidRDefault="000F678C" w:rsidP="000F678C">
      <w:r w:rsidRPr="006A13DE">
        <w:t xml:space="preserve">The </w:t>
      </w:r>
      <w:r>
        <w:t>R</w:t>
      </w:r>
      <w:r w:rsidRPr="006A13DE">
        <w:t xml:space="preserve">eview considers the same can be said of the communications sector. </w:t>
      </w:r>
      <w:r>
        <w:t>That is, w</w:t>
      </w:r>
      <w:r w:rsidRPr="006A13DE">
        <w:t xml:space="preserve">hile the ACCC has a specific mandate on telecommunications </w:t>
      </w:r>
      <w:r>
        <w:t xml:space="preserve">competition </w:t>
      </w:r>
      <w:r w:rsidRPr="006A13DE">
        <w:t>issues, decisions made by the ACMA can also impact competition.</w:t>
      </w:r>
      <w:r>
        <w:t xml:space="preserve"> This is the case with resource allocation decisions such as the allocation of numbers or radiofrequency spectrum, with one </w:t>
      </w:r>
      <w:r w:rsidRPr="006A13DE">
        <w:t xml:space="preserve">example </w:t>
      </w:r>
      <w:r>
        <w:t>being</w:t>
      </w:r>
      <w:r w:rsidRPr="006A13DE">
        <w:t xml:space="preserve"> </w:t>
      </w:r>
      <w:r>
        <w:t xml:space="preserve">that the ACMA often allocates large blocks of numbers which may disincline potential smaller providers from applying for numbers and entering the sector. </w:t>
      </w:r>
      <w:r w:rsidRPr="006A13DE">
        <w:t xml:space="preserve">Even the way in which the ACMA makes decisions can have implications. For example, a </w:t>
      </w:r>
      <w:r>
        <w:t>lengthy</w:t>
      </w:r>
      <w:r w:rsidRPr="006A13DE">
        <w:t xml:space="preserve"> </w:t>
      </w:r>
      <w:r>
        <w:t xml:space="preserve">spectrum </w:t>
      </w:r>
      <w:r w:rsidRPr="006A13DE">
        <w:t xml:space="preserve">reallocation </w:t>
      </w:r>
      <w:r>
        <w:t>process</w:t>
      </w:r>
      <w:r w:rsidRPr="006A13DE">
        <w:t xml:space="preserve"> can potentially favour and confer competitive advantage on incumbent licensees.</w:t>
      </w:r>
    </w:p>
    <w:p w14:paraId="1F494F04" w14:textId="52286C05" w:rsidR="000F678C" w:rsidRDefault="000F678C" w:rsidP="000F678C">
      <w:r w:rsidRPr="006A13DE">
        <w:t>The ACMA is required to consider impacts on competition for some decisions.</w:t>
      </w:r>
      <w:r w:rsidRPr="006A13DE">
        <w:rPr>
          <w:vertAlign w:val="superscript"/>
        </w:rPr>
        <w:footnoteReference w:id="53"/>
      </w:r>
      <w:r w:rsidRPr="006A13DE">
        <w:t xml:space="preserve"> However, it appears broadly reluct</w:t>
      </w:r>
      <w:r>
        <w:t>ant to do so when not required (</w:t>
      </w:r>
      <w:r w:rsidRPr="006A13DE">
        <w:t>perhaps due to the ACCC’s primacy in this field</w:t>
      </w:r>
      <w:r>
        <w:t>)</w:t>
      </w:r>
      <w:r w:rsidRPr="006A13DE">
        <w:t xml:space="preserve"> and consequently may not</w:t>
      </w:r>
      <w:r w:rsidR="00CA68F6">
        <w:t>,</w:t>
      </w:r>
      <w:r w:rsidRPr="006A13DE">
        <w:t xml:space="preserve"> </w:t>
      </w:r>
      <w:r>
        <w:t>under current arrangements</w:t>
      </w:r>
      <w:r w:rsidR="00CA68F6">
        <w:t>,</w:t>
      </w:r>
      <w:r>
        <w:t xml:space="preserve"> </w:t>
      </w:r>
      <w:r w:rsidRPr="006A13DE">
        <w:t>have the capability to assess the economic impacts of its decisions.</w:t>
      </w:r>
      <w:r w:rsidRPr="006A13DE">
        <w:rPr>
          <w:vertAlign w:val="superscript"/>
        </w:rPr>
        <w:footnoteReference w:id="54"/>
      </w:r>
    </w:p>
    <w:p w14:paraId="5A691129" w14:textId="77777777" w:rsidR="000F678C" w:rsidRPr="00223469" w:rsidRDefault="000F678C" w:rsidP="000F678C">
      <w:r w:rsidRPr="006A13DE">
        <w:t xml:space="preserve">The second issue relates </w:t>
      </w:r>
      <w:r>
        <w:t>to the performance of the ACCC and concerns that c</w:t>
      </w:r>
      <w:r w:rsidRPr="00AF0647">
        <w:t>urrent telecommunications economic regulation may not be achieving an appropriate balance between consumer outcomes</w:t>
      </w:r>
      <w:r>
        <w:t>, fostering innovation</w:t>
      </w:r>
      <w:r w:rsidRPr="00AF0647">
        <w:t xml:space="preserve"> and encouraging </w:t>
      </w:r>
      <w:r>
        <w:t xml:space="preserve">efficient </w:t>
      </w:r>
      <w:r w:rsidRPr="00AF0647">
        <w:t>investment.</w:t>
      </w:r>
    </w:p>
    <w:p w14:paraId="0BC44164" w14:textId="77777777" w:rsidR="000F678C" w:rsidRPr="006A13DE" w:rsidRDefault="000F678C" w:rsidP="000F678C">
      <w:r w:rsidRPr="006A13DE">
        <w:t>The manner in which the ACCC exercises its role as the economic regulator in the communications sector and the extent to which it is perceived to influence policy outcomes has been considered</w:t>
      </w:r>
      <w:r>
        <w:t xml:space="preserve"> in a number of recent reviews.</w:t>
      </w:r>
      <w:r w:rsidRPr="006A13DE">
        <w:t xml:space="preserve"> N</w:t>
      </w:r>
      <w:r>
        <w:t>otably, with</w:t>
      </w:r>
      <w:r w:rsidRPr="006A13DE">
        <w:t xml:space="preserve"> </w:t>
      </w:r>
      <w:r>
        <w:t>regard</w:t>
      </w:r>
      <w:r w:rsidRPr="006A13DE">
        <w:t xml:space="preserve"> to policy influence, the Independent Audit of the NBN Public Policy Processes found that the ACCC provided advice beyond its mandate in relation to the original NBN Request for Proposals.</w:t>
      </w:r>
      <w:r w:rsidRPr="006A13DE">
        <w:rPr>
          <w:vertAlign w:val="superscript"/>
        </w:rPr>
        <w:footnoteReference w:id="55"/>
      </w:r>
    </w:p>
    <w:p w14:paraId="030D5799" w14:textId="77777777" w:rsidR="000F678C" w:rsidRDefault="000F678C" w:rsidP="000F678C">
      <w:r w:rsidRPr="006A13DE">
        <w:t>The Vertigan panel, which carried out an independent cost-benefit analysis of broadband and a review of regulation in 2014, recommended responsibility for access regulation of the telecommunications sector should be transferred from the ACCC to a ‘networks regulator’ with responsibility for regulating all major infrastructure.</w:t>
      </w:r>
      <w:r w:rsidRPr="006A13DE">
        <w:rPr>
          <w:vertAlign w:val="superscript"/>
        </w:rPr>
        <w:footnoteReference w:id="56"/>
      </w:r>
    </w:p>
    <w:p w14:paraId="31E639E3" w14:textId="19C3EF80" w:rsidR="000F678C" w:rsidRPr="006A13DE" w:rsidRDefault="000F678C" w:rsidP="000F678C">
      <w:r w:rsidRPr="006A13DE">
        <w:t xml:space="preserve">The Vertigan </w:t>
      </w:r>
      <w:r>
        <w:t>panel</w:t>
      </w:r>
      <w:r w:rsidRPr="006A13DE">
        <w:t xml:space="preserve"> concluded the access regime administered by the ACCC has ‘proved ineffective in promoting innovation and investment, in part because of the way in which regulated prices were determined…’</w:t>
      </w:r>
      <w:r w:rsidR="00CA68F6">
        <w:t>.</w:t>
      </w:r>
      <w:r w:rsidRPr="006A13DE">
        <w:rPr>
          <w:vertAlign w:val="superscript"/>
        </w:rPr>
        <w:footnoteReference w:id="57"/>
      </w:r>
      <w:r w:rsidRPr="006A13DE">
        <w:t xml:space="preserve"> Given the Vertigan </w:t>
      </w:r>
      <w:r>
        <w:t>panel</w:t>
      </w:r>
      <w:r w:rsidRPr="006A13DE">
        <w:t xml:space="preserve"> concluded th</w:t>
      </w:r>
      <w:r>
        <w:t>at</w:t>
      </w:r>
      <w:r w:rsidRPr="006A13DE">
        <w:t xml:space="preserve"> </w:t>
      </w:r>
      <w:r>
        <w:t xml:space="preserve">the </w:t>
      </w:r>
      <w:r w:rsidRPr="006A13DE">
        <w:t xml:space="preserve">Part XIC regulatory framework was generally sound, </w:t>
      </w:r>
      <w:r>
        <w:t>it</w:t>
      </w:r>
      <w:r w:rsidRPr="006A13DE">
        <w:t xml:space="preserve"> indicate</w:t>
      </w:r>
      <w:r>
        <w:t>s</w:t>
      </w:r>
      <w:r w:rsidRPr="006A13DE">
        <w:t xml:space="preserve"> </w:t>
      </w:r>
      <w:r>
        <w:t xml:space="preserve">that </w:t>
      </w:r>
      <w:r w:rsidRPr="006A13DE">
        <w:t xml:space="preserve">the issue arises in the administration of the framework. Like the Vertigan recommendation, the Competition Policy Review </w:t>
      </w:r>
      <w:r>
        <w:t xml:space="preserve">conducted </w:t>
      </w:r>
      <w:r w:rsidRPr="006A13DE">
        <w:t xml:space="preserve">by Professor Ian Harper, </w:t>
      </w:r>
      <w:r>
        <w:t xml:space="preserve">put forward a similar </w:t>
      </w:r>
      <w:r w:rsidRPr="006A13DE">
        <w:t>recommendation, also finding a separate networks regulator should be established.</w:t>
      </w:r>
      <w:r w:rsidRPr="006A13DE">
        <w:rPr>
          <w:vertAlign w:val="superscript"/>
        </w:rPr>
        <w:footnoteReference w:id="58"/>
      </w:r>
    </w:p>
    <w:p w14:paraId="684780DF" w14:textId="77777777" w:rsidR="000F678C" w:rsidRDefault="000F678C" w:rsidP="000F678C">
      <w:r w:rsidRPr="006A13DE">
        <w:t xml:space="preserve">A key issue appears to be concerns </w:t>
      </w:r>
      <w:r>
        <w:t>that</w:t>
      </w:r>
      <w:r w:rsidRPr="006A13DE">
        <w:t xml:space="preserve"> the ACCC has not given sufficient weight to the</w:t>
      </w:r>
      <w:r>
        <w:t xml:space="preserve"> incentives facing communications infrastructure</w:t>
      </w:r>
      <w:r w:rsidRPr="006A13DE">
        <w:t xml:space="preserve"> investors in applying the long-t</w:t>
      </w:r>
      <w:r>
        <w:t>erm interest of end-users</w:t>
      </w:r>
      <w:r w:rsidRPr="006A13DE">
        <w:t xml:space="preserve"> test when making access and pricing decisions</w:t>
      </w:r>
      <w:r>
        <w:t>,</w:t>
      </w:r>
      <w:r w:rsidRPr="006A13DE">
        <w:t xml:space="preserve"> </w:t>
      </w:r>
      <w:r>
        <w:t>r</w:t>
      </w:r>
      <w:r w:rsidRPr="006A13DE">
        <w:t>esult</w:t>
      </w:r>
      <w:r>
        <w:t>ing</w:t>
      </w:r>
      <w:r w:rsidRPr="006A13DE">
        <w:t xml:space="preserve"> in the regulatory regime not achieving its objective of promoting efficient investment by balancing build or buy decisions.</w:t>
      </w:r>
    </w:p>
    <w:p w14:paraId="1A27DFD4" w14:textId="77777777" w:rsidR="000F678C" w:rsidRPr="00F66279" w:rsidRDefault="000F678C" w:rsidP="009021CF">
      <w:pPr>
        <w:pStyle w:val="Heading5"/>
      </w:pPr>
      <w:r w:rsidRPr="00F66279">
        <w:t>Reform Options</w:t>
      </w:r>
    </w:p>
    <w:p w14:paraId="06C28250" w14:textId="77777777" w:rsidR="000F678C" w:rsidRDefault="000F678C" w:rsidP="000F678C">
      <w:r>
        <w:t>Based on submissions and previous reviews, the Review has identified three options to address the two issues identified above:</w:t>
      </w:r>
    </w:p>
    <w:p w14:paraId="6F0DF6AD" w14:textId="77777777" w:rsidR="000F678C" w:rsidRDefault="000F678C" w:rsidP="00EB2B81">
      <w:pPr>
        <w:pStyle w:val="Bulletlevel1"/>
      </w:pPr>
      <w:r>
        <w:t>give effect to the Harper and Vertigan recommendations of a new networks regulator;</w:t>
      </w:r>
    </w:p>
    <w:p w14:paraId="05BD2CDC" w14:textId="77777777" w:rsidR="000F678C" w:rsidRDefault="000F678C" w:rsidP="00EB2B81">
      <w:pPr>
        <w:pStyle w:val="Bulletlevel1"/>
      </w:pPr>
      <w:r>
        <w:t>transfer economic regulation functions to the ACMA to create a more holistic communications regulator; or</w:t>
      </w:r>
    </w:p>
    <w:p w14:paraId="456E9783" w14:textId="77777777" w:rsidR="000F678C" w:rsidRDefault="000F678C" w:rsidP="00EB2B81">
      <w:pPr>
        <w:pStyle w:val="Bulletlevel1"/>
      </w:pPr>
      <w:r>
        <w:t>maintain the status quo.</w:t>
      </w:r>
    </w:p>
    <w:p w14:paraId="3EB76125" w14:textId="77777777" w:rsidR="000F678C" w:rsidRDefault="000F678C" w:rsidP="000F678C">
      <w:r>
        <w:t>These are discussed below.</w:t>
      </w:r>
    </w:p>
    <w:p w14:paraId="1C169924" w14:textId="77777777" w:rsidR="000F678C" w:rsidRPr="00405565" w:rsidRDefault="000F678C" w:rsidP="0010458B">
      <w:pPr>
        <w:pStyle w:val="Heading6"/>
      </w:pPr>
      <w:r w:rsidRPr="00405565">
        <w:t xml:space="preserve">Option </w:t>
      </w:r>
      <w:r>
        <w:t>1</w:t>
      </w:r>
      <w:r w:rsidRPr="00405565">
        <w:t>: Transfer the ACCC’s economic (access and pricing) regulation functions under Part XIC to a newly-formed networks regulator</w:t>
      </w:r>
      <w:r w:rsidRPr="006A13DE">
        <w:rPr>
          <w:vertAlign w:val="superscript"/>
        </w:rPr>
        <w:footnoteReference w:id="59"/>
      </w:r>
    </w:p>
    <w:p w14:paraId="29FDC59C" w14:textId="77777777" w:rsidR="000F678C" w:rsidRDefault="000F678C" w:rsidP="000F678C">
      <w:r>
        <w:t>This option is the recommendation of the Vertigan panel and Harper Review.</w:t>
      </w:r>
      <w:r>
        <w:rPr>
          <w:rStyle w:val="FootnoteReference"/>
        </w:rPr>
        <w:footnoteReference w:id="60"/>
      </w:r>
      <w:r>
        <w:t xml:space="preserve"> The rationale for a networks regulator endorsed by the Vertigan panel is that “the sheer scale of the regulatory tasks that lie ahead and the high costs of regulatory error suggest a need for those tasks to be undertaken by an entity whose leadership is focused on regulatory functions (particularly network access regulation) and whose performance is primarily and transparently assessed on the basis of its efficiency and efficacy in the discharge of those functions.”</w:t>
      </w:r>
      <w:r>
        <w:rPr>
          <w:rStyle w:val="FootnoteReference"/>
        </w:rPr>
        <w:footnoteReference w:id="61"/>
      </w:r>
    </w:p>
    <w:p w14:paraId="0792A8BF" w14:textId="77777777" w:rsidR="000F678C" w:rsidRDefault="000F678C" w:rsidP="000F678C">
      <w:r>
        <w:t>The Vertigan panel’s concern appears to be that the ACCC’s responsibilities for competition conduct and consumer affairs as opposed to the real economics of access and pricing has skewed the ACCC’s decisions to the detriment of the industry. If this is the cause of the issue, then a networks regulator whose remit is confined to access and pricing would be likely to deliver a more stable environment, conducive to investment.</w:t>
      </w:r>
    </w:p>
    <w:p w14:paraId="20606E45" w14:textId="77777777" w:rsidR="000F678C" w:rsidRDefault="000F678C" w:rsidP="000F678C">
      <w:r>
        <w:t>However, the Review has identified another potential explanation. In an increasingly complex telecommunications sector, the economic regulator needs to deeply understand how market players seek competitive advantage across layers, where bottlenecks arise and where significant market power lies. Under the model of a networks regulator, this breadth of knowledge across the communications markets coupled with a deep understanding of emerging technologies, for example, the increasing demand substitutability of OTT applications for key services such as SMS, voice services and entertainment content distribution, may have led to different decisions. The recent ACCC decision on including SMS within the service description for the declared Mobile Terminating Access Service is a case where affordability concerns regarding low-income consumers appeared to be the primary reason for the ACCC intervening in what is generally regarded to be a dynamic market, once potential demand-side substitutes such as OTT messaging are taken into account.</w:t>
      </w:r>
    </w:p>
    <w:p w14:paraId="2E732077" w14:textId="77777777" w:rsidR="000F678C" w:rsidRDefault="000F678C" w:rsidP="000F678C">
      <w:r w:rsidRPr="004B1984">
        <w:t>As Part 1 of this report outlines, the dynamism of the communications sector exists through changing market conditions and technologies</w:t>
      </w:r>
      <w:r>
        <w:t>, with increasing ‘plasticity’ in the way services are provided</w:t>
      </w:r>
      <w:r w:rsidRPr="004B1984">
        <w:t>.</w:t>
      </w:r>
      <w:r>
        <w:rPr>
          <w:rStyle w:val="FootnoteReference"/>
        </w:rPr>
        <w:footnoteReference w:id="62"/>
      </w:r>
      <w:r w:rsidRPr="004B1984">
        <w:t xml:space="preserve"> Research carried out by the ACCC suggests that consistency achieved by economy-wide regulation may come at the cost of innovation. Industry and sector-based regulators in the UK have demonstrated and experimented with innovative approaches that </w:t>
      </w:r>
      <w:r>
        <w:t>are</w:t>
      </w:r>
      <w:r w:rsidRPr="004B1984">
        <w:t xml:space="preserve"> unlikely to be achieved if consistency across industries is a primary objective.</w:t>
      </w:r>
      <w:r>
        <w:rPr>
          <w:rStyle w:val="FootnoteReference"/>
        </w:rPr>
        <w:footnoteReference w:id="63"/>
      </w:r>
    </w:p>
    <w:p w14:paraId="11B12F14" w14:textId="77777777" w:rsidR="00EB2B81" w:rsidRDefault="000F678C" w:rsidP="000F678C">
      <w:r>
        <w:t>The Review</w:t>
      </w:r>
      <w:r w:rsidDel="00AB3CBA">
        <w:t xml:space="preserve"> </w:t>
      </w:r>
      <w:r>
        <w:t>has identified practical concerns with this approach, namely that it is unlikely that an additional regulator in the communications sector will lessen the complexity felt by regulated companies. In particular, telecommunications companies who own infrastructure would be regulated by a networks regulator, the economy-wide competition regulator, and the sector-specific technical regulator. Unless there is some degree of coordination between the three regulators, it is likely that this option may impose a significant burden on regulated industries.</w:t>
      </w:r>
    </w:p>
    <w:p w14:paraId="5567CE6F" w14:textId="77777777" w:rsidR="000F678C" w:rsidRDefault="000F678C" w:rsidP="000F678C">
      <w:r>
        <w:t>The Government is continuing to consider this option as indicated in its response to the Harper Review.</w:t>
      </w:r>
      <w:r>
        <w:rPr>
          <w:rStyle w:val="FootnoteReference"/>
        </w:rPr>
        <w:footnoteReference w:id="64"/>
      </w:r>
    </w:p>
    <w:p w14:paraId="0A674CB2" w14:textId="77777777" w:rsidR="000F678C" w:rsidRPr="006A13DE" w:rsidRDefault="000F678C" w:rsidP="0010458B">
      <w:pPr>
        <w:pStyle w:val="Heading6"/>
      </w:pPr>
      <w:r>
        <w:t>Option 2</w:t>
      </w:r>
      <w:r w:rsidRPr="006A13DE">
        <w:t>: Transfer the ACCC’s economic (access and pricing) regulation functions under Part XIC of the Competition and Consumer Act to the ACMA.</w:t>
      </w:r>
    </w:p>
    <w:p w14:paraId="37F6105F" w14:textId="77777777" w:rsidR="000F678C" w:rsidRDefault="000F678C" w:rsidP="000F678C">
      <w:r w:rsidRPr="006A13DE">
        <w:t>Arguments in favour of this option recognise the promotion of investment at the infrastructure, services and applications layers is vital. Communications is a uniquely dynamic and convergent sector, which means investment and access issues should be considered from a holistic market perspective.</w:t>
      </w:r>
    </w:p>
    <w:p w14:paraId="75DEDFD4" w14:textId="0C20757A" w:rsidR="000F678C" w:rsidRDefault="000F678C" w:rsidP="000F678C">
      <w:r w:rsidRPr="006A13DE">
        <w:t>If responsibility for access regulation were transferred to the ACMA there would be scope for the ACMA to deal with communications sector issues ‘holistically’. It would likely encourage the ACMA to consider competition issues more generally in exercising its regulatory functions and its research activities into other communications markets could be taken into consideration in the decision</w:t>
      </w:r>
      <w:r w:rsidR="00107479">
        <w:t>-</w:t>
      </w:r>
      <w:r w:rsidRPr="006A13DE">
        <w:t>making process.</w:t>
      </w:r>
    </w:p>
    <w:p w14:paraId="023DC79F" w14:textId="77777777" w:rsidR="000F678C" w:rsidRDefault="000F678C" w:rsidP="000F678C">
      <w:r>
        <w:t>The resulting regulator would be similar in scope to the United Kingdom’s Ofcom and the United States’ Federal Communications Commission, with the important exception of competition enforcement.</w:t>
      </w:r>
    </w:p>
    <w:p w14:paraId="171FDF21" w14:textId="77777777" w:rsidR="000F678C" w:rsidRDefault="000F678C" w:rsidP="000F678C">
      <w:r>
        <w:t>However, if the concerns identified by Vertigan and Harper hold true, then the agency’s focus on a larger number of issues, and in particular consumer protection issues, would not deliver the focus on economic and access pricing issues those reviews deemed necessary to deliver a stable investment environment.</w:t>
      </w:r>
    </w:p>
    <w:p w14:paraId="3CBFA997" w14:textId="77777777" w:rsidR="000F678C" w:rsidRDefault="000F678C" w:rsidP="000F678C">
      <w:r>
        <w:t xml:space="preserve">There are other disadvantages to this model. </w:t>
      </w:r>
      <w:r w:rsidRPr="006A13DE">
        <w:t xml:space="preserve">In terms of the ACMA’s capability, the agency does not </w:t>
      </w:r>
      <w:r>
        <w:t xml:space="preserve">at present </w:t>
      </w:r>
      <w:r w:rsidRPr="006A13DE">
        <w:t xml:space="preserve">possess the economic skills needed to administer Part XIC and </w:t>
      </w:r>
      <w:r>
        <w:t xml:space="preserve">in a small market like Australia, deep expertise in competition regulation is likely to be relatively limited. As a result, </w:t>
      </w:r>
      <w:r w:rsidRPr="006A13DE">
        <w:t xml:space="preserve">such a transfer of functions would </w:t>
      </w:r>
      <w:r>
        <w:t xml:space="preserve">likely </w:t>
      </w:r>
      <w:r w:rsidRPr="006A13DE">
        <w:t xml:space="preserve">mean staff transferring from the ACCC to the ACMA. </w:t>
      </w:r>
      <w:r>
        <w:t>The government would also need to ensure that there are a sufficient number of ACMA members appropriately qualified to consider access and pricing arrangements.</w:t>
      </w:r>
    </w:p>
    <w:p w14:paraId="1FD9E3F8" w14:textId="77777777" w:rsidR="000F678C" w:rsidRDefault="000F678C" w:rsidP="000F678C">
      <w:r>
        <w:t>There is also a growing body of research suggesting that the focus of communications regulation in the future may shift to ex post addressing of misuse of market power, and away from ex ante access regulation.</w:t>
      </w:r>
      <w:r>
        <w:rPr>
          <w:rStyle w:val="FootnoteReference"/>
        </w:rPr>
        <w:footnoteReference w:id="65"/>
      </w:r>
      <w:r>
        <w:t xml:space="preserve"> Under this option, access arrangements and pricing would be considered separately to issues of anti-competitive conduct by the ACCC under Part IV and Part XIB of the </w:t>
      </w:r>
      <w:r>
        <w:rPr>
          <w:i/>
        </w:rPr>
        <w:t>Competition and Consumer Act 2010</w:t>
      </w:r>
      <w:r>
        <w:t>.</w:t>
      </w:r>
      <w:r>
        <w:rPr>
          <w:rStyle w:val="FootnoteReference"/>
        </w:rPr>
        <w:footnoteReference w:id="66"/>
      </w:r>
      <w:r>
        <w:t xml:space="preserve"> A further consideration is whether the split of competition law enforcement and economic regulation would lead to better outcomes.</w:t>
      </w:r>
    </w:p>
    <w:p w14:paraId="050B59F8" w14:textId="77777777" w:rsidR="000F678C" w:rsidRPr="002E28E6" w:rsidRDefault="000F678C" w:rsidP="0010458B">
      <w:pPr>
        <w:pStyle w:val="Heading5"/>
      </w:pPr>
      <w:r w:rsidRPr="00BF4796">
        <w:t>Finding</w:t>
      </w:r>
    </w:p>
    <w:p w14:paraId="1F872D67" w14:textId="77777777" w:rsidR="000F678C" w:rsidRDefault="000F678C" w:rsidP="000F678C">
      <w:r>
        <w:t>At this time, the Review recommends retaining the status quo. Changes to current arrangements are likely to be disruptive and would take some time to bed down while at the same time, outcomes may be uncertain. Furthermore, in a small market like Australia, competition and economic regulation expertise is likely to be relatively limited. It may be that outcomes remain largely similar as staff transfer between agencies.</w:t>
      </w:r>
    </w:p>
    <w:p w14:paraId="1FE585A3" w14:textId="77777777" w:rsidR="00EB2B81" w:rsidRDefault="000F678C" w:rsidP="000F678C">
      <w:r>
        <w:t>It may be that alternative measures need to be looked at again if regulatory outcomes do not remain conducive to efficient investment.</w:t>
      </w:r>
    </w:p>
    <w:p w14:paraId="4344810D" w14:textId="77777777" w:rsidR="00007886" w:rsidRDefault="00007886" w:rsidP="00CB4DEF">
      <w:pPr>
        <w:pBdr>
          <w:top w:val="single" w:sz="4" w:space="1" w:color="auto"/>
          <w:left w:val="single" w:sz="4" w:space="4" w:color="auto"/>
          <w:bottom w:val="single" w:sz="4" w:space="1" w:color="auto"/>
          <w:right w:val="single" w:sz="4" w:space="4" w:color="auto"/>
        </w:pBdr>
        <w:shd w:val="clear" w:color="auto" w:fill="DEEAF6" w:themeFill="accent1" w:themeFillTint="33"/>
      </w:pPr>
      <w:r w:rsidRPr="00F60C4A">
        <w:t>Draft Proposal:</w:t>
      </w:r>
    </w:p>
    <w:p w14:paraId="3617AA76" w14:textId="77777777" w:rsidR="00007886" w:rsidRDefault="00007886" w:rsidP="00CB4DEF">
      <w:pPr>
        <w:numPr>
          <w:ilvl w:val="0"/>
          <w:numId w:val="18"/>
        </w:numPr>
        <w:pBdr>
          <w:top w:val="single" w:sz="4" w:space="1" w:color="auto"/>
          <w:left w:val="single" w:sz="4" w:space="4" w:color="auto"/>
          <w:bottom w:val="single" w:sz="4" w:space="1" w:color="auto"/>
          <w:right w:val="single" w:sz="4" w:space="4" w:color="auto"/>
        </w:pBdr>
        <w:shd w:val="clear" w:color="auto" w:fill="DEEAF6" w:themeFill="accent1" w:themeFillTint="33"/>
        <w:ind w:left="567" w:hanging="567"/>
      </w:pPr>
      <w:r w:rsidRPr="00F60C4A">
        <w:t>That the current institutional arrangements for economic regulation of the communications sector be retained.</w:t>
      </w:r>
    </w:p>
    <w:p w14:paraId="44F3496F" w14:textId="77777777" w:rsidR="00EB2B81" w:rsidRDefault="000F678C" w:rsidP="0010458B">
      <w:pPr>
        <w:pStyle w:val="Heading5"/>
      </w:pPr>
      <w:r>
        <w:t>A</w:t>
      </w:r>
      <w:r w:rsidRPr="00405565">
        <w:t>re there other mechanisms that could be adopted to improve outcomes?</w:t>
      </w:r>
    </w:p>
    <w:p w14:paraId="4454F5A0" w14:textId="1B4D5073" w:rsidR="000F678C" w:rsidRDefault="000F678C" w:rsidP="000F678C">
      <w:r>
        <w:t>If the status quo is maintained, the Review</w:t>
      </w:r>
      <w:r w:rsidDel="00AB3CBA">
        <w:t xml:space="preserve"> </w:t>
      </w:r>
      <w:r>
        <w:t>has considered other options that may address the issues outline</w:t>
      </w:r>
      <w:r w:rsidR="00E11403">
        <w:t>d</w:t>
      </w:r>
      <w:r>
        <w:t xml:space="preserve"> above.</w:t>
      </w:r>
    </w:p>
    <w:p w14:paraId="0A5FCDD9" w14:textId="54477B4C" w:rsidR="000F678C" w:rsidRPr="00294D6F" w:rsidRDefault="000F678C" w:rsidP="00CB4DEF">
      <w:pPr>
        <w:pStyle w:val="Heading6"/>
        <w:rPr>
          <w:i/>
        </w:rPr>
      </w:pPr>
      <w:r w:rsidRPr="00AF2520">
        <w:rPr>
          <w:i/>
        </w:rPr>
        <w:t>Option 3a: Include a regulator principle in the ACMA Act requiring the ACMA to have regard that its regulatory settings do not unnecessarily hinder competition, innovation or efficient investment</w:t>
      </w:r>
    </w:p>
    <w:p w14:paraId="1868C5B1" w14:textId="77777777" w:rsidR="000F678C" w:rsidRDefault="000F678C" w:rsidP="000F678C">
      <w:r>
        <w:t xml:space="preserve">A clearly articulated regulator principle requiring the ACMA to have regard to the impact of its decisions on competition, innovation and efficient investment would enable the ACMA to </w:t>
      </w:r>
      <w:r w:rsidDel="001B31AF">
        <w:t xml:space="preserve">construct </w:t>
      </w:r>
      <w:r>
        <w:t xml:space="preserve">an informed decision-making framework. </w:t>
      </w:r>
      <w:r w:rsidRPr="00405565">
        <w:t xml:space="preserve">This is discussed </w:t>
      </w:r>
      <w:r>
        <w:t>further</w:t>
      </w:r>
      <w:r w:rsidRPr="00405565">
        <w:t xml:space="preserve"> </w:t>
      </w:r>
      <w:r>
        <w:t>in Part Three</w:t>
      </w:r>
      <w:r w:rsidRPr="00405565">
        <w:t>.</w:t>
      </w:r>
    </w:p>
    <w:p w14:paraId="0674D233" w14:textId="77777777" w:rsidR="000F678C" w:rsidRPr="00CB4DEF" w:rsidRDefault="000F678C" w:rsidP="0010458B">
      <w:pPr>
        <w:pStyle w:val="Heading6"/>
        <w:rPr>
          <w:i/>
        </w:rPr>
      </w:pPr>
      <w:r w:rsidRPr="00CB4DEF">
        <w:rPr>
          <w:i/>
        </w:rPr>
        <w:t>Option 3b: Improve cross-consultation between the ACCC and ACMA</w:t>
      </w:r>
    </w:p>
    <w:p w14:paraId="4AB09929" w14:textId="77777777" w:rsidR="000F678C" w:rsidRDefault="000F678C" w:rsidP="000F678C">
      <w:r>
        <w:t>Improving cross-consultation arrangements between the two agencies could lead to improved outcomes if there is concern that neither agency is taking a sufficiently broad approach.</w:t>
      </w:r>
    </w:p>
    <w:p w14:paraId="73F0A14B" w14:textId="00141F67" w:rsidR="000F678C" w:rsidRDefault="000F678C" w:rsidP="000F678C">
      <w:r w:rsidRPr="00405565">
        <w:t>If there is concern the ACCC is not taking a broad</w:t>
      </w:r>
      <w:r>
        <w:t>er</w:t>
      </w:r>
      <w:r w:rsidRPr="00405565">
        <w:t xml:space="preserve"> communications perspective </w:t>
      </w:r>
      <w:r>
        <w:t>in making</w:t>
      </w:r>
      <w:r w:rsidRPr="00405565">
        <w:t xml:space="preserve"> decisions, the ACMA could be </w:t>
      </w:r>
      <w:r>
        <w:t xml:space="preserve">more </w:t>
      </w:r>
      <w:r w:rsidRPr="00405565">
        <w:t>involved in ACCC decision</w:t>
      </w:r>
      <w:r w:rsidR="00E11403">
        <w:t>-</w:t>
      </w:r>
      <w:r w:rsidRPr="00405565">
        <w:t xml:space="preserve">making on such matters. This option would require the ACMA to develop the capability to recognise such issues and </w:t>
      </w:r>
      <w:r>
        <w:t xml:space="preserve">that it be provided with </w:t>
      </w:r>
      <w:r w:rsidRPr="00405565">
        <w:t>guidance on whether there are broader implications, such as the impact on downstream markets.</w:t>
      </w:r>
      <w:r>
        <w:t xml:space="preserve"> In addition, the ACMA could involve the ACCC more in decisions where efficiency and competition issues are in play.</w:t>
      </w:r>
    </w:p>
    <w:p w14:paraId="7168AD8F" w14:textId="77777777" w:rsidR="000F678C" w:rsidRDefault="000F678C" w:rsidP="000F678C">
      <w:r>
        <w:t>Mandatory consultation arrangements exist in current legislation where the ACMA must consult the ACCC.</w:t>
      </w:r>
      <w:r>
        <w:rPr>
          <w:rStyle w:val="FootnoteReference"/>
        </w:rPr>
        <w:footnoteReference w:id="67"/>
      </w:r>
      <w:r>
        <w:t xml:space="preserve"> Disadvantages to mandatory consultation are that it can significantly affect lead times if not adequately factored into decision-making processes and can add unnecessary complexity to matters that do not require it.</w:t>
      </w:r>
    </w:p>
    <w:p w14:paraId="57D735C4" w14:textId="5551F25E" w:rsidR="000F678C" w:rsidRDefault="000F678C" w:rsidP="000F678C">
      <w:r w:rsidRPr="006A13DE">
        <w:t xml:space="preserve">The ACCC and ACMA have submitted a joint paper to the Department arguing that engagement occurs when needed between the two organisations in three main areas: telecommunications technical regulation, broadcasting issues and consumer protection. </w:t>
      </w:r>
      <w:r>
        <w:t>I</w:t>
      </w:r>
      <w:r w:rsidRPr="006A13DE">
        <w:t>t appears the main thrust of engagement is technical advice from the ACMA feeding into the ACCC’s decision</w:t>
      </w:r>
      <w:r w:rsidR="00107479">
        <w:t>-</w:t>
      </w:r>
      <w:r w:rsidRPr="006A13DE">
        <w:t>making, while on broadcasting mergers and acquisitions, the ACMA may be consulted if required.</w:t>
      </w:r>
    </w:p>
    <w:p w14:paraId="763692EA" w14:textId="77777777" w:rsidR="000F678C" w:rsidRPr="00405565" w:rsidRDefault="000F678C" w:rsidP="000F678C">
      <w:r w:rsidRPr="00405565">
        <w:t>While cross-appointment arrangements for the ACCC and the ACMA do exist,</w:t>
      </w:r>
      <w:r w:rsidRPr="00405565">
        <w:rPr>
          <w:vertAlign w:val="superscript"/>
        </w:rPr>
        <w:footnoteReference w:id="68"/>
      </w:r>
      <w:r w:rsidRPr="00405565">
        <w:t xml:space="preserve"> </w:t>
      </w:r>
      <w:r>
        <w:t>the Review</w:t>
      </w:r>
      <w:r w:rsidRPr="00405565" w:rsidDel="00AB3CBA">
        <w:t xml:space="preserve"> </w:t>
      </w:r>
      <w:r w:rsidRPr="00405565">
        <w:t>note</w:t>
      </w:r>
      <w:r>
        <w:t>s</w:t>
      </w:r>
      <w:r w:rsidRPr="00405565">
        <w:t xml:space="preserve"> they have not been actively used for</w:t>
      </w:r>
      <w:r>
        <w:t xml:space="preserve"> several years. This mechanism sh</w:t>
      </w:r>
      <w:r w:rsidRPr="00405565">
        <w:t xml:space="preserve">ould be reinvigorated, with the associate membership being moved from the chairs of the organisations to the member/commissioner level. For example, the chair of the ACCC’s communications committee could attend meetings of the ACMA, with a suitable </w:t>
      </w:r>
      <w:r>
        <w:t xml:space="preserve">full-time </w:t>
      </w:r>
      <w:r w:rsidRPr="00405565">
        <w:t xml:space="preserve">ACMA member attending </w:t>
      </w:r>
      <w:r>
        <w:t xml:space="preserve">the </w:t>
      </w:r>
      <w:r w:rsidRPr="00405565">
        <w:t>ACCC’s communications committee meetings. More specifically, it could be a requirement that the ACMA participate in such meetings to provide an external communications perspective.</w:t>
      </w:r>
    </w:p>
    <w:p w14:paraId="26AF1EBC" w14:textId="43CBDF3C" w:rsidR="000F678C" w:rsidRDefault="000F678C" w:rsidP="000F678C">
      <w:r w:rsidRPr="00405565">
        <w:t>This could increase the likelihood that cross-consultation would occur and would bring a more independent sectoral perspective to ACCC decision</w:t>
      </w:r>
      <w:r w:rsidR="00AB23B9">
        <w:t>-</w:t>
      </w:r>
      <w:r w:rsidRPr="00405565">
        <w:t xml:space="preserve">making. The ACMA’s consideration of competition issues when exercising its existing powers could also benefit from the ACCC’s expertise. For this option to be effective, </w:t>
      </w:r>
      <w:r>
        <w:t>each regulator</w:t>
      </w:r>
      <w:r w:rsidRPr="00405565">
        <w:t xml:space="preserve"> would have to properly resource</w:t>
      </w:r>
      <w:r>
        <w:t xml:space="preserve"> its capacity to </w:t>
      </w:r>
      <w:r w:rsidRPr="00405565">
        <w:t>contribute effectively to decisions.</w:t>
      </w:r>
    </w:p>
    <w:p w14:paraId="273AD25D" w14:textId="77777777" w:rsidR="00007886" w:rsidRDefault="00007886" w:rsidP="00CB4DEF">
      <w:pPr>
        <w:pBdr>
          <w:top w:val="single" w:sz="4" w:space="1" w:color="auto"/>
          <w:left w:val="single" w:sz="4" w:space="4" w:color="auto"/>
          <w:bottom w:val="single" w:sz="4" w:space="1" w:color="auto"/>
          <w:right w:val="single" w:sz="4" w:space="4" w:color="auto"/>
        </w:pBdr>
        <w:shd w:val="clear" w:color="auto" w:fill="DEEAF6" w:themeFill="accent1" w:themeFillTint="33"/>
      </w:pPr>
      <w:r w:rsidRPr="00F60C4A">
        <w:t>Draft Proposal:</w:t>
      </w:r>
    </w:p>
    <w:p w14:paraId="16A4F8E1" w14:textId="77777777" w:rsidR="00007886" w:rsidRDefault="00007886" w:rsidP="00CB4DEF">
      <w:pPr>
        <w:numPr>
          <w:ilvl w:val="0"/>
          <w:numId w:val="18"/>
        </w:numPr>
        <w:pBdr>
          <w:top w:val="single" w:sz="4" w:space="1" w:color="auto"/>
          <w:left w:val="single" w:sz="4" w:space="4" w:color="auto"/>
          <w:bottom w:val="single" w:sz="4" w:space="1" w:color="auto"/>
          <w:right w:val="single" w:sz="4" w:space="4" w:color="auto"/>
        </w:pBdr>
        <w:shd w:val="clear" w:color="auto" w:fill="DEEAF6" w:themeFill="accent1" w:themeFillTint="33"/>
        <w:ind w:left="567" w:hanging="567"/>
      </w:pPr>
      <w:r w:rsidRPr="00595A6C">
        <w:t>That cross-appointment arrangements between the ACMA and ACCC be strengthened in order to benefit both ACMA and ACCC decision-making.</w:t>
      </w:r>
    </w:p>
    <w:p w14:paraId="51EC80F7" w14:textId="77777777" w:rsidR="000F678C" w:rsidRPr="0046716B" w:rsidRDefault="000F678C" w:rsidP="0010458B">
      <w:pPr>
        <w:pStyle w:val="Heading4"/>
      </w:pPr>
      <w:bookmarkStart w:id="265" w:name="_Toc449619995"/>
      <w:bookmarkStart w:id="266" w:name="_Toc450310146"/>
      <w:r>
        <w:t>C</w:t>
      </w:r>
      <w:r w:rsidRPr="00D272AA">
        <w:t xml:space="preserve">onsumer </w:t>
      </w:r>
      <w:bookmarkStart w:id="267" w:name="_Toc435112162"/>
      <w:bookmarkStart w:id="268" w:name="_Toc436923347"/>
      <w:bookmarkStart w:id="269" w:name="_Toc437440649"/>
      <w:r w:rsidRPr="00D272AA">
        <w:t>protection</w:t>
      </w:r>
      <w:r>
        <w:t>s</w:t>
      </w:r>
      <w:bookmarkEnd w:id="265"/>
      <w:bookmarkEnd w:id="266"/>
    </w:p>
    <w:p w14:paraId="791C6A87" w14:textId="77777777" w:rsidR="000F678C" w:rsidRDefault="000F678C" w:rsidP="000F678C">
      <w:pPr>
        <w:mirrorIndents/>
      </w:pPr>
      <w:r w:rsidRPr="00312EC0">
        <w:t xml:space="preserve">The Review has given detailed consideration to the institutional arrangements </w:t>
      </w:r>
      <w:r>
        <w:t>that oversee trade practices and</w:t>
      </w:r>
      <w:r w:rsidRPr="00312EC0">
        <w:t xml:space="preserve"> </w:t>
      </w:r>
      <w:r>
        <w:t>consumer protections</w:t>
      </w:r>
      <w:r w:rsidRPr="00312EC0">
        <w:t xml:space="preserve"> within the communications </w:t>
      </w:r>
      <w:r>
        <w:t>sector</w:t>
      </w:r>
      <w:r w:rsidRPr="00312EC0">
        <w:t>.</w:t>
      </w:r>
    </w:p>
    <w:p w14:paraId="522FC556" w14:textId="1F055ACF" w:rsidR="000F678C" w:rsidRDefault="000F678C" w:rsidP="000F678C">
      <w:pPr>
        <w:mirrorIndents/>
        <w:rPr>
          <w:b/>
        </w:rPr>
      </w:pPr>
      <w:r>
        <w:t>Currently, the ACCC,</w:t>
      </w:r>
      <w:r w:rsidRPr="00683F06">
        <w:t xml:space="preserve"> </w:t>
      </w:r>
      <w:r>
        <w:t>the ACMA and the Telecommunications Industry Ombudsman (TIO) all perform functions in regard to communications consumer safeguards and protection.</w:t>
      </w:r>
    </w:p>
    <w:p w14:paraId="0DB25DAB" w14:textId="77777777" w:rsidR="000F678C" w:rsidRDefault="000F678C" w:rsidP="000F678C">
      <w:pPr>
        <w:mirrorIndents/>
      </w:pPr>
      <w:r>
        <w:t>U</w:t>
      </w:r>
      <w:r w:rsidRPr="00AF0647">
        <w:t>nder the Australian Consumer Law</w:t>
      </w:r>
      <w:r>
        <w:t xml:space="preserve"> (ACL), t</w:t>
      </w:r>
      <w:r w:rsidRPr="00AF0647">
        <w:t>he ACCC</w:t>
      </w:r>
      <w:r>
        <w:t xml:space="preserve"> </w:t>
      </w:r>
      <w:r w:rsidRPr="00AF0647">
        <w:t>is responsible for general consumer protection</w:t>
      </w:r>
      <w:r>
        <w:t xml:space="preserve"> across various industries</w:t>
      </w:r>
      <w:r w:rsidRPr="00AF0647">
        <w:t xml:space="preserve">. </w:t>
      </w:r>
      <w:r>
        <w:t>Administration and enforcement of the ACL is also the responsibility of the state and territory fair trading agencies. In addition, t</w:t>
      </w:r>
      <w:r w:rsidRPr="00AF0647">
        <w:t xml:space="preserve">he ACMA </w:t>
      </w:r>
      <w:r>
        <w:t xml:space="preserve">has registered the Telecommunications Consumer Protections Code (TCP Code) using its code-making powers under Part 6 of the Telecommunications Act. The TCP Code provides detailed industry-specific guidelines to be followed by providers of telecommunication services in relation to matters including customer service, contracts, billing, debt management and complaint handling. </w:t>
      </w:r>
      <w:r w:rsidRPr="00AF0647">
        <w:t xml:space="preserve">The TIO </w:t>
      </w:r>
      <w:r>
        <w:t>provides a resolution mechanism for certain telecommunications and internet consumer complaints</w:t>
      </w:r>
      <w:r w:rsidRPr="00AF0647">
        <w:t>. A</w:t>
      </w:r>
      <w:r>
        <w:t>dditionally, a</w:t>
      </w:r>
      <w:r w:rsidRPr="00AF0647">
        <w:t xml:space="preserve"> number of codes </w:t>
      </w:r>
      <w:r>
        <w:t xml:space="preserve">registered by the ACMA </w:t>
      </w:r>
      <w:r w:rsidRPr="00AF0647">
        <w:t xml:space="preserve">replicate </w:t>
      </w:r>
      <w:r>
        <w:t xml:space="preserve">privacy </w:t>
      </w:r>
      <w:r w:rsidRPr="00AF0647">
        <w:t xml:space="preserve">protections that are the responsibility of the </w:t>
      </w:r>
      <w:r>
        <w:t xml:space="preserve">Information </w:t>
      </w:r>
      <w:r w:rsidRPr="00AF0647">
        <w:t>Commissioner.</w:t>
      </w:r>
    </w:p>
    <w:p w14:paraId="0EC03267" w14:textId="77777777" w:rsidR="00EB2B81" w:rsidRDefault="000F678C" w:rsidP="000F678C">
      <w:pPr>
        <w:mirrorIndents/>
      </w:pPr>
      <w:r>
        <w:t xml:space="preserve">Economy wide </w:t>
      </w:r>
      <w:r w:rsidRPr="007B3DE0">
        <w:t xml:space="preserve">regulation, such as </w:t>
      </w:r>
      <w:r>
        <w:t xml:space="preserve">the ACL, </w:t>
      </w:r>
      <w:r w:rsidRPr="007B3DE0">
        <w:t xml:space="preserve">establishes </w:t>
      </w:r>
      <w:r>
        <w:t xml:space="preserve">key </w:t>
      </w:r>
      <w:r w:rsidRPr="007B3DE0">
        <w:t xml:space="preserve">rights </w:t>
      </w:r>
      <w:r>
        <w:t>and</w:t>
      </w:r>
      <w:r w:rsidRPr="007B3DE0">
        <w:t xml:space="preserve"> obligations that apply across </w:t>
      </w:r>
      <w:r>
        <w:t xml:space="preserve">all </w:t>
      </w:r>
      <w:r w:rsidRPr="007B3DE0">
        <w:t xml:space="preserve">industries within the </w:t>
      </w:r>
      <w:r>
        <w:t>Australian</w:t>
      </w:r>
      <w:r w:rsidRPr="00A57586">
        <w:t xml:space="preserve"> </w:t>
      </w:r>
      <w:r w:rsidRPr="007B3DE0">
        <w:t>economy. The protections afforded under the ACL are triggered by certain types of behaviour and conduct, and no</w:t>
      </w:r>
      <w:r w:rsidRPr="006B10B5">
        <w:t xml:space="preserve">t by the industry </w:t>
      </w:r>
      <w:r>
        <w:t>to which it is related</w:t>
      </w:r>
      <w:r w:rsidRPr="006B10B5">
        <w:t>.</w:t>
      </w:r>
      <w:r>
        <w:t xml:space="preserve"> This has many benefits including reducing the cost of regulation to business, providing for consistent economy wide protections and automatically extending existing norms to new products and services.</w:t>
      </w:r>
    </w:p>
    <w:p w14:paraId="7E5A659E" w14:textId="2B796702" w:rsidR="000F678C" w:rsidRDefault="000F678C" w:rsidP="000F678C">
      <w:pPr>
        <w:mirrorIndents/>
      </w:pPr>
      <w:r w:rsidRPr="007B3DE0">
        <w:t>However</w:t>
      </w:r>
      <w:r>
        <w:t>,</w:t>
      </w:r>
      <w:r w:rsidRPr="007B3DE0">
        <w:t xml:space="preserve"> for indus</w:t>
      </w:r>
      <w:r w:rsidRPr="00693B22">
        <w:t xml:space="preserve">tries </w:t>
      </w:r>
      <w:r>
        <w:t>with</w:t>
      </w:r>
      <w:r w:rsidR="00E549A3">
        <w:t> million</w:t>
      </w:r>
      <w:r w:rsidRPr="007B3DE0">
        <w:t>s of customers, a threshold of product and service complexity (such as communications), and which are of central importance to the economy</w:t>
      </w:r>
      <w:r>
        <w:t>,</w:t>
      </w:r>
      <w:r w:rsidRPr="007B3DE0">
        <w:t xml:space="preserve"> </w:t>
      </w:r>
      <w:r>
        <w:t xml:space="preserve">the Review considers that </w:t>
      </w:r>
      <w:r w:rsidRPr="007B3DE0">
        <w:t>a reliance on high</w:t>
      </w:r>
      <w:r w:rsidR="003C6EEA">
        <w:t xml:space="preserve"> </w:t>
      </w:r>
      <w:r w:rsidRPr="007B3DE0">
        <w:t>level norms of conduct set</w:t>
      </w:r>
      <w:r w:rsidRPr="00693B22">
        <w:t xml:space="preserve"> out in general consumer law do</w:t>
      </w:r>
      <w:r>
        <w:t>es</w:t>
      </w:r>
      <w:r w:rsidRPr="007B3DE0">
        <w:t xml:space="preserve"> not provide consumers with sufficient confidence, or industry with sufficient clarity, about expectations in relation to business practices. </w:t>
      </w:r>
      <w:r>
        <w:t>This absence of institutional focus on more complex issues unique to the communications sector is likely to</w:t>
      </w:r>
      <w:r w:rsidRPr="007B3DE0">
        <w:t xml:space="preserve"> </w:t>
      </w:r>
      <w:r>
        <w:t>lead to</w:t>
      </w:r>
      <w:r w:rsidRPr="007B3DE0">
        <w:t xml:space="preserve"> poor outcomes and </w:t>
      </w:r>
      <w:r w:rsidRPr="00A57586">
        <w:t>high</w:t>
      </w:r>
      <w:r>
        <w:t>er</w:t>
      </w:r>
      <w:r w:rsidRPr="007B3DE0">
        <w:t xml:space="preserve"> volumes of </w:t>
      </w:r>
      <w:r>
        <w:t xml:space="preserve">consumer </w:t>
      </w:r>
      <w:r w:rsidRPr="007B3DE0">
        <w:t xml:space="preserve">complaints and disputes. Having to engage in </w:t>
      </w:r>
      <w:r>
        <w:t xml:space="preserve">complaint and </w:t>
      </w:r>
      <w:r w:rsidRPr="00A57586">
        <w:t>dispute</w:t>
      </w:r>
      <w:r>
        <w:t xml:space="preserve"> resolution</w:t>
      </w:r>
      <w:r w:rsidRPr="007B3DE0">
        <w:t xml:space="preserve"> processes imposes significant costs on all parties involved</w:t>
      </w:r>
      <w:r w:rsidR="005F14ED">
        <w:t>—</w:t>
      </w:r>
      <w:r w:rsidRPr="007B3DE0">
        <w:t>industry, government and consume</w:t>
      </w:r>
      <w:r w:rsidRPr="006B10B5">
        <w:t>rs.</w:t>
      </w:r>
    </w:p>
    <w:p w14:paraId="6CF9542F" w14:textId="0DFDEE64" w:rsidR="000F678C" w:rsidRDefault="000F678C" w:rsidP="000F678C">
      <w:r>
        <w:t>Given the complex nature of products, services and devices in the communications sector, the Review has reached the view that the telecommunications consumer protection roles of the ACCC and ACMA complement rather than duplicate one another. Through the TCP Code, the ACMA is able to employ its industry-specific expertise to promote compliance with consumer protections which are tailored to particular requirements of the communications industry and which complements and builds on the core rights and obligations set out in the ACL.</w:t>
      </w:r>
    </w:p>
    <w:p w14:paraId="341F7D98" w14:textId="6B71747E" w:rsidR="000F678C" w:rsidRPr="00C46989" w:rsidRDefault="000F678C" w:rsidP="000F678C">
      <w:r>
        <w:t>There is however scope to improve the current framework by ensuring legislation and/or statements of regulatory policy provide a clearer articulation of the interface between the economy wide consumer policy framework and industry-specific regulation designed to extend additional protections to consumers. These matters are being considered as part of the review of the ACL currently being undertaken by Consumer Affairs Australia and New Zealand.</w:t>
      </w:r>
      <w:r>
        <w:rPr>
          <w:rStyle w:val="FootnoteReference"/>
        </w:rPr>
        <w:footnoteReference w:id="69"/>
      </w:r>
      <w:r w:rsidR="000441E2">
        <w:t xml:space="preserve"> The Government proposes</w:t>
      </w:r>
      <w:r w:rsidR="000441E2" w:rsidRPr="000441E2">
        <w:rPr>
          <w:rFonts w:cs="Times New Roman"/>
        </w:rPr>
        <w:t xml:space="preserve"> </w:t>
      </w:r>
      <w:r w:rsidR="000441E2" w:rsidRPr="00DA6BB0">
        <w:rPr>
          <w:rFonts w:cs="Times New Roman"/>
        </w:rPr>
        <w:t>to consider further the overall fr</w:t>
      </w:r>
      <w:r w:rsidR="000441E2">
        <w:rPr>
          <w:rFonts w:cs="Times New Roman"/>
        </w:rPr>
        <w:t>amework for consumer safeguards to</w:t>
      </w:r>
      <w:r w:rsidR="000441E2" w:rsidRPr="000441E2">
        <w:t xml:space="preserve"> </w:t>
      </w:r>
      <w:r w:rsidR="000441E2">
        <w:t>allow it to determine the appropriate regime to apply in the future</w:t>
      </w:r>
    </w:p>
    <w:p w14:paraId="37220710" w14:textId="77777777" w:rsidR="000F678C" w:rsidRDefault="000F678C" w:rsidP="00CB4DEF">
      <w:pPr>
        <w:keepNext/>
        <w:pBdr>
          <w:top w:val="single" w:sz="4" w:space="1" w:color="auto"/>
          <w:left w:val="single" w:sz="4" w:space="1" w:color="auto"/>
          <w:bottom w:val="single" w:sz="4" w:space="1" w:color="auto"/>
          <w:right w:val="single" w:sz="4" w:space="1" w:color="auto"/>
        </w:pBdr>
        <w:shd w:val="clear" w:color="auto" w:fill="DEEAF6" w:themeFill="accent1" w:themeFillTint="33"/>
      </w:pPr>
      <w:r w:rsidRPr="0087248E">
        <w:t>Draft proposal:</w:t>
      </w:r>
    </w:p>
    <w:p w14:paraId="406C07A8" w14:textId="4B4C085C" w:rsidR="000F678C" w:rsidRPr="007039C4" w:rsidRDefault="000F678C" w:rsidP="00CB4DEF">
      <w:pPr>
        <w:pStyle w:val="Bulletlevel1"/>
        <w:numPr>
          <w:ilvl w:val="0"/>
          <w:numId w:val="40"/>
        </w:numPr>
        <w:pBdr>
          <w:top w:val="single" w:sz="4" w:space="1" w:color="auto"/>
          <w:left w:val="single" w:sz="4" w:space="1" w:color="auto"/>
          <w:bottom w:val="single" w:sz="4" w:space="1" w:color="auto"/>
          <w:right w:val="single" w:sz="4" w:space="1" w:color="auto"/>
        </w:pBdr>
        <w:shd w:val="clear" w:color="auto" w:fill="DEEAF6" w:themeFill="accent1" w:themeFillTint="33"/>
        <w:ind w:left="425" w:hanging="425"/>
        <w:contextualSpacing w:val="0"/>
      </w:pPr>
      <w:r>
        <w:t>That the current institutional arrangements for communications consumer protections be retained.</w:t>
      </w:r>
    </w:p>
    <w:p w14:paraId="522BFA06" w14:textId="77777777" w:rsidR="000F678C" w:rsidRDefault="000F678C" w:rsidP="0010458B">
      <w:pPr>
        <w:pStyle w:val="Heading4"/>
      </w:pPr>
      <w:bookmarkStart w:id="270" w:name="_Toc437528402"/>
      <w:bookmarkStart w:id="271" w:name="_Toc437594259"/>
      <w:bookmarkStart w:id="272" w:name="_Toc437599285"/>
      <w:bookmarkStart w:id="273" w:name="_Toc437600390"/>
      <w:bookmarkStart w:id="274" w:name="_Toc440536932"/>
      <w:bookmarkStart w:id="275" w:name="_Toc441743828"/>
      <w:bookmarkStart w:id="276" w:name="_Toc441744270"/>
      <w:bookmarkStart w:id="277" w:name="_Toc441845089"/>
      <w:bookmarkStart w:id="278" w:name="_Toc441847342"/>
      <w:bookmarkStart w:id="279" w:name="_Toc441848274"/>
      <w:bookmarkStart w:id="280" w:name="_Toc442107117"/>
      <w:bookmarkStart w:id="281" w:name="_Toc442108769"/>
      <w:bookmarkStart w:id="282" w:name="_Toc449619996"/>
      <w:bookmarkStart w:id="283" w:name="_Toc450310147"/>
      <w:r w:rsidRPr="00A1575E">
        <w:t>Conclusion</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7C239DC7" w14:textId="77777777" w:rsidR="000F678C" w:rsidRDefault="000F678C" w:rsidP="000F678C">
      <w:r w:rsidRPr="00486F96">
        <w:t xml:space="preserve">If the proposed reallocation of functions outlined below is adopted, the ACMA’s primary regulatory </w:t>
      </w:r>
      <w:r>
        <w:t>focus will be clearly within the remit identified above. Figure 7 below outlines the new remit of the ACMA and other affected agencies.</w:t>
      </w:r>
    </w:p>
    <w:p w14:paraId="7D68E72E" w14:textId="77777777" w:rsidR="00261FE0" w:rsidRDefault="00261FE0" w:rsidP="00261FE0">
      <w:pPr>
        <w:pStyle w:val="Tablefigureheading"/>
      </w:pPr>
      <w:r w:rsidRPr="00312EC0">
        <w:t>Figure 7: Proposed new remit</w:t>
      </w:r>
    </w:p>
    <w:p w14:paraId="3C79D4B6" w14:textId="77777777" w:rsidR="00CF6194" w:rsidRDefault="00CF6194" w:rsidP="00CF6194">
      <w:r>
        <w:rPr>
          <w:noProof/>
          <w:lang w:eastAsia="en-AU"/>
        </w:rPr>
        <w:drawing>
          <wp:inline distT="0" distB="0" distL="0" distR="0" wp14:anchorId="66BDFF5E" wp14:editId="21FAB05D">
            <wp:extent cx="5926455" cy="2383790"/>
            <wp:effectExtent l="0" t="0" r="0" b="0"/>
            <wp:docPr id="26" name="Picture 26" descr="Industry: self-regulatory schemes&#10;ACMA: Classification, content regulation, Children's eSafety Commissioner; resource planning and management, licensing, technical regulation, national interest, accessibility (USO, CSG), revenue collection, consumer protection (TCP Code)&#10;ACCC: Telco competition law, telco economic regulation, consumer protection (Australian Consumer Law)&#10;AGD: Cybersecurity outreach, telecommunications interception" title="Proposed set of new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26455" cy="2383790"/>
                    </a:xfrm>
                    <a:prstGeom prst="rect">
                      <a:avLst/>
                    </a:prstGeom>
                  </pic:spPr>
                </pic:pic>
              </a:graphicData>
            </a:graphic>
          </wp:inline>
        </w:drawing>
      </w:r>
    </w:p>
    <w:p w14:paraId="28E20D7B" w14:textId="59DB13CF" w:rsidR="00CF6194" w:rsidRDefault="00CF6194" w:rsidP="00CF6194">
      <w:pPr>
        <w:ind w:left="567" w:hanging="567"/>
      </w:pPr>
      <w:r w:rsidRPr="0017287F">
        <w:t>*</w:t>
      </w:r>
      <w:r>
        <w:tab/>
      </w:r>
      <w:r w:rsidRPr="0017287F">
        <w:t xml:space="preserve">The Office of the Children's eSafety Commissioner is an independent statutory office created by the </w:t>
      </w:r>
      <w:r w:rsidRPr="0017287F">
        <w:rPr>
          <w:i/>
          <w:iCs/>
        </w:rPr>
        <w:t>Enhancing Online Safety for Children Act 2015</w:t>
      </w:r>
      <w:r w:rsidRPr="0017287F">
        <w:t xml:space="preserve">. </w:t>
      </w:r>
    </w:p>
    <w:p w14:paraId="032BE67A" w14:textId="77777777" w:rsidR="00261FE0" w:rsidRPr="00EF0DB9" w:rsidRDefault="00261FE0" w:rsidP="00CF6194">
      <w:pPr>
        <w:pStyle w:val="Heading3"/>
      </w:pPr>
      <w:bookmarkStart w:id="284" w:name="_Toc437528393"/>
      <w:bookmarkStart w:id="285" w:name="_Toc437594260"/>
      <w:bookmarkStart w:id="286" w:name="_Toc437599286"/>
      <w:bookmarkStart w:id="287" w:name="_Toc437600391"/>
      <w:bookmarkStart w:id="288" w:name="_Toc440536933"/>
      <w:bookmarkStart w:id="289" w:name="_Toc441743829"/>
      <w:bookmarkStart w:id="290" w:name="_Toc441744271"/>
      <w:bookmarkStart w:id="291" w:name="_Toc441845091"/>
      <w:bookmarkStart w:id="292" w:name="_Toc441847344"/>
      <w:bookmarkStart w:id="293" w:name="_Toc441848276"/>
      <w:bookmarkStart w:id="294" w:name="_Toc442107118"/>
      <w:bookmarkStart w:id="295" w:name="_Toc442108770"/>
      <w:bookmarkStart w:id="296" w:name="_Toc443038167"/>
      <w:bookmarkStart w:id="297" w:name="_Toc443043885"/>
      <w:bookmarkStart w:id="298" w:name="_Toc443052576"/>
      <w:bookmarkStart w:id="299" w:name="_Toc443054865"/>
      <w:bookmarkStart w:id="300" w:name="_Toc449432097"/>
      <w:bookmarkStart w:id="301" w:name="_Toc449438565"/>
      <w:bookmarkStart w:id="302" w:name="_Toc450310148"/>
      <w:bookmarkStart w:id="303" w:name="_Toc437528403"/>
      <w:r>
        <w:t>O</w:t>
      </w:r>
      <w:r w:rsidRPr="00EF0DB9">
        <w:t>bjectives</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4635920A" w14:textId="77777777" w:rsidR="00261FE0" w:rsidRDefault="00261FE0" w:rsidP="00261FE0">
      <w:bookmarkStart w:id="304" w:name="_Toc433202551"/>
      <w:bookmarkStart w:id="305" w:name="_Toc433813772"/>
      <w:bookmarkStart w:id="306" w:name="_Toc435112149"/>
      <w:bookmarkStart w:id="307" w:name="_Toc436923336"/>
      <w:bookmarkStart w:id="308" w:name="_Toc437440637"/>
      <w:bookmarkEnd w:id="304"/>
      <w:bookmarkEnd w:id="305"/>
      <w:bookmarkEnd w:id="306"/>
      <w:bookmarkEnd w:id="307"/>
      <w:bookmarkEnd w:id="308"/>
      <w:r>
        <w:t xml:space="preserve">A clear set of objectives gives a regulator the </w:t>
      </w:r>
      <w:r w:rsidDel="001B31AF">
        <w:t xml:space="preserve">opportunity </w:t>
      </w:r>
      <w:r>
        <w:t xml:space="preserve">to </w:t>
      </w:r>
      <w:r w:rsidDel="001B31AF">
        <w:t xml:space="preserve">construct </w:t>
      </w:r>
      <w:r>
        <w:t xml:space="preserve">a robust decision-making framework to guide judgements and weigh trade-offs on complex matters. The ACMA is tasked with considering a number of </w:t>
      </w:r>
      <w:r w:rsidRPr="00B35784">
        <w:t>policy objectives in the legislation it administers</w:t>
      </w:r>
      <w:r>
        <w:t>, yet the Review</w:t>
      </w:r>
      <w:r w:rsidDel="00AB3CBA">
        <w:t xml:space="preserve"> </w:t>
      </w:r>
      <w:r>
        <w:t>finds that it is not provided with clear guidance on how it should weigh these up.</w:t>
      </w:r>
    </w:p>
    <w:p w14:paraId="10305A90" w14:textId="77777777" w:rsidR="00EB2B81" w:rsidRDefault="00261FE0" w:rsidP="00261FE0">
      <w:r>
        <w:t xml:space="preserve">The importance of objectives is clear from our information gathering. As Communications </w:t>
      </w:r>
      <w:r w:rsidRPr="007C5C94">
        <w:t>Alliance notes:</w:t>
      </w:r>
    </w:p>
    <w:p w14:paraId="2A0EF106" w14:textId="77777777" w:rsidR="00261FE0" w:rsidRPr="00CB4DEF" w:rsidRDefault="00261FE0" w:rsidP="00504587">
      <w:pPr>
        <w:pStyle w:val="Quote"/>
        <w:rPr>
          <w:color w:val="auto"/>
        </w:rPr>
      </w:pPr>
      <w:r w:rsidRPr="00CB4DEF">
        <w:rPr>
          <w:color w:val="auto"/>
        </w:rPr>
        <w:t>‘One of the evident weaknesses of the current legislative and regulatory framework … is that the objectives of the ACMA are not spelled out—neither in the ACMA Act 2005 (which does, however, provide an extensive list of the ACMA’s functions), nor elsewhere …’</w:t>
      </w:r>
      <w:r w:rsidRPr="00CB4DEF">
        <w:rPr>
          <w:rStyle w:val="FootnoteReference"/>
          <w:color w:val="auto"/>
        </w:rPr>
        <w:footnoteReference w:id="70"/>
      </w:r>
    </w:p>
    <w:p w14:paraId="1A413B30" w14:textId="77777777" w:rsidR="00261FE0" w:rsidRDefault="00261FE0" w:rsidP="00261FE0">
      <w:r>
        <w:t>As DigEcon Research observes, “The reality is that the ACMA Act at no time specifies an objective for the organisation.”</w:t>
      </w:r>
      <w:r>
        <w:rPr>
          <w:rStyle w:val="FootnoteReference"/>
        </w:rPr>
        <w:footnoteReference w:id="71"/>
      </w:r>
      <w:r>
        <w:t xml:space="preserve"> Vodafone Hutchison Australia considers that the ACMA “must have a clearly-defined, coherent statutory mandate which minimises areas of overlap with other regulators and decision makers.”</w:t>
      </w:r>
      <w:r>
        <w:rPr>
          <w:rStyle w:val="FootnoteReference"/>
        </w:rPr>
        <w:footnoteReference w:id="72"/>
      </w:r>
    </w:p>
    <w:p w14:paraId="53886944" w14:textId="77777777" w:rsidR="00261FE0" w:rsidRDefault="00261FE0" w:rsidP="00261FE0">
      <w:r>
        <w:t>As the OECD notes, ‘unless clear objectives are specified, the regulator may not have sufficient context to establish priorities, processes and boundaries for its work’.</w:t>
      </w:r>
      <w:r>
        <w:rPr>
          <w:rStyle w:val="FootnoteReference"/>
        </w:rPr>
        <w:footnoteReference w:id="73"/>
      </w:r>
      <w:r>
        <w:t xml:space="preserve"> The Australian National Audit Office (ANAO) recommends objectives of the regulatory regime should be clearly outlined in legislation and communicated to key stakeholders to enable a regulator to meet the Government’s desired policy objectives and respond effectively to regulatory risk.</w:t>
      </w:r>
      <w:r>
        <w:rPr>
          <w:rStyle w:val="FootnoteReference"/>
        </w:rPr>
        <w:footnoteReference w:id="74"/>
      </w:r>
    </w:p>
    <w:p w14:paraId="333B44D3" w14:textId="77777777" w:rsidR="00261FE0" w:rsidRDefault="00261FE0" w:rsidP="00261FE0">
      <w:r>
        <w:t>A significant number of stakeholders wanted two kinds of objectives for the ACMA</w:t>
      </w:r>
      <w:r w:rsidR="005F14ED">
        <w:t>—</w:t>
      </w:r>
      <w:r>
        <w:t>firstly, a set of overarching policy objectives that would give the ACMA clarity of vision for the future, and secondly, legislated regulator principles that would give it guidance about the manner in which it regulates.</w:t>
      </w:r>
    </w:p>
    <w:p w14:paraId="03CC1472" w14:textId="77777777" w:rsidR="00EB2B81" w:rsidRDefault="00261FE0" w:rsidP="00261FE0">
      <w:r>
        <w:t>The Review has considered how such objectives could be developed. As discussed below, the Review finds that, while it would be desirable for the ACMA to have an overarching set of policy objectives, it is not practical to develop such objectives until the policy objectives set out in the various pieces of legislation it administers are reformed. The Review does however find that it is possible, and desirable, to set regulator principles guiding the manner in which the ACMA is to regulate. This is discussed further in Part Three of this report and a set of such principles is set out in Draft Proposal 18.</w:t>
      </w:r>
    </w:p>
    <w:p w14:paraId="4738F8F5" w14:textId="77777777" w:rsidR="00EB2B81" w:rsidRDefault="00261FE0" w:rsidP="00CF6194">
      <w:pPr>
        <w:pStyle w:val="Heading4"/>
      </w:pPr>
      <w:bookmarkStart w:id="309" w:name="_Toc449619998"/>
      <w:bookmarkStart w:id="310" w:name="_Toc450310149"/>
      <w:r w:rsidRPr="00312EC0">
        <w:t>Overarching policy objectives</w:t>
      </w:r>
      <w:bookmarkEnd w:id="309"/>
      <w:bookmarkEnd w:id="310"/>
    </w:p>
    <w:p w14:paraId="6FB3BAE6" w14:textId="77777777" w:rsidR="00261FE0" w:rsidRDefault="00261FE0" w:rsidP="00261FE0">
      <w:r>
        <w:t>Any overarching purpose for the communications regulator must be consistent with any policy objectives in the individual pieces of legislation it administers.</w:t>
      </w:r>
    </w:p>
    <w:p w14:paraId="5D15F8F9" w14:textId="77777777" w:rsidR="00261FE0" w:rsidRDefault="00261FE0" w:rsidP="00261FE0">
      <w:r>
        <w:t xml:space="preserve">The existing aims of broadcasting policy are stated as objects in section 3 of the </w:t>
      </w:r>
      <w:r w:rsidRPr="00CB4DEF">
        <w:t>Broadcasting Services Act</w:t>
      </w:r>
      <w:r>
        <w:t>. There are 19 in total, representing an accumulation of long-standing and more recent cultural, social and economic aspirations for the broadcasting and production industries. They also reflect the view of Parliaments over more than two decades about (primarily) traditional broadcasting and include elements of the role of these media in ‘nation-building’:</w:t>
      </w:r>
    </w:p>
    <w:p w14:paraId="2EFD4632" w14:textId="77777777" w:rsidR="00261FE0" w:rsidRDefault="00261FE0" w:rsidP="00EB2B81">
      <w:pPr>
        <w:pStyle w:val="Bulletlevel1"/>
      </w:pPr>
      <w:r>
        <w:t>expressing a national cultural identity;</w:t>
      </w:r>
    </w:p>
    <w:p w14:paraId="457AA88E" w14:textId="77777777" w:rsidR="00261FE0" w:rsidRDefault="00261FE0" w:rsidP="00261FE0">
      <w:pPr>
        <w:pStyle w:val="Bulletlevel1"/>
      </w:pPr>
      <w:r>
        <w:t>connecting remote communities;</w:t>
      </w:r>
    </w:p>
    <w:p w14:paraId="0DA138DD" w14:textId="77777777" w:rsidR="00261FE0" w:rsidRDefault="00261FE0" w:rsidP="00261FE0">
      <w:pPr>
        <w:pStyle w:val="Bulletlevel1"/>
      </w:pPr>
      <w:r>
        <w:t>informing the public; and</w:t>
      </w:r>
    </w:p>
    <w:p w14:paraId="7D0F31A0" w14:textId="77777777" w:rsidR="00261FE0" w:rsidRDefault="00261FE0" w:rsidP="00261FE0">
      <w:pPr>
        <w:pStyle w:val="Bulletlevel1"/>
      </w:pPr>
      <w:r>
        <w:t>underpinning the democratic process.</w:t>
      </w:r>
    </w:p>
    <w:p w14:paraId="4AEFC1EF" w14:textId="77777777" w:rsidR="00EB2B81" w:rsidRDefault="00261FE0" w:rsidP="00261FE0">
      <w:r>
        <w:t xml:space="preserve">The breadth of the objects of the </w:t>
      </w:r>
      <w:r w:rsidRPr="00CB4DEF">
        <w:t>Broadcasting Services Act</w:t>
      </w:r>
      <w:r w:rsidRPr="00FD4476">
        <w:rPr>
          <w:i/>
        </w:rPr>
        <w:t xml:space="preserve"> </w:t>
      </w:r>
      <w:r>
        <w:t xml:space="preserve">means that unambiguous policy objectives for broadcasting are difficult to discern. </w:t>
      </w:r>
      <w:r w:rsidRPr="00487857">
        <w:t xml:space="preserve">It also means that measures often need to be balanced against a number of objectives, which presents issues for administration of regulation, particularly where there is a requirement that regulatory activity be focused specifically on ‘furthering the objectives of the </w:t>
      </w:r>
      <w:r w:rsidRPr="00CB4DEF">
        <w:t>Broadcasting Services Act’</w:t>
      </w:r>
      <w:r w:rsidRPr="00487857">
        <w:t>.</w:t>
      </w:r>
    </w:p>
    <w:p w14:paraId="6AEFBC92" w14:textId="3C652DA2" w:rsidR="00261FE0" w:rsidRDefault="00261FE0" w:rsidP="00261FE0">
      <w:r w:rsidRPr="00487857">
        <w:t>There are currently 14 regulatory objectives for the telecommunication</w:t>
      </w:r>
      <w:r>
        <w:t xml:space="preserve">s sector. These are set out in section 3 of the </w:t>
      </w:r>
      <w:r w:rsidRPr="00CB4DEF">
        <w:t>Telecommunications Act</w:t>
      </w:r>
      <w:r w:rsidRPr="00487857">
        <w:t xml:space="preserve"> and also apply to the </w:t>
      </w:r>
      <w:r w:rsidRPr="00487857">
        <w:rPr>
          <w:i/>
        </w:rPr>
        <w:t>Telecommunications (Consumer Protection and Service Standards) Act 1999</w:t>
      </w:r>
      <w:r w:rsidRPr="00487857">
        <w:t xml:space="preserve">, which brings together consumer specific regulation related to telecommunications. The objects must be read in conjunction with Parts XIB and XIC of the </w:t>
      </w:r>
      <w:r w:rsidRPr="00487857">
        <w:rPr>
          <w:i/>
        </w:rPr>
        <w:t>Competition and Consumer Act 2010</w:t>
      </w:r>
      <w:r w:rsidRPr="00487857">
        <w:t xml:space="preserve"> which </w:t>
      </w:r>
      <w:r>
        <w:t>provide</w:t>
      </w:r>
      <w:r w:rsidRPr="00487857">
        <w:t xml:space="preserve"> telecommunications-specific </w:t>
      </w:r>
      <w:r>
        <w:t>competition and access rules</w:t>
      </w:r>
      <w:r w:rsidRPr="00487857">
        <w:t>. There are additi</w:t>
      </w:r>
      <w:r>
        <w:t xml:space="preserve">onal specific objectives for </w:t>
      </w:r>
      <w:r w:rsidR="0020342E">
        <w:t>nbn</w:t>
      </w:r>
      <w:r w:rsidRPr="00487857">
        <w:t xml:space="preserve"> included in the</w:t>
      </w:r>
      <w:r w:rsidRPr="00487857">
        <w:rPr>
          <w:i/>
        </w:rPr>
        <w:t xml:space="preserve"> National Broadband Network Companies Act 2011 </w:t>
      </w:r>
      <w:r w:rsidRPr="00487857">
        <w:t>which set out Parliament’s ownership and wholesale-on</w:t>
      </w:r>
      <w:r>
        <w:t>ly intentions for the company.</w:t>
      </w:r>
    </w:p>
    <w:p w14:paraId="0A222993" w14:textId="77777777" w:rsidR="00261FE0" w:rsidRDefault="00261FE0" w:rsidP="00261FE0">
      <w:r w:rsidRPr="00487857">
        <w:t xml:space="preserve">There are eight objects of the </w:t>
      </w:r>
      <w:r w:rsidRPr="00487857">
        <w:rPr>
          <w:i/>
        </w:rPr>
        <w:t>Radiocommunications Act 1992</w:t>
      </w:r>
      <w:r w:rsidRPr="00487857">
        <w:t>, all of equal weight. The most often referred to are the first two objects:</w:t>
      </w:r>
    </w:p>
    <w:p w14:paraId="5BA19BAE" w14:textId="77777777" w:rsidR="00261FE0" w:rsidRDefault="00261FE0" w:rsidP="00EB2B81">
      <w:pPr>
        <w:pStyle w:val="Bulletlevel1"/>
      </w:pPr>
      <w:r>
        <w:t>to maximise the overall public benefit from using the radiofrequency spectrum by ensuring the efficient allocation and use of the spectrum; and</w:t>
      </w:r>
    </w:p>
    <w:p w14:paraId="61DE53A7" w14:textId="77777777" w:rsidR="00261FE0" w:rsidRPr="00487857" w:rsidRDefault="00261FE0" w:rsidP="00261FE0">
      <w:pPr>
        <w:pStyle w:val="Bulletlevel1"/>
      </w:pPr>
      <w:r>
        <w:t>to make adequate provision of spectrum for defence, national security, law enforcement and emergency services agencies, and other public or community services.</w:t>
      </w:r>
    </w:p>
    <w:p w14:paraId="293C07A9" w14:textId="77777777" w:rsidR="00EB2B81" w:rsidRDefault="00261FE0" w:rsidP="00261FE0">
      <w:r>
        <w:t>Of course, communications legislative objectives describe desired outcomes for the entire communications regulatory regime, and not just the actions of the ACMA. However, the ACMA has responsibility for administering many aspects of the regulatory regime and therefore must take into account at some time most of these existing objectives.</w:t>
      </w:r>
    </w:p>
    <w:p w14:paraId="7EFE97A3" w14:textId="77777777" w:rsidR="00261FE0" w:rsidRDefault="00261FE0" w:rsidP="00261FE0">
      <w:pPr>
        <w:rPr>
          <w:highlight w:val="yellow"/>
        </w:rPr>
      </w:pPr>
      <w:r>
        <w:t>While in principle developing a succinct set of policy objectives in its enabling legislation could be a valuable framework to guide the regulator, under the current communications legislative regime, it would likely add to inconsistency and present additional complexity. The Review</w:t>
      </w:r>
      <w:r w:rsidDel="00AB3CBA">
        <w:t xml:space="preserve"> </w:t>
      </w:r>
      <w:r>
        <w:t>therefore does not recommend this approach. The Review</w:t>
      </w:r>
      <w:r w:rsidDel="00AB3CBA">
        <w:t xml:space="preserve"> </w:t>
      </w:r>
      <w:r>
        <w:t xml:space="preserve">does however consider that it should be a priority as future reform of the communications regulatory regime is undertaken that the various objectives in these Acts are reviewed and the ACMA is provided with a clear set of overarching policy objectives to guide its decision-making. </w:t>
      </w:r>
      <w:r w:rsidRPr="00156177">
        <w:t xml:space="preserve">For example, the Spectrum Review aims to </w:t>
      </w:r>
      <w:r w:rsidRPr="0073336E">
        <w:t xml:space="preserve">simplify </w:t>
      </w:r>
      <w:r w:rsidRPr="00312EC0">
        <w:t xml:space="preserve">the spectrum management </w:t>
      </w:r>
      <w:r w:rsidRPr="00156177">
        <w:t>framework and as such has p</w:t>
      </w:r>
      <w:r w:rsidRPr="0073336E">
        <w:t xml:space="preserve">roposed reforms to the </w:t>
      </w:r>
      <w:r w:rsidRPr="00312EC0">
        <w:rPr>
          <w:i/>
        </w:rPr>
        <w:t>Radiocommunications Act 1992</w:t>
      </w:r>
      <w:r w:rsidRPr="00156177">
        <w:t xml:space="preserve"> </w:t>
      </w:r>
      <w:r w:rsidRPr="00312EC0">
        <w:t>to</w:t>
      </w:r>
      <w:r>
        <w:t xml:space="preserve"> redraft its objectives to promote their clarity and usefulness to guide administration and application of the legislation</w:t>
      </w:r>
      <w:r>
        <w:rPr>
          <w:rStyle w:val="FootnoteReference"/>
        </w:rPr>
        <w:footnoteReference w:id="75"/>
      </w:r>
      <w:r w:rsidRPr="00312EC0">
        <w:t>.</w:t>
      </w:r>
    </w:p>
    <w:p w14:paraId="080C3FBB" w14:textId="77777777" w:rsidR="00CF6194" w:rsidRPr="00862C0B" w:rsidRDefault="00CF6194" w:rsidP="00CB4DEF">
      <w:pPr>
        <w:pBdr>
          <w:top w:val="single" w:sz="4" w:space="1" w:color="auto"/>
          <w:left w:val="single" w:sz="4" w:space="4" w:color="auto"/>
          <w:bottom w:val="single" w:sz="4" w:space="1" w:color="auto"/>
          <w:right w:val="single" w:sz="4" w:space="4" w:color="auto"/>
        </w:pBdr>
        <w:shd w:val="clear" w:color="auto" w:fill="DEEAF6" w:themeFill="accent1" w:themeFillTint="33"/>
      </w:pPr>
      <w:r w:rsidRPr="00862C0B">
        <w:t>Draft proposal:</w:t>
      </w:r>
    </w:p>
    <w:p w14:paraId="58F5919E" w14:textId="77777777" w:rsidR="00CF6194" w:rsidRDefault="00CF6194" w:rsidP="00CB4DEF">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ind w:left="567" w:hanging="567"/>
      </w:pPr>
      <w:r>
        <w:t>That, as a priority as future reform is undertaken, the government provide the ACMA with a clear set of overarching policy objectives to guide its decision-making.</w:t>
      </w:r>
    </w:p>
    <w:p w14:paraId="5FE04C70" w14:textId="77777777" w:rsidR="00261FE0" w:rsidRPr="00EF0DB9" w:rsidRDefault="00261FE0" w:rsidP="00CF6194">
      <w:pPr>
        <w:pStyle w:val="Heading3"/>
      </w:pPr>
      <w:bookmarkStart w:id="311" w:name="_Toc437594261"/>
      <w:bookmarkStart w:id="312" w:name="_Toc437599287"/>
      <w:bookmarkStart w:id="313" w:name="_Toc437600392"/>
      <w:bookmarkStart w:id="314" w:name="_Toc440536934"/>
      <w:bookmarkStart w:id="315" w:name="_Toc441743830"/>
      <w:bookmarkStart w:id="316" w:name="_Toc441744272"/>
      <w:bookmarkStart w:id="317" w:name="_Toc441845092"/>
      <w:bookmarkStart w:id="318" w:name="_Toc441847345"/>
      <w:bookmarkStart w:id="319" w:name="_Toc441848277"/>
      <w:bookmarkStart w:id="320" w:name="_Toc442107119"/>
      <w:bookmarkStart w:id="321" w:name="_Toc442108771"/>
      <w:bookmarkStart w:id="322" w:name="_Toc443038168"/>
      <w:bookmarkStart w:id="323" w:name="_Toc443043886"/>
      <w:bookmarkStart w:id="324" w:name="_Toc443052577"/>
      <w:bookmarkStart w:id="325" w:name="_Toc443054866"/>
      <w:bookmarkStart w:id="326" w:name="_Toc449432098"/>
      <w:bookmarkStart w:id="327" w:name="_Toc449438566"/>
      <w:bookmarkStart w:id="328" w:name="_Toc450310150"/>
      <w:r w:rsidRPr="00EF0DB9">
        <w:t>Governance</w:t>
      </w:r>
      <w:bookmarkEnd w:id="303"/>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3AE1500F" w14:textId="77777777" w:rsidR="00EB2B81" w:rsidRDefault="00261FE0" w:rsidP="00261FE0">
      <w:r w:rsidRPr="0046716B">
        <w:t xml:space="preserve">As noted </w:t>
      </w:r>
      <w:r>
        <w:t xml:space="preserve">in the Communications Market segment of </w:t>
      </w:r>
      <w:r w:rsidRPr="0046716B">
        <w:t xml:space="preserve">this report, there is </w:t>
      </w:r>
      <w:r>
        <w:t>significant</w:t>
      </w:r>
      <w:r w:rsidRPr="0046716B">
        <w:t xml:space="preserve"> pressure for the regulator to ensure it is knowledgeable, adaptable, and responsive to </w:t>
      </w:r>
      <w:r>
        <w:t>changes in market dynamics</w:t>
      </w:r>
      <w:r w:rsidRPr="0046716B">
        <w:t xml:space="preserve"> and </w:t>
      </w:r>
      <w:r>
        <w:t xml:space="preserve">industry </w:t>
      </w:r>
      <w:r w:rsidRPr="0046716B">
        <w:t>feedback.</w:t>
      </w:r>
    </w:p>
    <w:p w14:paraId="70C93473" w14:textId="77777777" w:rsidR="00261FE0" w:rsidRPr="0046716B" w:rsidRDefault="00261FE0" w:rsidP="00261FE0">
      <w:r w:rsidRPr="0046716B">
        <w:t xml:space="preserve">The </w:t>
      </w:r>
      <w:r>
        <w:t>ACMA</w:t>
      </w:r>
      <w:r w:rsidRPr="0046716B">
        <w:t xml:space="preserve"> is already operating and adapting well to the</w:t>
      </w:r>
      <w:r>
        <w:t>se</w:t>
      </w:r>
      <w:r w:rsidRPr="0046716B">
        <w:t xml:space="preserve"> changes and pressures, and has been cognisant of the need to prioritise its resources to meet these demands. However, it is timely to consider alternative models for its </w:t>
      </w:r>
      <w:r>
        <w:t xml:space="preserve">governance </w:t>
      </w:r>
      <w:r w:rsidRPr="0046716B">
        <w:t xml:space="preserve">structure to ensure continued and sustained performance in the face </w:t>
      </w:r>
      <w:r>
        <w:t>of an increasingly complex operating environment</w:t>
      </w:r>
      <w:r w:rsidRPr="0046716B">
        <w:t>.</w:t>
      </w:r>
    </w:p>
    <w:p w14:paraId="71EE1A48" w14:textId="77777777" w:rsidR="00261FE0" w:rsidRPr="0046716B" w:rsidRDefault="00261FE0" w:rsidP="00261FE0">
      <w:r w:rsidRPr="0046716B">
        <w:t xml:space="preserve">There has never been a greater need to </w:t>
      </w:r>
      <w:r>
        <w:t xml:space="preserve">make sure </w:t>
      </w:r>
      <w:r w:rsidRPr="0046716B">
        <w:t xml:space="preserve">government intervention in this sector is appropriately balanced to ensure the best outcomes for both industry and consumers. This is especially </w:t>
      </w:r>
      <w:r>
        <w:t>the case</w:t>
      </w:r>
      <w:r w:rsidRPr="0046716B">
        <w:t xml:space="preserve"> when it </w:t>
      </w:r>
      <w:r>
        <w:t xml:space="preserve">is impossible to foresee the many </w:t>
      </w:r>
      <w:r w:rsidRPr="0046716B">
        <w:t xml:space="preserve">innovations and changes within the sector yet to </w:t>
      </w:r>
      <w:r>
        <w:t>come</w:t>
      </w:r>
      <w:r w:rsidRPr="0046716B">
        <w:t>.</w:t>
      </w:r>
    </w:p>
    <w:p w14:paraId="56733BC2" w14:textId="77777777" w:rsidR="00261FE0" w:rsidRPr="0046716B" w:rsidRDefault="00261FE0" w:rsidP="00261FE0">
      <w:r w:rsidRPr="0046716B">
        <w:t xml:space="preserve">To </w:t>
      </w:r>
      <w:r>
        <w:t>make sure</w:t>
      </w:r>
      <w:r w:rsidRPr="0046716B">
        <w:t xml:space="preserve"> </w:t>
      </w:r>
      <w:r>
        <w:t xml:space="preserve">the ACMA </w:t>
      </w:r>
      <w:r w:rsidRPr="0046716B">
        <w:t>can continue to perform its functions effectively in such a dynamic environment, its structure, the skills of members, and its interaction with the industry, consumers and staff that manage its daily operations must be effective, adaptable and insightful.</w:t>
      </w:r>
    </w:p>
    <w:p w14:paraId="1DC86835" w14:textId="77777777" w:rsidR="00261FE0" w:rsidRPr="00A1575E" w:rsidRDefault="00261FE0" w:rsidP="00CF6194">
      <w:pPr>
        <w:pStyle w:val="Heading4"/>
      </w:pPr>
      <w:bookmarkStart w:id="329" w:name="_Toc427774629"/>
      <w:bookmarkStart w:id="330" w:name="_Toc432606942"/>
      <w:bookmarkStart w:id="331" w:name="_Toc433813782"/>
      <w:bookmarkStart w:id="332" w:name="_Toc435112165"/>
      <w:bookmarkStart w:id="333" w:name="_Toc436923350"/>
      <w:bookmarkStart w:id="334" w:name="_Toc437440652"/>
      <w:bookmarkStart w:id="335" w:name="_Toc437528405"/>
      <w:bookmarkStart w:id="336" w:name="_Toc437594263"/>
      <w:bookmarkStart w:id="337" w:name="_Toc449620000"/>
      <w:bookmarkStart w:id="338" w:name="_Toc450310151"/>
      <w:r w:rsidRPr="00A1575E">
        <w:t xml:space="preserve">Other regulators and </w:t>
      </w:r>
      <w:bookmarkEnd w:id="329"/>
      <w:bookmarkEnd w:id="330"/>
      <w:r w:rsidRPr="00A1575E">
        <w:t xml:space="preserve">their </w:t>
      </w:r>
      <w:bookmarkStart w:id="339" w:name="_Toc427774630"/>
      <w:bookmarkStart w:id="340" w:name="_Toc432606943"/>
      <w:r w:rsidRPr="00A1575E">
        <w:t>structures</w:t>
      </w:r>
      <w:bookmarkEnd w:id="331"/>
      <w:bookmarkEnd w:id="332"/>
      <w:bookmarkEnd w:id="333"/>
      <w:bookmarkEnd w:id="334"/>
      <w:bookmarkEnd w:id="335"/>
      <w:bookmarkEnd w:id="336"/>
      <w:bookmarkEnd w:id="337"/>
      <w:bookmarkEnd w:id="339"/>
      <w:bookmarkEnd w:id="340"/>
      <w:bookmarkEnd w:id="338"/>
    </w:p>
    <w:p w14:paraId="2C526DDB" w14:textId="77777777" w:rsidR="00261FE0" w:rsidRDefault="00261FE0" w:rsidP="00504587">
      <w:r w:rsidRPr="0046716B">
        <w:t xml:space="preserve">A number of other communications regulators were examined in regards to </w:t>
      </w:r>
      <w:r>
        <w:t>their governance structure</w:t>
      </w:r>
      <w:r w:rsidRPr="0046716B">
        <w:t xml:space="preserve"> as part of the </w:t>
      </w:r>
      <w:r>
        <w:t>R</w:t>
      </w:r>
      <w:r w:rsidRPr="0046716B">
        <w:t>eview.</w:t>
      </w:r>
      <w:r>
        <w:t xml:space="preserve"> This research was undertaken in the context of the Review’s terms of reference which included the requirement to consider t</w:t>
      </w:r>
      <w:r w:rsidRPr="00733A00">
        <w:t xml:space="preserve">he appropriate structure, governance and accountability arrangements </w:t>
      </w:r>
      <w:r>
        <w:t>of</w:t>
      </w:r>
      <w:r w:rsidRPr="00733A00">
        <w:t xml:space="preserve"> the regulator</w:t>
      </w:r>
      <w:r>
        <w:t xml:space="preserve"> to ensure they are fit-for-purpose for the future needs of the sector.</w:t>
      </w:r>
    </w:p>
    <w:p w14:paraId="714D31AA" w14:textId="77777777" w:rsidR="00261FE0" w:rsidRDefault="00261FE0" w:rsidP="00504587">
      <w:r w:rsidRPr="0046716B">
        <w:t>Other regulators that were examined included:</w:t>
      </w:r>
    </w:p>
    <w:p w14:paraId="39772F0F" w14:textId="77777777" w:rsidR="00261FE0" w:rsidRDefault="00261FE0" w:rsidP="00261FE0">
      <w:pPr>
        <w:pStyle w:val="Bulletlevel1"/>
      </w:pPr>
      <w:r w:rsidRPr="0046716B">
        <w:t>The UK Office of Communications (Ofcom)</w:t>
      </w:r>
      <w:r>
        <w:t>;</w:t>
      </w:r>
    </w:p>
    <w:p w14:paraId="2C55264C" w14:textId="77777777" w:rsidR="00261FE0" w:rsidRDefault="00261FE0" w:rsidP="00261FE0">
      <w:pPr>
        <w:pStyle w:val="Bulletlevel1"/>
      </w:pPr>
      <w:r w:rsidRPr="0046716B">
        <w:t>New Zealand Commerce Commission</w:t>
      </w:r>
      <w:r>
        <w:t>;</w:t>
      </w:r>
    </w:p>
    <w:p w14:paraId="59AAEEE6" w14:textId="77777777" w:rsidR="00261FE0" w:rsidRDefault="00261FE0" w:rsidP="00261FE0">
      <w:pPr>
        <w:pStyle w:val="Bulletlevel1"/>
      </w:pPr>
      <w:r w:rsidRPr="0046716B">
        <w:t>Canadian Radio-television and Telecommunications Commission (CRTC)</w:t>
      </w:r>
      <w:r>
        <w:t>;</w:t>
      </w:r>
    </w:p>
    <w:p w14:paraId="0D9BDDBA" w14:textId="77777777" w:rsidR="00261FE0" w:rsidRDefault="00261FE0" w:rsidP="00261FE0">
      <w:pPr>
        <w:pStyle w:val="Bulletlevel1"/>
      </w:pPr>
      <w:r>
        <w:t xml:space="preserve">The US </w:t>
      </w:r>
      <w:r w:rsidRPr="0046716B">
        <w:t>Federal Communications Commission (FCC)</w:t>
      </w:r>
      <w:r>
        <w:t>;</w:t>
      </w:r>
    </w:p>
    <w:p w14:paraId="2F95D8D3" w14:textId="77777777" w:rsidR="00261FE0" w:rsidRDefault="00261FE0" w:rsidP="00261FE0">
      <w:pPr>
        <w:pStyle w:val="Bulletlevel1"/>
      </w:pPr>
      <w:r w:rsidRPr="0046716B">
        <w:t>Australian Securities and Investment Commission (ASIC)</w:t>
      </w:r>
      <w:r>
        <w:t>; and</w:t>
      </w:r>
    </w:p>
    <w:p w14:paraId="22ABEF98" w14:textId="77777777" w:rsidR="00261FE0" w:rsidRPr="00B1435B" w:rsidRDefault="00261FE0" w:rsidP="00261FE0">
      <w:pPr>
        <w:pStyle w:val="Bulletlevel1"/>
      </w:pPr>
      <w:r w:rsidRPr="00B1435B">
        <w:t>Australian Competition and Consumer Commission (ACCC)</w:t>
      </w:r>
      <w:r>
        <w:t>.</w:t>
      </w:r>
    </w:p>
    <w:p w14:paraId="391364FF" w14:textId="77777777" w:rsidR="00261FE0" w:rsidRPr="00A1575E" w:rsidRDefault="00261FE0" w:rsidP="00CF6194">
      <w:pPr>
        <w:pStyle w:val="Heading4"/>
      </w:pPr>
      <w:bookmarkStart w:id="341" w:name="_Toc449620001"/>
      <w:bookmarkStart w:id="342" w:name="_Toc450310152"/>
      <w:r>
        <w:t>Organisational model</w:t>
      </w:r>
      <w:bookmarkEnd w:id="341"/>
      <w:bookmarkEnd w:id="342"/>
    </w:p>
    <w:p w14:paraId="38166F1E" w14:textId="4493D4F3" w:rsidR="00261FE0" w:rsidRDefault="00261FE0" w:rsidP="00504587">
      <w:r w:rsidRPr="0046716B">
        <w:t xml:space="preserve">The 2014 OECD paper, </w:t>
      </w:r>
      <w:r w:rsidRPr="0046716B">
        <w:rPr>
          <w:i/>
        </w:rPr>
        <w:t xml:space="preserve">The Governance of Regulators: Best Practice </w:t>
      </w:r>
      <w:r>
        <w:rPr>
          <w:i/>
        </w:rPr>
        <w:t>P</w:t>
      </w:r>
      <w:r w:rsidRPr="0046716B">
        <w:rPr>
          <w:i/>
        </w:rPr>
        <w:t>rinciples for Regulatory Policy</w:t>
      </w:r>
      <w:r w:rsidRPr="0046716B">
        <w:t>, provides guidance on governance models for different kinds of regulators.</w:t>
      </w:r>
      <w:r>
        <w:t xml:space="preserve"> It makes the </w:t>
      </w:r>
      <w:r w:rsidRPr="0046716B">
        <w:t>comment</w:t>
      </w:r>
      <w:r>
        <w:t xml:space="preserve"> that</w:t>
      </w:r>
      <w:r w:rsidRPr="0046716B">
        <w:t xml:space="preserve"> the governing structure of a regulator should be determined by the nature of </w:t>
      </w:r>
      <w:r>
        <w:t>its</w:t>
      </w:r>
      <w:r w:rsidRPr="0046716B">
        <w:t xml:space="preserve"> activities, including its level of risk, the discretion delegated to </w:t>
      </w:r>
      <w:r>
        <w:t>it</w:t>
      </w:r>
      <w:r w:rsidRPr="0046716B">
        <w:t xml:space="preserve">, </w:t>
      </w:r>
      <w:r>
        <w:t xml:space="preserve">the </w:t>
      </w:r>
      <w:r w:rsidRPr="0046716B">
        <w:t>strategic oversight required and the importance of consiste</w:t>
      </w:r>
      <w:r>
        <w:t>ncy in decision</w:t>
      </w:r>
      <w:r w:rsidR="00AB23B9">
        <w:t>-</w:t>
      </w:r>
      <w:r>
        <w:t>making by the re</w:t>
      </w:r>
      <w:r w:rsidRPr="0046716B">
        <w:t>gulator over time.</w:t>
      </w:r>
    </w:p>
    <w:p w14:paraId="4FB19BA1" w14:textId="77777777" w:rsidR="00261FE0" w:rsidRDefault="00261FE0" w:rsidP="00504587">
      <w:r w:rsidRPr="0046716B">
        <w:t xml:space="preserve">The </w:t>
      </w:r>
      <w:r>
        <w:t xml:space="preserve">OECD </w:t>
      </w:r>
      <w:r w:rsidRPr="0046716B">
        <w:t xml:space="preserve">paper outlines </w:t>
      </w:r>
      <w:r>
        <w:t>three</w:t>
      </w:r>
      <w:r w:rsidRPr="0046716B">
        <w:t xml:space="preserve"> </w:t>
      </w:r>
      <w:r>
        <w:t>primary</w:t>
      </w:r>
      <w:r w:rsidRPr="0046716B">
        <w:t xml:space="preserve"> organ</w:t>
      </w:r>
      <w:r>
        <w:t>isational models for regulators:</w:t>
      </w:r>
    </w:p>
    <w:p w14:paraId="6BAC3F22" w14:textId="77777777" w:rsidR="00261FE0" w:rsidRPr="00FE69BF" w:rsidRDefault="00261FE0" w:rsidP="00261FE0">
      <w:pPr>
        <w:pStyle w:val="Bulletlevel1"/>
      </w:pPr>
      <w:r w:rsidRPr="00FE69BF">
        <w:t>Governance board model</w:t>
      </w:r>
      <w:r>
        <w:t>. T</w:t>
      </w:r>
      <w:r w:rsidRPr="00FE69BF">
        <w:t xml:space="preserve">ypically the board will be responsible for strategy, governance and risk management. The board would </w:t>
      </w:r>
      <w:r>
        <w:t>appoint</w:t>
      </w:r>
      <w:r w:rsidRPr="00FE69BF">
        <w:t xml:space="preserve"> the chief executive officer (CEO), monitor performance and ensur</w:t>
      </w:r>
      <w:r>
        <w:t>e</w:t>
      </w:r>
      <w:r w:rsidRPr="00FE69BF">
        <w:t xml:space="preserve"> compliance with the law, the body’s governing documents and policies. However, executive staff</w:t>
      </w:r>
      <w:r w:rsidRPr="00FE69BF" w:rsidDel="000B3C2F">
        <w:t xml:space="preserve"> </w:t>
      </w:r>
      <w:r>
        <w:t xml:space="preserve">make </w:t>
      </w:r>
      <w:r w:rsidRPr="00FE69BF">
        <w:t>regulatory decisions. This structure is used, for example, for the United Kingdom’s Water Services Regulation Authority</w:t>
      </w:r>
      <w:r>
        <w:t xml:space="preserve"> (Ofwat).</w:t>
      </w:r>
    </w:p>
    <w:p w14:paraId="49FEFEC7" w14:textId="77777777" w:rsidR="00261FE0" w:rsidRPr="00192E31" w:rsidRDefault="00261FE0" w:rsidP="00261FE0">
      <w:pPr>
        <w:pStyle w:val="Bulletlevel1"/>
      </w:pPr>
      <w:r w:rsidRPr="00FE69BF">
        <w:t>Commission model</w:t>
      </w:r>
      <w:r>
        <w:t>. T</w:t>
      </w:r>
      <w:r w:rsidRPr="00FE69BF">
        <w:t>he board makes most substantive regulatory decisions</w:t>
      </w:r>
      <w:r>
        <w:t>. E</w:t>
      </w:r>
      <w:r w:rsidRPr="00FE69BF">
        <w:t xml:space="preserve">xamples include the </w:t>
      </w:r>
      <w:r>
        <w:t>current ACMA and the ACCC.</w:t>
      </w:r>
    </w:p>
    <w:p w14:paraId="5680E2D8" w14:textId="77777777" w:rsidR="00261FE0" w:rsidRDefault="00261FE0" w:rsidP="00261FE0">
      <w:pPr>
        <w:pStyle w:val="Bulletlevel1"/>
      </w:pPr>
      <w:r w:rsidRPr="00E41D02">
        <w:t xml:space="preserve">Single member regulator. An individual is appointed as regulator and makes most substantive regulatory decisions and delegates other decisions to </w:t>
      </w:r>
      <w:r w:rsidRPr="00073C7E">
        <w:t>staff</w:t>
      </w:r>
      <w:r>
        <w:t>.</w:t>
      </w:r>
      <w:r>
        <w:rPr>
          <w:rStyle w:val="FootnoteReference"/>
          <w:rFonts w:cs="TimesNewRoman"/>
          <w:color w:val="000000"/>
        </w:rPr>
        <w:footnoteReference w:id="76"/>
      </w:r>
    </w:p>
    <w:p w14:paraId="298B6E68" w14:textId="765D4591" w:rsidR="00261FE0" w:rsidRPr="005F50AF" w:rsidRDefault="00261FE0" w:rsidP="00261FE0">
      <w:r w:rsidRPr="0046716B">
        <w:t xml:space="preserve">The OECD’s </w:t>
      </w:r>
      <w:r w:rsidRPr="0046716B">
        <w:rPr>
          <w:rFonts w:cs="TimesNewRoman,Italic"/>
          <w:i/>
          <w:iCs/>
        </w:rPr>
        <w:t xml:space="preserve">Making Reform Happen: Lessons </w:t>
      </w:r>
      <w:r>
        <w:rPr>
          <w:rFonts w:cs="TimesNewRoman,Italic"/>
          <w:i/>
          <w:iCs/>
        </w:rPr>
        <w:t>f</w:t>
      </w:r>
      <w:r w:rsidRPr="0046716B">
        <w:rPr>
          <w:rFonts w:cs="TimesNewRoman,Italic"/>
          <w:i/>
          <w:iCs/>
        </w:rPr>
        <w:t xml:space="preserve">rom OECD </w:t>
      </w:r>
      <w:r>
        <w:rPr>
          <w:rFonts w:cs="TimesNewRoman,Italic"/>
          <w:i/>
          <w:iCs/>
        </w:rPr>
        <w:t>C</w:t>
      </w:r>
      <w:r w:rsidRPr="0046716B">
        <w:rPr>
          <w:rFonts w:cs="TimesNewRoman,Italic"/>
          <w:i/>
          <w:iCs/>
        </w:rPr>
        <w:t>ountries</w:t>
      </w:r>
      <w:r>
        <w:rPr>
          <w:rFonts w:cs="TimesNewRoman,Italic"/>
          <w:iCs/>
        </w:rPr>
        <w:t>,</w:t>
      </w:r>
      <w:r w:rsidRPr="0046716B">
        <w:rPr>
          <w:rFonts w:cs="TimesNewRoman,Italic"/>
          <w:i/>
          <w:iCs/>
        </w:rPr>
        <w:t xml:space="preserve"> </w:t>
      </w:r>
      <w:r w:rsidRPr="0046716B">
        <w:t xml:space="preserve">observed most independent regulators in OECD countries have a </w:t>
      </w:r>
      <w:r>
        <w:t xml:space="preserve">governance </w:t>
      </w:r>
      <w:r w:rsidRPr="0046716B">
        <w:t>board or commission structure. Such structures, through having a greater number of people dedicated to decision</w:t>
      </w:r>
      <w:r w:rsidR="00AB23B9">
        <w:t>-</w:t>
      </w:r>
      <w:r w:rsidRPr="0046716B">
        <w:t>making in a collegiate fashion, provide for more robust and reliable fulfilment of the regulator</w:t>
      </w:r>
      <w:r>
        <w:t>’</w:t>
      </w:r>
      <w:r w:rsidRPr="0046716B">
        <w:t>s duties whil</w:t>
      </w:r>
      <w:r>
        <w:t>e</w:t>
      </w:r>
      <w:r w:rsidRPr="0046716B">
        <w:t xml:space="preserve"> upholding greater levels of independence and integrity</w:t>
      </w:r>
      <w:r>
        <w:t>.</w:t>
      </w:r>
      <w:r>
        <w:rPr>
          <w:rStyle w:val="FootnoteReference"/>
          <w:rFonts w:cs="TimesNewRoman"/>
        </w:rPr>
        <w:footnoteReference w:id="77"/>
      </w:r>
      <w:r>
        <w:tab/>
      </w:r>
    </w:p>
    <w:p w14:paraId="651761DF" w14:textId="7E6E779E" w:rsidR="00EB2B81" w:rsidRDefault="00261FE0" w:rsidP="00261FE0">
      <w:r>
        <w:t xml:space="preserve">The governance board model and commission models provide a diversity of views and a range of experience that can be applied to all decisions. Compared to the </w:t>
      </w:r>
      <w:r w:rsidR="00EB6037">
        <w:t>g</w:t>
      </w:r>
      <w:r>
        <w:t>overnance board model, the Commission model enables the Authority members to be more actively involved in the issues being considered, and therefore, over time to develop deeper expertise. During our consultations the option of retaining the Commission model was also supported by the Authority members and ACMA Executive.</w:t>
      </w:r>
    </w:p>
    <w:p w14:paraId="4D129CE6" w14:textId="77777777" w:rsidR="00C027CA" w:rsidRDefault="00C027CA" w:rsidP="00CB4DEF">
      <w:pPr>
        <w:pBdr>
          <w:top w:val="single" w:sz="4" w:space="1" w:color="auto"/>
          <w:left w:val="single" w:sz="4" w:space="4" w:color="auto"/>
          <w:bottom w:val="single" w:sz="4" w:space="1" w:color="auto"/>
          <w:right w:val="single" w:sz="4" w:space="4" w:color="auto"/>
        </w:pBdr>
        <w:shd w:val="clear" w:color="auto" w:fill="DEEAF6" w:themeFill="accent1" w:themeFillTint="33"/>
        <w:tabs>
          <w:tab w:val="left" w:pos="567"/>
        </w:tabs>
        <w:spacing w:line="276" w:lineRule="auto"/>
      </w:pPr>
      <w:r>
        <w:t>Draft proposal:</w:t>
      </w:r>
      <w:r w:rsidR="00CF6194">
        <w:tab/>
      </w:r>
    </w:p>
    <w:p w14:paraId="5E1A0B2E" w14:textId="7342BCF7" w:rsidR="00CF6194" w:rsidRPr="0087248E" w:rsidRDefault="00CF6194" w:rsidP="00CB4DEF">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DEEAF6" w:themeFill="accent1" w:themeFillTint="33"/>
        <w:tabs>
          <w:tab w:val="left" w:pos="567"/>
        </w:tabs>
        <w:spacing w:line="276" w:lineRule="auto"/>
        <w:ind w:left="567" w:hanging="567"/>
      </w:pPr>
      <w:r>
        <w:t>That the commission model of decision</w:t>
      </w:r>
      <w:r w:rsidR="00AB23B9">
        <w:t>-</w:t>
      </w:r>
      <w:r>
        <w:t>making be retained.</w:t>
      </w:r>
    </w:p>
    <w:p w14:paraId="282BC592" w14:textId="77777777" w:rsidR="00261FE0" w:rsidRPr="00A1575E" w:rsidRDefault="00261FE0" w:rsidP="00CF6194">
      <w:pPr>
        <w:pStyle w:val="Heading4"/>
      </w:pPr>
      <w:bookmarkStart w:id="343" w:name="_Toc432606948"/>
      <w:bookmarkStart w:id="344" w:name="_Toc433813784"/>
      <w:bookmarkStart w:id="345" w:name="_Toc436923352"/>
      <w:bookmarkStart w:id="346" w:name="_Toc437440654"/>
      <w:bookmarkStart w:id="347" w:name="_Toc437528407"/>
      <w:bookmarkStart w:id="348" w:name="_Toc437594265"/>
      <w:bookmarkStart w:id="349" w:name="_Toc449620002"/>
      <w:bookmarkStart w:id="350" w:name="_Toc450310153"/>
      <w:r w:rsidRPr="00A1575E">
        <w:t>Skills and expertise of members</w:t>
      </w:r>
      <w:bookmarkEnd w:id="343"/>
      <w:bookmarkEnd w:id="344"/>
      <w:bookmarkEnd w:id="345"/>
      <w:bookmarkEnd w:id="346"/>
      <w:bookmarkEnd w:id="347"/>
      <w:bookmarkEnd w:id="348"/>
      <w:bookmarkEnd w:id="349"/>
      <w:bookmarkEnd w:id="350"/>
    </w:p>
    <w:p w14:paraId="32472E0F" w14:textId="77777777" w:rsidR="00261FE0" w:rsidRDefault="00261FE0" w:rsidP="00504587">
      <w:r w:rsidRPr="0046716B">
        <w:t xml:space="preserve">An essential element of ongoing success for </w:t>
      </w:r>
      <w:r>
        <w:t xml:space="preserve">the ACMA </w:t>
      </w:r>
      <w:r w:rsidRPr="0046716B">
        <w:t xml:space="preserve">will be ensuring the appointment of appropriately skilled and qualified </w:t>
      </w:r>
      <w:r>
        <w:t xml:space="preserve">Authority </w:t>
      </w:r>
      <w:r w:rsidRPr="0046716B">
        <w:t xml:space="preserve">members. Discussions between the Department and stakeholders have identified the increasingly rapid rate of change faced by the communications sector and </w:t>
      </w:r>
      <w:r>
        <w:t xml:space="preserve">that </w:t>
      </w:r>
      <w:r w:rsidRPr="0046716B">
        <w:t>the ability to identify new areas of concern and respond effectively and rapidly will require a different mix of skills tha</w:t>
      </w:r>
      <w:r>
        <w:t>n</w:t>
      </w:r>
      <w:r w:rsidRPr="0046716B">
        <w:t xml:space="preserve"> may have been </w:t>
      </w:r>
      <w:r>
        <w:t>required</w:t>
      </w:r>
      <w:r w:rsidRPr="0046716B">
        <w:t xml:space="preserve"> in the past.</w:t>
      </w:r>
    </w:p>
    <w:p w14:paraId="6FBEBBE1" w14:textId="77777777" w:rsidR="00EB2B81" w:rsidRDefault="00261FE0" w:rsidP="00504587">
      <w:r>
        <w:t xml:space="preserve">For example, the submission from Optus said the Authority should be required to ensure it recruits the skills and experience for both the communications industry and economic </w:t>
      </w:r>
      <w:r w:rsidRPr="0046716B">
        <w:t>regulation</w:t>
      </w:r>
      <w:r>
        <w:rPr>
          <w:rStyle w:val="FootnoteReference"/>
        </w:rPr>
        <w:footnoteReference w:id="78"/>
      </w:r>
      <w:r w:rsidRPr="0046716B">
        <w:t>. The Australian Communications Consumer Action Network (ACCAN) understandably advocated for the Authority to include expertise across consumer issues. They note</w:t>
      </w:r>
      <w:r>
        <w:t>d</w:t>
      </w:r>
      <w:r w:rsidRPr="0046716B">
        <w:t xml:space="preserve"> the importance of this skill set to ensure the Authority remains effective in fulfilling its role in advising the Minister on consumer issues</w:t>
      </w:r>
      <w:r>
        <w:rPr>
          <w:rStyle w:val="FootnoteReference"/>
        </w:rPr>
        <w:footnoteReference w:id="79"/>
      </w:r>
      <w:r>
        <w:t>.</w:t>
      </w:r>
    </w:p>
    <w:p w14:paraId="033A9D0E" w14:textId="77777777" w:rsidR="00261FE0" w:rsidRDefault="00261FE0" w:rsidP="00504587">
      <w:r>
        <w:t>Clearly outlining the skills and abilities expected to be included amongst members of the Authority as a collective whole will also assist in ensuring that future Government appointments are made in consideration of the strategic needs of the agency. Ensuring that there is broad coverage of a specified skill set across Authority members will also be complementary to the Government’s existing policies on merit-based selection of APS agency heads and APS statutory office holders. This approach is also consistent with existing requirements for the appointment of members to the ACCC and ASIC, but goes some way further to ensure that a breadth of skills are covered across the membership in its entirety.</w:t>
      </w:r>
    </w:p>
    <w:p w14:paraId="7AA7CE5E" w14:textId="77777777" w:rsidR="00CF6194" w:rsidRDefault="00CF6194" w:rsidP="00CB4DEF">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ind w:left="567" w:hanging="567"/>
      </w:pPr>
      <w:r w:rsidRPr="007F219B">
        <w:t>Draft proposal:</w:t>
      </w:r>
    </w:p>
    <w:p w14:paraId="12A4D368" w14:textId="77777777" w:rsidR="00CF6194" w:rsidRPr="007F219B" w:rsidRDefault="00CF6194" w:rsidP="00CB4DEF">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ind w:left="567" w:hanging="567"/>
      </w:pPr>
      <w:r>
        <w:t>That the skill set to be covered by Authority members be outlined in legislation to ensure an appropriate and diverse mix of abilities to respond to the future needs of the ACMA</w:t>
      </w:r>
      <w:r w:rsidRPr="007F219B">
        <w:t>.</w:t>
      </w:r>
    </w:p>
    <w:p w14:paraId="584EEC82" w14:textId="77777777" w:rsidR="00261FE0" w:rsidRPr="00DB0BE2" w:rsidRDefault="00261FE0" w:rsidP="00504587">
      <w:pPr>
        <w:pStyle w:val="Heading4"/>
        <w:rPr>
          <w:rFonts w:ascii="Calibri" w:hAnsi="Calibri"/>
          <w:i/>
        </w:rPr>
      </w:pPr>
      <w:bookmarkStart w:id="351" w:name="_Toc433813785"/>
      <w:bookmarkStart w:id="352" w:name="_Toc436923353"/>
      <w:bookmarkStart w:id="353" w:name="_Toc437440655"/>
      <w:bookmarkStart w:id="354" w:name="_Toc437528408"/>
      <w:bookmarkStart w:id="355" w:name="_Toc437594266"/>
      <w:bookmarkStart w:id="356" w:name="_Toc449620003"/>
      <w:bookmarkStart w:id="357" w:name="_Toc450310154"/>
      <w:r w:rsidRPr="00504587">
        <w:t>Full-time versus part-time members</w:t>
      </w:r>
      <w:bookmarkEnd w:id="351"/>
      <w:bookmarkEnd w:id="352"/>
      <w:bookmarkEnd w:id="353"/>
      <w:bookmarkEnd w:id="354"/>
      <w:bookmarkEnd w:id="355"/>
      <w:bookmarkEnd w:id="356"/>
      <w:bookmarkEnd w:id="357"/>
    </w:p>
    <w:p w14:paraId="66D42C1D" w14:textId="62584225" w:rsidR="00261FE0" w:rsidRDefault="00261FE0" w:rsidP="00261FE0">
      <w:r>
        <w:t>As noted above, t</w:t>
      </w:r>
      <w:r w:rsidRPr="00732E5A">
        <w:t xml:space="preserve">he </w:t>
      </w:r>
      <w:r>
        <w:t xml:space="preserve">increasing </w:t>
      </w:r>
      <w:r w:rsidRPr="00732E5A">
        <w:t xml:space="preserve">complexity of the </w:t>
      </w:r>
      <w:r>
        <w:t xml:space="preserve">communications </w:t>
      </w:r>
      <w:r w:rsidRPr="00732E5A">
        <w:t>market and pace of technological change will require the ACMA to have decision</w:t>
      </w:r>
      <w:r>
        <w:t xml:space="preserve"> </w:t>
      </w:r>
      <w:r w:rsidRPr="00732E5A">
        <w:t>maker</w:t>
      </w:r>
      <w:r>
        <w:t>s that have a comprehensive and authoritative knowledge of the communications market and emerging technologies. The Commission model of decision-making also requires that all members of the Authority are able to actively contribute to decision</w:t>
      </w:r>
      <w:r w:rsidR="00AB23B9">
        <w:t>-</w:t>
      </w:r>
      <w:r>
        <w:t>making.</w:t>
      </w:r>
    </w:p>
    <w:p w14:paraId="74AD3C28" w14:textId="77777777" w:rsidR="00EB2B81" w:rsidRDefault="00261FE0" w:rsidP="00261FE0">
      <w:r>
        <w:t>Employing</w:t>
      </w:r>
      <w:r w:rsidRPr="0046716B">
        <w:t xml:space="preserve"> full-time members </w:t>
      </w:r>
      <w:r>
        <w:t>gives</w:t>
      </w:r>
      <w:r w:rsidRPr="0046716B">
        <w:t xml:space="preserve"> those responsible for regulatory decisions</w:t>
      </w:r>
      <w:r>
        <w:t xml:space="preserve"> the</w:t>
      </w:r>
      <w:r w:rsidRPr="0046716B">
        <w:t xml:space="preserve"> </w:t>
      </w:r>
      <w:r>
        <w:t xml:space="preserve">time needed </w:t>
      </w:r>
      <w:r w:rsidRPr="0046716B">
        <w:t xml:space="preserve">to </w:t>
      </w:r>
      <w:r>
        <w:t>be fully informed and up to date on the wide range of issues on which the Authority must make regulatory decisions</w:t>
      </w:r>
      <w:r w:rsidRPr="0046716B">
        <w:t>.</w:t>
      </w:r>
      <w:r>
        <w:t xml:space="preserve"> The model of full-time membership is one that is currently successfully employed by the ACCC. For the ACMA, the interconnected and global nature of the communications sector will mean that in more and more cases decision-makers need to understand specific details of regulatory decisions, which requires a substantial commitment of time.</w:t>
      </w:r>
    </w:p>
    <w:p w14:paraId="34E9D2C0" w14:textId="77777777" w:rsidR="00EB2B81" w:rsidRDefault="00261FE0" w:rsidP="00261FE0">
      <w:r>
        <w:t>H</w:t>
      </w:r>
      <w:r w:rsidRPr="0046716B">
        <w:t xml:space="preserve">igher levels of remuneration </w:t>
      </w:r>
      <w:r>
        <w:t>for</w:t>
      </w:r>
      <w:r w:rsidRPr="0046716B">
        <w:t xml:space="preserve"> full-time membership and the offer of rewarding roles, </w:t>
      </w:r>
      <w:r>
        <w:t>are also more likely to</w:t>
      </w:r>
      <w:r w:rsidRPr="0046716B">
        <w:t xml:space="preserve"> attract</w:t>
      </w:r>
      <w:r>
        <w:t xml:space="preserve"> </w:t>
      </w:r>
      <w:r w:rsidRPr="0046716B">
        <w:t>high calibre members.</w:t>
      </w:r>
      <w:r>
        <w:t xml:space="preserve"> Given likely increasing workloads of members, the remuneration for full-time members is also likely to more accurately match their time commitment.</w:t>
      </w:r>
    </w:p>
    <w:p w14:paraId="0946F249" w14:textId="77777777" w:rsidR="00EB2B81" w:rsidRDefault="00261FE0" w:rsidP="00261FE0">
      <w:r>
        <w:t>While recruiting p</w:t>
      </w:r>
      <w:r w:rsidRPr="0046716B">
        <w:t xml:space="preserve">art-time members </w:t>
      </w:r>
      <w:r>
        <w:t xml:space="preserve">potentially offers </w:t>
      </w:r>
      <w:r w:rsidRPr="0046716B">
        <w:t xml:space="preserve">the </w:t>
      </w:r>
      <w:r>
        <w:t xml:space="preserve">chance to </w:t>
      </w:r>
      <w:r w:rsidRPr="0046716B">
        <w:t xml:space="preserve">bring a broader range of skills and experience to the </w:t>
      </w:r>
      <w:r>
        <w:t>Authority</w:t>
      </w:r>
      <w:r w:rsidRPr="0046716B">
        <w:t>, conflicts of interest</w:t>
      </w:r>
      <w:r>
        <w:t xml:space="preserve"> could arise that would need to be managed</w:t>
      </w:r>
      <w:r w:rsidRPr="0046716B">
        <w:t xml:space="preserve">. </w:t>
      </w:r>
      <w:r>
        <w:t>There is no doubt that it is important for the Authority to hear from a broad range of views, however, communications stakeholders are often strong and effective advocates for their view through consultation processes, and it is not practical for all voices to be represented on the regulatory authority through its membership.</w:t>
      </w:r>
    </w:p>
    <w:p w14:paraId="01C98888" w14:textId="77777777" w:rsidR="00261FE0" w:rsidRDefault="00261FE0" w:rsidP="00261FE0">
      <w:r>
        <w:t>An increased number of full-time members may mean that existing management structures can be reviewed. If full-time members had oversight of particular areas of regulation, such as content, or network regulation etc, they may be able to supplement some stakeholder engagement and strategic direction setting functions undertaken by senior ACMA executives. A subsequent restructuring of senior executive roles could assist to off-set any increase in costs from appointing more full-time members.</w:t>
      </w:r>
    </w:p>
    <w:p w14:paraId="2B876AC0" w14:textId="6EEE6D5D" w:rsidR="00261FE0" w:rsidRDefault="00261FE0" w:rsidP="00261FE0">
      <w:r w:rsidRPr="0046716B">
        <w:t xml:space="preserve">Discussions with stakeholders </w:t>
      </w:r>
      <w:r>
        <w:t>during the</w:t>
      </w:r>
      <w:r w:rsidRPr="0046716B">
        <w:t xml:space="preserve"> </w:t>
      </w:r>
      <w:r>
        <w:t>R</w:t>
      </w:r>
      <w:r w:rsidRPr="0046716B">
        <w:t xml:space="preserve">eview provided support for an increase in the number of full-time members within the Authority. </w:t>
      </w:r>
      <w:r>
        <w:t xml:space="preserve">For example, </w:t>
      </w:r>
      <w:r w:rsidRPr="0046716B">
        <w:t xml:space="preserve">Telstra, Optus and </w:t>
      </w:r>
      <w:r>
        <w:t xml:space="preserve">the </w:t>
      </w:r>
      <w:r w:rsidRPr="0046716B">
        <w:t>Communications Alliance</w:t>
      </w:r>
      <w:r>
        <w:t xml:space="preserve"> all</w:t>
      </w:r>
      <w:r w:rsidRPr="0046716B">
        <w:t xml:space="preserve"> </w:t>
      </w:r>
      <w:r>
        <w:t>supported</w:t>
      </w:r>
      <w:r w:rsidRPr="0046716B">
        <w:t xml:space="preserve"> a model of full-time members for the Authority. They </w:t>
      </w:r>
      <w:r>
        <w:t>said</w:t>
      </w:r>
      <w:r w:rsidRPr="0046716B">
        <w:t xml:space="preserve"> advantages would include allowing each member to develop the appropriate expertise in specific subject areas managed by the Authority.</w:t>
      </w:r>
      <w:r>
        <w:t xml:space="preserve"> </w:t>
      </w:r>
      <w:r w:rsidRPr="00180896">
        <w:t xml:space="preserve">It is also a possibility that a governance model consisting of full-time members creates additional </w:t>
      </w:r>
      <w:r>
        <w:t xml:space="preserve">flexibility to consider alternate governance options regarding </w:t>
      </w:r>
      <w:r w:rsidRPr="00180896">
        <w:t xml:space="preserve">the </w:t>
      </w:r>
      <w:r w:rsidRPr="00562D14">
        <w:t xml:space="preserve">range of regulatory </w:t>
      </w:r>
      <w:r w:rsidRPr="00180896">
        <w:t xml:space="preserve">responsibilities </w:t>
      </w:r>
      <w:r>
        <w:t>for</w:t>
      </w:r>
      <w:r w:rsidRPr="00562D14">
        <w:t xml:space="preserve"> </w:t>
      </w:r>
      <w:r w:rsidRPr="00180896">
        <w:t>communications issues.</w:t>
      </w:r>
      <w:r>
        <w:t xml:space="preserve"> </w:t>
      </w:r>
      <w:r w:rsidRPr="00180896">
        <w:t xml:space="preserve">For example, </w:t>
      </w:r>
      <w:r>
        <w:t xml:space="preserve">under a full-time member model, </w:t>
      </w:r>
      <w:r w:rsidRPr="00180896">
        <w:t xml:space="preserve">consideration could be given to making the Children’s </w:t>
      </w:r>
      <w:r w:rsidR="0032139B">
        <w:t>e</w:t>
      </w:r>
      <w:r w:rsidRPr="00180896">
        <w:t xml:space="preserve">Safety Commissioner a member of the </w:t>
      </w:r>
      <w:r w:rsidRPr="00562D14">
        <w:t>Authority at some stage in the future</w:t>
      </w:r>
      <w:r>
        <w:t>. This could see the ACMA taking on responsibility for online safety regulation, with a full time member specialising in this area.</w:t>
      </w:r>
    </w:p>
    <w:p w14:paraId="05171B14" w14:textId="77777777" w:rsidR="00261FE0" w:rsidRDefault="00261FE0" w:rsidP="00261FE0">
      <w:r>
        <w:t>It would be appropriate for any new governance model consisting of full-time members to provide flexibility for members to have oversight of a specific subject matter, for example by acting as the contact point for industry on the issue and taking a leading role on the Authority’s work in this area. This could promote greater informal dialogue and engagement between stakeholders and the Authority members. However, when the matter comes to be considered by the Authority, it retains the commission model of decision-making, where all members are equal in their vote. This would be similar to the approach adopted by the ACCC.</w:t>
      </w:r>
    </w:p>
    <w:p w14:paraId="627671C8" w14:textId="77777777" w:rsidR="00261FE0" w:rsidRDefault="00261FE0" w:rsidP="00261FE0">
      <w:r>
        <w:t>Providing</w:t>
      </w:r>
      <w:r w:rsidDel="00A40643">
        <w:t xml:space="preserve"> </w:t>
      </w:r>
      <w:r w:rsidRPr="0046716B">
        <w:t xml:space="preserve">Authority members </w:t>
      </w:r>
      <w:r>
        <w:t>with oversight of</w:t>
      </w:r>
      <w:r w:rsidRPr="0046716B">
        <w:t xml:space="preserve"> certain </w:t>
      </w:r>
      <w:r>
        <w:t>subject areas will create greater diversity in expertise on current issues faced by the Authority, and ensure industry and consumers have better access to decision makers on that topic.</w:t>
      </w:r>
      <w:r w:rsidRPr="0046716B">
        <w:t xml:space="preserve"> This in turn </w:t>
      </w:r>
      <w:r>
        <w:t>could</w:t>
      </w:r>
      <w:r w:rsidRPr="0046716B">
        <w:t xml:space="preserve"> support greater engagement with stakeholders </w:t>
      </w:r>
      <w:r>
        <w:t xml:space="preserve">as </w:t>
      </w:r>
      <w:r w:rsidRPr="0046716B">
        <w:t xml:space="preserve">a better conduit to take on board their views </w:t>
      </w:r>
      <w:r>
        <w:t>when making</w:t>
      </w:r>
      <w:r w:rsidRPr="0046716B">
        <w:t xml:space="preserve"> </w:t>
      </w:r>
      <w:r>
        <w:t xml:space="preserve">regulatory </w:t>
      </w:r>
      <w:r w:rsidRPr="0046716B">
        <w:t>decisions</w:t>
      </w:r>
      <w:r>
        <w:t xml:space="preserve"> and more readily explain the reasons for making decisions</w:t>
      </w:r>
      <w:r w:rsidRPr="0046716B">
        <w:t>.</w:t>
      </w:r>
    </w:p>
    <w:p w14:paraId="74F7E33D" w14:textId="77777777" w:rsidR="00261FE0" w:rsidRDefault="00261FE0" w:rsidP="00261FE0">
      <w:r>
        <w:t>Given how fast technologies and market dynamics are evolving in the communications sector, the Review</w:t>
      </w:r>
      <w:r w:rsidDel="00AB3CBA">
        <w:t xml:space="preserve"> </w:t>
      </w:r>
      <w:r>
        <w:t>has noted that an essential concern for a regulatory authority is that decision-making be as fast and efficient as possible. This suggests there are advantages in having a smaller number of members, but appointed on a full-time basis to facilitate timely decision-making. The Review notes that the appointment of an all full-time member Authority would not require amendment to the ACMA Act.</w:t>
      </w:r>
    </w:p>
    <w:p w14:paraId="64D59657" w14:textId="77777777" w:rsidR="00CF6194" w:rsidRDefault="00CF6194" w:rsidP="00CB4DEF">
      <w:pPr>
        <w:pBdr>
          <w:top w:val="single" w:sz="4" w:space="1" w:color="auto"/>
          <w:left w:val="single" w:sz="4" w:space="1" w:color="auto"/>
          <w:bottom w:val="single" w:sz="4" w:space="1" w:color="auto"/>
          <w:right w:val="single" w:sz="4" w:space="1" w:color="auto"/>
        </w:pBdr>
        <w:shd w:val="clear" w:color="auto" w:fill="DEEAF6" w:themeFill="accent1" w:themeFillTint="33"/>
      </w:pPr>
      <w:r w:rsidRPr="001419D9">
        <w:t>Draft proposal:</w:t>
      </w:r>
    </w:p>
    <w:p w14:paraId="70F5791F" w14:textId="77777777" w:rsidR="00CF6194" w:rsidRPr="001419D9" w:rsidRDefault="00CF6194" w:rsidP="00CB4DEF">
      <w:pPr>
        <w:pStyle w:val="ListParagraph"/>
        <w:numPr>
          <w:ilvl w:val="0"/>
          <w:numId w:val="17"/>
        </w:numPr>
        <w:pBdr>
          <w:top w:val="single" w:sz="4" w:space="1" w:color="auto"/>
          <w:left w:val="single" w:sz="4" w:space="1" w:color="auto"/>
          <w:bottom w:val="single" w:sz="4" w:space="1" w:color="auto"/>
          <w:right w:val="single" w:sz="4" w:space="1" w:color="auto"/>
        </w:pBdr>
        <w:shd w:val="clear" w:color="auto" w:fill="DEEAF6" w:themeFill="accent1" w:themeFillTint="33"/>
        <w:spacing w:line="276" w:lineRule="auto"/>
        <w:ind w:left="567" w:hanging="567"/>
      </w:pPr>
      <w:r>
        <w:t>That all members of the Authority be appointed on a full-time basis and that the Authority consist of a Chair, a Deputy Chair and at least three other full-time members.</w:t>
      </w:r>
    </w:p>
    <w:p w14:paraId="14347B39" w14:textId="77777777" w:rsidR="00261FE0" w:rsidRPr="009B6730" w:rsidRDefault="00261FE0" w:rsidP="00CF6194">
      <w:pPr>
        <w:pStyle w:val="Heading4"/>
      </w:pPr>
      <w:bookmarkStart w:id="358" w:name="_Toc435174583"/>
      <w:bookmarkStart w:id="359" w:name="_Toc437440657"/>
      <w:bookmarkStart w:id="360" w:name="_Toc437528410"/>
      <w:bookmarkStart w:id="361" w:name="_Toc437594268"/>
      <w:bookmarkStart w:id="362" w:name="_Toc449620004"/>
      <w:bookmarkStart w:id="363" w:name="_Toc450310155"/>
      <w:bookmarkStart w:id="364" w:name="_Toc432606950"/>
      <w:bookmarkStart w:id="365" w:name="_Toc433813786"/>
      <w:bookmarkStart w:id="366" w:name="_Toc436923355"/>
      <w:r w:rsidRPr="009B6730">
        <w:t>Organisational model—Chair/CEO Role</w:t>
      </w:r>
      <w:bookmarkEnd w:id="358"/>
      <w:bookmarkEnd w:id="359"/>
      <w:bookmarkEnd w:id="360"/>
      <w:bookmarkEnd w:id="361"/>
      <w:bookmarkEnd w:id="362"/>
      <w:bookmarkEnd w:id="363"/>
    </w:p>
    <w:p w14:paraId="3C67EEFB" w14:textId="1922A961" w:rsidR="00261FE0" w:rsidRDefault="00261FE0" w:rsidP="00504587">
      <w:r>
        <w:t xml:space="preserve">As noted </w:t>
      </w:r>
      <w:r w:rsidR="00E21EBF">
        <w:t>earlier</w:t>
      </w:r>
      <w:r>
        <w:t>, the Chair of the ACMA is also its Chief Executive Officer (CEO). Several</w:t>
      </w:r>
      <w:r w:rsidRPr="004939BB">
        <w:t xml:space="preserve"> submissions to the </w:t>
      </w:r>
      <w:r>
        <w:t>R</w:t>
      </w:r>
      <w:r w:rsidRPr="004939BB">
        <w:t xml:space="preserve">eview </w:t>
      </w:r>
      <w:r>
        <w:t xml:space="preserve">suggested </w:t>
      </w:r>
      <w:r w:rsidRPr="004939BB">
        <w:t xml:space="preserve">the separation of the Chair and CEO roles </w:t>
      </w:r>
      <w:r>
        <w:t xml:space="preserve">would </w:t>
      </w:r>
      <w:r w:rsidRPr="004939BB">
        <w:t xml:space="preserve">have benefits for the </w:t>
      </w:r>
      <w:r>
        <w:t>ACMA</w:t>
      </w:r>
      <w:r w:rsidRPr="004939BB">
        <w:t xml:space="preserve">. These </w:t>
      </w:r>
      <w:r>
        <w:t>came</w:t>
      </w:r>
      <w:r w:rsidRPr="004939BB">
        <w:t xml:space="preserve"> from Telstra, Optus, </w:t>
      </w:r>
      <w:r>
        <w:t xml:space="preserve">Communications Alliance, </w:t>
      </w:r>
      <w:r w:rsidRPr="004939BB">
        <w:t>Free TV Australia, and ASTRA. As noted in Telstra’s submission, separating these roles has the potential to ensure that ‘...</w:t>
      </w:r>
      <w:r>
        <w:t xml:space="preserve"> </w:t>
      </w:r>
      <w:r w:rsidRPr="004939BB">
        <w:t>the Chair can focus on longer</w:t>
      </w:r>
      <w:r>
        <w:t xml:space="preserve"> </w:t>
      </w:r>
      <w:r w:rsidRPr="004939BB">
        <w:t>term strategy and the CEO can give greater focus to administration and performance’.</w:t>
      </w:r>
      <w:r>
        <w:rPr>
          <w:rStyle w:val="FootnoteReference"/>
        </w:rPr>
        <w:footnoteReference w:id="80"/>
      </w:r>
    </w:p>
    <w:p w14:paraId="7A47F2A4" w14:textId="77777777" w:rsidR="00EB2B81" w:rsidRDefault="00261FE0" w:rsidP="00504587">
      <w:r>
        <w:t>The ACMA in its submission noted that the appointment of a single person as Chair and CEO ensures that agency resources and management may be directed swiftly and flexibly to delivering the support necessary to enable the regulatory authority to fulfil its roles effectively</w:t>
      </w:r>
      <w:r>
        <w:rPr>
          <w:rStyle w:val="FootnoteReference"/>
        </w:rPr>
        <w:footnoteReference w:id="81"/>
      </w:r>
      <w:r>
        <w:t>.</w:t>
      </w:r>
    </w:p>
    <w:p w14:paraId="35346727" w14:textId="77777777" w:rsidR="00261FE0" w:rsidRDefault="00261FE0" w:rsidP="00504587">
      <w:r>
        <w:t xml:space="preserve">Design of the Chair/CEO roles in a Commonwealth entity involves consideration of not only the purpose of these roles, including the appropriate balance between strategic and operational functions, but also their interaction with the position of Accountable Authority under the </w:t>
      </w:r>
      <w:r>
        <w:rPr>
          <w:i/>
        </w:rPr>
        <w:t xml:space="preserve">Public Governance, Performance and Accountability Act (2013) </w:t>
      </w:r>
      <w:r w:rsidRPr="001E4238">
        <w:t>(</w:t>
      </w:r>
      <w:r>
        <w:t xml:space="preserve">PGPA Act). </w:t>
      </w:r>
      <w:r w:rsidRPr="0037298F">
        <w:t xml:space="preserve">The PGPA Act sets out the requirements for the governance, reporting and accountability of Commonwealth entities and Commonwealth companies, and for their use and management of public resources. It </w:t>
      </w:r>
      <w:r>
        <w:t xml:space="preserve">also </w:t>
      </w:r>
      <w:r w:rsidRPr="0037298F">
        <w:t xml:space="preserve">sets out a series of duties that the </w:t>
      </w:r>
      <w:r>
        <w:t>A</w:t>
      </w:r>
      <w:r w:rsidRPr="0037298F">
        <w:t xml:space="preserve">ccountable </w:t>
      </w:r>
      <w:r>
        <w:t>A</w:t>
      </w:r>
      <w:r w:rsidRPr="0037298F">
        <w:t xml:space="preserve">uthority must </w:t>
      </w:r>
      <w:r>
        <w:t>fulfil</w:t>
      </w:r>
      <w:r>
        <w:rPr>
          <w:rStyle w:val="FootnoteReference"/>
        </w:rPr>
        <w:footnoteReference w:id="82"/>
      </w:r>
      <w:r>
        <w:t xml:space="preserve"> and which of these cannot be delegated by the Accountable Authority.</w:t>
      </w:r>
      <w:r>
        <w:rPr>
          <w:rStyle w:val="FootnoteReference"/>
        </w:rPr>
        <w:footnoteReference w:id="83"/>
      </w:r>
    </w:p>
    <w:p w14:paraId="36661A76" w14:textId="77777777" w:rsidR="00261FE0" w:rsidRPr="00D272AA" w:rsidRDefault="00261FE0" w:rsidP="00504587">
      <w:r w:rsidRPr="0037298F">
        <w:t xml:space="preserve">Under section 12 of the </w:t>
      </w:r>
      <w:hyperlink r:id="rId22" w:history="1">
        <w:r w:rsidRPr="0037298F">
          <w:t>PGPA Act</w:t>
        </w:r>
      </w:hyperlink>
      <w:r w:rsidRPr="0037298F">
        <w:t xml:space="preserve">, the </w:t>
      </w:r>
      <w:r>
        <w:t>A</w:t>
      </w:r>
      <w:r w:rsidRPr="0037298F">
        <w:t xml:space="preserve">ccountable </w:t>
      </w:r>
      <w:r>
        <w:t>A</w:t>
      </w:r>
      <w:r w:rsidRPr="0037298F">
        <w:t xml:space="preserve">uthority of a Commonwealth entity is generally the person or group of persons responsible for, and with control over, the entity’s operations. </w:t>
      </w:r>
      <w:r>
        <w:t>T</w:t>
      </w:r>
      <w:r w:rsidRPr="00D272AA">
        <w:t xml:space="preserve">he Chair, the CEO, or the Authority in its entirety </w:t>
      </w:r>
      <w:r>
        <w:t xml:space="preserve">could potentially be designated as the Accountable Authority. However, given the duties prescribed to the Accountable Authority and the role of Chair as agency head for the purposes of the </w:t>
      </w:r>
      <w:r w:rsidRPr="00312EC0">
        <w:rPr>
          <w:i/>
        </w:rPr>
        <w:t>Public Service Act 1999</w:t>
      </w:r>
      <w:r>
        <w:t>, it is most appropriate that the Chair continue as the Accountable Authority. This model is also currently adopted by the ACCC and ASIC, where legislation states that the Accountable Authority is the Chair within each agency.</w:t>
      </w:r>
    </w:p>
    <w:p w14:paraId="0611EBCD" w14:textId="4401CABC" w:rsidR="00261FE0" w:rsidRDefault="00261FE0" w:rsidP="00504587">
      <w:r>
        <w:t>In the situation where the Chair is the Accountable Authority</w:t>
      </w:r>
      <w:r w:rsidR="00726288">
        <w:t>,</w:t>
      </w:r>
      <w:r>
        <w:t xml:space="preserve"> the Review considers there are material issues with attempting to establish a compulsory separation between the Chair and CEO roles. These arise because the PGPA Act mandates that certain function cannot be delegated by the Chair (including the responsibility for preparing </w:t>
      </w:r>
      <w:r w:rsidRPr="00C21D42">
        <w:t>annual performance and financial statements</w:t>
      </w:r>
      <w:r>
        <w:t>), and hence, even if a separate CEO position were designated these functions, ultimately responsibility for them would still vest with the Chair.</w:t>
      </w:r>
    </w:p>
    <w:p w14:paraId="788FBD29" w14:textId="77777777" w:rsidR="00EB2B81" w:rsidRDefault="00261FE0" w:rsidP="00504587">
      <w:r>
        <w:t>T</w:t>
      </w:r>
      <w:r w:rsidRPr="0046716B">
        <w:t xml:space="preserve">he </w:t>
      </w:r>
      <w:r>
        <w:t>Review considers having a single person as Chair of the regulatory authority and the head of the agency (and Accountable Authority) means that agency resources and management may be quickly directed to deliver the support necessary for the regulatory authority to carry out its role. This approach also simplifies the governance arrangements and provides clarity of accountability.</w:t>
      </w:r>
    </w:p>
    <w:p w14:paraId="3D58B5BF" w14:textId="4A725275" w:rsidR="00261FE0" w:rsidRDefault="00261FE0" w:rsidP="00504587">
      <w:r>
        <w:t>While the Chair is currently the Accountable Authority, and also fulfils the role of CEO, the existing governance arrangement also provide</w:t>
      </w:r>
      <w:r w:rsidR="00726288">
        <w:t>s</w:t>
      </w:r>
      <w:r>
        <w:t xml:space="preserve"> flexibility. The Chair does have the option to delegate a range of functions to a CEO or to the executives of the agency, so as to allow for a greater focus on strategic issues as needed. This flexibility positions the ACMA well in regard to its options in managing a range of issues and priorities that may change over time and in line with changes in the sectors it regulates.</w:t>
      </w:r>
    </w:p>
    <w:p w14:paraId="0F4130F0" w14:textId="77777777" w:rsidR="00261FE0" w:rsidRDefault="00261FE0" w:rsidP="00576140">
      <w:r>
        <w:t>The Review considers that there would be a more reasonable balance between the Chair (as Accountable Authority) and the Authority members under a governance model that consists entirely of full-time members for the Authority each with specific areas of responsibility.</w:t>
      </w:r>
    </w:p>
    <w:p w14:paraId="565FE537" w14:textId="77777777" w:rsidR="005C1E2A" w:rsidRDefault="005C1E2A" w:rsidP="00576140"/>
    <w:p w14:paraId="52FF24C7" w14:textId="77777777" w:rsidR="004F1146" w:rsidRDefault="004F1146" w:rsidP="00CB4DEF">
      <w:pPr>
        <w:pBdr>
          <w:top w:val="single" w:sz="4" w:space="1" w:color="auto"/>
          <w:left w:val="single" w:sz="4" w:space="1" w:color="auto"/>
          <w:bottom w:val="single" w:sz="4" w:space="1" w:color="auto"/>
          <w:right w:val="single" w:sz="4" w:space="1" w:color="auto"/>
        </w:pBdr>
        <w:shd w:val="clear" w:color="auto" w:fill="DEEAF6" w:themeFill="accent1" w:themeFillTint="33"/>
      </w:pPr>
      <w:r w:rsidRPr="001419D9">
        <w:t>Draft proposal:</w:t>
      </w:r>
    </w:p>
    <w:p w14:paraId="2132CBF9" w14:textId="77777777" w:rsidR="004F1146" w:rsidRPr="001419D9" w:rsidRDefault="004F1146" w:rsidP="00CB4DEF">
      <w:pPr>
        <w:pStyle w:val="ListParagraph"/>
        <w:numPr>
          <w:ilvl w:val="0"/>
          <w:numId w:val="17"/>
        </w:numPr>
        <w:pBdr>
          <w:top w:val="single" w:sz="4" w:space="1" w:color="auto"/>
          <w:left w:val="single" w:sz="4" w:space="1" w:color="auto"/>
          <w:bottom w:val="single" w:sz="4" w:space="1" w:color="auto"/>
          <w:right w:val="single" w:sz="4" w:space="1" w:color="auto"/>
        </w:pBdr>
        <w:shd w:val="clear" w:color="auto" w:fill="DEEAF6" w:themeFill="accent1" w:themeFillTint="33"/>
        <w:spacing w:line="276" w:lineRule="auto"/>
        <w:ind w:left="567" w:hanging="567"/>
      </w:pPr>
      <w:r w:rsidRPr="00DE418B">
        <w:t>That the existing arrangements are maintained where the Chair is the Accountable Authority with an ability</w:t>
      </w:r>
      <w:r w:rsidRPr="00DE418B" w:rsidDel="00806130">
        <w:t xml:space="preserve"> </w:t>
      </w:r>
      <w:r w:rsidRPr="00DE418B">
        <w:t>to delegate powers, duties and functions, to the extent permitted by the PGPA Act, to a CEO.</w:t>
      </w:r>
    </w:p>
    <w:p w14:paraId="34C7D597" w14:textId="77777777" w:rsidR="00261FE0" w:rsidRPr="00A1575E" w:rsidRDefault="00261FE0" w:rsidP="00504587">
      <w:pPr>
        <w:pStyle w:val="Heading4"/>
      </w:pPr>
      <w:bookmarkStart w:id="367" w:name="_Toc436923356"/>
      <w:bookmarkStart w:id="368" w:name="_Toc437440658"/>
      <w:bookmarkStart w:id="369" w:name="_Toc437528411"/>
      <w:bookmarkStart w:id="370" w:name="_Toc437594269"/>
      <w:bookmarkStart w:id="371" w:name="_Toc449620005"/>
      <w:bookmarkStart w:id="372" w:name="_Toc450310156"/>
      <w:bookmarkStart w:id="373" w:name="_Toc432606951"/>
      <w:bookmarkStart w:id="374" w:name="_Toc433813787"/>
      <w:bookmarkEnd w:id="364"/>
      <w:bookmarkEnd w:id="365"/>
      <w:bookmarkEnd w:id="366"/>
      <w:r w:rsidRPr="00A1575E">
        <w:t>Boards supporting the functions of the Authority</w:t>
      </w:r>
      <w:bookmarkEnd w:id="367"/>
      <w:bookmarkEnd w:id="368"/>
      <w:bookmarkEnd w:id="369"/>
      <w:bookmarkEnd w:id="370"/>
      <w:bookmarkEnd w:id="371"/>
      <w:bookmarkEnd w:id="372"/>
    </w:p>
    <w:p w14:paraId="7159DC4B" w14:textId="4BE68684" w:rsidR="00EB2B81" w:rsidRDefault="00261FE0" w:rsidP="00504587">
      <w:r>
        <w:t>T</w:t>
      </w:r>
      <w:r w:rsidRPr="0046716B">
        <w:t>he complex nature of the modern communications sector places increased demand on regulators to manage a diverse range of issues</w:t>
      </w:r>
      <w:r>
        <w:t>,</w:t>
      </w:r>
      <w:r w:rsidRPr="0046716B">
        <w:t xml:space="preserve"> </w:t>
      </w:r>
      <w:r>
        <w:t>as well as</w:t>
      </w:r>
      <w:r w:rsidRPr="0046716B">
        <w:t xml:space="preserve"> significant amounts of routine decision</w:t>
      </w:r>
      <w:r w:rsidR="00AB23B9">
        <w:t>-</w:t>
      </w:r>
      <w:r w:rsidRPr="0046716B">
        <w:t xml:space="preserve">making. </w:t>
      </w:r>
      <w:r>
        <w:t>In the UK this workload is managed by allowing</w:t>
      </w:r>
      <w:r w:rsidRPr="0046716B">
        <w:t xml:space="preserve"> content issues </w:t>
      </w:r>
      <w:r>
        <w:t>to be</w:t>
      </w:r>
      <w:r w:rsidRPr="0046716B">
        <w:t xml:space="preserve"> </w:t>
      </w:r>
      <w:r>
        <w:t xml:space="preserve">considered </w:t>
      </w:r>
      <w:r w:rsidRPr="0046716B">
        <w:t xml:space="preserve">by a Content Board, </w:t>
      </w:r>
      <w:r>
        <w:t>ensuring that</w:t>
      </w:r>
      <w:r w:rsidRPr="0046716B">
        <w:t xml:space="preserve"> the primary Ofcom Board </w:t>
      </w:r>
      <w:r>
        <w:t>is not overwhelmed by</w:t>
      </w:r>
      <w:r w:rsidRPr="0046716B">
        <w:t xml:space="preserve"> the </w:t>
      </w:r>
      <w:r>
        <w:t>wide range of content issues that arise.</w:t>
      </w:r>
    </w:p>
    <w:p w14:paraId="1F650C4E" w14:textId="65C347FF" w:rsidR="00261FE0" w:rsidRDefault="00261FE0" w:rsidP="00261FE0">
      <w:r>
        <w:t xml:space="preserve">The </w:t>
      </w:r>
      <w:r w:rsidRPr="001265D8">
        <w:rPr>
          <w:i/>
        </w:rPr>
        <w:t>A</w:t>
      </w:r>
      <w:r w:rsidR="00EB6037">
        <w:rPr>
          <w:i/>
        </w:rPr>
        <w:t xml:space="preserve">ustralian </w:t>
      </w:r>
      <w:r w:rsidRPr="001265D8">
        <w:rPr>
          <w:i/>
        </w:rPr>
        <w:t>C</w:t>
      </w:r>
      <w:r w:rsidR="00EB6037">
        <w:rPr>
          <w:i/>
        </w:rPr>
        <w:t xml:space="preserve">ommunication and </w:t>
      </w:r>
      <w:r w:rsidRPr="001265D8">
        <w:rPr>
          <w:i/>
        </w:rPr>
        <w:t>M</w:t>
      </w:r>
      <w:r w:rsidR="00EB6037">
        <w:rPr>
          <w:i/>
        </w:rPr>
        <w:t xml:space="preserve">edia </w:t>
      </w:r>
      <w:r w:rsidRPr="001265D8">
        <w:rPr>
          <w:i/>
        </w:rPr>
        <w:t>A</w:t>
      </w:r>
      <w:r w:rsidR="00EB6037">
        <w:rPr>
          <w:i/>
        </w:rPr>
        <w:t>uthority</w:t>
      </w:r>
      <w:r w:rsidRPr="001265D8">
        <w:rPr>
          <w:i/>
        </w:rPr>
        <w:t xml:space="preserve"> Act</w:t>
      </w:r>
      <w:r w:rsidR="00EB6037">
        <w:rPr>
          <w:i/>
        </w:rPr>
        <w:t xml:space="preserve"> 2005</w:t>
      </w:r>
      <w:r w:rsidRPr="001265D8">
        <w:rPr>
          <w:i/>
        </w:rPr>
        <w:t xml:space="preserve"> </w:t>
      </w:r>
      <w:r>
        <w:t>allows the ACMA to delegate certain decisions to a ‘division’ of the Authority, or to certain members, associate members, or members of the ACMA staff. However, in the case of a separate decision</w:t>
      </w:r>
      <w:r w:rsidR="00AB23B9">
        <w:t>-</w:t>
      </w:r>
      <w:r>
        <w:t>making group consisting of members not already part of the Authority or the ACMA staff (such as in the Ofcom Content Board example above), the ACMA Act does not presently contain the mechanisms to facilitate such a structure. There would be benefit in allowing the ACMA to establish such a structure if it was both necessary and cost effective to do so.</w:t>
      </w:r>
      <w:bookmarkEnd w:id="373"/>
      <w:bookmarkEnd w:id="374"/>
    </w:p>
    <w:p w14:paraId="026DC1EE" w14:textId="77777777" w:rsidR="00570F48" w:rsidRDefault="00570F48" w:rsidP="00CB4DEF">
      <w:pPr>
        <w:pBdr>
          <w:top w:val="single" w:sz="4" w:space="1" w:color="auto"/>
          <w:left w:val="single" w:sz="4" w:space="1" w:color="auto"/>
          <w:bottom w:val="single" w:sz="4" w:space="1" w:color="auto"/>
          <w:right w:val="single" w:sz="4" w:space="1" w:color="auto"/>
        </w:pBdr>
        <w:shd w:val="clear" w:color="auto" w:fill="DEEAF6" w:themeFill="accent1" w:themeFillTint="33"/>
      </w:pPr>
      <w:r w:rsidRPr="001419D9">
        <w:t>Draft proposal:</w:t>
      </w:r>
    </w:p>
    <w:p w14:paraId="7E8A1263" w14:textId="0FADFDDF" w:rsidR="007B2026" w:rsidRDefault="00570F48" w:rsidP="00CB4DEF">
      <w:pPr>
        <w:pStyle w:val="ListParagraph"/>
        <w:numPr>
          <w:ilvl w:val="0"/>
          <w:numId w:val="17"/>
        </w:numPr>
        <w:pBdr>
          <w:top w:val="single" w:sz="4" w:space="1" w:color="auto"/>
          <w:left w:val="single" w:sz="4" w:space="1" w:color="auto"/>
          <w:bottom w:val="single" w:sz="4" w:space="1" w:color="auto"/>
          <w:right w:val="single" w:sz="4" w:space="1" w:color="auto"/>
        </w:pBdr>
        <w:shd w:val="clear" w:color="auto" w:fill="DEEAF6" w:themeFill="accent1" w:themeFillTint="33"/>
        <w:spacing w:line="276" w:lineRule="auto"/>
        <w:ind w:left="567" w:hanging="567"/>
      </w:pPr>
      <w:r w:rsidRPr="00570F48">
        <w:t>That provision be made in the ACMA Act for the Authority to establish sub-boards to manage subject matter not requiring the full commitment of the Authority, or to manage issues that would otherwise diminish the Authority’s capacity to focus on its key decision</w:t>
      </w:r>
      <w:r w:rsidR="00AB23B9">
        <w:t>-</w:t>
      </w:r>
      <w:r w:rsidRPr="00570F48">
        <w:t>making or direction setting responsibilities. That the Chair of any such sub-boards be a member of the Authority but not be the Chair of the Authority.</w:t>
      </w:r>
    </w:p>
    <w:p w14:paraId="0295C4E9" w14:textId="77777777" w:rsidR="00261FE0" w:rsidRDefault="00261FE0" w:rsidP="00504587">
      <w:pPr>
        <w:pStyle w:val="Heading4"/>
      </w:pPr>
      <w:bookmarkStart w:id="375" w:name="_Toc449620006"/>
      <w:bookmarkStart w:id="376" w:name="_Toc450310157"/>
      <w:r>
        <w:t>Independence of the regulator</w:t>
      </w:r>
      <w:bookmarkEnd w:id="375"/>
      <w:bookmarkEnd w:id="376"/>
    </w:p>
    <w:p w14:paraId="46AFD771" w14:textId="20F10DA2" w:rsidR="00261FE0" w:rsidRDefault="00261FE0" w:rsidP="002E15A7">
      <w:r w:rsidRPr="00106221">
        <w:t>A well-defined relationship between the regulator, its policy department, and the Minister is crucial to the effective functioning of the regulator. The benefits of independence are well established - it can help promote more predictable and objective decision</w:t>
      </w:r>
      <w:r w:rsidR="00AB23B9">
        <w:t>-</w:t>
      </w:r>
      <w:r w:rsidRPr="00106221">
        <w:t>making which in turn foster</w:t>
      </w:r>
      <w:r>
        <w:t>s</w:t>
      </w:r>
      <w:r w:rsidRPr="00106221">
        <w:t xml:space="preserve"> an environment conducive to </w:t>
      </w:r>
      <w:r>
        <w:t>greater</w:t>
      </w:r>
      <w:r w:rsidRPr="00106221">
        <w:t xml:space="preserve"> investment and </w:t>
      </w:r>
      <w:r>
        <w:t>innovation</w:t>
      </w:r>
      <w:r w:rsidRPr="00106221">
        <w:t>.</w:t>
      </w:r>
    </w:p>
    <w:p w14:paraId="62E8D7C1" w14:textId="7F6BA20D" w:rsidR="00261FE0" w:rsidRDefault="00261FE0" w:rsidP="002E15A7">
      <w:r w:rsidRPr="00106221">
        <w:t>Independent decision</w:t>
      </w:r>
      <w:r w:rsidR="00AB23B9">
        <w:t>-</w:t>
      </w:r>
      <w:r w:rsidRPr="00106221">
        <w:t xml:space="preserve">making can also strengthen both the perception and actual integrity of the </w:t>
      </w:r>
      <w:r>
        <w:t xml:space="preserve">regulatory </w:t>
      </w:r>
      <w:r w:rsidRPr="00106221">
        <w:t>regime.</w:t>
      </w:r>
      <w:r>
        <w:t xml:space="preserve"> While there are many aspects to independence, three key areas are: the type of regulatory agency, its regulatory decision</w:t>
      </w:r>
      <w:r w:rsidR="00AB23B9">
        <w:t>-</w:t>
      </w:r>
      <w:r>
        <w:t>making model and when it can be directed in the exercise of its functions.</w:t>
      </w:r>
    </w:p>
    <w:p w14:paraId="19A9DF75" w14:textId="77777777" w:rsidR="00EB2B81" w:rsidRDefault="00261FE0" w:rsidP="002E15A7">
      <w:r w:rsidRPr="00106221">
        <w:t>This Review supports the ongoing operation of the ACMA as an independent statutory authority</w:t>
      </w:r>
      <w:r>
        <w:t xml:space="preserve"> with staff employed under the </w:t>
      </w:r>
      <w:r w:rsidRPr="00D272AA">
        <w:rPr>
          <w:i/>
        </w:rPr>
        <w:t>Public Service Act 1999</w:t>
      </w:r>
      <w:r>
        <w:t>. This is consistent with international best practice and with promoting consistency and certainty for a sector involving significant infrastructure investments.</w:t>
      </w:r>
    </w:p>
    <w:p w14:paraId="24EE44E7" w14:textId="04C3B329" w:rsidR="00261FE0" w:rsidRPr="00106221" w:rsidRDefault="00261FE0" w:rsidP="002E15A7">
      <w:pPr>
        <w:rPr>
          <w:sz w:val="18"/>
        </w:rPr>
      </w:pPr>
      <w:r>
        <w:t xml:space="preserve">The discussion above on the organisational model has supported the </w:t>
      </w:r>
      <w:r w:rsidRPr="0087248E">
        <w:t>Authority retain</w:t>
      </w:r>
      <w:r>
        <w:t>ing</w:t>
      </w:r>
      <w:r w:rsidRPr="0087248E">
        <w:t xml:space="preserve"> a commission model of decision</w:t>
      </w:r>
      <w:r w:rsidR="00AB23B9">
        <w:t>-</w:t>
      </w:r>
      <w:r w:rsidRPr="0087248E">
        <w:t>making</w:t>
      </w:r>
      <w:r>
        <w:t>. The Review also supports the ongoing maintenance of the ACMA’s independence from Government in most areas of its decision</w:t>
      </w:r>
      <w:r w:rsidR="00AB23B9">
        <w:t>-</w:t>
      </w:r>
      <w:r>
        <w:t>making</w:t>
      </w:r>
      <w:r w:rsidRPr="008C646D">
        <w:t>—</w:t>
      </w:r>
      <w:r w:rsidRPr="00D272AA">
        <w:t xml:space="preserve">in particular, all content-related decisions—and </w:t>
      </w:r>
      <w:r>
        <w:t xml:space="preserve">its governing legislation </w:t>
      </w:r>
      <w:r w:rsidRPr="00D272AA">
        <w:t>should be designed accordingly.</w:t>
      </w:r>
    </w:p>
    <w:p w14:paraId="63D60AA3" w14:textId="77777777" w:rsidR="00261FE0" w:rsidRDefault="00261FE0" w:rsidP="002E15A7">
      <w:r w:rsidRPr="00106221">
        <w:t>The degree of independence the ACMA is afforded will depend on the nature of its remit and may va</w:t>
      </w:r>
      <w:r>
        <w:t>ry with its functions over time</w:t>
      </w:r>
      <w:r w:rsidRPr="00106221">
        <w:t xml:space="preserve">. For example, in economic regulation, where credible commitments to long term policy settings are required, greater independence is appropriate. On matters of national interest, allocation of public resources, or in fast changing environments where regulatory decisions cannot be readily distinguished from policy choices, it </w:t>
      </w:r>
      <w:r>
        <w:t>may</w:t>
      </w:r>
      <w:r w:rsidRPr="00106221">
        <w:t xml:space="preserve"> be appropriate for the Minister to have a greater role.</w:t>
      </w:r>
      <w:r>
        <w:t xml:space="preserve"> These powers may be contained in primary legislation that the ACMA administers and are appropriately considered in light of the objects of that legislation. The Review</w:t>
      </w:r>
      <w:r w:rsidRPr="00106221" w:rsidDel="00AB3CBA">
        <w:t xml:space="preserve"> </w:t>
      </w:r>
      <w:r w:rsidRPr="00106221">
        <w:t>do</w:t>
      </w:r>
      <w:r>
        <w:t>es</w:t>
      </w:r>
      <w:r w:rsidRPr="00106221">
        <w:t xml:space="preserve"> not consider, based on an analysis of the remit described earlier in this chapter, that any material change in the degree of independence under which the ACMA currently </w:t>
      </w:r>
      <w:r>
        <w:t>maintains</w:t>
      </w:r>
      <w:r w:rsidRPr="00106221">
        <w:t xml:space="preserve"> is necessary. However</w:t>
      </w:r>
      <w:r>
        <w:t>,</w:t>
      </w:r>
      <w:r w:rsidRPr="00106221">
        <w:t xml:space="preserve"> </w:t>
      </w:r>
      <w:r>
        <w:t>if</w:t>
      </w:r>
      <w:r w:rsidRPr="00106221">
        <w:t xml:space="preserve"> the ACMA were to acquire an economic regulation </w:t>
      </w:r>
      <w:r>
        <w:t>function</w:t>
      </w:r>
      <w:r w:rsidRPr="00106221">
        <w:t xml:space="preserve"> in the telecommunications sector it would necessitate a higher degree of independence particularly given the Commonwealth’s shareholding in the NBN.</w:t>
      </w:r>
    </w:p>
    <w:p w14:paraId="2562FC50" w14:textId="77777777" w:rsidR="00261FE0" w:rsidRPr="00903E4E" w:rsidRDefault="00261FE0" w:rsidP="00261FE0">
      <w:bookmarkStart w:id="377" w:name="_Toc443038169"/>
      <w:bookmarkStart w:id="378" w:name="_Toc443040716"/>
      <w:bookmarkStart w:id="379" w:name="_Toc443043503"/>
      <w:bookmarkStart w:id="380" w:name="_Toc443043887"/>
      <w:r w:rsidRPr="0078748A">
        <w:t>The Review acknowledges the ongoing importance of ensuring future reform</w:t>
      </w:r>
      <w:r w:rsidR="005F14ED">
        <w:t>—</w:t>
      </w:r>
      <w:r w:rsidRPr="0078748A">
        <w:t>particularly in contested areas or market segments where regulatory decisions cannot be readily distinguished from policy choices</w:t>
      </w:r>
      <w:r w:rsidR="005F14ED">
        <w:t>—</w:t>
      </w:r>
      <w:r w:rsidRPr="0078748A">
        <w:t xml:space="preserve">provides greater degree of clarity about the role of the regulator and the role of Minister and the Parliament consistent with best practice. </w:t>
      </w:r>
      <w:r>
        <w:t>The Government has commenced this reform through the Spectrum Review, which includes measures to more clearly define the role of the Minister and regulator in allocating spectrum.</w:t>
      </w:r>
      <w:bookmarkEnd w:id="377"/>
      <w:bookmarkEnd w:id="378"/>
      <w:bookmarkEnd w:id="379"/>
      <w:bookmarkEnd w:id="380"/>
      <w:r>
        <w:br w:type="page"/>
      </w:r>
    </w:p>
    <w:p w14:paraId="61764E85" w14:textId="77777777" w:rsidR="003764A2" w:rsidRPr="00EF0DB9" w:rsidRDefault="003764A2" w:rsidP="00CF6194">
      <w:pPr>
        <w:pStyle w:val="Heading2"/>
      </w:pPr>
      <w:bookmarkStart w:id="381" w:name="_Toc437528412"/>
      <w:bookmarkStart w:id="382" w:name="_Toc437594270"/>
      <w:bookmarkStart w:id="383" w:name="_Toc437599288"/>
      <w:bookmarkStart w:id="384" w:name="_Toc437600393"/>
      <w:bookmarkStart w:id="385" w:name="_Toc440536935"/>
      <w:bookmarkStart w:id="386" w:name="_Toc441743831"/>
      <w:bookmarkStart w:id="387" w:name="_Toc441744273"/>
      <w:bookmarkStart w:id="388" w:name="_Toc441845093"/>
      <w:bookmarkStart w:id="389" w:name="_Toc441847346"/>
      <w:bookmarkStart w:id="390" w:name="_Toc441848278"/>
      <w:bookmarkStart w:id="391" w:name="_Toc442107120"/>
      <w:bookmarkStart w:id="392" w:name="_Toc442108772"/>
      <w:bookmarkStart w:id="393" w:name="_Toc443038170"/>
      <w:bookmarkStart w:id="394" w:name="_Toc443043888"/>
      <w:bookmarkStart w:id="395" w:name="_Toc443052578"/>
      <w:bookmarkStart w:id="396" w:name="_Toc443054867"/>
      <w:bookmarkStart w:id="397" w:name="_Toc449432099"/>
      <w:bookmarkStart w:id="398" w:name="_Toc449438567"/>
      <w:bookmarkStart w:id="399" w:name="_Toc450310158"/>
      <w:r>
        <w:t>Part Three</w:t>
      </w:r>
      <w:bookmarkEnd w:id="381"/>
      <w:r w:rsidR="00CF6194">
        <w:t>—</w:t>
      </w:r>
      <w:r>
        <w:t>Enhancing Regulator Performance</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14:paraId="12AF2CC5" w14:textId="77777777" w:rsidR="003764A2" w:rsidRDefault="003764A2" w:rsidP="003764A2">
      <w:pPr>
        <w:rPr>
          <w:rFonts w:eastAsia="Times New Roman" w:cs="Arial"/>
          <w:szCs w:val="24"/>
        </w:rPr>
      </w:pPr>
      <w:r>
        <w:t>Consistent with</w:t>
      </w:r>
      <w:r w:rsidRPr="009B4A04">
        <w:t xml:space="preserve"> </w:t>
      </w:r>
      <w:r>
        <w:t>the</w:t>
      </w:r>
      <w:r w:rsidRPr="009B4A04">
        <w:t xml:space="preserve"> Terms of Reference, the Review </w:t>
      </w:r>
      <w:r>
        <w:t>assessed</w:t>
      </w:r>
      <w:r w:rsidRPr="009B4A04">
        <w:t xml:space="preserve"> the ACMA’s current performance against the Regulator Performance Framework (RPF)</w:t>
      </w:r>
      <w:r w:rsidRPr="00C66A0D">
        <w:t>.</w:t>
      </w:r>
      <w:r>
        <w:t xml:space="preserve"> The Review</w:t>
      </w:r>
      <w:r w:rsidDel="00AB3CBA">
        <w:t xml:space="preserve"> </w:t>
      </w:r>
      <w:r>
        <w:t xml:space="preserve">identified </w:t>
      </w:r>
      <w:r w:rsidRPr="00C66A0D">
        <w:rPr>
          <w:rFonts w:eastAsia="Times New Roman" w:cs="Arial"/>
          <w:szCs w:val="24"/>
        </w:rPr>
        <w:t xml:space="preserve">performance </w:t>
      </w:r>
      <w:r>
        <w:rPr>
          <w:rFonts w:eastAsia="Times New Roman" w:cs="Arial"/>
          <w:szCs w:val="24"/>
        </w:rPr>
        <w:t>attributes that embody best practice in a high performance communications regulator, which are that the regulator:</w:t>
      </w:r>
    </w:p>
    <w:p w14:paraId="65553CFC" w14:textId="77777777" w:rsidR="003764A2" w:rsidRPr="00C66A0D" w:rsidRDefault="003764A2" w:rsidP="003764A2">
      <w:pPr>
        <w:pStyle w:val="Bulletlevel1"/>
      </w:pPr>
      <w:r>
        <w:t xml:space="preserve">is an </w:t>
      </w:r>
      <w:r w:rsidRPr="00C66A0D">
        <w:t>agile, timely and informed decision maker</w:t>
      </w:r>
      <w:r>
        <w:t>;</w:t>
      </w:r>
    </w:p>
    <w:p w14:paraId="12116AF6" w14:textId="77777777" w:rsidR="003764A2" w:rsidRPr="00C66A0D" w:rsidRDefault="003764A2" w:rsidP="003764A2">
      <w:pPr>
        <w:pStyle w:val="Bulletlevel1"/>
      </w:pPr>
      <w:r>
        <w:t>takes a</w:t>
      </w:r>
      <w:r w:rsidRPr="00C66A0D">
        <w:t xml:space="preserve">ctions </w:t>
      </w:r>
      <w:r>
        <w:t xml:space="preserve">which </w:t>
      </w:r>
      <w:r w:rsidRPr="00C66A0D">
        <w:t>are targeted and commensurate with risk</w:t>
      </w:r>
      <w:r>
        <w:t>;</w:t>
      </w:r>
    </w:p>
    <w:p w14:paraId="414129EC" w14:textId="77777777" w:rsidR="003764A2" w:rsidRPr="009C58C1" w:rsidRDefault="003764A2" w:rsidP="003764A2">
      <w:pPr>
        <w:pStyle w:val="Bulletlevel1"/>
      </w:pPr>
      <w:r w:rsidRPr="00C66A0D">
        <w:t>delivers continuous improvements of regulatory frameworks</w:t>
      </w:r>
      <w:r>
        <w:t>; and</w:t>
      </w:r>
    </w:p>
    <w:p w14:paraId="7BF2124E" w14:textId="77777777" w:rsidR="003764A2" w:rsidRPr="00B7741E" w:rsidRDefault="003764A2" w:rsidP="003764A2">
      <w:pPr>
        <w:pStyle w:val="Bulletlevel1"/>
      </w:pPr>
      <w:r w:rsidRPr="00506CE9">
        <w:t>has the confidence and trust of stakeholders.</w:t>
      </w:r>
    </w:p>
    <w:p w14:paraId="10B536CC" w14:textId="5D5960BC" w:rsidR="003764A2" w:rsidRDefault="003764A2" w:rsidP="003764A2">
      <w:pPr>
        <w:rPr>
          <w:szCs w:val="24"/>
        </w:rPr>
      </w:pPr>
      <w:r>
        <w:t>The Review</w:t>
      </w:r>
      <w:r w:rsidDel="00AB3CBA">
        <w:t xml:space="preserve"> </w:t>
      </w:r>
      <w:r>
        <w:t xml:space="preserve">used </w:t>
      </w:r>
      <w:r w:rsidRPr="00C66A0D">
        <w:t>various sources including stakeholder submissions</w:t>
      </w:r>
      <w:r>
        <w:t xml:space="preserve"> and </w:t>
      </w:r>
      <w:r w:rsidRPr="00C66A0D">
        <w:t>consultations, a self-assessment by the ACMA against the RPF</w:t>
      </w:r>
      <w:r>
        <w:t xml:space="preserve"> and consultation</w:t>
      </w:r>
      <w:r w:rsidRPr="00C66A0D">
        <w:t xml:space="preserve"> with the </w:t>
      </w:r>
      <w:r w:rsidR="00595FFC">
        <w:t>R</w:t>
      </w:r>
      <w:r w:rsidRPr="00C66A0D">
        <w:t xml:space="preserve">eference </w:t>
      </w:r>
      <w:r w:rsidR="00595FFC">
        <w:t>G</w:t>
      </w:r>
      <w:r w:rsidRPr="00C66A0D">
        <w:t xml:space="preserve">roup of regulatory experts </w:t>
      </w:r>
      <w:r>
        <w:t xml:space="preserve">to evaluate the ACMA’s performance against these attributes and to </w:t>
      </w:r>
      <w:r w:rsidRPr="00633551">
        <w:rPr>
          <w:szCs w:val="24"/>
        </w:rPr>
        <w:t>propose</w:t>
      </w:r>
      <w:r w:rsidRPr="00C73543">
        <w:rPr>
          <w:szCs w:val="24"/>
        </w:rPr>
        <w:t xml:space="preserve"> </w:t>
      </w:r>
      <w:r w:rsidRPr="00633551">
        <w:rPr>
          <w:szCs w:val="24"/>
        </w:rPr>
        <w:t xml:space="preserve">measures to enhance the future </w:t>
      </w:r>
      <w:r>
        <w:rPr>
          <w:szCs w:val="24"/>
        </w:rPr>
        <w:t>performance of the ACMA</w:t>
      </w:r>
      <w:r w:rsidRPr="00633551">
        <w:rPr>
          <w:szCs w:val="24"/>
        </w:rPr>
        <w:t>.</w:t>
      </w:r>
    </w:p>
    <w:p w14:paraId="1303D859" w14:textId="77777777" w:rsidR="003764A2" w:rsidRDefault="003764A2" w:rsidP="003764A2">
      <w:r>
        <w:t xml:space="preserve">The following sections focus on presenting the key findings and draft proposals arising from this analysis. For the full RPF performance assessment containing the methodology, evidence base, findings, analysis and recommendations refer to </w:t>
      </w:r>
      <w:r>
        <w:rPr>
          <w:u w:val="single"/>
        </w:rPr>
        <w:t>Appendix B.</w:t>
      </w:r>
    </w:p>
    <w:p w14:paraId="158F9691" w14:textId="77777777" w:rsidR="003764A2" w:rsidRPr="00023768" w:rsidRDefault="003764A2" w:rsidP="00CF6194">
      <w:pPr>
        <w:pStyle w:val="Heading3"/>
      </w:pPr>
      <w:bookmarkStart w:id="400" w:name="_Toc449432100"/>
      <w:bookmarkStart w:id="401" w:name="_Toc449438568"/>
      <w:bookmarkStart w:id="402" w:name="_Toc450310159"/>
      <w:r>
        <w:t>Regulator performance principles</w:t>
      </w:r>
      <w:bookmarkEnd w:id="400"/>
      <w:bookmarkEnd w:id="401"/>
      <w:bookmarkEnd w:id="402"/>
    </w:p>
    <w:p w14:paraId="408FF00C" w14:textId="77777777" w:rsidR="00EB2B81" w:rsidRDefault="003764A2" w:rsidP="003764A2">
      <w:r>
        <w:t xml:space="preserve">This report has discussed earlier the importance of setting clear objectives for the ACMA to enable it to achieve good regulatory outcomes. While such clarity of policy objectives will only be fully achieved through the reform of the legislation administered by the ACMA, it is nonetheless possible to devise a set of principles to address the way in which the ACMA goes about performing its regulatory functions. The Review therefore proposes to establish a series of such regulator principles in the ACMA’s enabling legislation to express the unambiguous intention of government and Parliament that the regulation of communications industries will be guided by best practice principles and continuous improvement over time. Guiding regulatory principles of this nature are currently set out in the enabling legislation of Ofcom, requiring the regulator to have regard to principles under which regulatory action should be </w:t>
      </w:r>
      <w:r w:rsidRPr="006960DE">
        <w:rPr>
          <w:lang w:val="en"/>
        </w:rPr>
        <w:t>transparent, accountable, proport</w:t>
      </w:r>
      <w:r>
        <w:rPr>
          <w:lang w:val="en"/>
        </w:rPr>
        <w:t>ionate, consistent and targeted</w:t>
      </w:r>
      <w:r>
        <w:rPr>
          <w:rStyle w:val="FootnoteReference"/>
        </w:rPr>
        <w:footnoteReference w:id="84"/>
      </w:r>
      <w:r>
        <w:t>. Similarly, ASIC’s enabling legislation contains provisions requiring it to strive to administer laws effectively and with a minimal of procedural requirements and to receive, store and provide to the public information quickly and efficiently</w:t>
      </w:r>
      <w:r>
        <w:rPr>
          <w:rStyle w:val="FootnoteReference"/>
        </w:rPr>
        <w:footnoteReference w:id="85"/>
      </w:r>
      <w:r>
        <w:t>.</w:t>
      </w:r>
    </w:p>
    <w:p w14:paraId="6CF8DF1D" w14:textId="77777777" w:rsidR="00EB2B81" w:rsidRDefault="003764A2" w:rsidP="003764A2">
      <w:r>
        <w:t>Technical decisions made by the ACMA can have an important bearing on competition, investment and innovation outcomes in the communications sector</w:t>
      </w:r>
      <w:r w:rsidRPr="00493C83">
        <w:t>. However, there is generally no explicit legislative guidance for the ACMA to consider these factors when making decisions.</w:t>
      </w:r>
      <w:r>
        <w:t xml:space="preserve"> Accordingly</w:t>
      </w:r>
      <w:r w:rsidRPr="000472FF">
        <w:t xml:space="preserve"> </w:t>
      </w:r>
      <w:r>
        <w:t xml:space="preserve">the Review considers in order to increase the certainty of better regulatory outcomes and lessen the impact of unintended consequences it would be useful for the ACMA to strengthen the consideration of </w:t>
      </w:r>
      <w:r w:rsidRPr="000472FF">
        <w:t xml:space="preserve">competition issues when the ACMA is weighing up </w:t>
      </w:r>
      <w:r>
        <w:t>regulatory</w:t>
      </w:r>
      <w:r w:rsidRPr="000472FF">
        <w:t xml:space="preserve"> </w:t>
      </w:r>
      <w:r>
        <w:t>issues. As the ACMA is not a competition regulator it is not appropriate to establish a specific objective that requires the ACMA to promote competition. However, the ACMA’s decisions have economic impacts, in particular as a result of its responsibility for spectrum management, and its licencing and technical decisions. As these decisions could potentially impose barriers to entry and limit the growth of new services, the Review concluded that it would be appropriate to establish a regulator principle that required the ACMA to not hinder competition, unless this is unavoidable, in fulfilling its statutory responsibilities. The Review considers this approach would encourage greater market-based thinking within the ACMA’s regulatory culture.</w:t>
      </w:r>
    </w:p>
    <w:p w14:paraId="229444D0" w14:textId="77777777" w:rsidR="003764A2" w:rsidRDefault="003764A2" w:rsidP="003764A2">
      <w:r>
        <w:t>It is important to emphasise that the proposed regulator principles do not seek to prescribe policy objectives or outcomes. Rather, they are behavioural in character, and seek to provide guidance to the regulator on how it should approach its regulatory role.</w:t>
      </w:r>
    </w:p>
    <w:p w14:paraId="2D209AFB" w14:textId="77777777" w:rsidR="003764A2" w:rsidRDefault="003764A2" w:rsidP="003764A2">
      <w:r w:rsidRPr="00493C83">
        <w:t>The Review</w:t>
      </w:r>
      <w:r w:rsidRPr="00493C83" w:rsidDel="008C5828">
        <w:t xml:space="preserve"> </w:t>
      </w:r>
      <w:r w:rsidRPr="00493C83">
        <w:t xml:space="preserve">also considers that, consistent with the relationship between the Government and other statutory bodies, it would be appropriate for the Minister to provide the ACMA with a Statement of Expectations to provide better direction and certainty </w:t>
      </w:r>
      <w:r>
        <w:t>of</w:t>
      </w:r>
      <w:r w:rsidRPr="00493C83">
        <w:t xml:space="preserve"> the Government’s priorities. </w:t>
      </w:r>
      <w:r>
        <w:t>While issued annually, a Statement of Expectations may not necessarily need to change yearly as it is dependent on the Government’s current priorities and developments in key policy issues at the time.</w:t>
      </w:r>
    </w:p>
    <w:p w14:paraId="56E66A98" w14:textId="07144556" w:rsidR="00EB2B81" w:rsidRDefault="003764A2" w:rsidP="003764A2">
      <w:r w:rsidRPr="00493C83">
        <w:t>In response, the ACMA would be expected to publish a Statement of Intent to outline the steps it would take to support the Government’s priorities. To ensure consistency in the Government’s approach to outlining its expectations for regulators in the communications sector</w:t>
      </w:r>
      <w:r w:rsidR="000D76D0">
        <w:t>,</w:t>
      </w:r>
      <w:r w:rsidRPr="00493C83">
        <w:t xml:space="preserve"> the Review also</w:t>
      </w:r>
      <w:r w:rsidRPr="00493C83" w:rsidDel="008C5828">
        <w:t xml:space="preserve"> </w:t>
      </w:r>
      <w:r w:rsidRPr="00493C83">
        <w:t xml:space="preserve">considers the Minister for Communications </w:t>
      </w:r>
      <w:r w:rsidR="000D76D0">
        <w:t xml:space="preserve">and the Arts </w:t>
      </w:r>
      <w:r w:rsidRPr="00493C83">
        <w:t xml:space="preserve">should issue a similar Statement of Expectations to the ACCC within the scope of Part XIB and XIC of the </w:t>
      </w:r>
      <w:r w:rsidRPr="00493C83">
        <w:rPr>
          <w:i/>
        </w:rPr>
        <w:t>Competition and Consumer Act (2010).</w:t>
      </w:r>
    </w:p>
    <w:p w14:paraId="5380B17D" w14:textId="77777777" w:rsidR="00570F48" w:rsidRDefault="00570F48" w:rsidP="00570F48">
      <w:pPr>
        <w:pBdr>
          <w:top w:val="single" w:sz="4" w:space="1" w:color="auto"/>
          <w:left w:val="single" w:sz="4" w:space="1" w:color="auto"/>
          <w:bottom w:val="single" w:sz="4" w:space="1" w:color="auto"/>
          <w:right w:val="single" w:sz="4" w:space="4" w:color="auto"/>
        </w:pBdr>
      </w:pPr>
      <w:r>
        <w:t>Key findings</w:t>
      </w:r>
    </w:p>
    <w:p w14:paraId="14B865F1" w14:textId="0B25E6D3" w:rsidR="00570F48" w:rsidRPr="00570F48" w:rsidRDefault="00570F48" w:rsidP="00570F48">
      <w:pPr>
        <w:pBdr>
          <w:top w:val="single" w:sz="4" w:space="1" w:color="auto"/>
          <w:left w:val="single" w:sz="4" w:space="1" w:color="auto"/>
          <w:bottom w:val="single" w:sz="4" w:space="1" w:color="auto"/>
          <w:right w:val="single" w:sz="4" w:space="4" w:color="auto"/>
        </w:pBdr>
      </w:pPr>
      <w:r>
        <w:t>A clearer description of performance expectations relating to the ACMA’s regulatory role will support better outcomes for industry and consumers.</w:t>
      </w:r>
    </w:p>
    <w:p w14:paraId="3C3AEB16" w14:textId="77777777" w:rsidR="00570F48" w:rsidRDefault="00570F48" w:rsidP="00CB4DEF">
      <w:pPr>
        <w:pBdr>
          <w:top w:val="single" w:sz="4" w:space="1" w:color="auto"/>
          <w:left w:val="single" w:sz="4" w:space="1" w:color="auto"/>
          <w:bottom w:val="single" w:sz="4" w:space="1" w:color="auto"/>
          <w:right w:val="single" w:sz="4" w:space="1" w:color="auto"/>
        </w:pBdr>
        <w:shd w:val="clear" w:color="auto" w:fill="DEEAF6" w:themeFill="accent1" w:themeFillTint="33"/>
      </w:pPr>
      <w:bookmarkStart w:id="403" w:name="_Toc435112144"/>
      <w:bookmarkStart w:id="404" w:name="_Toc436923319"/>
      <w:bookmarkStart w:id="405" w:name="_Toc437440620"/>
      <w:bookmarkStart w:id="406" w:name="_Toc437594281"/>
      <w:bookmarkStart w:id="407" w:name="_Toc437598690"/>
      <w:bookmarkStart w:id="408" w:name="_Toc437599291"/>
      <w:bookmarkStart w:id="409" w:name="_Toc437600396"/>
      <w:bookmarkStart w:id="410" w:name="_Toc440536938"/>
      <w:bookmarkStart w:id="411" w:name="_Toc441743834"/>
      <w:bookmarkStart w:id="412" w:name="_Toc441744276"/>
      <w:bookmarkStart w:id="413" w:name="_Toc441845096"/>
      <w:bookmarkStart w:id="414" w:name="_Toc441847349"/>
      <w:bookmarkStart w:id="415" w:name="_Toc441848281"/>
      <w:bookmarkStart w:id="416" w:name="_Toc442107123"/>
      <w:bookmarkStart w:id="417" w:name="_Toc442108775"/>
      <w:bookmarkStart w:id="418" w:name="_Toc443038173"/>
      <w:bookmarkStart w:id="419" w:name="_Toc443043891"/>
      <w:bookmarkStart w:id="420" w:name="_Toc443052581"/>
      <w:bookmarkStart w:id="421" w:name="_Toc443054870"/>
      <w:bookmarkStart w:id="422" w:name="_Toc449432101"/>
      <w:bookmarkStart w:id="423" w:name="_Toc449438569"/>
      <w:r w:rsidRPr="001419D9">
        <w:t>Draft proposal:</w:t>
      </w:r>
    </w:p>
    <w:p w14:paraId="2F68B268" w14:textId="68DD7987" w:rsidR="00570F48" w:rsidRDefault="00570F48" w:rsidP="00CB4DEF">
      <w:pPr>
        <w:pStyle w:val="ListParagraph"/>
        <w:numPr>
          <w:ilvl w:val="0"/>
          <w:numId w:val="17"/>
        </w:numPr>
        <w:pBdr>
          <w:top w:val="single" w:sz="4" w:space="1" w:color="auto"/>
          <w:left w:val="single" w:sz="4" w:space="1" w:color="auto"/>
          <w:bottom w:val="single" w:sz="4" w:space="1" w:color="auto"/>
          <w:right w:val="single" w:sz="4" w:space="1" w:color="auto"/>
        </w:pBdr>
        <w:shd w:val="clear" w:color="auto" w:fill="DEEAF6" w:themeFill="accent1" w:themeFillTint="33"/>
        <w:spacing w:line="276" w:lineRule="auto"/>
        <w:ind w:left="567" w:hanging="567"/>
      </w:pPr>
      <w:r>
        <w:t xml:space="preserve">Legislate the following four regulator principles in the ACMA’s enabling legislation, proposed draft: </w:t>
      </w:r>
    </w:p>
    <w:p w14:paraId="5E910C22" w14:textId="77777777" w:rsidR="00570F48" w:rsidRPr="00CB4DEF" w:rsidRDefault="00570F48" w:rsidP="00CB4DEF">
      <w:pPr>
        <w:pStyle w:val="ListParagraph"/>
        <w:numPr>
          <w:ilvl w:val="0"/>
          <w:numId w:val="41"/>
        </w:numPr>
        <w:pBdr>
          <w:top w:val="single" w:sz="4" w:space="1" w:color="auto"/>
          <w:left w:val="single" w:sz="4" w:space="1" w:color="auto"/>
          <w:bottom w:val="single" w:sz="4" w:space="1" w:color="auto"/>
          <w:right w:val="single" w:sz="4" w:space="1" w:color="auto"/>
        </w:pBdr>
        <w:shd w:val="clear" w:color="auto" w:fill="DEEAF6" w:themeFill="accent1" w:themeFillTint="33"/>
        <w:spacing w:line="276" w:lineRule="auto"/>
        <w:ind w:left="851" w:hanging="851"/>
        <w:rPr>
          <w:i/>
        </w:rPr>
      </w:pPr>
      <w:r w:rsidRPr="00CB4DEF">
        <w:rPr>
          <w:i/>
        </w:rPr>
        <w:t xml:space="preserve">The ACMA have regard that its regulatory settings do not unnecessarily hinder competition, innovation or efficient investment. </w:t>
      </w:r>
    </w:p>
    <w:p w14:paraId="7D8B51B5" w14:textId="77777777" w:rsidR="00570F48" w:rsidRPr="00CB4DEF" w:rsidRDefault="00570F48" w:rsidP="00CB4DEF">
      <w:pPr>
        <w:pStyle w:val="ListParagraph"/>
        <w:numPr>
          <w:ilvl w:val="0"/>
          <w:numId w:val="41"/>
        </w:numPr>
        <w:pBdr>
          <w:top w:val="single" w:sz="4" w:space="1" w:color="auto"/>
          <w:left w:val="single" w:sz="4" w:space="1" w:color="auto"/>
          <w:bottom w:val="single" w:sz="4" w:space="1" w:color="auto"/>
          <w:right w:val="single" w:sz="4" w:space="1" w:color="auto"/>
        </w:pBdr>
        <w:shd w:val="clear" w:color="auto" w:fill="DEEAF6" w:themeFill="accent1" w:themeFillTint="33"/>
        <w:spacing w:line="276" w:lineRule="auto"/>
        <w:ind w:left="851" w:hanging="851"/>
        <w:rPr>
          <w:i/>
        </w:rPr>
      </w:pPr>
      <w:r w:rsidRPr="00CB4DEF">
        <w:rPr>
          <w:i/>
        </w:rPr>
        <w:t xml:space="preserve">The ACMA should apply a risk-based approach to regulation, compliance and enforcement activities. Regulatory intervention should be targeted, evidence-based and commensurate with risk. </w:t>
      </w:r>
    </w:p>
    <w:p w14:paraId="64CA9964" w14:textId="62BCDDCC" w:rsidR="00570F48" w:rsidRPr="00CB4DEF" w:rsidRDefault="00570F48" w:rsidP="00CB4DEF">
      <w:pPr>
        <w:pStyle w:val="ListParagraph"/>
        <w:numPr>
          <w:ilvl w:val="0"/>
          <w:numId w:val="41"/>
        </w:numPr>
        <w:pBdr>
          <w:top w:val="single" w:sz="4" w:space="1" w:color="auto"/>
          <w:left w:val="single" w:sz="4" w:space="1" w:color="auto"/>
          <w:bottom w:val="single" w:sz="4" w:space="1" w:color="auto"/>
          <w:right w:val="single" w:sz="4" w:space="1" w:color="auto"/>
        </w:pBdr>
        <w:shd w:val="clear" w:color="auto" w:fill="DEEAF6" w:themeFill="accent1" w:themeFillTint="33"/>
        <w:spacing w:line="276" w:lineRule="auto"/>
        <w:ind w:left="851" w:hanging="851"/>
        <w:rPr>
          <w:i/>
        </w:rPr>
      </w:pPr>
      <w:r w:rsidRPr="00CB4DEF">
        <w:rPr>
          <w:i/>
        </w:rPr>
        <w:t>The ACMA should implement continuous review of regulation to reduce burden and streamline approaches where the benefits exceed the costs.</w:t>
      </w:r>
    </w:p>
    <w:p w14:paraId="4B6B8F48" w14:textId="77777777" w:rsidR="00570F48" w:rsidRPr="00CB4DEF" w:rsidRDefault="00570F48" w:rsidP="00CB4DEF">
      <w:pPr>
        <w:pStyle w:val="ListParagraph"/>
        <w:numPr>
          <w:ilvl w:val="0"/>
          <w:numId w:val="41"/>
        </w:numPr>
        <w:pBdr>
          <w:top w:val="single" w:sz="4" w:space="1" w:color="auto"/>
          <w:left w:val="single" w:sz="4" w:space="1" w:color="auto"/>
          <w:bottom w:val="single" w:sz="4" w:space="1" w:color="auto"/>
          <w:right w:val="single" w:sz="4" w:space="1" w:color="auto"/>
        </w:pBdr>
        <w:shd w:val="clear" w:color="auto" w:fill="DEEAF6" w:themeFill="accent1" w:themeFillTint="33"/>
        <w:spacing w:line="276" w:lineRule="auto"/>
        <w:ind w:left="851" w:hanging="851"/>
        <w:rPr>
          <w:i/>
        </w:rPr>
      </w:pPr>
      <w:r w:rsidRPr="00CB4DEF">
        <w:rPr>
          <w:i/>
        </w:rPr>
        <w:t>The ACMA should be transparent in its actions and clearly indicate the priorities and objectives which inform its decision-making to regulated entities and the broader public.</w:t>
      </w:r>
    </w:p>
    <w:p w14:paraId="7864A3F4" w14:textId="0850D8F4" w:rsidR="00570F48" w:rsidRDefault="00570F48" w:rsidP="00CB4DEF">
      <w:pPr>
        <w:pStyle w:val="ListParagraph"/>
        <w:numPr>
          <w:ilvl w:val="0"/>
          <w:numId w:val="17"/>
        </w:numPr>
        <w:pBdr>
          <w:top w:val="single" w:sz="4" w:space="1" w:color="auto"/>
          <w:left w:val="single" w:sz="4" w:space="1" w:color="auto"/>
          <w:bottom w:val="single" w:sz="4" w:space="1" w:color="auto"/>
          <w:right w:val="single" w:sz="4" w:space="1" w:color="auto"/>
        </w:pBdr>
        <w:shd w:val="clear" w:color="auto" w:fill="DEEAF6" w:themeFill="accent1" w:themeFillTint="33"/>
        <w:spacing w:line="276" w:lineRule="auto"/>
        <w:ind w:left="567" w:hanging="567"/>
      </w:pPr>
      <w:r>
        <w:t>That the Minister provide the ACMA with an annual Statement of Expectations and the ACMA respond by publishing a Statement of Intent outlining how it will seek to deliver on the Government’s expectations.</w:t>
      </w:r>
    </w:p>
    <w:p w14:paraId="46DDC7C9" w14:textId="20222AF7" w:rsidR="00570F48" w:rsidRDefault="00570F48" w:rsidP="00CB4DEF">
      <w:pPr>
        <w:pStyle w:val="ListParagraph"/>
        <w:numPr>
          <w:ilvl w:val="0"/>
          <w:numId w:val="17"/>
        </w:numPr>
        <w:pBdr>
          <w:top w:val="single" w:sz="4" w:space="1" w:color="auto"/>
          <w:left w:val="single" w:sz="4" w:space="1" w:color="auto"/>
          <w:bottom w:val="single" w:sz="4" w:space="1" w:color="auto"/>
          <w:right w:val="single" w:sz="4" w:space="1" w:color="auto"/>
        </w:pBdr>
        <w:shd w:val="clear" w:color="auto" w:fill="DEEAF6" w:themeFill="accent1" w:themeFillTint="33"/>
        <w:spacing w:line="276" w:lineRule="auto"/>
        <w:ind w:left="567" w:hanging="567"/>
      </w:pPr>
      <w:r w:rsidRPr="00493C83">
        <w:t>That the Minister provide the ACCC with an annual Statement of Expectations and the ACCC respond by publishing a Statement of Intent outlining how it will seek to deliver on the Government’s expectations.</w:t>
      </w:r>
    </w:p>
    <w:p w14:paraId="60943A22" w14:textId="77777777" w:rsidR="003764A2" w:rsidRPr="001E4238" w:rsidRDefault="003764A2" w:rsidP="00CF6194">
      <w:pPr>
        <w:pStyle w:val="Heading3"/>
      </w:pPr>
      <w:bookmarkStart w:id="424" w:name="_Toc450310160"/>
      <w:r w:rsidRPr="00A1575E">
        <w:t>A regulator that is an agile, timely and informed decision maker</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3187204A" w14:textId="0295B3E7" w:rsidR="003764A2" w:rsidRDefault="003764A2" w:rsidP="003764A2">
      <w:r>
        <w:t>Given the scope of reform expected over coming years, the Review</w:t>
      </w:r>
      <w:r w:rsidDel="00AB3CBA">
        <w:t xml:space="preserve"> </w:t>
      </w:r>
      <w:r>
        <w:t>considers that a</w:t>
      </w:r>
      <w:r w:rsidRPr="00303344">
        <w:t xml:space="preserve"> fit-for-purpose regulator need</w:t>
      </w:r>
      <w:r>
        <w:t>s</w:t>
      </w:r>
      <w:r w:rsidRPr="00303344">
        <w:t xml:space="preserve"> to be agile, responsive and proportionate in its decision</w:t>
      </w:r>
      <w:r w:rsidR="00AB23B9">
        <w:t>-</w:t>
      </w:r>
      <w:r w:rsidRPr="00303344">
        <w:t xml:space="preserve">making. </w:t>
      </w:r>
      <w:r>
        <w:t xml:space="preserve">Timeliness will be increasingly important given the </w:t>
      </w:r>
      <w:r w:rsidRPr="00303344">
        <w:t>rapid technology produc</w:t>
      </w:r>
      <w:r>
        <w:t>t cycles and service innovation in the communications sector. The Review</w:t>
      </w:r>
      <w:r w:rsidDel="00AB3CBA">
        <w:t xml:space="preserve"> </w:t>
      </w:r>
      <w:r>
        <w:t>expects that the regulator</w:t>
      </w:r>
      <w:r w:rsidRPr="00303344">
        <w:t xml:space="preserve"> will need to have </w:t>
      </w:r>
      <w:r>
        <w:t>deep expertise</w:t>
      </w:r>
      <w:r w:rsidRPr="00303344">
        <w:t xml:space="preserve"> </w:t>
      </w:r>
      <w:r>
        <w:t xml:space="preserve">in and an understanding of emerging business models and the potential harms they could give rise to, </w:t>
      </w:r>
      <w:r w:rsidRPr="00303344">
        <w:t xml:space="preserve">across </w:t>
      </w:r>
      <w:r>
        <w:t>the</w:t>
      </w:r>
      <w:r w:rsidRPr="00303344">
        <w:t xml:space="preserve"> layers of the communications </w:t>
      </w:r>
      <w:r>
        <w:t>markets</w:t>
      </w:r>
      <w:r w:rsidRPr="00303344">
        <w:t xml:space="preserve">. The regulator will </w:t>
      </w:r>
      <w:r>
        <w:t xml:space="preserve">also </w:t>
      </w:r>
      <w:r w:rsidRPr="00303344">
        <w:t xml:space="preserve">need to </w:t>
      </w:r>
      <w:r>
        <w:t xml:space="preserve">continue to </w:t>
      </w:r>
      <w:r w:rsidRPr="00303344">
        <w:t xml:space="preserve">demonstrate regulatory craftsmanship to design interventions that are targeted to address the harms </w:t>
      </w:r>
      <w:r>
        <w:t>in an</w:t>
      </w:r>
      <w:r w:rsidRPr="00303344">
        <w:t xml:space="preserve"> environment</w:t>
      </w:r>
      <w:r>
        <w:t xml:space="preserve"> better suited to ex post market corrections over ex ante rule-making.</w:t>
      </w:r>
      <w:r>
        <w:rPr>
          <w:rStyle w:val="FootnoteReference"/>
        </w:rPr>
        <w:footnoteReference w:id="86"/>
      </w:r>
    </w:p>
    <w:p w14:paraId="27EE8CFA" w14:textId="77777777" w:rsidR="00EB2B81" w:rsidRDefault="003764A2" w:rsidP="00504587">
      <w:pPr>
        <w:pStyle w:val="Heading4"/>
      </w:pPr>
      <w:bookmarkStart w:id="425" w:name="_Toc449620010"/>
      <w:bookmarkStart w:id="426" w:name="_Toc450310161"/>
      <w:r w:rsidRPr="009B4A04">
        <w:t>Findings and Draft Proposals</w:t>
      </w:r>
      <w:bookmarkEnd w:id="425"/>
      <w:bookmarkEnd w:id="426"/>
    </w:p>
    <w:p w14:paraId="05A32159" w14:textId="442361C3" w:rsidR="003764A2" w:rsidRDefault="003764A2" w:rsidP="003764A2">
      <w:bookmarkStart w:id="427" w:name="_Toc435112145"/>
      <w:bookmarkStart w:id="428" w:name="_Toc436923323"/>
      <w:bookmarkStart w:id="429" w:name="_Toc437440624"/>
      <w:bookmarkStart w:id="430" w:name="_Toc437594282"/>
      <w:bookmarkStart w:id="431" w:name="_Toc437598691"/>
      <w:bookmarkStart w:id="432" w:name="_Toc437599292"/>
      <w:bookmarkStart w:id="433" w:name="_Toc437600397"/>
      <w:bookmarkStart w:id="434" w:name="_Toc440536939"/>
      <w:bookmarkStart w:id="435" w:name="_Toc441743835"/>
      <w:bookmarkStart w:id="436" w:name="_Toc441744277"/>
      <w:bookmarkStart w:id="437" w:name="_Toc441845097"/>
      <w:bookmarkStart w:id="438" w:name="_Toc441847350"/>
      <w:bookmarkStart w:id="439" w:name="_Toc441848282"/>
      <w:bookmarkStart w:id="440" w:name="_Toc442107124"/>
      <w:bookmarkStart w:id="441" w:name="_Toc442108776"/>
      <w:bookmarkStart w:id="442" w:name="_Toc443038174"/>
      <w:bookmarkStart w:id="443" w:name="_Toc443043892"/>
      <w:bookmarkStart w:id="444" w:name="_Toc443052582"/>
      <w:bookmarkStart w:id="445" w:name="_Toc443054871"/>
      <w:r>
        <w:t>The Review finds the ACMA’s regulatory decision</w:t>
      </w:r>
      <w:r w:rsidR="00AB23B9">
        <w:t>-</w:t>
      </w:r>
      <w:r>
        <w:t>making has been sound and supported by evidence. The Review has also concluded that rigid and prescriptive legislation, and the absence of clear objectives, has impeded the agility of the ACMA.</w:t>
      </w:r>
    </w:p>
    <w:p w14:paraId="5E431498" w14:textId="1C6A3C34" w:rsidR="00EB2B81" w:rsidRDefault="003764A2" w:rsidP="003764A2">
      <w:r>
        <w:t>Stakeholders have broadly expressed a high degree of confidence in the capabilities and performance of the ACMA in the technical management of spectrum. Stakeholders have also broadly expressed a desire for more timely decision</w:t>
      </w:r>
      <w:r w:rsidR="00AB23B9">
        <w:t>-</w:t>
      </w:r>
      <w:r>
        <w:t>making and planning processes. Consistent with their desire, the Review’s analysis of decision-making timeframes indicates there is scope for the ACMA to improve its timeliness. Such improvement could be achieved by introducing greater consistency in process for major rule-making, co-regulatory processes and planning activities.</w:t>
      </w:r>
    </w:p>
    <w:p w14:paraId="4E79ED13" w14:textId="77777777" w:rsidR="003764A2" w:rsidRDefault="003764A2" w:rsidP="003764A2">
      <w:r>
        <w:t>Further, where it has intervened strongly in telecommunications markets (such as the Telecommunications Consumer Protection (TCP) Code in 2012 and the Mobile Premium Service (MPS) in 2009) the evidence indicates the approach has delivered a positive net-benefit and/or reduced number of complaints by consumers.</w:t>
      </w:r>
    </w:p>
    <w:p w14:paraId="3688D449" w14:textId="77777777" w:rsidR="003764A2" w:rsidRDefault="003764A2" w:rsidP="003764A2">
      <w:r>
        <w:t>The ACMA has also broadly met its service delivery performance indicators across major functions of its remit, and delivered steady improvements to its business processes over time.</w:t>
      </w:r>
    </w:p>
    <w:p w14:paraId="3257F35A" w14:textId="77777777" w:rsidR="00570F48" w:rsidRDefault="00570F48" w:rsidP="00570F48">
      <w:pPr>
        <w:pBdr>
          <w:top w:val="single" w:sz="4" w:space="1" w:color="auto"/>
          <w:left w:val="single" w:sz="4" w:space="4" w:color="auto"/>
          <w:bottom w:val="single" w:sz="4" w:space="1" w:color="auto"/>
          <w:right w:val="single" w:sz="4" w:space="4" w:color="auto"/>
        </w:pBdr>
      </w:pPr>
      <w:r>
        <w:t>Key findings</w:t>
      </w:r>
    </w:p>
    <w:p w14:paraId="731F828F" w14:textId="32945083" w:rsidR="00570F48" w:rsidRDefault="00570F48" w:rsidP="00570F48">
      <w:pPr>
        <w:pStyle w:val="ListParagraph"/>
        <w:numPr>
          <w:ilvl w:val="0"/>
          <w:numId w:val="22"/>
        </w:numPr>
        <w:pBdr>
          <w:top w:val="single" w:sz="4" w:space="1" w:color="auto"/>
          <w:left w:val="single" w:sz="4" w:space="4" w:color="auto"/>
          <w:bottom w:val="single" w:sz="4" w:space="1" w:color="auto"/>
          <w:right w:val="single" w:sz="4" w:space="4" w:color="auto"/>
        </w:pBdr>
        <w:spacing w:after="200" w:line="276" w:lineRule="auto"/>
        <w:ind w:left="426" w:hanging="426"/>
      </w:pPr>
      <w:r>
        <w:t>The ACMA’s regulatory decision</w:t>
      </w:r>
      <w:r w:rsidR="00AB23B9">
        <w:t>-</w:t>
      </w:r>
      <w:r>
        <w:t>making has generally been sound and supported by evidence.</w:t>
      </w:r>
    </w:p>
    <w:p w14:paraId="1AE09100" w14:textId="48E0E1CA" w:rsidR="00570F48" w:rsidRDefault="00570F48" w:rsidP="00570F48">
      <w:pPr>
        <w:pStyle w:val="ListParagraph"/>
        <w:numPr>
          <w:ilvl w:val="0"/>
          <w:numId w:val="22"/>
        </w:numPr>
        <w:pBdr>
          <w:top w:val="single" w:sz="4" w:space="1" w:color="auto"/>
          <w:left w:val="single" w:sz="4" w:space="4" w:color="auto"/>
          <w:bottom w:val="single" w:sz="4" w:space="1" w:color="auto"/>
          <w:right w:val="single" w:sz="4" w:space="4" w:color="auto"/>
        </w:pBdr>
        <w:spacing w:after="200" w:line="276" w:lineRule="auto"/>
        <w:ind w:left="426" w:hanging="426"/>
      </w:pPr>
      <w:r>
        <w:t>The ACMA’s decision-making timeframes for significant rule</w:t>
      </w:r>
      <w:r w:rsidR="009F41FF">
        <w:t>-</w:t>
      </w:r>
      <w:r>
        <w:t>making and planning processes have been sub-optimal. Various factors may be inhibiting the regulator from achieving timely outcomes—including the efficacy of current co-regulatory processes, and other procedural issues which legislation currently prevents from being handled administratively.</w:t>
      </w:r>
    </w:p>
    <w:p w14:paraId="673EA9B9" w14:textId="7FAFA5A4" w:rsidR="00570F48" w:rsidRDefault="00570F48" w:rsidP="00CB4DEF">
      <w:pPr>
        <w:pBdr>
          <w:top w:val="single" w:sz="4" w:space="1" w:color="auto"/>
          <w:left w:val="single" w:sz="4" w:space="1" w:color="auto"/>
          <w:bottom w:val="single" w:sz="4" w:space="1" w:color="auto"/>
          <w:right w:val="single" w:sz="4" w:space="1" w:color="auto"/>
        </w:pBdr>
        <w:shd w:val="clear" w:color="auto" w:fill="DEEAF6" w:themeFill="accent1" w:themeFillTint="33"/>
      </w:pPr>
      <w:r w:rsidRPr="001419D9">
        <w:t>Draft proposal:</w:t>
      </w:r>
    </w:p>
    <w:p w14:paraId="6F4686D6" w14:textId="2BDA41B7" w:rsidR="00570F48" w:rsidRDefault="00570F48" w:rsidP="00CB4DEF">
      <w:pPr>
        <w:pStyle w:val="ListParagraph"/>
        <w:numPr>
          <w:ilvl w:val="0"/>
          <w:numId w:val="17"/>
        </w:numPr>
        <w:pBdr>
          <w:top w:val="single" w:sz="4" w:space="1" w:color="auto"/>
          <w:left w:val="single" w:sz="4" w:space="1" w:color="auto"/>
          <w:bottom w:val="single" w:sz="4" w:space="1" w:color="auto"/>
          <w:right w:val="single" w:sz="4" w:space="1" w:color="auto"/>
        </w:pBdr>
        <w:shd w:val="clear" w:color="auto" w:fill="DEEAF6" w:themeFill="accent1" w:themeFillTint="33"/>
        <w:spacing w:line="276" w:lineRule="auto"/>
        <w:ind w:left="567" w:hanging="567"/>
      </w:pPr>
      <w:r w:rsidRPr="00570F48">
        <w:t>That timeliness of decision</w:t>
      </w:r>
      <w:r w:rsidR="00AB23B9">
        <w:t>-</w:t>
      </w:r>
      <w:r w:rsidRPr="00570F48">
        <w:t>making be established as a key area of focus and accountability for future cycles of the ACMA’s regulator performance framework, and Government consider legislative amendment to support more timely decision</w:t>
      </w:r>
      <w:r w:rsidR="00AB23B9">
        <w:t>-</w:t>
      </w:r>
      <w:r w:rsidRPr="00570F48">
        <w:t>making, where necessary.</w:t>
      </w:r>
    </w:p>
    <w:p w14:paraId="3A44BAF4" w14:textId="77777777" w:rsidR="003764A2" w:rsidRDefault="003764A2" w:rsidP="00CF6194">
      <w:pPr>
        <w:pStyle w:val="Heading3"/>
      </w:pPr>
      <w:bookmarkStart w:id="446" w:name="_Toc449432102"/>
      <w:bookmarkStart w:id="447" w:name="_Toc449438570"/>
      <w:bookmarkStart w:id="448" w:name="_Toc450310162"/>
      <w:r>
        <w:t>A regulator whose actions are targeted and commensurate with risk</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79C4F296" w14:textId="77777777" w:rsidR="003764A2" w:rsidRPr="00F03DAB" w:rsidRDefault="003764A2" w:rsidP="00CB4DEF">
      <w:pPr>
        <w:pStyle w:val="Definitiontext"/>
        <w:spacing w:before="0"/>
      </w:pPr>
      <w:r>
        <w:t>T</w:t>
      </w:r>
      <w:r w:rsidRPr="00715BC1">
        <w:t>he 2005 Hampton Review of regulatory inspection and enforcement practices</w:t>
      </w:r>
      <w:r>
        <w:t xml:space="preserve"> emphasised the value of risk as an organising principle for regulatory agencies.</w:t>
      </w:r>
      <w:r>
        <w:rPr>
          <w:rStyle w:val="FootnoteReference"/>
        </w:rPr>
        <w:footnoteReference w:id="87"/>
      </w:r>
      <w:r>
        <w:t xml:space="preserve"> Having a deep and sophisticated understanding of risk will be increasingly important for the ACMA to continue to be an effective regulator.</w:t>
      </w:r>
    </w:p>
    <w:p w14:paraId="139B5D6E" w14:textId="77777777" w:rsidR="003764A2" w:rsidRDefault="003764A2">
      <w:r>
        <w:rPr>
          <w:rFonts w:eastAsia="Times New Roman" w:cs="Arial"/>
          <w:color w:val="000000"/>
          <w:szCs w:val="24"/>
        </w:rPr>
        <w:t>A sophisticated understanding of risk</w:t>
      </w:r>
      <w:r w:rsidRPr="00762ECB">
        <w:rPr>
          <w:rFonts w:eastAsia="Times New Roman" w:cs="Arial"/>
          <w:color w:val="000000"/>
          <w:szCs w:val="24"/>
        </w:rPr>
        <w:t xml:space="preserve"> </w:t>
      </w:r>
      <w:r>
        <w:rPr>
          <w:rFonts w:eastAsia="Times New Roman" w:cs="Arial"/>
          <w:color w:val="000000"/>
          <w:szCs w:val="24"/>
        </w:rPr>
        <w:t>is demonstrated through</w:t>
      </w:r>
      <w:r w:rsidRPr="00762ECB">
        <w:rPr>
          <w:rFonts w:eastAsia="Times New Roman" w:cs="Arial"/>
          <w:color w:val="000000"/>
          <w:szCs w:val="24"/>
        </w:rPr>
        <w:t xml:space="preserve"> </w:t>
      </w:r>
      <w:r>
        <w:rPr>
          <w:rFonts w:eastAsia="Times New Roman" w:cs="Arial"/>
          <w:color w:val="000000"/>
          <w:szCs w:val="24"/>
        </w:rPr>
        <w:t>the effective use of regulatory tools</w:t>
      </w:r>
      <w:r w:rsidRPr="00762ECB">
        <w:rPr>
          <w:rFonts w:eastAsia="Times New Roman" w:cs="Arial"/>
          <w:color w:val="000000"/>
          <w:szCs w:val="24"/>
        </w:rPr>
        <w:t xml:space="preserve"> to </w:t>
      </w:r>
      <w:r>
        <w:rPr>
          <w:rFonts w:eastAsia="Times New Roman" w:cs="Arial"/>
          <w:color w:val="000000"/>
          <w:szCs w:val="24"/>
        </w:rPr>
        <w:t>achieve</w:t>
      </w:r>
      <w:r w:rsidRPr="00762ECB">
        <w:rPr>
          <w:rFonts w:eastAsia="Times New Roman" w:cs="Arial"/>
          <w:color w:val="000000"/>
          <w:szCs w:val="24"/>
        </w:rPr>
        <w:t xml:space="preserve"> compliance</w:t>
      </w:r>
      <w:r>
        <w:rPr>
          <w:rFonts w:eastAsia="Times New Roman" w:cs="Arial"/>
          <w:color w:val="000000"/>
          <w:szCs w:val="24"/>
        </w:rPr>
        <w:t>,</w:t>
      </w:r>
      <w:r w:rsidRPr="00762ECB">
        <w:rPr>
          <w:rFonts w:eastAsia="Times New Roman" w:cs="Arial"/>
          <w:color w:val="000000"/>
          <w:szCs w:val="24"/>
        </w:rPr>
        <w:t xml:space="preserve"> and </w:t>
      </w:r>
      <w:r>
        <w:rPr>
          <w:rFonts w:eastAsia="Times New Roman" w:cs="Arial"/>
          <w:color w:val="000000"/>
          <w:szCs w:val="24"/>
        </w:rPr>
        <w:t xml:space="preserve">when </w:t>
      </w:r>
      <w:r w:rsidRPr="00762ECB">
        <w:rPr>
          <w:rFonts w:eastAsia="Times New Roman" w:cs="Arial"/>
          <w:color w:val="000000"/>
          <w:szCs w:val="24"/>
        </w:rPr>
        <w:t xml:space="preserve">enforcement action, within the constraints of the authorising legislation, </w:t>
      </w:r>
      <w:r>
        <w:rPr>
          <w:rFonts w:eastAsia="Times New Roman" w:cs="Arial"/>
          <w:color w:val="000000"/>
          <w:szCs w:val="24"/>
        </w:rPr>
        <w:t>is</w:t>
      </w:r>
      <w:r w:rsidRPr="00762ECB">
        <w:rPr>
          <w:rFonts w:eastAsia="Times New Roman" w:cs="Arial"/>
          <w:color w:val="000000"/>
          <w:szCs w:val="24"/>
        </w:rPr>
        <w:t xml:space="preserve"> consistently proportionate to the seriousness of the </w:t>
      </w:r>
      <w:r>
        <w:rPr>
          <w:rFonts w:eastAsia="Times New Roman" w:cs="Arial"/>
          <w:color w:val="000000"/>
          <w:szCs w:val="24"/>
        </w:rPr>
        <w:t>harm</w:t>
      </w:r>
      <w:r w:rsidRPr="00762ECB">
        <w:rPr>
          <w:rFonts w:eastAsia="Times New Roman" w:cs="Arial"/>
          <w:color w:val="000000"/>
          <w:szCs w:val="24"/>
        </w:rPr>
        <w:t xml:space="preserve"> and the risk being managed.</w:t>
      </w:r>
      <w:r>
        <w:rPr>
          <w:rFonts w:eastAsia="Times New Roman" w:cs="Arial"/>
          <w:color w:val="000000"/>
          <w:szCs w:val="24"/>
        </w:rPr>
        <w:t xml:space="preserve"> This is also demonstrated through regulatory interventions which are informed by evidence and designed to target harms with accuracy, and in a proportionate manner.</w:t>
      </w:r>
    </w:p>
    <w:p w14:paraId="4A5BFF08" w14:textId="77777777" w:rsidR="003764A2" w:rsidRPr="009B4A04" w:rsidRDefault="003764A2" w:rsidP="00504587">
      <w:pPr>
        <w:pStyle w:val="Heading4"/>
      </w:pPr>
      <w:bookmarkStart w:id="449" w:name="_Toc449620012"/>
      <w:bookmarkStart w:id="450" w:name="_Toc450310163"/>
      <w:r w:rsidRPr="009B4A04">
        <w:t>Findings and draft propos</w:t>
      </w:r>
      <w:r w:rsidRPr="00504587">
        <w:t>a</w:t>
      </w:r>
      <w:r w:rsidRPr="009B4A04">
        <w:t>ls</w:t>
      </w:r>
      <w:bookmarkEnd w:id="449"/>
      <w:bookmarkEnd w:id="450"/>
    </w:p>
    <w:p w14:paraId="4653A6FB" w14:textId="77777777" w:rsidR="003764A2" w:rsidRDefault="003764A2" w:rsidP="003764A2">
      <w:pPr>
        <w:rPr>
          <w:rFonts w:eastAsia="Times New Roman" w:cs="Arial"/>
          <w:color w:val="000000"/>
          <w:szCs w:val="24"/>
        </w:rPr>
      </w:pPr>
      <w:r w:rsidRPr="00493C83">
        <w:t xml:space="preserve">Feedback from stakeholders and analysis by the Review indicates the ACMA has generally made effective use of its regulatory discretion and exercised forbearance in a pragmatic and sensible manner. </w:t>
      </w:r>
      <w:r w:rsidRPr="00493C83">
        <w:rPr>
          <w:rFonts w:eastAsia="Times New Roman" w:cs="Arial"/>
          <w:color w:val="000000"/>
          <w:szCs w:val="24"/>
        </w:rPr>
        <w:t>The Review also finds the ACMA has established internal risk policies to support its</w:t>
      </w:r>
      <w:r w:rsidRPr="007D2AFF">
        <w:rPr>
          <w:rFonts w:eastAsia="Times New Roman" w:cs="Arial"/>
          <w:color w:val="000000"/>
          <w:szCs w:val="24"/>
        </w:rPr>
        <w:t xml:space="preserve"> compliance and enforcement activities.</w:t>
      </w:r>
      <w:r>
        <w:rPr>
          <w:rFonts w:eastAsia="Times New Roman" w:cs="Arial"/>
          <w:color w:val="000000"/>
          <w:szCs w:val="24"/>
        </w:rPr>
        <w:t xml:space="preserve"> This finding is also generally supported by various audits of the ACMA undertaken by the Australian National Audit Office (ANAO) over the past few years (most recently on the effectiveness of the ACMA’s regulation of the Do Not Call Register).</w:t>
      </w:r>
    </w:p>
    <w:p w14:paraId="1239B331" w14:textId="77777777" w:rsidR="003764A2" w:rsidRDefault="003764A2" w:rsidP="003764A2">
      <w:pPr>
        <w:rPr>
          <w:rFonts w:eastAsia="Times New Roman" w:cs="Arial"/>
          <w:color w:val="000000"/>
          <w:szCs w:val="24"/>
        </w:rPr>
      </w:pPr>
      <w:r>
        <w:rPr>
          <w:rFonts w:eastAsia="Times New Roman" w:cs="Arial"/>
          <w:color w:val="000000"/>
          <w:szCs w:val="24"/>
        </w:rPr>
        <w:t>S</w:t>
      </w:r>
      <w:r w:rsidRPr="007D2AFF">
        <w:rPr>
          <w:rFonts w:eastAsia="Times New Roman" w:cs="Arial"/>
          <w:color w:val="000000"/>
          <w:szCs w:val="24"/>
        </w:rPr>
        <w:t xml:space="preserve">takeholders in the broadcasting sector </w:t>
      </w:r>
      <w:r>
        <w:rPr>
          <w:rFonts w:eastAsia="Times New Roman" w:cs="Arial"/>
          <w:color w:val="000000"/>
          <w:szCs w:val="24"/>
        </w:rPr>
        <w:t xml:space="preserve">are </w:t>
      </w:r>
      <w:r w:rsidRPr="007D2AFF">
        <w:rPr>
          <w:rFonts w:eastAsia="Times New Roman" w:cs="Arial"/>
          <w:color w:val="000000"/>
          <w:szCs w:val="24"/>
        </w:rPr>
        <w:t>concern</w:t>
      </w:r>
      <w:r>
        <w:rPr>
          <w:rFonts w:eastAsia="Times New Roman" w:cs="Arial"/>
          <w:color w:val="000000"/>
          <w:szCs w:val="24"/>
        </w:rPr>
        <w:t>ed</w:t>
      </w:r>
      <w:r w:rsidRPr="007D2AFF">
        <w:rPr>
          <w:rFonts w:eastAsia="Times New Roman" w:cs="Arial"/>
          <w:color w:val="000000"/>
          <w:szCs w:val="24"/>
        </w:rPr>
        <w:t xml:space="preserve"> </w:t>
      </w:r>
      <w:r>
        <w:rPr>
          <w:rFonts w:eastAsia="Times New Roman" w:cs="Arial"/>
          <w:color w:val="000000"/>
          <w:szCs w:val="24"/>
        </w:rPr>
        <w:t xml:space="preserve">the ACMA’s approach to dealing with </w:t>
      </w:r>
      <w:r w:rsidRPr="007D2AFF" w:rsidDel="00342853">
        <w:rPr>
          <w:rFonts w:eastAsia="Times New Roman" w:cs="Arial"/>
          <w:color w:val="000000"/>
          <w:szCs w:val="24"/>
        </w:rPr>
        <w:t>complaints</w:t>
      </w:r>
      <w:r>
        <w:rPr>
          <w:rFonts w:eastAsia="Times New Roman" w:cs="Arial"/>
          <w:color w:val="000000"/>
          <w:szCs w:val="24"/>
        </w:rPr>
        <w:t xml:space="preserve"> is disproportionate to the level of harm</w:t>
      </w:r>
      <w:r w:rsidRPr="007D2AFF">
        <w:rPr>
          <w:rFonts w:eastAsia="Times New Roman" w:cs="Arial"/>
          <w:color w:val="000000"/>
          <w:szCs w:val="24"/>
        </w:rPr>
        <w:t>.</w:t>
      </w:r>
      <w:r>
        <w:rPr>
          <w:rStyle w:val="FootnoteReference"/>
          <w:rFonts w:eastAsia="Times New Roman" w:cs="Arial"/>
          <w:color w:val="000000"/>
          <w:szCs w:val="24"/>
        </w:rPr>
        <w:footnoteReference w:id="88"/>
      </w:r>
      <w:r w:rsidRPr="007D2AFF">
        <w:rPr>
          <w:rFonts w:eastAsia="Times New Roman" w:cs="Arial"/>
          <w:color w:val="000000"/>
          <w:szCs w:val="24"/>
        </w:rPr>
        <w:t xml:space="preserve"> </w:t>
      </w:r>
      <w:r>
        <w:rPr>
          <w:rFonts w:eastAsia="Times New Roman" w:cs="Arial"/>
          <w:color w:val="000000"/>
          <w:szCs w:val="24"/>
        </w:rPr>
        <w:t xml:space="preserve">In contrast, </w:t>
      </w:r>
      <w:r w:rsidRPr="007D2AFF">
        <w:rPr>
          <w:rFonts w:eastAsia="Times New Roman" w:cs="Arial"/>
          <w:color w:val="000000"/>
          <w:szCs w:val="24"/>
        </w:rPr>
        <w:t xml:space="preserve">consultations identified the ACMA </w:t>
      </w:r>
      <w:r>
        <w:rPr>
          <w:rFonts w:eastAsia="Times New Roman" w:cs="Arial"/>
          <w:color w:val="000000"/>
          <w:szCs w:val="24"/>
        </w:rPr>
        <w:t xml:space="preserve">exercises more forbearance </w:t>
      </w:r>
      <w:r w:rsidRPr="007D2AFF">
        <w:rPr>
          <w:rFonts w:eastAsia="Times New Roman" w:cs="Arial"/>
          <w:color w:val="000000"/>
          <w:szCs w:val="24"/>
        </w:rPr>
        <w:t xml:space="preserve">when dealing with telecommunications and internet issues. </w:t>
      </w:r>
      <w:r w:rsidRPr="00850E20">
        <w:rPr>
          <w:rFonts w:eastAsia="Times New Roman" w:cs="Arial"/>
          <w:color w:val="000000"/>
          <w:szCs w:val="24"/>
        </w:rPr>
        <w:t xml:space="preserve">It </w:t>
      </w:r>
      <w:r>
        <w:rPr>
          <w:rFonts w:eastAsia="Times New Roman" w:cs="Arial"/>
          <w:color w:val="000000"/>
          <w:szCs w:val="24"/>
        </w:rPr>
        <w:t xml:space="preserve">is </w:t>
      </w:r>
      <w:r w:rsidRPr="00850E20">
        <w:rPr>
          <w:rFonts w:eastAsia="Times New Roman" w:cs="Arial"/>
          <w:color w:val="000000"/>
          <w:szCs w:val="24"/>
        </w:rPr>
        <w:t>important for the ACMA to communicat</w:t>
      </w:r>
      <w:r>
        <w:rPr>
          <w:rFonts w:eastAsia="Times New Roman" w:cs="Arial"/>
          <w:color w:val="000000"/>
          <w:szCs w:val="24"/>
        </w:rPr>
        <w:t>e</w:t>
      </w:r>
      <w:r w:rsidRPr="00850E20">
        <w:rPr>
          <w:rFonts w:eastAsia="Times New Roman" w:cs="Arial"/>
          <w:color w:val="000000"/>
          <w:szCs w:val="24"/>
        </w:rPr>
        <w:t xml:space="preserve"> with stakeholders </w:t>
      </w:r>
      <w:r>
        <w:rPr>
          <w:rFonts w:eastAsia="Times New Roman" w:cs="Arial"/>
          <w:color w:val="000000"/>
          <w:szCs w:val="24"/>
        </w:rPr>
        <w:t>on the consistency between the actions taken and its compliance and enforcement policy to ensure that they retain confidence in the decisions made.</w:t>
      </w:r>
    </w:p>
    <w:p w14:paraId="41229F84" w14:textId="77777777" w:rsidR="00570F48" w:rsidRPr="001A081B" w:rsidRDefault="00570F48" w:rsidP="00570F48">
      <w:pPr>
        <w:pStyle w:val="Definitionterm"/>
        <w:pBdr>
          <w:top w:val="single" w:sz="4" w:space="1" w:color="auto"/>
          <w:left w:val="single" w:sz="4" w:space="4" w:color="auto"/>
          <w:bottom w:val="single" w:sz="4" w:space="1" w:color="auto"/>
          <w:right w:val="single" w:sz="4" w:space="4" w:color="auto"/>
        </w:pBdr>
        <w:spacing w:before="120"/>
        <w:rPr>
          <w:b w:val="0"/>
        </w:rPr>
      </w:pPr>
      <w:r w:rsidRPr="001A081B">
        <w:rPr>
          <w:b w:val="0"/>
        </w:rPr>
        <w:t>Key findings:</w:t>
      </w:r>
    </w:p>
    <w:p w14:paraId="684E68B0" w14:textId="77777777" w:rsidR="00570F48" w:rsidRPr="00493C83" w:rsidRDefault="00570F48" w:rsidP="00570F48">
      <w:pPr>
        <w:pStyle w:val="ListParagraph"/>
        <w:numPr>
          <w:ilvl w:val="0"/>
          <w:numId w:val="22"/>
        </w:numPr>
        <w:pBdr>
          <w:top w:val="single" w:sz="4" w:space="1" w:color="auto"/>
          <w:left w:val="single" w:sz="4" w:space="4" w:color="auto"/>
          <w:bottom w:val="single" w:sz="4" w:space="1" w:color="auto"/>
          <w:right w:val="single" w:sz="4" w:space="4" w:color="auto"/>
        </w:pBdr>
        <w:spacing w:before="120" w:after="120" w:line="276" w:lineRule="auto"/>
        <w:ind w:left="426" w:hanging="426"/>
        <w:rPr>
          <w:rFonts w:eastAsia="Times New Roman" w:cs="Arial"/>
          <w:color w:val="000000"/>
          <w:szCs w:val="24"/>
        </w:rPr>
      </w:pPr>
      <w:r w:rsidRPr="00762ECB">
        <w:rPr>
          <w:rFonts w:eastAsia="Times New Roman" w:cs="Arial"/>
          <w:color w:val="000000"/>
          <w:szCs w:val="24"/>
        </w:rPr>
        <w:t>The ACMA</w:t>
      </w:r>
      <w:r>
        <w:rPr>
          <w:rFonts w:eastAsia="Times New Roman" w:cs="Arial"/>
          <w:color w:val="000000"/>
          <w:szCs w:val="24"/>
        </w:rPr>
        <w:t>’s</w:t>
      </w:r>
      <w:r w:rsidRPr="00762ECB">
        <w:rPr>
          <w:rFonts w:eastAsia="Times New Roman" w:cs="Arial"/>
          <w:color w:val="000000"/>
          <w:szCs w:val="24"/>
        </w:rPr>
        <w:t xml:space="preserve"> </w:t>
      </w:r>
      <w:r w:rsidRPr="002842ED">
        <w:rPr>
          <w:rFonts w:eastAsia="Times New Roman" w:cs="Arial"/>
          <w:color w:val="000000"/>
          <w:szCs w:val="24"/>
        </w:rPr>
        <w:t xml:space="preserve">performance in </w:t>
      </w:r>
      <w:r>
        <w:rPr>
          <w:rFonts w:eastAsia="Times New Roman" w:cs="Arial"/>
          <w:color w:val="000000"/>
          <w:szCs w:val="24"/>
        </w:rPr>
        <w:t xml:space="preserve">undertaking </w:t>
      </w:r>
      <w:r w:rsidRPr="002842ED">
        <w:rPr>
          <w:rFonts w:eastAsia="Times New Roman" w:cs="Arial"/>
          <w:color w:val="000000"/>
          <w:szCs w:val="24"/>
        </w:rPr>
        <w:t>compliance and enforcement</w:t>
      </w:r>
      <w:r>
        <w:rPr>
          <w:rFonts w:eastAsia="Times New Roman" w:cs="Arial"/>
          <w:color w:val="000000"/>
          <w:szCs w:val="24"/>
        </w:rPr>
        <w:t xml:space="preserve"> activities</w:t>
      </w:r>
      <w:r w:rsidRPr="002842ED">
        <w:rPr>
          <w:rFonts w:eastAsia="Times New Roman" w:cs="Arial"/>
          <w:color w:val="000000"/>
          <w:szCs w:val="24"/>
        </w:rPr>
        <w:t xml:space="preserve"> has </w:t>
      </w:r>
      <w:r w:rsidRPr="00493C83">
        <w:rPr>
          <w:rFonts w:eastAsia="Times New Roman" w:cs="Arial"/>
          <w:color w:val="000000"/>
          <w:szCs w:val="24"/>
        </w:rPr>
        <w:t xml:space="preserve">generally been effective and commensurate with risk. </w:t>
      </w:r>
    </w:p>
    <w:p w14:paraId="7F2962D9" w14:textId="37D4A358" w:rsidR="00570F48" w:rsidRPr="00570F48" w:rsidRDefault="00570F48" w:rsidP="003764A2">
      <w:pPr>
        <w:pStyle w:val="ListParagraph"/>
        <w:numPr>
          <w:ilvl w:val="0"/>
          <w:numId w:val="22"/>
        </w:numPr>
        <w:pBdr>
          <w:top w:val="single" w:sz="4" w:space="1" w:color="auto"/>
          <w:left w:val="single" w:sz="4" w:space="4" w:color="auto"/>
          <w:bottom w:val="single" w:sz="4" w:space="1" w:color="auto"/>
          <w:right w:val="single" w:sz="4" w:space="4" w:color="auto"/>
        </w:pBdr>
        <w:ind w:left="426" w:hanging="426"/>
        <w:rPr>
          <w:rFonts w:eastAsia="Times New Roman" w:cs="Arial"/>
          <w:color w:val="000000"/>
          <w:szCs w:val="24"/>
        </w:rPr>
      </w:pPr>
      <w:r w:rsidRPr="00570F48">
        <w:rPr>
          <w:rFonts w:eastAsia="Times New Roman" w:cs="Arial"/>
          <w:color w:val="000000"/>
          <w:szCs w:val="24"/>
        </w:rPr>
        <w:t>Stakeholders in different industry sectors have differing perspectives on how the ACMA approaches its compliance and enforcement role.</w:t>
      </w:r>
    </w:p>
    <w:p w14:paraId="08F7C7A9" w14:textId="3DFA9120" w:rsidR="00570F48" w:rsidRDefault="00570F48" w:rsidP="00CB4DEF">
      <w:pPr>
        <w:pBdr>
          <w:top w:val="single" w:sz="4" w:space="1" w:color="auto"/>
          <w:left w:val="single" w:sz="4" w:space="1" w:color="auto"/>
          <w:bottom w:val="single" w:sz="4" w:space="1" w:color="auto"/>
          <w:right w:val="single" w:sz="4" w:space="1" w:color="auto"/>
        </w:pBdr>
        <w:shd w:val="clear" w:color="auto" w:fill="DEEAF6" w:themeFill="accent1" w:themeFillTint="33"/>
      </w:pPr>
      <w:r w:rsidRPr="001419D9">
        <w:t>Draft proposal:</w:t>
      </w:r>
    </w:p>
    <w:p w14:paraId="738B3198" w14:textId="306AF47E" w:rsidR="00570F48" w:rsidRDefault="00570F48" w:rsidP="00CB4DEF">
      <w:pPr>
        <w:pStyle w:val="ListParagraph"/>
        <w:numPr>
          <w:ilvl w:val="0"/>
          <w:numId w:val="17"/>
        </w:numPr>
        <w:pBdr>
          <w:top w:val="single" w:sz="4" w:space="1" w:color="auto"/>
          <w:left w:val="single" w:sz="4" w:space="1" w:color="auto"/>
          <w:bottom w:val="single" w:sz="4" w:space="1" w:color="auto"/>
          <w:right w:val="single" w:sz="4" w:space="1" w:color="auto"/>
        </w:pBdr>
        <w:shd w:val="clear" w:color="auto" w:fill="DEEAF6" w:themeFill="accent1" w:themeFillTint="33"/>
        <w:spacing w:line="276" w:lineRule="auto"/>
        <w:ind w:left="567" w:hanging="567"/>
      </w:pPr>
      <w:r w:rsidRPr="00570F48">
        <w:t>That the ACMA publish information on the steps it takes to ensure stakeholders have a clear understanding of the relationship between its actions and its compliance and enforcement policy.</w:t>
      </w:r>
    </w:p>
    <w:p w14:paraId="4A9C27A1" w14:textId="77777777" w:rsidR="003764A2" w:rsidRPr="00AE77B0" w:rsidRDefault="003764A2" w:rsidP="00CF6194">
      <w:pPr>
        <w:pStyle w:val="Heading3"/>
      </w:pPr>
      <w:bookmarkStart w:id="451" w:name="_Toc435112146"/>
      <w:bookmarkStart w:id="452" w:name="_Toc436923327"/>
      <w:bookmarkStart w:id="453" w:name="_Toc437440628"/>
      <w:bookmarkStart w:id="454" w:name="_Toc437594283"/>
      <w:bookmarkStart w:id="455" w:name="_Toc437598692"/>
      <w:bookmarkStart w:id="456" w:name="_Toc437599293"/>
      <w:bookmarkStart w:id="457" w:name="_Toc437600398"/>
      <w:bookmarkStart w:id="458" w:name="_Toc440536940"/>
      <w:bookmarkStart w:id="459" w:name="_Toc441743836"/>
      <w:bookmarkStart w:id="460" w:name="_Toc441744278"/>
      <w:bookmarkStart w:id="461" w:name="_Toc441845098"/>
      <w:bookmarkStart w:id="462" w:name="_Toc441847351"/>
      <w:bookmarkStart w:id="463" w:name="_Toc441848283"/>
      <w:bookmarkStart w:id="464" w:name="_Toc442107125"/>
      <w:bookmarkStart w:id="465" w:name="_Toc442108777"/>
      <w:bookmarkStart w:id="466" w:name="_Toc443038175"/>
      <w:bookmarkStart w:id="467" w:name="_Toc443043893"/>
      <w:bookmarkStart w:id="468" w:name="_Toc443052583"/>
      <w:bookmarkStart w:id="469" w:name="_Toc443054872"/>
      <w:bookmarkStart w:id="470" w:name="_Toc449432103"/>
      <w:bookmarkStart w:id="471" w:name="_Toc449438571"/>
      <w:bookmarkStart w:id="472" w:name="_Toc450310164"/>
      <w:r w:rsidRPr="00AE77B0">
        <w:t>A regulator that delivers continuous improvements of regulatory frameworks</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63A93A9B" w14:textId="77777777" w:rsidR="003764A2" w:rsidRDefault="003764A2" w:rsidP="003764A2">
      <w:r>
        <w:t>International and domestic experience across a variety of regulated industries suggests that the problems regulators are trying to address will change over time. As consumers become better educated, and business practices mature, regulatory compliance becomes more embedded in the underlying business model. This presents opportunities to reduce the cost of regulation. Further, the Review has found better practice regulators establish internal scanning processes and stakeholder engagement mechanisms to identify market changes and diminishing risk, and react to them by removing or streamlining redundant regulations.</w:t>
      </w:r>
    </w:p>
    <w:p w14:paraId="6E3A3475" w14:textId="77777777" w:rsidR="003764A2" w:rsidRDefault="003764A2" w:rsidP="00CF6194">
      <w:pPr>
        <w:pStyle w:val="Heading4"/>
      </w:pPr>
      <w:bookmarkStart w:id="473" w:name="_Toc449620014"/>
      <w:bookmarkStart w:id="474" w:name="_Toc450310165"/>
      <w:r>
        <w:t>Findings and draft proposals</w:t>
      </w:r>
      <w:bookmarkEnd w:id="473"/>
      <w:bookmarkEnd w:id="474"/>
    </w:p>
    <w:p w14:paraId="49FB58C6" w14:textId="77777777" w:rsidR="003764A2" w:rsidRDefault="003764A2" w:rsidP="00504587">
      <w:r>
        <w:t>Since September 2013 t</w:t>
      </w:r>
      <w:r w:rsidRPr="009E6D29">
        <w:t xml:space="preserve">he ACMA has demonstrated </w:t>
      </w:r>
      <w:r>
        <w:t>a</w:t>
      </w:r>
      <w:r w:rsidRPr="009E6D29">
        <w:t xml:space="preserve"> commitment to </w:t>
      </w:r>
      <w:r>
        <w:t>reducing and streamlining regulation</w:t>
      </w:r>
      <w:r w:rsidRPr="009E6D29">
        <w:t xml:space="preserve"> by delivering an estimated $5</w:t>
      </w:r>
      <w:r>
        <w:t>8</w:t>
      </w:r>
      <w:r w:rsidR="00E549A3">
        <w:t> million</w:t>
      </w:r>
      <w:r w:rsidRPr="009E6D29">
        <w:t xml:space="preserve"> in compliance cost savings to business and consumers</w:t>
      </w:r>
      <w:r>
        <w:t xml:space="preserve"> as part of the Government’s deregulation agenda (now the Regulation Reform agenda),</w:t>
      </w:r>
      <w:r w:rsidRPr="009E6D29">
        <w:t xml:space="preserve"> whilst maintaining the integrity of key consumer safeguards.</w:t>
      </w:r>
    </w:p>
    <w:p w14:paraId="4A898FE7" w14:textId="77777777" w:rsidR="003764A2" w:rsidRDefault="003764A2" w:rsidP="00504587">
      <w:r>
        <w:rPr>
          <w:rFonts w:eastAsia="Times New Roman" w:cs="Arial"/>
          <w:color w:val="000000"/>
          <w:szCs w:val="24"/>
        </w:rPr>
        <w:t>However the Review considers that</w:t>
      </w:r>
      <w:r>
        <w:t xml:space="preserve"> g</w:t>
      </w:r>
      <w:r w:rsidRPr="00762ECB">
        <w:t>iven the range of competing organisational priorities face</w:t>
      </w:r>
      <w:r>
        <w:t>d by the ACMA</w:t>
      </w:r>
      <w:r w:rsidRPr="00762ECB">
        <w:t xml:space="preserve"> at any given </w:t>
      </w:r>
      <w:r>
        <w:t>time</w:t>
      </w:r>
      <w:r w:rsidRPr="00762ECB">
        <w:t>, and the institutional cultures of regulators</w:t>
      </w:r>
      <w:r>
        <w:t xml:space="preserve"> more generally</w:t>
      </w:r>
      <w:r w:rsidRPr="00762ECB">
        <w:t>,</w:t>
      </w:r>
      <w:r>
        <w:t xml:space="preserve"> it is reasonable to assume that this level of steady commitment to reduce</w:t>
      </w:r>
      <w:r w:rsidRPr="00762ECB">
        <w:t xml:space="preserve"> regulatory burden </w:t>
      </w:r>
      <w:r>
        <w:t xml:space="preserve">would not endure in the absence of whole-of-government </w:t>
      </w:r>
      <w:r w:rsidRPr="00762ECB">
        <w:t xml:space="preserve">policy </w:t>
      </w:r>
      <w:r>
        <w:t>commitments</w:t>
      </w:r>
      <w:r w:rsidRPr="00762ECB">
        <w:t>.</w:t>
      </w:r>
    </w:p>
    <w:p w14:paraId="1A6260F2" w14:textId="77777777" w:rsidR="003764A2" w:rsidRDefault="003764A2" w:rsidP="00504587">
      <w:r>
        <w:t>Accordingly, an objective of this review is to ensure a future-focused regulator</w:t>
      </w:r>
      <w:r w:rsidRPr="004C7571">
        <w:t xml:space="preserve"> </w:t>
      </w:r>
      <w:r>
        <w:t>remains committed to reducing the burden on regulated entities beyond</w:t>
      </w:r>
      <w:r w:rsidRPr="004C7571">
        <w:t xml:space="preserve"> the </w:t>
      </w:r>
      <w:r>
        <w:t xml:space="preserve">Government’s </w:t>
      </w:r>
      <w:r w:rsidRPr="004C7571">
        <w:t>deregulation agenda</w:t>
      </w:r>
      <w:r>
        <w:t xml:space="preserve">. This is also supported by draft </w:t>
      </w:r>
      <w:r w:rsidRPr="00136232">
        <w:t>Proposal 18</w:t>
      </w:r>
      <w:r>
        <w:t xml:space="preserve"> which proposes to legislate a regulator principle to promote continuous improvement.</w:t>
      </w:r>
    </w:p>
    <w:p w14:paraId="1C7ADE23" w14:textId="77777777" w:rsidR="004D0693" w:rsidRPr="001A081B" w:rsidRDefault="004D0693" w:rsidP="004D0693">
      <w:pPr>
        <w:pStyle w:val="Definitionterm"/>
        <w:pBdr>
          <w:top w:val="single" w:sz="4" w:space="1" w:color="auto"/>
          <w:left w:val="single" w:sz="4" w:space="4" w:color="auto"/>
          <w:bottom w:val="single" w:sz="4" w:space="1" w:color="auto"/>
          <w:right w:val="single" w:sz="4" w:space="4" w:color="auto"/>
        </w:pBdr>
        <w:rPr>
          <w:b w:val="0"/>
        </w:rPr>
      </w:pPr>
      <w:r w:rsidRPr="001A081B">
        <w:rPr>
          <w:b w:val="0"/>
        </w:rPr>
        <w:t>Key findings:</w:t>
      </w:r>
    </w:p>
    <w:p w14:paraId="30A8AD9F" w14:textId="77777777" w:rsidR="004D0693" w:rsidRDefault="004D0693" w:rsidP="004D0693">
      <w:pPr>
        <w:pStyle w:val="ListParagraph"/>
        <w:numPr>
          <w:ilvl w:val="0"/>
          <w:numId w:val="29"/>
        </w:numPr>
        <w:pBdr>
          <w:top w:val="single" w:sz="4" w:space="1" w:color="auto"/>
          <w:left w:val="single" w:sz="4" w:space="4" w:color="auto"/>
          <w:bottom w:val="single" w:sz="4" w:space="1" w:color="auto"/>
          <w:right w:val="single" w:sz="4" w:space="4" w:color="auto"/>
        </w:pBdr>
        <w:spacing w:before="120" w:after="120" w:line="276" w:lineRule="auto"/>
        <w:ind w:left="426" w:hanging="426"/>
        <w:rPr>
          <w:rFonts w:eastAsia="Times New Roman" w:cs="Arial"/>
          <w:color w:val="000000"/>
          <w:szCs w:val="24"/>
        </w:rPr>
      </w:pPr>
      <w:r w:rsidRPr="00762ECB">
        <w:rPr>
          <w:rFonts w:eastAsia="Times New Roman" w:cs="Arial"/>
          <w:color w:val="000000"/>
          <w:szCs w:val="24"/>
        </w:rPr>
        <w:t xml:space="preserve">The ACMA has </w:t>
      </w:r>
      <w:r>
        <w:rPr>
          <w:rFonts w:eastAsia="Times New Roman" w:cs="Arial"/>
          <w:color w:val="000000"/>
          <w:szCs w:val="24"/>
        </w:rPr>
        <w:t>demonstrated its commitment to the</w:t>
      </w:r>
      <w:r w:rsidRPr="00762ECB">
        <w:rPr>
          <w:rFonts w:eastAsia="Times New Roman" w:cs="Arial"/>
          <w:color w:val="000000"/>
          <w:szCs w:val="24"/>
        </w:rPr>
        <w:t xml:space="preserve"> </w:t>
      </w:r>
      <w:r>
        <w:rPr>
          <w:rFonts w:eastAsia="Times New Roman" w:cs="Arial"/>
          <w:color w:val="000000"/>
          <w:szCs w:val="24"/>
        </w:rPr>
        <w:t>G</w:t>
      </w:r>
      <w:r w:rsidRPr="00762ECB">
        <w:rPr>
          <w:rFonts w:eastAsia="Times New Roman" w:cs="Arial"/>
          <w:color w:val="000000"/>
          <w:szCs w:val="24"/>
        </w:rPr>
        <w:t xml:space="preserve">overnment’s deregulation agenda. </w:t>
      </w:r>
    </w:p>
    <w:p w14:paraId="39D3AB94" w14:textId="1049CB3B" w:rsidR="004D0693" w:rsidRDefault="004D0693" w:rsidP="00504587">
      <w:pPr>
        <w:pStyle w:val="ListParagraph"/>
        <w:numPr>
          <w:ilvl w:val="0"/>
          <w:numId w:val="29"/>
        </w:numPr>
        <w:pBdr>
          <w:top w:val="single" w:sz="4" w:space="1" w:color="auto"/>
          <w:left w:val="single" w:sz="4" w:space="4" w:color="auto"/>
          <w:bottom w:val="single" w:sz="4" w:space="1" w:color="auto"/>
          <w:right w:val="single" w:sz="4" w:space="4" w:color="auto"/>
        </w:pBdr>
        <w:spacing w:before="120" w:after="120" w:line="276" w:lineRule="auto"/>
        <w:ind w:left="426" w:hanging="426"/>
      </w:pPr>
      <w:r>
        <w:rPr>
          <w:rFonts w:eastAsia="Times New Roman" w:cs="Arial"/>
          <w:color w:val="000000"/>
          <w:szCs w:val="24"/>
        </w:rPr>
        <w:t>There is scope to implement measures and systems to ensure there is an ongoing commitment to reduce burden on regulated entities.</w:t>
      </w:r>
    </w:p>
    <w:p w14:paraId="242ADF00" w14:textId="5FD24FDB" w:rsidR="004D0693" w:rsidRDefault="004D0693" w:rsidP="00CB4DEF">
      <w:pPr>
        <w:pBdr>
          <w:top w:val="single" w:sz="4" w:space="1" w:color="auto"/>
          <w:left w:val="single" w:sz="4" w:space="1" w:color="auto"/>
          <w:bottom w:val="single" w:sz="4" w:space="1" w:color="auto"/>
          <w:right w:val="single" w:sz="4" w:space="1" w:color="auto"/>
        </w:pBdr>
        <w:shd w:val="clear" w:color="auto" w:fill="DEEAF6" w:themeFill="accent1" w:themeFillTint="33"/>
      </w:pPr>
      <w:r w:rsidRPr="001419D9">
        <w:t>Draft proposal:</w:t>
      </w:r>
    </w:p>
    <w:p w14:paraId="7A065405" w14:textId="41995F65" w:rsidR="004D0693" w:rsidRDefault="004D0693" w:rsidP="00CB4DEF">
      <w:pPr>
        <w:pStyle w:val="ListParagraph"/>
        <w:numPr>
          <w:ilvl w:val="0"/>
          <w:numId w:val="17"/>
        </w:numPr>
        <w:pBdr>
          <w:top w:val="single" w:sz="4" w:space="1" w:color="auto"/>
          <w:left w:val="single" w:sz="4" w:space="1" w:color="auto"/>
          <w:bottom w:val="single" w:sz="4" w:space="1" w:color="auto"/>
          <w:right w:val="single" w:sz="4" w:space="1" w:color="auto"/>
        </w:pBdr>
        <w:shd w:val="clear" w:color="auto" w:fill="DEEAF6" w:themeFill="accent1" w:themeFillTint="33"/>
        <w:spacing w:line="276" w:lineRule="auto"/>
        <w:ind w:left="567" w:hanging="567"/>
      </w:pPr>
      <w:r>
        <w:t>That the ACMA publish a report to the Minister every two years on initiatives undertaken to identify and reduce regulatory burden on industry and individuals</w:t>
      </w:r>
      <w:r w:rsidRPr="00251E94">
        <w:t>.</w:t>
      </w:r>
    </w:p>
    <w:p w14:paraId="4B2DD717" w14:textId="77777777" w:rsidR="003764A2" w:rsidRDefault="003764A2" w:rsidP="00CF6194">
      <w:pPr>
        <w:pStyle w:val="Heading3"/>
      </w:pPr>
      <w:bookmarkStart w:id="475" w:name="_Toc435112147"/>
      <w:bookmarkStart w:id="476" w:name="_Toc436923331"/>
      <w:bookmarkStart w:id="477" w:name="_Toc437440632"/>
      <w:bookmarkStart w:id="478" w:name="_Toc437594284"/>
      <w:bookmarkStart w:id="479" w:name="_Toc437598693"/>
      <w:bookmarkStart w:id="480" w:name="_Toc437599036"/>
      <w:bookmarkStart w:id="481" w:name="_Toc437599294"/>
      <w:bookmarkStart w:id="482" w:name="_Toc437600399"/>
      <w:bookmarkStart w:id="483" w:name="_Toc440536941"/>
      <w:bookmarkStart w:id="484" w:name="_Toc441743837"/>
      <w:bookmarkStart w:id="485" w:name="_Toc441744279"/>
      <w:bookmarkStart w:id="486" w:name="_Toc441845099"/>
      <w:bookmarkStart w:id="487" w:name="_Toc441847352"/>
      <w:bookmarkStart w:id="488" w:name="_Toc441848284"/>
      <w:bookmarkStart w:id="489" w:name="_Toc442107126"/>
      <w:bookmarkStart w:id="490" w:name="_Toc442108778"/>
      <w:bookmarkStart w:id="491" w:name="_Toc443038176"/>
      <w:bookmarkStart w:id="492" w:name="_Toc443043894"/>
      <w:bookmarkStart w:id="493" w:name="_Toc443052584"/>
      <w:bookmarkStart w:id="494" w:name="_Toc443054873"/>
      <w:bookmarkStart w:id="495" w:name="_Toc449432104"/>
      <w:bookmarkStart w:id="496" w:name="_Toc449438572"/>
      <w:bookmarkStart w:id="497" w:name="_Toc450310166"/>
      <w:r w:rsidRPr="00A1575E">
        <w:t>A regulator that has the confidence and trust of stakeholders</w:t>
      </w:r>
      <w:bookmarkStart w:id="498" w:name="_Toc436923332"/>
      <w:bookmarkStart w:id="499" w:name="_Toc437440633"/>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14:paraId="38A16985" w14:textId="77777777" w:rsidR="003764A2" w:rsidRDefault="003764A2" w:rsidP="003764A2">
      <w:bookmarkStart w:id="500" w:name="_Toc437599037"/>
      <w:bookmarkStart w:id="501" w:name="_Toc437599295"/>
      <w:r w:rsidRPr="00B7741E">
        <w:t xml:space="preserve">The Review has identified that better practice regulators are those that have the confidence and respect of stakeholders. </w:t>
      </w:r>
      <w:bookmarkStart w:id="502" w:name="_Toc437599296"/>
      <w:bookmarkEnd w:id="498"/>
      <w:bookmarkEnd w:id="499"/>
      <w:bookmarkEnd w:id="500"/>
      <w:bookmarkEnd w:id="501"/>
      <w:r w:rsidRPr="002F6437">
        <w:t xml:space="preserve">A high-performance regulator recognises how a decision is considered, made and explained is often as important as the decision itself. </w:t>
      </w:r>
      <w:r>
        <w:t>Experience has shown such regulators achieve trust when the rationale for decisions are clearly communicated and supported by robust analysis, and where processes and objectives are known and understood by stakeholders ahead of time.</w:t>
      </w:r>
      <w:bookmarkStart w:id="503" w:name="_Toc436923333"/>
      <w:bookmarkStart w:id="504" w:name="_Toc437440634"/>
      <w:bookmarkEnd w:id="502"/>
    </w:p>
    <w:p w14:paraId="2359D6D4" w14:textId="77777777" w:rsidR="003764A2" w:rsidRPr="00F60504" w:rsidRDefault="003764A2" w:rsidP="00CF6194">
      <w:pPr>
        <w:pStyle w:val="Heading4"/>
      </w:pPr>
      <w:bookmarkStart w:id="505" w:name="_Toc449620016"/>
      <w:bookmarkStart w:id="506" w:name="_Toc450310167"/>
      <w:bookmarkStart w:id="507" w:name="_Toc437599039"/>
      <w:bookmarkStart w:id="508" w:name="_Toc437599297"/>
      <w:r>
        <w:t>Findings and draft proposals</w:t>
      </w:r>
      <w:bookmarkEnd w:id="505"/>
      <w:bookmarkEnd w:id="506"/>
    </w:p>
    <w:p w14:paraId="48934FBE" w14:textId="6F17D023" w:rsidR="003764A2" w:rsidRDefault="003764A2" w:rsidP="003764A2">
      <w:r>
        <w:t>C</w:t>
      </w:r>
      <w:r w:rsidRPr="0065101E">
        <w:t xml:space="preserve">onsultation with stakeholders has identified a broad level of </w:t>
      </w:r>
      <w:r>
        <w:t>concern</w:t>
      </w:r>
      <w:r w:rsidRPr="0065101E">
        <w:t xml:space="preserve"> about </w:t>
      </w:r>
      <w:r>
        <w:t>a</w:t>
      </w:r>
      <w:r w:rsidRPr="0065101E">
        <w:t xml:space="preserve"> lack of consistency in process </w:t>
      </w:r>
      <w:r>
        <w:t>for significant spectrum and code registration activities at the Authority level. There is also concern about industry not understanding</w:t>
      </w:r>
      <w:r w:rsidRPr="0065101E">
        <w:t xml:space="preserve"> what information is presented to the decision maker</w:t>
      </w:r>
      <w:r>
        <w:t xml:space="preserve"> and how decisions are made</w:t>
      </w:r>
      <w:r w:rsidRPr="0065101E">
        <w:t>.</w:t>
      </w:r>
      <w:r>
        <w:t xml:space="preserve"> One of the key findings of this Review is that stakeholders want greater transparency and accountability in decision</w:t>
      </w:r>
      <w:r w:rsidR="00AB23B9">
        <w:t>-</w:t>
      </w:r>
      <w:r>
        <w:t>making, and a clearer distinction to be made between the responsibilities of the Minister and Government to set policy and the ACMA to implement policy. Stakeholders have also sought better disclosure of the reasons behind decisions.</w:t>
      </w:r>
    </w:p>
    <w:p w14:paraId="566705DD" w14:textId="77777777" w:rsidR="003764A2" w:rsidRDefault="003764A2" w:rsidP="00113CF9">
      <w:r>
        <w:t>The Review</w:t>
      </w:r>
      <w:r w:rsidDel="00742050">
        <w:t xml:space="preserve"> </w:t>
      </w:r>
      <w:r>
        <w:t>considers</w:t>
      </w:r>
      <w:r w:rsidRPr="00F37660">
        <w:t xml:space="preserve"> the </w:t>
      </w:r>
      <w:r>
        <w:t>ACMA</w:t>
      </w:r>
      <w:r w:rsidRPr="00F37660">
        <w:t xml:space="preserve"> </w:t>
      </w:r>
      <w:r>
        <w:t>could</w:t>
      </w:r>
      <w:r w:rsidRPr="00F37660">
        <w:t xml:space="preserve"> </w:t>
      </w:r>
      <w:r>
        <w:t>take a number of steps to improve transparency and accountability, for example:</w:t>
      </w:r>
    </w:p>
    <w:p w14:paraId="4958C0F5" w14:textId="77777777" w:rsidR="003764A2" w:rsidRDefault="003764A2" w:rsidP="003764A2">
      <w:pPr>
        <w:pStyle w:val="Bulletlevel1"/>
      </w:pPr>
      <w:r>
        <w:t>p</w:t>
      </w:r>
      <w:r w:rsidRPr="00312EC0">
        <w:t>ublish</w:t>
      </w:r>
      <w:r>
        <w:t>ing</w:t>
      </w:r>
      <w:r w:rsidRPr="00312EC0">
        <w:t xml:space="preserve"> clear</w:t>
      </w:r>
      <w:r w:rsidRPr="00B73503">
        <w:t xml:space="preserve"> guidance about its decision-making processes once any new decision-making or governance structure comes into effect</w:t>
      </w:r>
      <w:r>
        <w:t>;</w:t>
      </w:r>
    </w:p>
    <w:p w14:paraId="6CEF5064" w14:textId="77777777" w:rsidR="003764A2" w:rsidRDefault="003764A2" w:rsidP="003764A2">
      <w:pPr>
        <w:pStyle w:val="Bulletlevel1"/>
      </w:pPr>
      <w:r w:rsidRPr="00312EC0">
        <w:t>commence publishing agenda</w:t>
      </w:r>
      <w:r>
        <w:t>s</w:t>
      </w:r>
      <w:r w:rsidRPr="00B73503">
        <w:t xml:space="preserve"> for each of its Authority meetings to enable industry and government stakeholders to stay abreast of matters under consideration</w:t>
      </w:r>
      <w:r>
        <w:t>;</w:t>
      </w:r>
    </w:p>
    <w:p w14:paraId="33EC00EB" w14:textId="7F98B391" w:rsidR="003764A2" w:rsidRDefault="003764A2" w:rsidP="003764A2">
      <w:pPr>
        <w:pStyle w:val="Bulletlevel1"/>
      </w:pPr>
      <w:r>
        <w:t>establish and publish processes for functions of significant resource investment and importance to industry in order to ensure regulatory staff, and the decision</w:t>
      </w:r>
      <w:r w:rsidR="00AB23B9">
        <w:t>-</w:t>
      </w:r>
      <w:r>
        <w:t>making body, are more accountable and consistent in their approach;</w:t>
      </w:r>
    </w:p>
    <w:p w14:paraId="7FEC031F" w14:textId="77777777" w:rsidR="003764A2" w:rsidRDefault="003764A2" w:rsidP="003764A2">
      <w:pPr>
        <w:pStyle w:val="Bulletlevel1"/>
      </w:pPr>
      <w:r>
        <w:t>issuing statements of reasons for decisions with precedence value, where it is efficient to do so.</w:t>
      </w:r>
    </w:p>
    <w:p w14:paraId="1C40AE9B" w14:textId="5BE836C1" w:rsidR="003764A2" w:rsidRDefault="003764A2" w:rsidP="003764A2">
      <w:r w:rsidRPr="0065101E">
        <w:t xml:space="preserve">Stakeholders have </w:t>
      </w:r>
      <w:r>
        <w:t xml:space="preserve">also expressed a desire for </w:t>
      </w:r>
      <w:r w:rsidRPr="0065101E">
        <w:t xml:space="preserve">more direct engagement with the </w:t>
      </w:r>
      <w:r>
        <w:t>Authority</w:t>
      </w:r>
      <w:r w:rsidRPr="0065101E">
        <w:t xml:space="preserve">, particularly on substantial matters. </w:t>
      </w:r>
      <w:r>
        <w:t>During o</w:t>
      </w:r>
      <w:r w:rsidRPr="0065101E">
        <w:t xml:space="preserve">ur consultations </w:t>
      </w:r>
      <w:r>
        <w:t>stakeholders have expressed</w:t>
      </w:r>
      <w:r w:rsidRPr="0065101E">
        <w:t xml:space="preserve"> concern</w:t>
      </w:r>
      <w:r>
        <w:t>s</w:t>
      </w:r>
      <w:r w:rsidRPr="0065101E">
        <w:t xml:space="preserve"> that engagement with the </w:t>
      </w:r>
      <w:r>
        <w:t>Authority</w:t>
      </w:r>
      <w:r w:rsidRPr="0065101E">
        <w:t xml:space="preserve"> can be </w:t>
      </w:r>
      <w:r>
        <w:t xml:space="preserve">overly </w:t>
      </w:r>
      <w:r w:rsidRPr="0065101E">
        <w:t xml:space="preserve">formal and </w:t>
      </w:r>
      <w:r>
        <w:t>dependent on</w:t>
      </w:r>
      <w:r w:rsidRPr="0065101E">
        <w:t xml:space="preserve"> writ</w:t>
      </w:r>
      <w:r>
        <w:t>ten exchanges</w:t>
      </w:r>
      <w:r w:rsidRPr="0065101E">
        <w:t xml:space="preserve">. </w:t>
      </w:r>
      <w:r>
        <w:rPr>
          <w:rFonts w:eastAsia="Times New Roman" w:cs="Arial"/>
          <w:color w:val="000000"/>
          <w:szCs w:val="24"/>
        </w:rPr>
        <w:t>The Review</w:t>
      </w:r>
      <w:r w:rsidDel="00742050">
        <w:rPr>
          <w:rFonts w:eastAsia="Times New Roman" w:cs="Arial"/>
          <w:color w:val="000000"/>
          <w:szCs w:val="24"/>
        </w:rPr>
        <w:t xml:space="preserve"> </w:t>
      </w:r>
      <w:r>
        <w:t xml:space="preserve">is not in a position to assess the extent of reliance on certain modes of engagement by the Authority. However, </w:t>
      </w:r>
      <w:r>
        <w:rPr>
          <w:rFonts w:eastAsia="Times New Roman" w:cs="Arial"/>
          <w:color w:val="000000"/>
          <w:szCs w:val="24"/>
        </w:rPr>
        <w:t>the Review</w:t>
      </w:r>
      <w:r w:rsidDel="00742050">
        <w:rPr>
          <w:rFonts w:eastAsia="Times New Roman" w:cs="Arial"/>
          <w:color w:val="000000"/>
          <w:szCs w:val="24"/>
        </w:rPr>
        <w:t xml:space="preserve"> </w:t>
      </w:r>
      <w:r>
        <w:t xml:space="preserve">does consider that any over-reliance on formal, written interaction </w:t>
      </w:r>
      <w:r w:rsidRPr="0065101E">
        <w:t>present</w:t>
      </w:r>
      <w:r w:rsidR="0071481E">
        <w:t>s</w:t>
      </w:r>
      <w:r w:rsidRPr="0065101E">
        <w:t xml:space="preserve"> a risk of not fully capturing the more nuanced </w:t>
      </w:r>
      <w:r>
        <w:t>aspects of issues</w:t>
      </w:r>
      <w:r w:rsidRPr="0065101E">
        <w:t xml:space="preserve"> that</w:t>
      </w:r>
      <w:r>
        <w:t xml:space="preserve"> can be </w:t>
      </w:r>
      <w:r w:rsidRPr="0065101E">
        <w:t xml:space="preserve">gained through direct </w:t>
      </w:r>
      <w:r>
        <w:t>discussion</w:t>
      </w:r>
      <w:r w:rsidRPr="0065101E">
        <w:t>.</w:t>
      </w:r>
    </w:p>
    <w:p w14:paraId="5C71727F" w14:textId="3EF7C513" w:rsidR="004D0693" w:rsidRDefault="004A6F66" w:rsidP="00196FD5">
      <w:pPr>
        <w:pStyle w:val="Definitionterm"/>
        <w:spacing w:before="0"/>
      </w:pPr>
      <w:r w:rsidRPr="004A6F66">
        <w:rPr>
          <w:noProof/>
          <w:lang w:eastAsia="en-AU"/>
        </w:rPr>
        <mc:AlternateContent>
          <mc:Choice Requires="wps">
            <w:drawing>
              <wp:inline distT="0" distB="0" distL="0" distR="0" wp14:anchorId="6BB1BA08" wp14:editId="6C1FBAA8">
                <wp:extent cx="5730240" cy="982980"/>
                <wp:effectExtent l="0" t="0" r="22860" b="266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982980"/>
                        </a:xfrm>
                        <a:prstGeom prst="rect">
                          <a:avLst/>
                        </a:prstGeom>
                        <a:solidFill>
                          <a:srgbClr val="FFFFFF"/>
                        </a:solidFill>
                        <a:ln w="9525">
                          <a:solidFill>
                            <a:srgbClr val="000000"/>
                          </a:solidFill>
                          <a:miter lim="800000"/>
                          <a:headEnd/>
                          <a:tailEnd/>
                        </a:ln>
                      </wps:spPr>
                      <wps:txbx>
                        <w:txbxContent>
                          <w:p w14:paraId="380D0332" w14:textId="77777777" w:rsidR="00D7354F" w:rsidRPr="001A081B" w:rsidRDefault="00D7354F" w:rsidP="004A6F66">
                            <w:pPr>
                              <w:pStyle w:val="Definitionterm"/>
                              <w:spacing w:before="0"/>
                              <w:rPr>
                                <w:b w:val="0"/>
                              </w:rPr>
                            </w:pPr>
                            <w:r w:rsidRPr="001A081B">
                              <w:rPr>
                                <w:b w:val="0"/>
                              </w:rPr>
                              <w:t>Key findings:</w:t>
                            </w:r>
                          </w:p>
                          <w:p w14:paraId="66405BD2" w14:textId="0FB9B85C" w:rsidR="00D7354F" w:rsidRPr="001032EA" w:rsidRDefault="00D7354F" w:rsidP="004A6F66">
                            <w:pPr>
                              <w:pStyle w:val="ListParagraph"/>
                              <w:numPr>
                                <w:ilvl w:val="0"/>
                                <w:numId w:val="29"/>
                              </w:numPr>
                              <w:spacing w:before="120" w:after="120" w:line="276" w:lineRule="auto"/>
                            </w:pPr>
                            <w:r w:rsidRPr="00762ECB">
                              <w:rPr>
                                <w:rFonts w:eastAsia="Times New Roman" w:cs="Arial"/>
                                <w:color w:val="000000"/>
                                <w:szCs w:val="24"/>
                              </w:rPr>
                              <w:t>The</w:t>
                            </w:r>
                            <w:r>
                              <w:rPr>
                                <w:rFonts w:eastAsia="Times New Roman" w:cs="Arial"/>
                                <w:color w:val="000000"/>
                                <w:szCs w:val="24"/>
                              </w:rPr>
                              <w:t>re is scope to strengthen the decision-making transparency of the ACMA.</w:t>
                            </w:r>
                          </w:p>
                          <w:p w14:paraId="4E0F6C24" w14:textId="77777777" w:rsidR="00D7354F" w:rsidRPr="00F60504" w:rsidRDefault="00D7354F" w:rsidP="004A6F66">
                            <w:pPr>
                              <w:pStyle w:val="ListParagraph"/>
                              <w:numPr>
                                <w:ilvl w:val="0"/>
                                <w:numId w:val="29"/>
                              </w:numPr>
                              <w:spacing w:before="120" w:after="120" w:line="276" w:lineRule="auto"/>
                            </w:pPr>
                            <w:r>
                              <w:rPr>
                                <w:rFonts w:eastAsia="Times New Roman" w:cs="Arial"/>
                                <w:color w:val="000000"/>
                                <w:szCs w:val="24"/>
                              </w:rPr>
                              <w:t>There is a need for greater consistency in process that underpins significant rule-making and planning activities.</w:t>
                            </w:r>
                          </w:p>
                          <w:p w14:paraId="6131E20F" w14:textId="4DBB2E64" w:rsidR="00D7354F" w:rsidRDefault="00D7354F"/>
                        </w:txbxContent>
                      </wps:txbx>
                      <wps:bodyPr rot="0" vert="horz" wrap="square" lIns="91440" tIns="45720" rIns="91440" bIns="45720" anchor="t" anchorCtr="0">
                        <a:noAutofit/>
                      </wps:bodyPr>
                    </wps:wsp>
                  </a:graphicData>
                </a:graphic>
              </wp:inline>
            </w:drawing>
          </mc:Choice>
          <mc:Fallback>
            <w:pict>
              <v:shapetype w14:anchorId="6BB1BA08" id="_x0000_t202" coordsize="21600,21600" o:spt="202" path="m,l,21600r21600,l21600,xe">
                <v:stroke joinstyle="miter"/>
                <v:path gradientshapeok="t" o:connecttype="rect"/>
              </v:shapetype>
              <v:shape id="Text Box 2" o:spid="_x0000_s1026" type="#_x0000_t202" style="width:451.2pt;height:7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">
                <v:textbox>
                  <w:txbxContent>
                    <w:p w14:paraId="380D0332" w14:textId="77777777" w:rsidR="00D7354F" w:rsidRPr="001A081B" w:rsidRDefault="00D7354F" w:rsidP="004A6F66">
                      <w:pPr>
                        <w:pStyle w:val="Definitionterm"/>
                        <w:spacing w:before="0"/>
                        <w:rPr>
                          <w:b w:val="0"/>
                        </w:rPr>
                      </w:pPr>
                      <w:r w:rsidRPr="001A081B">
                        <w:rPr>
                          <w:b w:val="0"/>
                        </w:rPr>
                        <w:t>Key findings:</w:t>
                      </w:r>
                    </w:p>
                    <w:p w14:paraId="66405BD2" w14:textId="0FB9B85C" w:rsidR="00D7354F" w:rsidRPr="001032EA" w:rsidRDefault="00D7354F" w:rsidP="004A6F66">
                      <w:pPr>
                        <w:pStyle w:val="ListParagraph"/>
                        <w:numPr>
                          <w:ilvl w:val="0"/>
                          <w:numId w:val="29"/>
                        </w:numPr>
                        <w:spacing w:before="120" w:after="120" w:line="276" w:lineRule="auto"/>
                      </w:pPr>
                      <w:r w:rsidRPr="00762ECB">
                        <w:rPr>
                          <w:rFonts w:eastAsia="Times New Roman" w:cs="Arial"/>
                          <w:color w:val="000000"/>
                          <w:szCs w:val="24"/>
                        </w:rPr>
                        <w:t>The</w:t>
                      </w:r>
                      <w:r>
                        <w:rPr>
                          <w:rFonts w:eastAsia="Times New Roman" w:cs="Arial"/>
                          <w:color w:val="000000"/>
                          <w:szCs w:val="24"/>
                        </w:rPr>
                        <w:t>re is scope to strengthen the decision-making transparency of the ACMA.</w:t>
                      </w:r>
                    </w:p>
                    <w:p w14:paraId="4E0F6C24" w14:textId="77777777" w:rsidR="00D7354F" w:rsidRPr="00F60504" w:rsidRDefault="00D7354F" w:rsidP="004A6F66">
                      <w:pPr>
                        <w:pStyle w:val="ListParagraph"/>
                        <w:numPr>
                          <w:ilvl w:val="0"/>
                          <w:numId w:val="29"/>
                        </w:numPr>
                        <w:spacing w:before="120" w:after="120" w:line="276" w:lineRule="auto"/>
                      </w:pPr>
                      <w:r>
                        <w:rPr>
                          <w:rFonts w:eastAsia="Times New Roman" w:cs="Arial"/>
                          <w:color w:val="000000"/>
                          <w:szCs w:val="24"/>
                        </w:rPr>
                        <w:t>There is a need for greater consistency in process that underpins significant rule-making and planning activities.</w:t>
                      </w:r>
                    </w:p>
                    <w:p w14:paraId="6131E20F" w14:textId="4DBB2E64" w:rsidR="00D7354F" w:rsidRDefault="00D7354F"/>
                  </w:txbxContent>
                </v:textbox>
                <w10:anchorlock/>
              </v:shape>
            </w:pict>
          </mc:Fallback>
        </mc:AlternateContent>
      </w:r>
    </w:p>
    <w:p w14:paraId="78F1C5A0" w14:textId="0F74539A" w:rsidR="004D0693" w:rsidRDefault="004D0693" w:rsidP="00CB4DEF">
      <w:pPr>
        <w:pBdr>
          <w:top w:val="single" w:sz="4" w:space="1" w:color="auto"/>
          <w:left w:val="single" w:sz="4" w:space="1" w:color="auto"/>
          <w:bottom w:val="single" w:sz="4" w:space="1" w:color="auto"/>
          <w:right w:val="single" w:sz="4" w:space="1" w:color="auto"/>
        </w:pBdr>
        <w:shd w:val="clear" w:color="auto" w:fill="DEEAF6" w:themeFill="accent1" w:themeFillTint="33"/>
      </w:pPr>
      <w:r w:rsidRPr="001419D9">
        <w:t>Draft proposal:</w:t>
      </w:r>
    </w:p>
    <w:p w14:paraId="420686F6" w14:textId="202DAE66" w:rsidR="004D0693" w:rsidRDefault="004D0693" w:rsidP="00CB4DEF">
      <w:pPr>
        <w:pStyle w:val="ListParagraph"/>
        <w:numPr>
          <w:ilvl w:val="0"/>
          <w:numId w:val="17"/>
        </w:numPr>
        <w:pBdr>
          <w:top w:val="single" w:sz="4" w:space="1" w:color="auto"/>
          <w:left w:val="single" w:sz="4" w:space="1" w:color="auto"/>
          <w:bottom w:val="single" w:sz="4" w:space="1" w:color="auto"/>
          <w:right w:val="single" w:sz="4" w:space="1" w:color="auto"/>
        </w:pBdr>
        <w:shd w:val="clear" w:color="auto" w:fill="DEEAF6" w:themeFill="accent1" w:themeFillTint="33"/>
        <w:spacing w:line="276" w:lineRule="auto"/>
        <w:ind w:left="567" w:hanging="567"/>
      </w:pPr>
      <w:r>
        <w:t>That the ACMA produce a public report on steps taken to improve the transparency and consistency of its decision</w:t>
      </w:r>
      <w:r w:rsidR="00AB23B9">
        <w:t>-</w:t>
      </w:r>
      <w:r>
        <w:t>making processes, and that implementation and stakeholder satisfaction be independently assessed by the end of 2017.</w:t>
      </w:r>
    </w:p>
    <w:p w14:paraId="78772AF9" w14:textId="6EA5E54A" w:rsidR="003764A2" w:rsidRPr="00576140" w:rsidRDefault="003764A2" w:rsidP="003764A2">
      <w:r>
        <w:t>For the complete RPF performance assessment expanding on matters contained in this chapter</w:t>
      </w:r>
      <w:r w:rsidR="00CD57F4">
        <w:t xml:space="preserve"> </w:t>
      </w:r>
      <w:r>
        <w:t xml:space="preserve">including the methodology, evidence base, findings, analysis and recommendations refer to </w:t>
      </w:r>
      <w:bookmarkEnd w:id="9"/>
      <w:bookmarkEnd w:id="10"/>
      <w:bookmarkEnd w:id="11"/>
      <w:bookmarkEnd w:id="12"/>
      <w:bookmarkEnd w:id="13"/>
      <w:bookmarkEnd w:id="14"/>
      <w:bookmarkEnd w:id="15"/>
      <w:bookmarkEnd w:id="16"/>
      <w:bookmarkEnd w:id="17"/>
      <w:bookmarkEnd w:id="18"/>
      <w:bookmarkEnd w:id="19"/>
      <w:bookmarkEnd w:id="20"/>
      <w:bookmarkEnd w:id="503"/>
      <w:bookmarkEnd w:id="504"/>
      <w:bookmarkEnd w:id="507"/>
      <w:bookmarkEnd w:id="508"/>
      <w:r w:rsidR="006C547E" w:rsidRPr="00E815EB">
        <w:rPr>
          <w:u w:val="single"/>
        </w:rPr>
        <w:t>Appendix B</w:t>
      </w:r>
      <w:r w:rsidR="00576140">
        <w:t>.</w:t>
      </w:r>
    </w:p>
    <w:p w14:paraId="0EB89B48" w14:textId="77777777" w:rsidR="00EB2B81" w:rsidRPr="00576140" w:rsidRDefault="00EB2B81" w:rsidP="002E15A7">
      <w:r w:rsidRPr="00576140">
        <w:br w:type="page"/>
      </w:r>
    </w:p>
    <w:p w14:paraId="5B29C058" w14:textId="77777777" w:rsidR="00EB2B81" w:rsidRPr="00EF0DB9" w:rsidRDefault="00EB2B81" w:rsidP="00CF6194">
      <w:pPr>
        <w:pStyle w:val="Heading2"/>
      </w:pPr>
      <w:bookmarkStart w:id="509" w:name="_Toc449432105"/>
      <w:bookmarkStart w:id="510" w:name="_Toc449438573"/>
      <w:bookmarkStart w:id="511" w:name="_Toc450310168"/>
      <w:r>
        <w:t>Part Four</w:t>
      </w:r>
      <w:r w:rsidR="00CF6194">
        <w:t>—</w:t>
      </w:r>
      <w:r>
        <w:t>R</w:t>
      </w:r>
      <w:r w:rsidRPr="00EF0DB9">
        <w:t>esources</w:t>
      </w:r>
      <w:bookmarkEnd w:id="509"/>
      <w:bookmarkEnd w:id="510"/>
      <w:bookmarkEnd w:id="511"/>
    </w:p>
    <w:p w14:paraId="6BC4C9BB" w14:textId="25855342" w:rsidR="00EB2B81" w:rsidRDefault="00EB2B81" w:rsidP="00BC43B3">
      <w:pPr>
        <w:rPr>
          <w:lang w:val="en-US" w:eastAsia="en-AU"/>
        </w:rPr>
      </w:pPr>
      <w:r w:rsidRPr="0046716B">
        <w:rPr>
          <w:lang w:val="en-US" w:eastAsia="en-AU"/>
        </w:rPr>
        <w:t xml:space="preserve">The </w:t>
      </w:r>
      <w:r>
        <w:rPr>
          <w:lang w:val="en-US" w:eastAsia="en-AU"/>
        </w:rPr>
        <w:t xml:space="preserve">Review </w:t>
      </w:r>
      <w:r w:rsidRPr="0046716B">
        <w:rPr>
          <w:lang w:val="en-US" w:eastAsia="en-AU"/>
        </w:rPr>
        <w:t>consider</w:t>
      </w:r>
      <w:r>
        <w:rPr>
          <w:lang w:val="en-US" w:eastAsia="en-AU"/>
        </w:rPr>
        <w:t>ed</w:t>
      </w:r>
      <w:r w:rsidRPr="0046716B">
        <w:rPr>
          <w:lang w:val="en-US" w:eastAsia="en-AU"/>
        </w:rPr>
        <w:t xml:space="preserve"> the resource base of the ACMA, including the relative contributions from current sources, and</w:t>
      </w:r>
      <w:r>
        <w:rPr>
          <w:lang w:val="en-US" w:eastAsia="en-AU"/>
        </w:rPr>
        <w:t xml:space="preserve"> evaluated</w:t>
      </w:r>
      <w:r w:rsidRPr="0046716B">
        <w:rPr>
          <w:lang w:val="en-US" w:eastAsia="en-AU"/>
        </w:rPr>
        <w:t xml:space="preserve"> </w:t>
      </w:r>
      <w:r>
        <w:rPr>
          <w:lang w:val="en-US" w:eastAsia="en-AU"/>
        </w:rPr>
        <w:t>the ACMA’s</w:t>
      </w:r>
      <w:r w:rsidRPr="0046716B">
        <w:rPr>
          <w:lang w:val="en-US" w:eastAsia="en-AU"/>
        </w:rPr>
        <w:t xml:space="preserve"> efficiency</w:t>
      </w:r>
      <w:r>
        <w:rPr>
          <w:lang w:val="en-US" w:eastAsia="en-AU"/>
        </w:rPr>
        <w:t xml:space="preserve"> in delivering its functions consistent with the Government’s Contestability Programme. </w:t>
      </w:r>
      <w:r>
        <w:t xml:space="preserve">This section provides a summary of the key findings of the Review. For the complete review of resources and efficiency refer to </w:t>
      </w:r>
      <w:r>
        <w:rPr>
          <w:u w:val="single"/>
        </w:rPr>
        <w:t>Appendix C</w:t>
      </w:r>
      <w:r>
        <w:t xml:space="preserve">. The analysis of remit, objectives and functions in Part </w:t>
      </w:r>
      <w:r w:rsidR="00CD15A0">
        <w:t>Two</w:t>
      </w:r>
      <w:r>
        <w:t xml:space="preserve"> of the report is also relevant to the </w:t>
      </w:r>
      <w:r>
        <w:rPr>
          <w:lang w:val="en-US" w:eastAsia="en-AU"/>
        </w:rPr>
        <w:t>Contestability Programme.</w:t>
      </w:r>
    </w:p>
    <w:p w14:paraId="777BFBFF" w14:textId="77777777" w:rsidR="00EB2B81" w:rsidRPr="00CF6194" w:rsidRDefault="00EB2B81" w:rsidP="00CF6194">
      <w:pPr>
        <w:pStyle w:val="Heading3"/>
      </w:pPr>
      <w:bookmarkStart w:id="512" w:name="_Toc435112168"/>
      <w:bookmarkStart w:id="513" w:name="_Toc436923358"/>
      <w:bookmarkStart w:id="514" w:name="_Toc437440660"/>
      <w:bookmarkStart w:id="515" w:name="_Toc437528415"/>
      <w:bookmarkStart w:id="516" w:name="_Toc437594286"/>
      <w:bookmarkStart w:id="517" w:name="_Toc437598695"/>
      <w:bookmarkStart w:id="518" w:name="_Toc437599299"/>
      <w:bookmarkStart w:id="519" w:name="_Toc437600402"/>
      <w:bookmarkStart w:id="520" w:name="_Toc440536943"/>
      <w:bookmarkStart w:id="521" w:name="_Toc441743839"/>
      <w:bookmarkStart w:id="522" w:name="_Toc441744281"/>
      <w:bookmarkStart w:id="523" w:name="_Toc441845101"/>
      <w:bookmarkStart w:id="524" w:name="_Toc441847354"/>
      <w:bookmarkStart w:id="525" w:name="_Toc441848286"/>
      <w:bookmarkStart w:id="526" w:name="_Toc442107128"/>
      <w:bookmarkStart w:id="527" w:name="_Toc442108780"/>
      <w:bookmarkStart w:id="528" w:name="_Toc443038178"/>
      <w:bookmarkStart w:id="529" w:name="_Toc443043896"/>
      <w:bookmarkStart w:id="530" w:name="_Toc443052586"/>
      <w:bookmarkStart w:id="531" w:name="_Toc443054875"/>
      <w:bookmarkStart w:id="532" w:name="_Toc449432106"/>
      <w:bookmarkStart w:id="533" w:name="_Toc449438574"/>
      <w:bookmarkStart w:id="534" w:name="_Toc450310169"/>
      <w:r w:rsidRPr="00C94B3B">
        <w:t xml:space="preserve">Funding </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r>
        <w:t>and revenue collection</w:t>
      </w:r>
      <w:bookmarkEnd w:id="532"/>
      <w:bookmarkEnd w:id="533"/>
      <w:bookmarkEnd w:id="534"/>
    </w:p>
    <w:p w14:paraId="6A7F6995" w14:textId="20ED8663" w:rsidR="00EB2B81" w:rsidRDefault="00EB2B81" w:rsidP="00BC43B3">
      <w:r w:rsidRPr="0046716B">
        <w:t xml:space="preserve">The ACMA receives the majority of its revenue through appropriations from the Australian </w:t>
      </w:r>
      <w:r w:rsidRPr="0079781B">
        <w:rPr>
          <w:rFonts w:eastAsia="Times New Roman" w:cs="Arial"/>
          <w:lang w:val="en-US" w:eastAsia="en-AU"/>
        </w:rPr>
        <w:t>Government</w:t>
      </w:r>
      <w:r w:rsidRPr="0046716B">
        <w:t xml:space="preserve">. In </w:t>
      </w:r>
      <w:r w:rsidR="00A1725C">
        <w:t>2015–16</w:t>
      </w:r>
      <w:r w:rsidRPr="0046716B">
        <w:t xml:space="preserve">, the ACMA </w:t>
      </w:r>
      <w:r>
        <w:t>received</w:t>
      </w:r>
      <w:r w:rsidRPr="0046716B">
        <w:t xml:space="preserve"> $71.8</w:t>
      </w:r>
      <w:r>
        <w:t>0</w:t>
      </w:r>
      <w:r w:rsidR="00E549A3">
        <w:t> million</w:t>
      </w:r>
      <w:r w:rsidRPr="0046716B">
        <w:t xml:space="preserve"> in funding</w:t>
      </w:r>
      <w:r>
        <w:t xml:space="preserve"> from </w:t>
      </w:r>
      <w:r w:rsidRPr="0046716B">
        <w:t>budget appropriations (excluding funding of $11.05</w:t>
      </w:r>
      <w:r w:rsidR="00E549A3">
        <w:t> million</w:t>
      </w:r>
      <w:r w:rsidRPr="0046716B">
        <w:t xml:space="preserve"> designated for the Office of the Children’</w:t>
      </w:r>
      <w:r>
        <w:t xml:space="preserve">s </w:t>
      </w:r>
      <w:r w:rsidR="0032139B">
        <w:t>e</w:t>
      </w:r>
      <w:r>
        <w:t>Safety Commissioner (OCeSC))</w:t>
      </w:r>
      <w:r w:rsidRPr="0046716B">
        <w:t xml:space="preserve">. In addition to </w:t>
      </w:r>
      <w:r w:rsidRPr="0079781B">
        <w:rPr>
          <w:rFonts w:eastAsia="Times New Roman" w:cs="Arial"/>
          <w:lang w:val="en-US" w:eastAsia="en-AU"/>
        </w:rPr>
        <w:t>these</w:t>
      </w:r>
      <w:r w:rsidRPr="0046716B">
        <w:t xml:space="preserve"> budget appropriation</w:t>
      </w:r>
      <w:r>
        <w:t>s</w:t>
      </w:r>
      <w:r w:rsidRPr="0046716B">
        <w:t>, the ACMA expects to secure own source revenue of $0.9</w:t>
      </w:r>
      <w:r>
        <w:t>0</w:t>
      </w:r>
      <w:r w:rsidR="00E549A3">
        <w:t> million</w:t>
      </w:r>
      <w:r w:rsidRPr="0046716B">
        <w:t xml:space="preserve"> for the year as part of fee-for-service arrangements.</w:t>
      </w:r>
    </w:p>
    <w:p w14:paraId="35027463" w14:textId="77777777" w:rsidR="00EB2B81" w:rsidRDefault="00EB2B81" w:rsidP="00BC43B3">
      <w:r>
        <w:t xml:space="preserve">Funding for the </w:t>
      </w:r>
      <w:r w:rsidRPr="0046716B">
        <w:t>ACMA peaked in 2009</w:t>
      </w:r>
      <w:r>
        <w:t>–</w:t>
      </w:r>
      <w:r w:rsidRPr="0046716B">
        <w:t>10 at $111.2</w:t>
      </w:r>
      <w:r w:rsidR="00E549A3">
        <w:t> million</w:t>
      </w:r>
      <w:r w:rsidRPr="0046716B">
        <w:t xml:space="preserve"> and has since fallen </w:t>
      </w:r>
      <w:r>
        <w:t xml:space="preserve">significantly </w:t>
      </w:r>
      <w:r w:rsidRPr="0046716B">
        <w:t>to $</w:t>
      </w:r>
      <w:r>
        <w:t>72.7</w:t>
      </w:r>
      <w:r w:rsidR="00E549A3">
        <w:t> million</w:t>
      </w:r>
      <w:r w:rsidRPr="0046716B">
        <w:t xml:space="preserve"> in </w:t>
      </w:r>
      <w:r w:rsidR="00A1725C">
        <w:t>2015–16</w:t>
      </w:r>
      <w:r>
        <w:rPr>
          <w:rStyle w:val="FootnoteReference"/>
          <w:rFonts w:cs="Arial"/>
        </w:rPr>
        <w:footnoteReference w:id="89"/>
      </w:r>
      <w:r w:rsidRPr="0046716B">
        <w:t xml:space="preserve">. </w:t>
      </w:r>
      <w:r>
        <w:t>The peak of the ACMA’s activities coincided with the digital television switchover and restack programmes, which are now both completed.</w:t>
      </w:r>
      <w:r w:rsidRPr="0046716B">
        <w:t xml:space="preserve"> </w:t>
      </w:r>
      <w:r>
        <w:t xml:space="preserve">Since </w:t>
      </w:r>
      <w:r w:rsidR="00174EEE">
        <w:t>2009–10</w:t>
      </w:r>
      <w:r>
        <w:t xml:space="preserve"> the ACMA’s f</w:t>
      </w:r>
      <w:r w:rsidRPr="0046716B">
        <w:t xml:space="preserve">unding has declined steadily with employee expenses also starting to fall </w:t>
      </w:r>
      <w:r>
        <w:t>due to</w:t>
      </w:r>
      <w:r w:rsidRPr="0046716B">
        <w:t xml:space="preserve"> reduced overall staffing</w:t>
      </w:r>
      <w:r>
        <w:t xml:space="preserve"> levels</w:t>
      </w:r>
      <w:r w:rsidRPr="0046716B">
        <w:t xml:space="preserve">. Lower staff levels are projected to continue with </w:t>
      </w:r>
      <w:r>
        <w:t>average staffing levels</w:t>
      </w:r>
      <w:r w:rsidRPr="0046716B">
        <w:t xml:space="preserve"> falling from its peak in </w:t>
      </w:r>
      <w:r w:rsidR="00174EEE">
        <w:t>2010–11</w:t>
      </w:r>
      <w:r w:rsidRPr="0046716B">
        <w:t xml:space="preserve"> of 591</w:t>
      </w:r>
      <w:r>
        <w:t>,</w:t>
      </w:r>
      <w:r w:rsidRPr="0046716B">
        <w:t xml:space="preserve"> to 4</w:t>
      </w:r>
      <w:r>
        <w:t>09</w:t>
      </w:r>
      <w:r w:rsidRPr="0046716B">
        <w:t xml:space="preserve"> in </w:t>
      </w:r>
      <w:r w:rsidR="00A1725C">
        <w:t>2015–16</w:t>
      </w:r>
      <w:r>
        <w:t>.</w:t>
      </w:r>
    </w:p>
    <w:p w14:paraId="3A37CC16" w14:textId="77777777" w:rsidR="00EB2B81" w:rsidRDefault="00EB2B81" w:rsidP="00CF6194">
      <w:pPr>
        <w:pStyle w:val="Tablefigureheading"/>
      </w:pPr>
      <w:r w:rsidRPr="00FD2367">
        <w:t xml:space="preserve">Figure 8: </w:t>
      </w:r>
      <w:r w:rsidRPr="00FD2367">
        <w:rPr>
          <w:rFonts w:cs="Arial"/>
        </w:rPr>
        <w:t>Funding</w:t>
      </w:r>
      <w:r w:rsidRPr="00FD2367">
        <w:t xml:space="preserve"> for the ACMA 2005–15</w:t>
      </w:r>
    </w:p>
    <w:p w14:paraId="099D44D5" w14:textId="77777777" w:rsidR="00BC43B3" w:rsidRDefault="00BC43B3" w:rsidP="00BC43B3">
      <w:r>
        <w:rPr>
          <w:noProof/>
          <w:lang w:eastAsia="en-AU"/>
        </w:rPr>
        <w:drawing>
          <wp:inline distT="0" distB="0" distL="0" distR="0" wp14:anchorId="294C92E3" wp14:editId="26383FA0">
            <wp:extent cx="5926455" cy="2251075"/>
            <wp:effectExtent l="0" t="0" r="0" b="0"/>
            <wp:docPr id="243" name="Picture 243" descr="Total Departmental Revenue&#10;2005-06: $76,828,000&#10;2006-07: $87,235,000&#10;2007-08: $99,138,000&#10;2008-09: $97,645,000&#10;2009-10: $111,200,000&#10;2010-11: $101,564,000&#10;2011-12: $105,107,000&#10;2012-13: $101,247,000&#10;2013-14: $95,303,000&#10;2014-15: $91,774,000&#10;&#10;Employee expenses&#10;2005-06: $41,670,000&#10;2006-07: $44,267,000&#10;2007-08: $54,650,000&#10;2008-09: $57,334,000&#10;2009-10: $62,570,000&#10;2010-11: $68,939,000&#10;2011-12: $71,270,000&#10;2012-13: $71,467,000&#10;2013-14: $65,263,000&#10;2014-15: $61,783,000&#10;&#10;Net Operating Surplus/Loss&#10;2005-06: $3,030,000&#10;2006-07: $652,000&#10;2007-08: $10,000&#10;2008-09: -$1,326,000&#10;2009-10: $2,163,000&#10;2010-11: -$2,650,000&#10;2011-12: -$1,318,000&#10;2012-13: -$2,617,000&#10;2013-14: $1,411,000&#10;2014-15: $698,000" title="Funding for the ACMA 20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5394"/>
                    <a:stretch/>
                  </pic:blipFill>
                  <pic:spPr bwMode="auto">
                    <a:xfrm>
                      <a:off x="0" y="0"/>
                      <a:ext cx="5926455" cy="2251075"/>
                    </a:xfrm>
                    <a:prstGeom prst="rect">
                      <a:avLst/>
                    </a:prstGeom>
                    <a:ln>
                      <a:noFill/>
                    </a:ln>
                    <a:extLst>
                      <a:ext uri="{53640926-AAD7-44D8-BBD7-CCE9431645EC}">
                        <a14:shadowObscured xmlns:a14="http://schemas.microsoft.com/office/drawing/2010/main"/>
                      </a:ext>
                    </a:extLst>
                  </pic:spPr>
                </pic:pic>
              </a:graphicData>
            </a:graphic>
          </wp:inline>
        </w:drawing>
      </w:r>
    </w:p>
    <w:p w14:paraId="716654E0" w14:textId="77777777" w:rsidR="00EB2B81" w:rsidRDefault="00EB2B81" w:rsidP="00EB2B81">
      <w:pPr>
        <w:rPr>
          <w:highlight w:val="yellow"/>
        </w:rPr>
      </w:pPr>
      <w:r w:rsidRPr="003D35A7">
        <w:t xml:space="preserve">The ACMA generates revenue for the Commonwealth through asset sales, cost recovery, taxes and levies. It collected annual </w:t>
      </w:r>
      <w:r w:rsidRPr="005B26CA">
        <w:rPr>
          <w:color w:val="000000" w:themeColor="text1"/>
        </w:rPr>
        <w:t>revenues (excluding sale of spectrum) ranging from approximately $580</w:t>
      </w:r>
      <w:r w:rsidR="00E549A3">
        <w:rPr>
          <w:color w:val="000000" w:themeColor="text1"/>
        </w:rPr>
        <w:t> million</w:t>
      </w:r>
      <w:r w:rsidRPr="005B26CA">
        <w:rPr>
          <w:color w:val="000000" w:themeColor="text1"/>
        </w:rPr>
        <w:t xml:space="preserve"> to $657</w:t>
      </w:r>
      <w:r w:rsidR="00E549A3">
        <w:rPr>
          <w:color w:val="000000" w:themeColor="text1"/>
        </w:rPr>
        <w:t> million</w:t>
      </w:r>
      <w:r w:rsidRPr="005B26CA">
        <w:rPr>
          <w:color w:val="000000" w:themeColor="text1"/>
        </w:rPr>
        <w:t xml:space="preserve"> </w:t>
      </w:r>
      <w:r>
        <w:rPr>
          <w:color w:val="000000" w:themeColor="text1"/>
        </w:rPr>
        <w:t>from</w:t>
      </w:r>
      <w:r w:rsidRPr="005B26CA">
        <w:rPr>
          <w:color w:val="000000" w:themeColor="text1"/>
        </w:rPr>
        <w:t xml:space="preserve"> </w:t>
      </w:r>
      <w:r w:rsidR="00A1725C">
        <w:rPr>
          <w:color w:val="000000" w:themeColor="text1"/>
        </w:rPr>
        <w:t>2010–11</w:t>
      </w:r>
      <w:r w:rsidRPr="005B26CA">
        <w:rPr>
          <w:color w:val="000000" w:themeColor="text1"/>
        </w:rPr>
        <w:t xml:space="preserve"> to </w:t>
      </w:r>
      <w:r w:rsidR="00A1725C">
        <w:rPr>
          <w:color w:val="000000" w:themeColor="text1"/>
        </w:rPr>
        <w:t>2014–15</w:t>
      </w:r>
      <w:r w:rsidRPr="005B26CA">
        <w:rPr>
          <w:color w:val="000000" w:themeColor="text1"/>
        </w:rPr>
        <w:t xml:space="preserve">. </w:t>
      </w:r>
      <w:r w:rsidRPr="003D35A7">
        <w:t>With the exception of own source revenue, all of the revenue raised by the ACMA is returned to the Consolidated Revenue Fund and has no impact on the ACMA’s operational or capital funding.</w:t>
      </w:r>
    </w:p>
    <w:p w14:paraId="7DD309BC" w14:textId="13C5B40C" w:rsidR="00EB2B81" w:rsidRDefault="00EB2B81" w:rsidP="00EB2B81">
      <w:pPr>
        <w:rPr>
          <w:lang w:val="en-GB"/>
        </w:rPr>
      </w:pPr>
      <w:r>
        <w:t>T</w:t>
      </w:r>
      <w:r w:rsidRPr="009D3913">
        <w:t>he ACMA has collected $10.33 billion in revenue for the Commonwealth</w:t>
      </w:r>
      <w:r>
        <w:t xml:space="preserve"> over the previous ten years</w:t>
      </w:r>
      <w:r w:rsidRPr="009D3913">
        <w:t xml:space="preserve"> from asset sales </w:t>
      </w:r>
      <w:r>
        <w:t xml:space="preserve">and the </w:t>
      </w:r>
      <w:r w:rsidRPr="009D3913">
        <w:t xml:space="preserve">six industry </w:t>
      </w:r>
      <w:r>
        <w:t xml:space="preserve">mechanisms </w:t>
      </w:r>
      <w:r w:rsidR="00CD15A0">
        <w:t>which comprise a mix of resource taxes, indirect cost recovery charges and revenue-based levies</w:t>
      </w:r>
      <w:r w:rsidRPr="00E06163">
        <w:t>.</w:t>
      </w:r>
      <w:r w:rsidR="00CD15A0">
        <w:rPr>
          <w:rStyle w:val="FootnoteReference"/>
        </w:rPr>
        <w:footnoteReference w:id="90"/>
      </w:r>
      <w:r>
        <w:t xml:space="preserve"> E</w:t>
      </w:r>
      <w:r>
        <w:rPr>
          <w:lang w:val="en-GB"/>
        </w:rPr>
        <w:t xml:space="preserve">xcluding </w:t>
      </w:r>
      <w:r w:rsidRPr="0046716B">
        <w:rPr>
          <w:lang w:val="en-GB"/>
        </w:rPr>
        <w:t>revenue raised from spectrum licence auctions</w:t>
      </w:r>
      <w:r>
        <w:rPr>
          <w:lang w:val="en-GB"/>
        </w:rPr>
        <w:t>, t</w:t>
      </w:r>
      <w:r w:rsidRPr="0046716B">
        <w:rPr>
          <w:lang w:val="en-GB"/>
        </w:rPr>
        <w:t xml:space="preserve">he revenue accruing to Government from the </w:t>
      </w:r>
      <w:r w:rsidR="00CD15A0">
        <w:rPr>
          <w:lang w:val="en-GB"/>
        </w:rPr>
        <w:t>c</w:t>
      </w:r>
      <w:r w:rsidRPr="0046716B">
        <w:rPr>
          <w:lang w:val="en-GB"/>
        </w:rPr>
        <w:t>ommunications industry under existing charging arrangements has declined in both nominal and real terms over the last decade</w:t>
      </w:r>
      <w:r>
        <w:rPr>
          <w:lang w:val="en-GB"/>
        </w:rPr>
        <w:t>.</w:t>
      </w:r>
    </w:p>
    <w:p w14:paraId="242974F3" w14:textId="77777777" w:rsidR="00EB2B81" w:rsidRPr="00B442EA" w:rsidRDefault="00EB2B81" w:rsidP="00CF6194">
      <w:pPr>
        <w:pStyle w:val="Tablefigureheading"/>
        <w:rPr>
          <w:lang w:eastAsia="en-AU"/>
        </w:rPr>
      </w:pPr>
      <w:r w:rsidRPr="00FD2367">
        <w:rPr>
          <w:lang w:eastAsia="en-AU"/>
        </w:rPr>
        <w:t>Figure 9:</w:t>
      </w:r>
      <w:r w:rsidR="00CF6194">
        <w:rPr>
          <w:lang w:eastAsia="en-AU"/>
        </w:rPr>
        <w:t xml:space="preserve"> </w:t>
      </w:r>
      <w:r w:rsidRPr="00FD2367">
        <w:rPr>
          <w:lang w:eastAsia="en-AU"/>
        </w:rPr>
        <w:t xml:space="preserve">Trends </w:t>
      </w:r>
      <w:r>
        <w:rPr>
          <w:lang w:eastAsia="en-AU"/>
        </w:rPr>
        <w:t xml:space="preserve">and forecast </w:t>
      </w:r>
      <w:r w:rsidRPr="00FD2367">
        <w:rPr>
          <w:lang w:eastAsia="en-AU"/>
        </w:rPr>
        <w:t>for taxes, fees and levies</w:t>
      </w:r>
    </w:p>
    <w:p w14:paraId="6904360C" w14:textId="6307DC5C" w:rsidR="00037943" w:rsidRDefault="000825DB" w:rsidP="00706D59">
      <w:pPr>
        <w:jc w:val="center"/>
        <w:rPr>
          <w:rFonts w:cs="Calibri"/>
        </w:rPr>
      </w:pPr>
      <w:r w:rsidRPr="00105A97">
        <w:rPr>
          <w:noProof/>
          <w:lang w:eastAsia="en-AU"/>
        </w:rPr>
        <w:drawing>
          <wp:inline distT="0" distB="0" distL="0" distR="0" wp14:anchorId="1078B720" wp14:editId="4494EED5">
            <wp:extent cx="5926455" cy="3005627"/>
            <wp:effectExtent l="0" t="0" r="17145" b="4445"/>
            <wp:docPr id="370" name="Chart 370" descr="Annual numbering charge:&#10;2006-07: 60&#10;2007-08: 60&#10;2008-09: 59.9&#10;2009-10: 60&#10;2010-11: 60&#10;2011-12: 60&#10;2012-13: 60&#10;2013-14: 60&#10;2014-15: 60&#10;2015-16 (forecast): 60&#10;2016-17 (forecast): 60&#10;2017-18 (forecast): 60&#10;2018-19 (forecast): 60&#10;2019-20 (forecast): 60&#10;&#10;Apparatus licence tax&#10;2006-07: 129.9&#10;2007-08: 142.9&#10;2008-09: 150.3&#10;2009-10: 153.9&#10;2010-11: 161.9&#10;2011-12: 146&#10;2012-13: 119&#10;2013-14: 171&#10;2014-15: 149.1&#10;2015-16 (forecast): 153.7&#10;2016-17 (forecast): 158.4&#10;2017-18 (forecast): 163.1&#10;2018-19 (forecast): 168&#10;2019-20 (forecast): 173&#10;&#10;Spectrum licence tax&#10;2006-07: 0.3&#10;2007-08: 0.3&#10;2008-09: 0.5&#10;2009-10: 0.3&#10;2010-11: 0.4&#10;2011-12: 0.5&#10;2012-13: 0.3&#10;2013-14: 0.3&#10;2014-15: 0.4&#10;2015-16 (forecast): 0.4&#10;2016-17 (forecast): 0.4&#10;2017-18 (forecast): 0.4&#10;2018-19 (forecast): 0.4&#10;2019-20 (forecast): 0.4&#10;&#10;Broadcasting licence fees and datacasting charge&#10;2006-07: 275.7&#10;2007-08: 288.2&#10;2008-09: 341&#10;2009-10: 241.4&#10;2010-11: 150.4&#10;2011-12: 231.2&#10;2012-13: 167.4&#10;2013-14: 157.2&#10;2014-15: 185.4&#10;2015-16 (forecast): 170&#10;2016-17 (forecast): 170&#10;2017-18 (forecast): 170&#10;2018-19 (forecast): 170&#10;2019-20 (forecast): 170&#10;&#10;Annual carrier licence charge&#10;2006-07: 33.7&#10;2007-08: 37&#10;2008-09: 36.2&#10;2009-10: 39.5&#10;2010-11: 37.7&#10;2011-12: 38.1&#10;2012-13: 38.9&#10;2013-14: 38.3&#10;2014-15: 38.7&#10;2015-16 (forecast): 38&#10;2016-17 (forecast): 38&#10;2017-18 (forecast): 38&#10;2018-19 (forecast): 38&#10;2019-20 (forecast): 38&#10;&#10;Telco industry levy&#10;2006-07: 181.9&#10;2007-08: 170.2&#10;2008-09: 160.7&#10;2009-10: 160.7&#10;2010-11:160.7&#10;2011-12:160.9&#10;2012-13: 145.3&#10;2013-14: 220.8&#10;2014-15: 221&#10;2015-16 (forecast): 220.9&#10;2016-17 (forecast): 220.9&#10;2017-18 (forecast): 220.9&#10;2018-19 (forecast): 220.9&#10;2019-20 (forecast): 220.9" title="Trends and forecast for taxes fees and lev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2541137" w14:textId="2298EDE1" w:rsidR="00EB2B81" w:rsidRDefault="00EB2B81" w:rsidP="00EB2B81">
      <w:pPr>
        <w:rPr>
          <w:rFonts w:cs="Calibri"/>
        </w:rPr>
      </w:pPr>
      <w:r w:rsidRPr="0046716B">
        <w:rPr>
          <w:rFonts w:cs="Calibri"/>
        </w:rPr>
        <w:t xml:space="preserve">Revenue from </w:t>
      </w:r>
      <w:r>
        <w:rPr>
          <w:rFonts w:cs="Calibri"/>
        </w:rPr>
        <w:t xml:space="preserve">the </w:t>
      </w:r>
      <w:r w:rsidRPr="0046716B">
        <w:rPr>
          <w:rFonts w:cs="Calibri"/>
        </w:rPr>
        <w:t xml:space="preserve">charges applied to the </w:t>
      </w:r>
      <w:r w:rsidRPr="0046716B" w:rsidDel="002D3785">
        <w:rPr>
          <w:rFonts w:cs="Calibri"/>
        </w:rPr>
        <w:t>‘</w:t>
      </w:r>
      <w:r w:rsidRPr="0046716B">
        <w:rPr>
          <w:rFonts w:cs="Calibri"/>
        </w:rPr>
        <w:t>traditional</w:t>
      </w:r>
      <w:r w:rsidRPr="0046716B" w:rsidDel="002D3785">
        <w:rPr>
          <w:rFonts w:cs="Calibri"/>
        </w:rPr>
        <w:t>’</w:t>
      </w:r>
      <w:r w:rsidRPr="0046716B">
        <w:rPr>
          <w:rFonts w:cs="Calibri"/>
        </w:rPr>
        <w:t xml:space="preserve"> elements of the communications sector</w:t>
      </w:r>
      <w:r>
        <w:rPr>
          <w:rFonts w:cs="Calibri"/>
        </w:rPr>
        <w:t xml:space="preserve"> </w:t>
      </w:r>
      <w:r w:rsidRPr="0046716B">
        <w:rPr>
          <w:rFonts w:cs="Calibri"/>
        </w:rPr>
        <w:t xml:space="preserve">is likely to </w:t>
      </w:r>
      <w:r>
        <w:rPr>
          <w:rFonts w:cs="Calibri"/>
        </w:rPr>
        <w:t xml:space="preserve">remain under pressure as strong competition from subscription and </w:t>
      </w:r>
      <w:r w:rsidR="00CD15A0">
        <w:rPr>
          <w:rFonts w:cs="Calibri"/>
        </w:rPr>
        <w:t xml:space="preserve">OTT </w:t>
      </w:r>
      <w:r>
        <w:rPr>
          <w:rFonts w:cs="Calibri"/>
        </w:rPr>
        <w:t xml:space="preserve">providers emerge. While this relates more to policy considerations, than </w:t>
      </w:r>
      <w:r w:rsidRPr="00136232">
        <w:rPr>
          <w:rFonts w:cs="Calibri"/>
        </w:rPr>
        <w:t>efficiency, in light of these trends, the Review considers there is a need to consider the objectives underpinning revenue collection to ensure the framework remains sustainable and equitable moving forward.</w:t>
      </w:r>
    </w:p>
    <w:p w14:paraId="7E254651" w14:textId="77777777" w:rsidR="00CF6194" w:rsidRPr="00294D6F" w:rsidRDefault="00CF6194" w:rsidP="00CB4DEF">
      <w:pPr>
        <w:pBdr>
          <w:top w:val="single" w:sz="4" w:space="1" w:color="auto"/>
          <w:left w:val="single" w:sz="4" w:space="1" w:color="auto"/>
          <w:bottom w:val="single" w:sz="4" w:space="1" w:color="auto"/>
          <w:right w:val="single" w:sz="4" w:space="1" w:color="auto"/>
        </w:pBdr>
        <w:shd w:val="clear" w:color="auto" w:fill="DEEAF6" w:themeFill="accent1" w:themeFillTint="33"/>
      </w:pPr>
      <w:r w:rsidRPr="00294D6F">
        <w:t>Draft proposal:</w:t>
      </w:r>
    </w:p>
    <w:p w14:paraId="77077B5F" w14:textId="0802FF08" w:rsidR="00CF6194" w:rsidRDefault="00CF6194" w:rsidP="00CB4DEF">
      <w:pPr>
        <w:pStyle w:val="ListParagraph"/>
        <w:numPr>
          <w:ilvl w:val="0"/>
          <w:numId w:val="17"/>
        </w:numPr>
        <w:pBdr>
          <w:top w:val="single" w:sz="4" w:space="1" w:color="auto"/>
          <w:left w:val="single" w:sz="4" w:space="1" w:color="auto"/>
          <w:bottom w:val="single" w:sz="4" w:space="1" w:color="auto"/>
          <w:right w:val="single" w:sz="4" w:space="1" w:color="auto"/>
        </w:pBdr>
        <w:shd w:val="clear" w:color="auto" w:fill="DEEAF6" w:themeFill="accent1" w:themeFillTint="33"/>
        <w:spacing w:line="276" w:lineRule="auto"/>
        <w:ind w:left="567" w:hanging="567"/>
        <w:rPr>
          <w:rFonts w:cs="Calibri"/>
        </w:rPr>
      </w:pPr>
      <w:r>
        <w:t xml:space="preserve">That </w:t>
      </w:r>
      <w:r w:rsidRPr="001D3229">
        <w:rPr>
          <w:rFonts w:cs="Calibri"/>
        </w:rPr>
        <w:t>it would be timely to review the policy objectives of revenue collection from the communications sector and evaluate whether new business models and OTT services are contributing appropriately.</w:t>
      </w:r>
    </w:p>
    <w:p w14:paraId="7514E5B8" w14:textId="77777777" w:rsidR="00EB2B81" w:rsidRDefault="00EB2B81" w:rsidP="00EB2B81">
      <w:pPr>
        <w:pStyle w:val="Heading3"/>
        <w:spacing w:before="240"/>
      </w:pPr>
      <w:bookmarkStart w:id="535" w:name="_Toc435112169"/>
      <w:bookmarkStart w:id="536" w:name="_Toc436923360"/>
      <w:bookmarkStart w:id="537" w:name="_Toc437440662"/>
      <w:bookmarkStart w:id="538" w:name="_Toc437528417"/>
      <w:bookmarkStart w:id="539" w:name="_Toc437594288"/>
      <w:bookmarkStart w:id="540" w:name="_Toc437598697"/>
      <w:bookmarkStart w:id="541" w:name="_Toc437599301"/>
      <w:bookmarkStart w:id="542" w:name="_Toc437600404"/>
      <w:bookmarkStart w:id="543" w:name="_Toc440536945"/>
      <w:bookmarkStart w:id="544" w:name="_Toc441743841"/>
      <w:bookmarkStart w:id="545" w:name="_Toc441744283"/>
      <w:bookmarkStart w:id="546" w:name="_Toc441845103"/>
      <w:bookmarkStart w:id="547" w:name="_Toc441847356"/>
      <w:bookmarkStart w:id="548" w:name="_Toc441848288"/>
      <w:bookmarkStart w:id="549" w:name="_Toc442107130"/>
      <w:bookmarkStart w:id="550" w:name="_Toc442108782"/>
      <w:bookmarkStart w:id="551" w:name="_Toc443038180"/>
      <w:bookmarkStart w:id="552" w:name="_Toc443043898"/>
      <w:bookmarkStart w:id="553" w:name="_Toc443052588"/>
      <w:bookmarkStart w:id="554" w:name="_Toc443054877"/>
      <w:bookmarkStart w:id="555" w:name="_Toc449432107"/>
      <w:bookmarkStart w:id="556" w:name="_Toc449438575"/>
      <w:bookmarkStart w:id="557" w:name="_Toc450310170"/>
      <w:r w:rsidRPr="00182DC1">
        <w:t>Financial performance</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r>
        <w:t xml:space="preserve"> and organisational efficiency</w:t>
      </w:r>
      <w:bookmarkEnd w:id="555"/>
      <w:bookmarkEnd w:id="556"/>
      <w:bookmarkEnd w:id="557"/>
    </w:p>
    <w:p w14:paraId="3DBDA793" w14:textId="4399DB3F" w:rsidR="00EB2B81" w:rsidRDefault="00EB2B81" w:rsidP="00EB2B81">
      <w:pPr>
        <w:rPr>
          <w:lang w:eastAsia="en-AU"/>
        </w:rPr>
      </w:pPr>
      <w:r>
        <w:rPr>
          <w:lang w:eastAsia="en-AU"/>
        </w:rPr>
        <w:t xml:space="preserve">The Review compared the ACMA and a range of international and domestic regulators to benchmark its efficiency. To </w:t>
      </w:r>
      <w:r w:rsidR="00CD15A0">
        <w:rPr>
          <w:lang w:eastAsia="en-AU"/>
        </w:rPr>
        <w:t>complement</w:t>
      </w:r>
      <w:r>
        <w:rPr>
          <w:lang w:eastAsia="en-AU"/>
        </w:rPr>
        <w:t xml:space="preserve"> this high level analysis, the Review also examined a range of the ACMA’s operational processes to assess the ACMA’s approach to achieving best practice and continual improvement.</w:t>
      </w:r>
    </w:p>
    <w:p w14:paraId="2FD28340" w14:textId="5AB789E3" w:rsidR="00EB2B81" w:rsidRDefault="00EB2B81" w:rsidP="00EB2B81">
      <w:r>
        <w:t xml:space="preserve">The comparison of the ACMA to </w:t>
      </w:r>
      <w:r w:rsidRPr="00C83C2C">
        <w:t xml:space="preserve">international </w:t>
      </w:r>
      <w:r>
        <w:t xml:space="preserve">communications </w:t>
      </w:r>
      <w:r w:rsidRPr="00C83C2C">
        <w:t>regulators</w:t>
      </w:r>
      <w:r>
        <w:t xml:space="preserve"> provides a high</w:t>
      </w:r>
      <w:r w:rsidR="003C6EEA">
        <w:t xml:space="preserve"> </w:t>
      </w:r>
      <w:r>
        <w:t>level snapshot of operational costs. Communications regulators from the US, UK, Germany, Canada and New Zealand were examined. The international benchmarking identified that the ACMA performs favourably in comparisons of total agency expenditure to total staffing, but is above the international average in comparisons of total expenditure per 1000 persons in the general population.</w:t>
      </w:r>
    </w:p>
    <w:p w14:paraId="3A0207B7" w14:textId="4E31C28C" w:rsidR="00EB2B81" w:rsidRPr="00312EC0" w:rsidRDefault="00EB2B81" w:rsidP="00EB2B81">
      <w:pPr>
        <w:pStyle w:val="Tablefigureheading"/>
      </w:pPr>
      <w:r w:rsidRPr="00312EC0">
        <w:t xml:space="preserve">Figure 10: Average operating expenses per </w:t>
      </w:r>
      <w:r w:rsidR="00222D57">
        <w:t xml:space="preserve">average staffing level </w:t>
      </w:r>
      <w:r w:rsidRPr="00312EC0">
        <w:t>for international communications regulators (approximate conversions to AUD)</w:t>
      </w:r>
    </w:p>
    <w:p w14:paraId="7AEECCAC" w14:textId="77777777" w:rsidR="00BC43B3" w:rsidRDefault="00BC43B3" w:rsidP="00EB2B81">
      <w:r>
        <w:rPr>
          <w:noProof/>
          <w:lang w:eastAsia="en-AU"/>
        </w:rPr>
        <w:drawing>
          <wp:inline distT="0" distB="0" distL="0" distR="0" wp14:anchorId="57D4488D" wp14:editId="05F02FA7">
            <wp:extent cx="5926455" cy="2902585"/>
            <wp:effectExtent l="0" t="0" r="0" b="0"/>
            <wp:docPr id="245" name="Picture 245" descr="All values are in Australian dollars&#10;ACMA&#10;2011-12: $199,000&#10;2012-13: $206,000&#10;2013-14: $202,000&#10;2014-15: $228,000&#10;&#10;ACCC&#10;2011-12: $215,000&#10;2012-13: $208,000&#10;2013-14: $234,000&#10;2014-15: $245,000&#10;&#10;Ofcom&#10;2011-12: $322,000&#10;2012-13: $300,000&#10;2013-14: $240,000&#10;2014-15: $269,000&#10;&#10;FCC&#10;2011-12: $238&#10;2012-13: $235&#10;2013-14: $261&#10;2014-15: $294&#10;&#10;CRTC&#10;2011-12: $142&#10;2012-13: $143&#10;2013-14: $141&#10;2014-15: $149&#10;&#10;Comcom&#10;2011-12: $161,000&#10;2012-13: $154,000&#10;2013-14: $154,000&#10;2014-15: N/A&#10;&#10;BNA:&#10;2011-12: $86,000&#10;2012-13: $ 81,000&#10;2013-14: $84,000&#10;2014-15: $92,000&#10;&#10;Calculated from agencies' annual expenses divided by staff numbers. All figures were converted to $AUD based on the average annual exchange rates." title="Average operating expenses per staff member for international communications regul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26455" cy="2902585"/>
                    </a:xfrm>
                    <a:prstGeom prst="rect">
                      <a:avLst/>
                    </a:prstGeom>
                  </pic:spPr>
                </pic:pic>
              </a:graphicData>
            </a:graphic>
          </wp:inline>
        </w:drawing>
      </w:r>
    </w:p>
    <w:p w14:paraId="362ED07B" w14:textId="77777777" w:rsidR="00EB2B81" w:rsidRDefault="00EB2B81" w:rsidP="00EB2B81">
      <w:r w:rsidRPr="009C478E">
        <w:t xml:space="preserve">The </w:t>
      </w:r>
      <w:r w:rsidRPr="00583828">
        <w:t>A</w:t>
      </w:r>
      <w:r w:rsidRPr="00C83C2C">
        <w:t xml:space="preserve">CMA was also benchmarked against domestic regulators who have comparable regulatory functions when considering </w:t>
      </w:r>
      <w:r>
        <w:t xml:space="preserve">the </w:t>
      </w:r>
      <w:r w:rsidRPr="00C83C2C">
        <w:t xml:space="preserve">combined roles </w:t>
      </w:r>
      <w:r>
        <w:t>and</w:t>
      </w:r>
      <w:r w:rsidRPr="00C83C2C">
        <w:t xml:space="preserve"> complexity of the industry regulated, size and scope of regulatory reach</w:t>
      </w:r>
      <w:r>
        <w:t>,</w:t>
      </w:r>
      <w:r w:rsidRPr="00C83C2C">
        <w:t xml:space="preserve"> </w:t>
      </w:r>
      <w:r>
        <w:t>as well as</w:t>
      </w:r>
      <w:r w:rsidRPr="00C83C2C">
        <w:t xml:space="preserve"> influence and role of stakeholders.</w:t>
      </w:r>
      <w:r>
        <w:t xml:space="preserve"> These included the Clean Energy Regulator, ACCC, Australian Energy Regulator, Australian Securities and Investment Commission and Australian Prudential Regulation Authority. This benchmarking has found that t</w:t>
      </w:r>
      <w:r w:rsidRPr="00C83C2C">
        <w:t xml:space="preserve">he ACMA </w:t>
      </w:r>
      <w:r>
        <w:t xml:space="preserve">has </w:t>
      </w:r>
      <w:r w:rsidRPr="00C83C2C">
        <w:t xml:space="preserve">a relatively low cost per </w:t>
      </w:r>
      <w:r>
        <w:t>average staffing level relative to the average of comparable domestic regulators.</w:t>
      </w:r>
    </w:p>
    <w:p w14:paraId="3D00CB09" w14:textId="455300AD" w:rsidR="00EB2B81" w:rsidRPr="00312EC0" w:rsidRDefault="00EB2B81" w:rsidP="00CF6194">
      <w:pPr>
        <w:pStyle w:val="Tablefigureheading"/>
      </w:pPr>
      <w:r w:rsidRPr="00312EC0">
        <w:t>Figure 11: Approximate 3 year average operating cost per ASL ($’000)</w:t>
      </w:r>
    </w:p>
    <w:p w14:paraId="6279F5A1" w14:textId="77777777" w:rsidR="00BC43B3" w:rsidRDefault="00BC43B3" w:rsidP="00EB2B81">
      <w:r>
        <w:rPr>
          <w:noProof/>
          <w:lang w:eastAsia="en-AU"/>
        </w:rPr>
        <w:drawing>
          <wp:inline distT="0" distB="0" distL="0" distR="0" wp14:anchorId="6A60D8C1" wp14:editId="20686212">
            <wp:extent cx="5926455" cy="2677160"/>
            <wp:effectExtent l="0" t="0" r="0" b="8890"/>
            <wp:docPr id="246" name="Picture 246" descr="Clean Energy Regulator: $310,000&#10;Australian Competition and Consumer Commission and the Australian Energy Regulator: $225,000&#10;Australian Securities and Investments Commission: $224,000&#10;Australian Prudential Regulation Authority: $195,000&#10;Austraian Communications and Media Authority: $202,000" title="Approximate 3 year average operating cost per ASL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26455" cy="2677160"/>
                    </a:xfrm>
                    <a:prstGeom prst="rect">
                      <a:avLst/>
                    </a:prstGeom>
                  </pic:spPr>
                </pic:pic>
              </a:graphicData>
            </a:graphic>
          </wp:inline>
        </w:drawing>
      </w:r>
    </w:p>
    <w:p w14:paraId="7BD107C3" w14:textId="7EF051E2" w:rsidR="00EB2B81" w:rsidRDefault="00EB2B81" w:rsidP="00EB2B81">
      <w:r>
        <w:t xml:space="preserve">The Review also examined the ACMA’s service delivery and functional performance. The ACMA has delivered steady efficiency improvements in its service channels, primarily through investing in ICT to automate high volume transactional processes. Further, the ACMA has taken pro-active steps to improve the functional efficiency of planning processes (such as </w:t>
      </w:r>
      <w:r w:rsidR="00C51FD8">
        <w:t>l</w:t>
      </w:r>
      <w:r>
        <w:t>icen</w:t>
      </w:r>
      <w:r w:rsidR="00222D57">
        <w:t>c</w:t>
      </w:r>
      <w:r>
        <w:t xml:space="preserve">e </w:t>
      </w:r>
      <w:r w:rsidR="00C51FD8">
        <w:t>a</w:t>
      </w:r>
      <w:r>
        <w:t xml:space="preserve">rea </w:t>
      </w:r>
      <w:r w:rsidR="00C51FD8">
        <w:t>p</w:t>
      </w:r>
      <w:r>
        <w:t>lans) with a view to improving efficiency, as well as reducing the cost and time to industry to engage and comply with these processes.</w:t>
      </w:r>
    </w:p>
    <w:p w14:paraId="1D23C1B9" w14:textId="77777777" w:rsidR="00EB2B81" w:rsidRDefault="00EB2B81" w:rsidP="00EB2B81">
      <w:pPr>
        <w:rPr>
          <w:lang w:eastAsia="en-AU"/>
        </w:rPr>
      </w:pPr>
      <w:r>
        <w:rPr>
          <w:lang w:eastAsia="en-AU"/>
        </w:rPr>
        <w:t xml:space="preserve">Internal initiatives and restructuring exercises </w:t>
      </w:r>
      <w:r w:rsidRPr="0046716B">
        <w:rPr>
          <w:lang w:eastAsia="en-AU"/>
        </w:rPr>
        <w:t>ha</w:t>
      </w:r>
      <w:r>
        <w:rPr>
          <w:lang w:eastAsia="en-AU"/>
        </w:rPr>
        <w:t>ve</w:t>
      </w:r>
      <w:r w:rsidRPr="0046716B">
        <w:rPr>
          <w:lang w:eastAsia="en-AU"/>
        </w:rPr>
        <w:t xml:space="preserve"> allowed the </w:t>
      </w:r>
      <w:r>
        <w:rPr>
          <w:lang w:eastAsia="en-AU"/>
        </w:rPr>
        <w:t>ACMA</w:t>
      </w:r>
      <w:r w:rsidRPr="0046716B">
        <w:rPr>
          <w:lang w:eastAsia="en-AU"/>
        </w:rPr>
        <w:t xml:space="preserve"> to reduce its fixed-cost base, not only through staffing reductions</w:t>
      </w:r>
      <w:r>
        <w:rPr>
          <w:lang w:eastAsia="en-AU"/>
        </w:rPr>
        <w:t xml:space="preserve">, which have led to </w:t>
      </w:r>
      <w:r w:rsidRPr="00C83C2C">
        <w:rPr>
          <w:lang w:eastAsia="en-AU"/>
        </w:rPr>
        <w:t>an overall decline in the number of divisions, branches and section</w:t>
      </w:r>
      <w:r>
        <w:rPr>
          <w:lang w:eastAsia="en-AU"/>
        </w:rPr>
        <w:t>s</w:t>
      </w:r>
      <w:r w:rsidRPr="00C83C2C">
        <w:rPr>
          <w:lang w:eastAsia="en-AU"/>
        </w:rPr>
        <w:t xml:space="preserve"> within the </w:t>
      </w:r>
      <w:r>
        <w:rPr>
          <w:lang w:eastAsia="en-AU"/>
        </w:rPr>
        <w:t>agency</w:t>
      </w:r>
      <w:r w:rsidRPr="00C83C2C">
        <w:rPr>
          <w:lang w:eastAsia="en-AU"/>
        </w:rPr>
        <w:t xml:space="preserve"> over the last </w:t>
      </w:r>
      <w:r w:rsidRPr="00F651B3">
        <w:rPr>
          <w:lang w:eastAsia="en-AU"/>
        </w:rPr>
        <w:t>10 years</w:t>
      </w:r>
      <w:r w:rsidRPr="0046716B">
        <w:rPr>
          <w:lang w:eastAsia="en-AU"/>
        </w:rPr>
        <w:t xml:space="preserve">, but </w:t>
      </w:r>
      <w:r>
        <w:rPr>
          <w:lang w:eastAsia="en-AU"/>
        </w:rPr>
        <w:t>also by rationalising</w:t>
      </w:r>
      <w:r w:rsidRPr="0046716B">
        <w:rPr>
          <w:lang w:eastAsia="en-AU"/>
        </w:rPr>
        <w:t xml:space="preserve"> accommodation and other fixed costs</w:t>
      </w:r>
      <w:r>
        <w:rPr>
          <w:lang w:eastAsia="en-AU"/>
        </w:rPr>
        <w:t>.</w:t>
      </w:r>
    </w:p>
    <w:p w14:paraId="7FCB8FAC" w14:textId="77777777" w:rsidR="00EB2B81" w:rsidRPr="00D67A34" w:rsidRDefault="00EB2B81" w:rsidP="00CF6194">
      <w:pPr>
        <w:pStyle w:val="Tablefigureheading"/>
        <w:rPr>
          <w:lang w:eastAsia="en-AU"/>
        </w:rPr>
      </w:pPr>
      <w:r w:rsidRPr="00FD2367">
        <w:rPr>
          <w:lang w:eastAsia="en-AU"/>
        </w:rPr>
        <w:t>Table 1</w:t>
      </w:r>
      <w:r>
        <w:rPr>
          <w:lang w:eastAsia="en-AU"/>
        </w:rPr>
        <w:t>2</w:t>
      </w:r>
      <w:r w:rsidRPr="00FD2367">
        <w:rPr>
          <w:lang w:eastAsia="en-AU"/>
        </w:rPr>
        <w:t>: The ACMA 10-year organisational profile</w:t>
      </w:r>
      <w:r w:rsidRPr="00B442EA">
        <w:rPr>
          <w:rStyle w:val="FootnoteReference"/>
          <w:b w:val="0"/>
          <w:lang w:eastAsia="en-AU"/>
        </w:rPr>
        <w:footnoteReference w:id="91"/>
      </w:r>
      <w:r>
        <w:rPr>
          <w:lang w:eastAsia="en-AU"/>
        </w:rPr>
        <w:t xml:space="preserve"> </w:t>
      </w:r>
    </w:p>
    <w:tbl>
      <w:tblPr>
        <w:tblStyle w:val="TableGrid"/>
        <w:tblW w:w="8847" w:type="dxa"/>
        <w:tblLook w:val="04A0" w:firstRow="1" w:lastRow="0" w:firstColumn="1" w:lastColumn="0" w:noHBand="0" w:noVBand="1"/>
        <w:tblCaption w:val="The ACMA 10-year organisational profile"/>
        <w:tblDescription w:val="2005-06&#10;Divisions: 5&#10;Branches: 18&#10;Sections: 83&#10;Average staffing levels: 477&#10;&#10;2006-07&#10;Divisions: 6&#10;Branches:18&#10;Sections: 84&#10;Average staffing levels: 501&#10;&#10;2007-08&#10;Divisions: 6&#10;Branches: 18&#10;Sections: 84&#10;Average staffing levels: 554&#10;&#10;2008-09&#10;Divisions: 6&#10;Branches: 14&#10;Sections: 95&#10;Average staffing levels: 554&#10;&#10;2009-10&#10;Divisions: 6&#10;Branches: 15&#10;Sections: 96&#10;Average staffing levels: 591&#10;&#10;2010-11&#10;Divisions: 6&#10;Branches: 16&#10;Sections: 92&#10;Average staffing levels: 591&#10;&#10;2011-12&#10;Divisions: 6&#10;Branches: 15&#10;Sections: 86&#10;Average staffing levels: 575&#10;&#10;2012-13&#10;Divisions: 6&#10;Branches: 15&#10;Sections: 84&#10;Average staffing levels: 559&#10;&#10;2013-14&#10;Divisions: 5&#10;Branches: 14&#10;Sections: 76&#10;Average staffing levels: 488&#10;&#10;2014-15&#10;Divisions: 4&#10;Branches: 10&#10;Sections: 64&#10;Average staffing levels: 450&#10;&#10;2015-16&#10;Divisions: 4&#10;Branches: 10&#10;Sections: 64&#10;Average staffing levels: 409"/>
      </w:tblPr>
      <w:tblGrid>
        <w:gridCol w:w="963"/>
        <w:gridCol w:w="722"/>
        <w:gridCol w:w="722"/>
        <w:gridCol w:w="722"/>
        <w:gridCol w:w="722"/>
        <w:gridCol w:w="722"/>
        <w:gridCol w:w="722"/>
        <w:gridCol w:w="722"/>
        <w:gridCol w:w="722"/>
        <w:gridCol w:w="722"/>
        <w:gridCol w:w="722"/>
        <w:gridCol w:w="722"/>
      </w:tblGrid>
      <w:tr w:rsidR="00EB2B81" w14:paraId="72B387AB" w14:textId="77777777" w:rsidTr="00EB2B81">
        <w:trPr>
          <w:trHeight w:val="222"/>
          <w:tblHeader/>
        </w:trPr>
        <w:tc>
          <w:tcPr>
            <w:tcW w:w="1331" w:type="dxa"/>
            <w:shd w:val="clear" w:color="auto" w:fill="222A35" w:themeFill="text2" w:themeFillShade="80"/>
          </w:tcPr>
          <w:p w14:paraId="3F53C5E6" w14:textId="77777777" w:rsidR="00EB2B81" w:rsidRPr="005A618B" w:rsidRDefault="00EB2B81" w:rsidP="00EB2B81">
            <w:pPr>
              <w:rPr>
                <w:sz w:val="20"/>
                <w:szCs w:val="20"/>
                <w:lang w:eastAsia="en-AU"/>
              </w:rPr>
            </w:pPr>
          </w:p>
        </w:tc>
        <w:tc>
          <w:tcPr>
            <w:tcW w:w="681" w:type="dxa"/>
            <w:shd w:val="clear" w:color="auto" w:fill="222A35" w:themeFill="text2" w:themeFillShade="80"/>
          </w:tcPr>
          <w:p w14:paraId="0BDBF1AF" w14:textId="77777777" w:rsidR="00EB2B81" w:rsidRPr="005A618B" w:rsidRDefault="00174EEE" w:rsidP="00EB2B81">
            <w:pPr>
              <w:rPr>
                <w:sz w:val="20"/>
                <w:szCs w:val="20"/>
                <w:lang w:eastAsia="en-AU"/>
              </w:rPr>
            </w:pPr>
            <w:r>
              <w:rPr>
                <w:sz w:val="20"/>
                <w:szCs w:val="20"/>
                <w:lang w:eastAsia="en-AU"/>
              </w:rPr>
              <w:t>2005–06</w:t>
            </w:r>
          </w:p>
        </w:tc>
        <w:tc>
          <w:tcPr>
            <w:tcW w:w="681" w:type="dxa"/>
            <w:shd w:val="clear" w:color="auto" w:fill="222A35" w:themeFill="text2" w:themeFillShade="80"/>
          </w:tcPr>
          <w:p w14:paraId="0FD373FC" w14:textId="77777777" w:rsidR="00EB2B81" w:rsidRPr="005A618B" w:rsidRDefault="00174EEE" w:rsidP="00EB2B81">
            <w:pPr>
              <w:rPr>
                <w:sz w:val="20"/>
                <w:szCs w:val="20"/>
                <w:lang w:eastAsia="en-AU"/>
              </w:rPr>
            </w:pPr>
            <w:r>
              <w:rPr>
                <w:sz w:val="20"/>
                <w:szCs w:val="20"/>
                <w:lang w:eastAsia="en-AU"/>
              </w:rPr>
              <w:t>2006–07</w:t>
            </w:r>
          </w:p>
        </w:tc>
        <w:tc>
          <w:tcPr>
            <w:tcW w:w="682" w:type="dxa"/>
            <w:shd w:val="clear" w:color="auto" w:fill="222A35" w:themeFill="text2" w:themeFillShade="80"/>
          </w:tcPr>
          <w:p w14:paraId="3E1540DF" w14:textId="77777777" w:rsidR="00EB2B81" w:rsidRPr="005A618B" w:rsidRDefault="00174EEE" w:rsidP="00EB2B81">
            <w:pPr>
              <w:rPr>
                <w:sz w:val="20"/>
                <w:szCs w:val="20"/>
                <w:lang w:eastAsia="en-AU"/>
              </w:rPr>
            </w:pPr>
            <w:r>
              <w:rPr>
                <w:sz w:val="20"/>
                <w:szCs w:val="20"/>
                <w:lang w:eastAsia="en-AU"/>
              </w:rPr>
              <w:t>2007–08</w:t>
            </w:r>
          </w:p>
        </w:tc>
        <w:tc>
          <w:tcPr>
            <w:tcW w:w="684" w:type="dxa"/>
            <w:shd w:val="clear" w:color="auto" w:fill="222A35" w:themeFill="text2" w:themeFillShade="80"/>
          </w:tcPr>
          <w:p w14:paraId="506678F0" w14:textId="77777777" w:rsidR="00EB2B81" w:rsidRPr="005A618B" w:rsidRDefault="00174EEE" w:rsidP="00EB2B81">
            <w:pPr>
              <w:rPr>
                <w:sz w:val="20"/>
                <w:szCs w:val="20"/>
                <w:lang w:eastAsia="en-AU"/>
              </w:rPr>
            </w:pPr>
            <w:r>
              <w:rPr>
                <w:sz w:val="20"/>
                <w:szCs w:val="20"/>
                <w:lang w:eastAsia="en-AU"/>
              </w:rPr>
              <w:t>2008–09</w:t>
            </w:r>
          </w:p>
        </w:tc>
        <w:tc>
          <w:tcPr>
            <w:tcW w:w="684" w:type="dxa"/>
            <w:shd w:val="clear" w:color="auto" w:fill="222A35" w:themeFill="text2" w:themeFillShade="80"/>
          </w:tcPr>
          <w:p w14:paraId="063A656F" w14:textId="77777777" w:rsidR="00EB2B81" w:rsidRPr="005A618B" w:rsidRDefault="00174EEE" w:rsidP="00EB2B81">
            <w:pPr>
              <w:rPr>
                <w:sz w:val="20"/>
                <w:szCs w:val="20"/>
                <w:lang w:eastAsia="en-AU"/>
              </w:rPr>
            </w:pPr>
            <w:r>
              <w:rPr>
                <w:sz w:val="20"/>
                <w:szCs w:val="20"/>
                <w:lang w:eastAsia="en-AU"/>
              </w:rPr>
              <w:t>2009–10</w:t>
            </w:r>
          </w:p>
        </w:tc>
        <w:tc>
          <w:tcPr>
            <w:tcW w:w="684" w:type="dxa"/>
            <w:shd w:val="clear" w:color="auto" w:fill="222A35" w:themeFill="text2" w:themeFillShade="80"/>
          </w:tcPr>
          <w:p w14:paraId="0952096D" w14:textId="77777777" w:rsidR="00EB2B81" w:rsidRPr="005A618B" w:rsidRDefault="00174EEE" w:rsidP="00EB2B81">
            <w:pPr>
              <w:rPr>
                <w:sz w:val="20"/>
                <w:szCs w:val="20"/>
                <w:lang w:eastAsia="en-AU"/>
              </w:rPr>
            </w:pPr>
            <w:r>
              <w:rPr>
                <w:sz w:val="20"/>
                <w:szCs w:val="20"/>
                <w:lang w:eastAsia="en-AU"/>
              </w:rPr>
              <w:t>2010–11</w:t>
            </w:r>
          </w:p>
        </w:tc>
        <w:tc>
          <w:tcPr>
            <w:tcW w:w="684" w:type="dxa"/>
            <w:shd w:val="clear" w:color="auto" w:fill="222A35" w:themeFill="text2" w:themeFillShade="80"/>
          </w:tcPr>
          <w:p w14:paraId="2B40539F" w14:textId="77777777" w:rsidR="00EB2B81" w:rsidRPr="005A618B" w:rsidRDefault="00174EEE" w:rsidP="00EB2B81">
            <w:pPr>
              <w:rPr>
                <w:sz w:val="20"/>
                <w:szCs w:val="20"/>
                <w:lang w:eastAsia="en-AU"/>
              </w:rPr>
            </w:pPr>
            <w:r>
              <w:rPr>
                <w:sz w:val="20"/>
                <w:szCs w:val="20"/>
                <w:lang w:eastAsia="en-AU"/>
              </w:rPr>
              <w:t>2011–12</w:t>
            </w:r>
          </w:p>
        </w:tc>
        <w:tc>
          <w:tcPr>
            <w:tcW w:w="684" w:type="dxa"/>
            <w:shd w:val="clear" w:color="auto" w:fill="222A35" w:themeFill="text2" w:themeFillShade="80"/>
          </w:tcPr>
          <w:p w14:paraId="5DD4B701" w14:textId="77777777" w:rsidR="00EB2B81" w:rsidRPr="005A618B" w:rsidRDefault="00174EEE" w:rsidP="00EB2B81">
            <w:pPr>
              <w:rPr>
                <w:sz w:val="20"/>
                <w:szCs w:val="20"/>
                <w:lang w:eastAsia="en-AU"/>
              </w:rPr>
            </w:pPr>
            <w:r>
              <w:rPr>
                <w:sz w:val="20"/>
                <w:szCs w:val="20"/>
                <w:lang w:eastAsia="en-AU"/>
              </w:rPr>
              <w:t>2012–13</w:t>
            </w:r>
          </w:p>
        </w:tc>
        <w:tc>
          <w:tcPr>
            <w:tcW w:w="684" w:type="dxa"/>
            <w:shd w:val="clear" w:color="auto" w:fill="222A35" w:themeFill="text2" w:themeFillShade="80"/>
          </w:tcPr>
          <w:p w14:paraId="447D7CB3" w14:textId="77777777" w:rsidR="00EB2B81" w:rsidRPr="005A618B" w:rsidRDefault="00174EEE" w:rsidP="00EB2B81">
            <w:pPr>
              <w:rPr>
                <w:sz w:val="20"/>
                <w:szCs w:val="20"/>
                <w:lang w:eastAsia="en-AU"/>
              </w:rPr>
            </w:pPr>
            <w:r>
              <w:rPr>
                <w:sz w:val="20"/>
                <w:szCs w:val="20"/>
                <w:lang w:eastAsia="en-AU"/>
              </w:rPr>
              <w:t>2013–14</w:t>
            </w:r>
          </w:p>
        </w:tc>
        <w:tc>
          <w:tcPr>
            <w:tcW w:w="684" w:type="dxa"/>
            <w:shd w:val="clear" w:color="auto" w:fill="222A35" w:themeFill="text2" w:themeFillShade="80"/>
          </w:tcPr>
          <w:p w14:paraId="1D25C8FA" w14:textId="77777777" w:rsidR="00EB2B81" w:rsidRPr="005A618B" w:rsidRDefault="00A1725C" w:rsidP="00EB2B81">
            <w:pPr>
              <w:rPr>
                <w:sz w:val="20"/>
                <w:szCs w:val="20"/>
                <w:lang w:eastAsia="en-AU"/>
              </w:rPr>
            </w:pPr>
            <w:r>
              <w:rPr>
                <w:sz w:val="20"/>
                <w:szCs w:val="20"/>
                <w:lang w:eastAsia="en-AU"/>
              </w:rPr>
              <w:t>2014–15</w:t>
            </w:r>
          </w:p>
        </w:tc>
        <w:tc>
          <w:tcPr>
            <w:tcW w:w="684" w:type="dxa"/>
            <w:shd w:val="clear" w:color="auto" w:fill="222A35" w:themeFill="text2" w:themeFillShade="80"/>
          </w:tcPr>
          <w:p w14:paraId="4D9BF284" w14:textId="77777777" w:rsidR="00EB2B81" w:rsidRPr="005A618B" w:rsidRDefault="00A1725C" w:rsidP="00EB2B81">
            <w:pPr>
              <w:rPr>
                <w:sz w:val="20"/>
                <w:szCs w:val="20"/>
                <w:lang w:eastAsia="en-AU"/>
              </w:rPr>
            </w:pPr>
            <w:r>
              <w:rPr>
                <w:sz w:val="20"/>
                <w:szCs w:val="20"/>
                <w:lang w:eastAsia="en-AU"/>
              </w:rPr>
              <w:t>2015–16</w:t>
            </w:r>
          </w:p>
        </w:tc>
      </w:tr>
      <w:tr w:rsidR="00EB2B81" w14:paraId="1C52C7D6" w14:textId="77777777" w:rsidTr="00EB2B81">
        <w:trPr>
          <w:trHeight w:val="204"/>
        </w:trPr>
        <w:tc>
          <w:tcPr>
            <w:tcW w:w="1331" w:type="dxa"/>
          </w:tcPr>
          <w:p w14:paraId="6C68A387" w14:textId="77777777" w:rsidR="00EB2B81" w:rsidRPr="005A618B" w:rsidRDefault="00EB2B81" w:rsidP="00EB2B81">
            <w:pPr>
              <w:rPr>
                <w:sz w:val="20"/>
                <w:szCs w:val="20"/>
                <w:lang w:eastAsia="en-AU"/>
              </w:rPr>
            </w:pPr>
            <w:r w:rsidRPr="005A618B">
              <w:rPr>
                <w:sz w:val="20"/>
                <w:szCs w:val="20"/>
                <w:lang w:eastAsia="en-AU"/>
              </w:rPr>
              <w:t>Divisions</w:t>
            </w:r>
          </w:p>
        </w:tc>
        <w:tc>
          <w:tcPr>
            <w:tcW w:w="681" w:type="dxa"/>
          </w:tcPr>
          <w:p w14:paraId="05566E5A" w14:textId="77777777" w:rsidR="00EB2B81" w:rsidRPr="005A618B" w:rsidRDefault="00EB2B81" w:rsidP="00EB2B81">
            <w:pPr>
              <w:rPr>
                <w:sz w:val="20"/>
                <w:szCs w:val="20"/>
                <w:lang w:eastAsia="en-AU"/>
              </w:rPr>
            </w:pPr>
            <w:r>
              <w:rPr>
                <w:sz w:val="20"/>
                <w:szCs w:val="20"/>
                <w:lang w:eastAsia="en-AU"/>
              </w:rPr>
              <w:t>5</w:t>
            </w:r>
          </w:p>
        </w:tc>
        <w:tc>
          <w:tcPr>
            <w:tcW w:w="681" w:type="dxa"/>
          </w:tcPr>
          <w:p w14:paraId="5FD4335B" w14:textId="77777777" w:rsidR="00EB2B81" w:rsidRPr="005A618B" w:rsidRDefault="00EB2B81" w:rsidP="00EB2B81">
            <w:pPr>
              <w:rPr>
                <w:sz w:val="20"/>
                <w:szCs w:val="20"/>
                <w:lang w:eastAsia="en-AU"/>
              </w:rPr>
            </w:pPr>
            <w:r>
              <w:rPr>
                <w:sz w:val="20"/>
                <w:szCs w:val="20"/>
                <w:lang w:eastAsia="en-AU"/>
              </w:rPr>
              <w:t>6</w:t>
            </w:r>
          </w:p>
        </w:tc>
        <w:tc>
          <w:tcPr>
            <w:tcW w:w="682" w:type="dxa"/>
          </w:tcPr>
          <w:p w14:paraId="6AC320E4" w14:textId="77777777" w:rsidR="00EB2B81" w:rsidRPr="005A618B" w:rsidRDefault="00EB2B81" w:rsidP="00EB2B81">
            <w:pPr>
              <w:rPr>
                <w:sz w:val="20"/>
                <w:szCs w:val="20"/>
                <w:lang w:eastAsia="en-AU"/>
              </w:rPr>
            </w:pPr>
            <w:r>
              <w:rPr>
                <w:sz w:val="20"/>
                <w:szCs w:val="20"/>
                <w:lang w:eastAsia="en-AU"/>
              </w:rPr>
              <w:t>6</w:t>
            </w:r>
          </w:p>
        </w:tc>
        <w:tc>
          <w:tcPr>
            <w:tcW w:w="684" w:type="dxa"/>
          </w:tcPr>
          <w:p w14:paraId="5AD1CE2D" w14:textId="77777777" w:rsidR="00EB2B81" w:rsidRPr="005A618B" w:rsidRDefault="00EB2B81" w:rsidP="00EB2B81">
            <w:pPr>
              <w:rPr>
                <w:sz w:val="20"/>
                <w:szCs w:val="20"/>
                <w:lang w:eastAsia="en-AU"/>
              </w:rPr>
            </w:pPr>
            <w:r>
              <w:rPr>
                <w:sz w:val="20"/>
                <w:szCs w:val="20"/>
                <w:lang w:eastAsia="en-AU"/>
              </w:rPr>
              <w:t>6</w:t>
            </w:r>
          </w:p>
        </w:tc>
        <w:tc>
          <w:tcPr>
            <w:tcW w:w="684" w:type="dxa"/>
          </w:tcPr>
          <w:p w14:paraId="3DDF7E26" w14:textId="77777777" w:rsidR="00EB2B81" w:rsidRPr="005A618B" w:rsidRDefault="00EB2B81" w:rsidP="00EB2B81">
            <w:pPr>
              <w:rPr>
                <w:sz w:val="20"/>
                <w:szCs w:val="20"/>
                <w:lang w:eastAsia="en-AU"/>
              </w:rPr>
            </w:pPr>
            <w:r>
              <w:rPr>
                <w:sz w:val="20"/>
                <w:szCs w:val="20"/>
                <w:lang w:eastAsia="en-AU"/>
              </w:rPr>
              <w:t>6</w:t>
            </w:r>
          </w:p>
        </w:tc>
        <w:tc>
          <w:tcPr>
            <w:tcW w:w="684" w:type="dxa"/>
          </w:tcPr>
          <w:p w14:paraId="41F73D90" w14:textId="77777777" w:rsidR="00EB2B81" w:rsidRPr="005A618B" w:rsidRDefault="00EB2B81" w:rsidP="00EB2B81">
            <w:pPr>
              <w:rPr>
                <w:sz w:val="20"/>
                <w:szCs w:val="20"/>
                <w:lang w:eastAsia="en-AU"/>
              </w:rPr>
            </w:pPr>
            <w:r>
              <w:rPr>
                <w:sz w:val="20"/>
                <w:szCs w:val="20"/>
                <w:lang w:eastAsia="en-AU"/>
              </w:rPr>
              <w:t>6</w:t>
            </w:r>
          </w:p>
        </w:tc>
        <w:tc>
          <w:tcPr>
            <w:tcW w:w="684" w:type="dxa"/>
          </w:tcPr>
          <w:p w14:paraId="45019B46" w14:textId="77777777" w:rsidR="00EB2B81" w:rsidRPr="005A618B" w:rsidRDefault="00EB2B81" w:rsidP="00EB2B81">
            <w:pPr>
              <w:rPr>
                <w:sz w:val="20"/>
                <w:szCs w:val="20"/>
                <w:lang w:eastAsia="en-AU"/>
              </w:rPr>
            </w:pPr>
            <w:r>
              <w:rPr>
                <w:sz w:val="20"/>
                <w:szCs w:val="20"/>
                <w:lang w:eastAsia="en-AU"/>
              </w:rPr>
              <w:t>6</w:t>
            </w:r>
          </w:p>
        </w:tc>
        <w:tc>
          <w:tcPr>
            <w:tcW w:w="684" w:type="dxa"/>
          </w:tcPr>
          <w:p w14:paraId="69AE9DBA" w14:textId="77777777" w:rsidR="00EB2B81" w:rsidRPr="005A618B" w:rsidRDefault="00EB2B81" w:rsidP="00EB2B81">
            <w:pPr>
              <w:rPr>
                <w:sz w:val="20"/>
                <w:szCs w:val="20"/>
                <w:lang w:eastAsia="en-AU"/>
              </w:rPr>
            </w:pPr>
            <w:r>
              <w:rPr>
                <w:sz w:val="20"/>
                <w:szCs w:val="20"/>
                <w:lang w:eastAsia="en-AU"/>
              </w:rPr>
              <w:t>6</w:t>
            </w:r>
          </w:p>
        </w:tc>
        <w:tc>
          <w:tcPr>
            <w:tcW w:w="684" w:type="dxa"/>
          </w:tcPr>
          <w:p w14:paraId="6AE5C57B" w14:textId="77777777" w:rsidR="00EB2B81" w:rsidRPr="005A618B" w:rsidRDefault="00EB2B81" w:rsidP="00EB2B81">
            <w:pPr>
              <w:rPr>
                <w:sz w:val="20"/>
                <w:szCs w:val="20"/>
                <w:lang w:eastAsia="en-AU"/>
              </w:rPr>
            </w:pPr>
            <w:r>
              <w:rPr>
                <w:sz w:val="20"/>
                <w:szCs w:val="20"/>
                <w:lang w:eastAsia="en-AU"/>
              </w:rPr>
              <w:t>5</w:t>
            </w:r>
          </w:p>
        </w:tc>
        <w:tc>
          <w:tcPr>
            <w:tcW w:w="684" w:type="dxa"/>
          </w:tcPr>
          <w:p w14:paraId="0BD5E284" w14:textId="77777777" w:rsidR="00EB2B81" w:rsidRPr="005A618B" w:rsidRDefault="00EB2B81" w:rsidP="00EB2B81">
            <w:pPr>
              <w:rPr>
                <w:sz w:val="20"/>
                <w:szCs w:val="20"/>
                <w:lang w:eastAsia="en-AU"/>
              </w:rPr>
            </w:pPr>
            <w:r>
              <w:rPr>
                <w:sz w:val="20"/>
                <w:szCs w:val="20"/>
                <w:lang w:eastAsia="en-AU"/>
              </w:rPr>
              <w:t>4</w:t>
            </w:r>
          </w:p>
        </w:tc>
        <w:tc>
          <w:tcPr>
            <w:tcW w:w="684" w:type="dxa"/>
          </w:tcPr>
          <w:p w14:paraId="275FABE9" w14:textId="77777777" w:rsidR="00EB2B81" w:rsidRPr="005A618B" w:rsidRDefault="00EB2B81" w:rsidP="00EB2B81">
            <w:pPr>
              <w:rPr>
                <w:sz w:val="20"/>
                <w:szCs w:val="20"/>
                <w:lang w:eastAsia="en-AU"/>
              </w:rPr>
            </w:pPr>
            <w:r>
              <w:rPr>
                <w:sz w:val="20"/>
                <w:szCs w:val="20"/>
                <w:lang w:eastAsia="en-AU"/>
              </w:rPr>
              <w:t>4</w:t>
            </w:r>
          </w:p>
        </w:tc>
      </w:tr>
      <w:tr w:rsidR="00EB2B81" w14:paraId="147EC62F" w14:textId="77777777" w:rsidTr="00EB2B81">
        <w:trPr>
          <w:trHeight w:val="222"/>
        </w:trPr>
        <w:tc>
          <w:tcPr>
            <w:tcW w:w="1331" w:type="dxa"/>
          </w:tcPr>
          <w:p w14:paraId="2EC92D71" w14:textId="77777777" w:rsidR="00EB2B81" w:rsidRPr="005A618B" w:rsidRDefault="00EB2B81" w:rsidP="00EB2B81">
            <w:pPr>
              <w:rPr>
                <w:sz w:val="20"/>
                <w:szCs w:val="20"/>
                <w:lang w:eastAsia="en-AU"/>
              </w:rPr>
            </w:pPr>
            <w:r w:rsidRPr="005A618B">
              <w:rPr>
                <w:sz w:val="20"/>
                <w:szCs w:val="20"/>
                <w:lang w:eastAsia="en-AU"/>
              </w:rPr>
              <w:t>Branches</w:t>
            </w:r>
          </w:p>
        </w:tc>
        <w:tc>
          <w:tcPr>
            <w:tcW w:w="681" w:type="dxa"/>
          </w:tcPr>
          <w:p w14:paraId="76E11393" w14:textId="77777777" w:rsidR="00EB2B81" w:rsidRPr="005A618B" w:rsidRDefault="00EB2B81" w:rsidP="00EB2B81">
            <w:pPr>
              <w:rPr>
                <w:sz w:val="20"/>
                <w:szCs w:val="20"/>
                <w:lang w:eastAsia="en-AU"/>
              </w:rPr>
            </w:pPr>
            <w:r>
              <w:rPr>
                <w:sz w:val="20"/>
                <w:szCs w:val="20"/>
                <w:lang w:eastAsia="en-AU"/>
              </w:rPr>
              <w:t>18</w:t>
            </w:r>
          </w:p>
        </w:tc>
        <w:tc>
          <w:tcPr>
            <w:tcW w:w="681" w:type="dxa"/>
          </w:tcPr>
          <w:p w14:paraId="33B8F234" w14:textId="77777777" w:rsidR="00EB2B81" w:rsidRPr="005A618B" w:rsidRDefault="00EB2B81" w:rsidP="00EB2B81">
            <w:pPr>
              <w:rPr>
                <w:sz w:val="20"/>
                <w:szCs w:val="20"/>
                <w:lang w:eastAsia="en-AU"/>
              </w:rPr>
            </w:pPr>
            <w:r>
              <w:rPr>
                <w:sz w:val="20"/>
                <w:szCs w:val="20"/>
                <w:lang w:eastAsia="en-AU"/>
              </w:rPr>
              <w:t>18</w:t>
            </w:r>
          </w:p>
        </w:tc>
        <w:tc>
          <w:tcPr>
            <w:tcW w:w="682" w:type="dxa"/>
          </w:tcPr>
          <w:p w14:paraId="59307BD9" w14:textId="77777777" w:rsidR="00EB2B81" w:rsidRPr="005A618B" w:rsidRDefault="00EB2B81" w:rsidP="00EB2B81">
            <w:pPr>
              <w:rPr>
                <w:sz w:val="20"/>
                <w:szCs w:val="20"/>
                <w:lang w:eastAsia="en-AU"/>
              </w:rPr>
            </w:pPr>
            <w:r>
              <w:rPr>
                <w:sz w:val="20"/>
                <w:szCs w:val="20"/>
                <w:lang w:eastAsia="en-AU"/>
              </w:rPr>
              <w:t>18</w:t>
            </w:r>
          </w:p>
        </w:tc>
        <w:tc>
          <w:tcPr>
            <w:tcW w:w="684" w:type="dxa"/>
          </w:tcPr>
          <w:p w14:paraId="340C0E32" w14:textId="77777777" w:rsidR="00EB2B81" w:rsidRPr="005A618B" w:rsidRDefault="00EB2B81" w:rsidP="00EB2B81">
            <w:pPr>
              <w:rPr>
                <w:sz w:val="20"/>
                <w:szCs w:val="20"/>
                <w:lang w:eastAsia="en-AU"/>
              </w:rPr>
            </w:pPr>
            <w:r>
              <w:rPr>
                <w:sz w:val="20"/>
                <w:szCs w:val="20"/>
                <w:lang w:eastAsia="en-AU"/>
              </w:rPr>
              <w:t>14</w:t>
            </w:r>
          </w:p>
        </w:tc>
        <w:tc>
          <w:tcPr>
            <w:tcW w:w="684" w:type="dxa"/>
          </w:tcPr>
          <w:p w14:paraId="4D897040" w14:textId="77777777" w:rsidR="00EB2B81" w:rsidRPr="005A618B" w:rsidRDefault="00EB2B81" w:rsidP="00EB2B81">
            <w:pPr>
              <w:rPr>
                <w:sz w:val="20"/>
                <w:szCs w:val="20"/>
                <w:lang w:eastAsia="en-AU"/>
              </w:rPr>
            </w:pPr>
            <w:r>
              <w:rPr>
                <w:sz w:val="20"/>
                <w:szCs w:val="20"/>
                <w:lang w:eastAsia="en-AU"/>
              </w:rPr>
              <w:t>15</w:t>
            </w:r>
          </w:p>
        </w:tc>
        <w:tc>
          <w:tcPr>
            <w:tcW w:w="684" w:type="dxa"/>
          </w:tcPr>
          <w:p w14:paraId="2CA42A28" w14:textId="77777777" w:rsidR="00EB2B81" w:rsidRPr="005A618B" w:rsidRDefault="00EB2B81" w:rsidP="00EB2B81">
            <w:pPr>
              <w:rPr>
                <w:sz w:val="20"/>
                <w:szCs w:val="20"/>
                <w:lang w:eastAsia="en-AU"/>
              </w:rPr>
            </w:pPr>
            <w:r>
              <w:rPr>
                <w:sz w:val="20"/>
                <w:szCs w:val="20"/>
                <w:lang w:eastAsia="en-AU"/>
              </w:rPr>
              <w:t>16</w:t>
            </w:r>
          </w:p>
        </w:tc>
        <w:tc>
          <w:tcPr>
            <w:tcW w:w="684" w:type="dxa"/>
          </w:tcPr>
          <w:p w14:paraId="30F21161" w14:textId="77777777" w:rsidR="00EB2B81" w:rsidRPr="005A618B" w:rsidRDefault="00EB2B81" w:rsidP="00EB2B81">
            <w:pPr>
              <w:rPr>
                <w:sz w:val="20"/>
                <w:szCs w:val="20"/>
                <w:lang w:eastAsia="en-AU"/>
              </w:rPr>
            </w:pPr>
            <w:r>
              <w:rPr>
                <w:sz w:val="20"/>
                <w:szCs w:val="20"/>
                <w:lang w:eastAsia="en-AU"/>
              </w:rPr>
              <w:t>15</w:t>
            </w:r>
          </w:p>
        </w:tc>
        <w:tc>
          <w:tcPr>
            <w:tcW w:w="684" w:type="dxa"/>
          </w:tcPr>
          <w:p w14:paraId="51918FB4" w14:textId="77777777" w:rsidR="00EB2B81" w:rsidRPr="005A618B" w:rsidRDefault="00EB2B81" w:rsidP="00EB2B81">
            <w:pPr>
              <w:rPr>
                <w:sz w:val="20"/>
                <w:szCs w:val="20"/>
                <w:lang w:eastAsia="en-AU"/>
              </w:rPr>
            </w:pPr>
            <w:r>
              <w:rPr>
                <w:sz w:val="20"/>
                <w:szCs w:val="20"/>
                <w:lang w:eastAsia="en-AU"/>
              </w:rPr>
              <w:t>15</w:t>
            </w:r>
          </w:p>
        </w:tc>
        <w:tc>
          <w:tcPr>
            <w:tcW w:w="684" w:type="dxa"/>
          </w:tcPr>
          <w:p w14:paraId="5842C195" w14:textId="77777777" w:rsidR="00EB2B81" w:rsidRPr="005A618B" w:rsidRDefault="00EB2B81" w:rsidP="00EB2B81">
            <w:pPr>
              <w:rPr>
                <w:sz w:val="20"/>
                <w:szCs w:val="20"/>
                <w:lang w:eastAsia="en-AU"/>
              </w:rPr>
            </w:pPr>
            <w:r>
              <w:rPr>
                <w:sz w:val="20"/>
                <w:szCs w:val="20"/>
                <w:lang w:eastAsia="en-AU"/>
              </w:rPr>
              <w:t>14</w:t>
            </w:r>
          </w:p>
        </w:tc>
        <w:tc>
          <w:tcPr>
            <w:tcW w:w="684" w:type="dxa"/>
          </w:tcPr>
          <w:p w14:paraId="14095F20" w14:textId="77777777" w:rsidR="00EB2B81" w:rsidRPr="005A618B" w:rsidRDefault="00EB2B81" w:rsidP="00EB2B81">
            <w:pPr>
              <w:rPr>
                <w:sz w:val="20"/>
                <w:szCs w:val="20"/>
                <w:lang w:eastAsia="en-AU"/>
              </w:rPr>
            </w:pPr>
            <w:r>
              <w:rPr>
                <w:sz w:val="20"/>
                <w:szCs w:val="20"/>
                <w:lang w:eastAsia="en-AU"/>
              </w:rPr>
              <w:t>10</w:t>
            </w:r>
          </w:p>
        </w:tc>
        <w:tc>
          <w:tcPr>
            <w:tcW w:w="684" w:type="dxa"/>
          </w:tcPr>
          <w:p w14:paraId="46931AFA" w14:textId="77777777" w:rsidR="00EB2B81" w:rsidRPr="005A618B" w:rsidRDefault="00EB2B81" w:rsidP="00EB2B81">
            <w:pPr>
              <w:rPr>
                <w:sz w:val="20"/>
                <w:szCs w:val="20"/>
                <w:lang w:eastAsia="en-AU"/>
              </w:rPr>
            </w:pPr>
            <w:r>
              <w:rPr>
                <w:sz w:val="20"/>
                <w:szCs w:val="20"/>
                <w:lang w:eastAsia="en-AU"/>
              </w:rPr>
              <w:t>10</w:t>
            </w:r>
          </w:p>
        </w:tc>
      </w:tr>
      <w:tr w:rsidR="00EB2B81" w14:paraId="2A3DFD44" w14:textId="77777777" w:rsidTr="00EB2B81">
        <w:trPr>
          <w:trHeight w:val="204"/>
        </w:trPr>
        <w:tc>
          <w:tcPr>
            <w:tcW w:w="1331" w:type="dxa"/>
          </w:tcPr>
          <w:p w14:paraId="5E85B8FD" w14:textId="77777777" w:rsidR="00EB2B81" w:rsidRPr="005A618B" w:rsidRDefault="00EB2B81" w:rsidP="00EB2B81">
            <w:pPr>
              <w:rPr>
                <w:sz w:val="20"/>
                <w:szCs w:val="20"/>
                <w:lang w:eastAsia="en-AU"/>
              </w:rPr>
            </w:pPr>
            <w:r w:rsidRPr="005A618B">
              <w:rPr>
                <w:sz w:val="20"/>
                <w:szCs w:val="20"/>
                <w:lang w:eastAsia="en-AU"/>
              </w:rPr>
              <w:t>Sections</w:t>
            </w:r>
          </w:p>
        </w:tc>
        <w:tc>
          <w:tcPr>
            <w:tcW w:w="681" w:type="dxa"/>
          </w:tcPr>
          <w:p w14:paraId="4B16996D" w14:textId="77777777" w:rsidR="00EB2B81" w:rsidRPr="005A618B" w:rsidRDefault="00EB2B81" w:rsidP="00EB2B81">
            <w:pPr>
              <w:rPr>
                <w:sz w:val="20"/>
                <w:szCs w:val="20"/>
                <w:lang w:eastAsia="en-AU"/>
              </w:rPr>
            </w:pPr>
            <w:r>
              <w:rPr>
                <w:sz w:val="20"/>
                <w:szCs w:val="20"/>
                <w:lang w:eastAsia="en-AU"/>
              </w:rPr>
              <w:t>83</w:t>
            </w:r>
          </w:p>
        </w:tc>
        <w:tc>
          <w:tcPr>
            <w:tcW w:w="681" w:type="dxa"/>
          </w:tcPr>
          <w:p w14:paraId="3D08CA6E" w14:textId="77777777" w:rsidR="00EB2B81" w:rsidRPr="005A618B" w:rsidRDefault="00EB2B81" w:rsidP="00EB2B81">
            <w:pPr>
              <w:rPr>
                <w:sz w:val="20"/>
                <w:szCs w:val="20"/>
                <w:lang w:eastAsia="en-AU"/>
              </w:rPr>
            </w:pPr>
            <w:r>
              <w:rPr>
                <w:sz w:val="20"/>
                <w:szCs w:val="20"/>
                <w:lang w:eastAsia="en-AU"/>
              </w:rPr>
              <w:t>84</w:t>
            </w:r>
          </w:p>
        </w:tc>
        <w:tc>
          <w:tcPr>
            <w:tcW w:w="682" w:type="dxa"/>
          </w:tcPr>
          <w:p w14:paraId="154AC404" w14:textId="77777777" w:rsidR="00EB2B81" w:rsidRPr="005A618B" w:rsidRDefault="00EB2B81" w:rsidP="00EB2B81">
            <w:pPr>
              <w:rPr>
                <w:sz w:val="20"/>
                <w:szCs w:val="20"/>
                <w:lang w:eastAsia="en-AU"/>
              </w:rPr>
            </w:pPr>
            <w:r>
              <w:rPr>
                <w:sz w:val="20"/>
                <w:szCs w:val="20"/>
                <w:lang w:eastAsia="en-AU"/>
              </w:rPr>
              <w:t>95</w:t>
            </w:r>
          </w:p>
        </w:tc>
        <w:tc>
          <w:tcPr>
            <w:tcW w:w="684" w:type="dxa"/>
          </w:tcPr>
          <w:p w14:paraId="704E9010" w14:textId="77777777" w:rsidR="00EB2B81" w:rsidRPr="005A618B" w:rsidRDefault="00EB2B81" w:rsidP="00EB2B81">
            <w:pPr>
              <w:rPr>
                <w:sz w:val="20"/>
                <w:szCs w:val="20"/>
                <w:lang w:eastAsia="en-AU"/>
              </w:rPr>
            </w:pPr>
            <w:r>
              <w:rPr>
                <w:sz w:val="20"/>
                <w:szCs w:val="20"/>
                <w:lang w:eastAsia="en-AU"/>
              </w:rPr>
              <w:t>95</w:t>
            </w:r>
          </w:p>
        </w:tc>
        <w:tc>
          <w:tcPr>
            <w:tcW w:w="684" w:type="dxa"/>
          </w:tcPr>
          <w:p w14:paraId="10F9A203" w14:textId="77777777" w:rsidR="00EB2B81" w:rsidRPr="005A618B" w:rsidRDefault="00EB2B81" w:rsidP="00EB2B81">
            <w:pPr>
              <w:rPr>
                <w:sz w:val="20"/>
                <w:szCs w:val="20"/>
                <w:lang w:eastAsia="en-AU"/>
              </w:rPr>
            </w:pPr>
            <w:r>
              <w:rPr>
                <w:sz w:val="20"/>
                <w:szCs w:val="20"/>
                <w:lang w:eastAsia="en-AU"/>
              </w:rPr>
              <w:t>96</w:t>
            </w:r>
          </w:p>
        </w:tc>
        <w:tc>
          <w:tcPr>
            <w:tcW w:w="684" w:type="dxa"/>
          </w:tcPr>
          <w:p w14:paraId="53C90BA7" w14:textId="77777777" w:rsidR="00EB2B81" w:rsidRPr="005A618B" w:rsidRDefault="00EB2B81" w:rsidP="00EB2B81">
            <w:pPr>
              <w:rPr>
                <w:sz w:val="20"/>
                <w:szCs w:val="20"/>
                <w:lang w:eastAsia="en-AU"/>
              </w:rPr>
            </w:pPr>
            <w:r>
              <w:rPr>
                <w:sz w:val="20"/>
                <w:szCs w:val="20"/>
                <w:lang w:eastAsia="en-AU"/>
              </w:rPr>
              <w:t>92</w:t>
            </w:r>
          </w:p>
        </w:tc>
        <w:tc>
          <w:tcPr>
            <w:tcW w:w="684" w:type="dxa"/>
          </w:tcPr>
          <w:p w14:paraId="62D0F935" w14:textId="77777777" w:rsidR="00EB2B81" w:rsidRPr="005A618B" w:rsidRDefault="00EB2B81" w:rsidP="00EB2B81">
            <w:pPr>
              <w:rPr>
                <w:sz w:val="20"/>
                <w:szCs w:val="20"/>
                <w:lang w:eastAsia="en-AU"/>
              </w:rPr>
            </w:pPr>
            <w:r>
              <w:rPr>
                <w:sz w:val="20"/>
                <w:szCs w:val="20"/>
                <w:lang w:eastAsia="en-AU"/>
              </w:rPr>
              <w:t>86</w:t>
            </w:r>
          </w:p>
        </w:tc>
        <w:tc>
          <w:tcPr>
            <w:tcW w:w="684" w:type="dxa"/>
          </w:tcPr>
          <w:p w14:paraId="05F5438B" w14:textId="77777777" w:rsidR="00EB2B81" w:rsidRPr="005A618B" w:rsidRDefault="00EB2B81" w:rsidP="00EB2B81">
            <w:pPr>
              <w:rPr>
                <w:sz w:val="20"/>
                <w:szCs w:val="20"/>
                <w:lang w:eastAsia="en-AU"/>
              </w:rPr>
            </w:pPr>
            <w:r>
              <w:rPr>
                <w:sz w:val="20"/>
                <w:szCs w:val="20"/>
                <w:lang w:eastAsia="en-AU"/>
              </w:rPr>
              <w:t>84</w:t>
            </w:r>
          </w:p>
        </w:tc>
        <w:tc>
          <w:tcPr>
            <w:tcW w:w="684" w:type="dxa"/>
          </w:tcPr>
          <w:p w14:paraId="2D2CE471" w14:textId="77777777" w:rsidR="00EB2B81" w:rsidRPr="005A618B" w:rsidRDefault="00EB2B81" w:rsidP="00EB2B81">
            <w:pPr>
              <w:rPr>
                <w:sz w:val="20"/>
                <w:szCs w:val="20"/>
                <w:lang w:eastAsia="en-AU"/>
              </w:rPr>
            </w:pPr>
            <w:r>
              <w:rPr>
                <w:sz w:val="20"/>
                <w:szCs w:val="20"/>
                <w:lang w:eastAsia="en-AU"/>
              </w:rPr>
              <w:t>76</w:t>
            </w:r>
          </w:p>
        </w:tc>
        <w:tc>
          <w:tcPr>
            <w:tcW w:w="684" w:type="dxa"/>
          </w:tcPr>
          <w:p w14:paraId="2E449EB1" w14:textId="77777777" w:rsidR="00EB2B81" w:rsidRPr="005A618B" w:rsidRDefault="00EB2B81" w:rsidP="00EB2B81">
            <w:pPr>
              <w:rPr>
                <w:sz w:val="20"/>
                <w:szCs w:val="20"/>
                <w:lang w:eastAsia="en-AU"/>
              </w:rPr>
            </w:pPr>
            <w:r>
              <w:rPr>
                <w:sz w:val="20"/>
                <w:szCs w:val="20"/>
                <w:lang w:eastAsia="en-AU"/>
              </w:rPr>
              <w:t>64</w:t>
            </w:r>
          </w:p>
        </w:tc>
        <w:tc>
          <w:tcPr>
            <w:tcW w:w="684" w:type="dxa"/>
          </w:tcPr>
          <w:p w14:paraId="1988A566" w14:textId="77777777" w:rsidR="00EB2B81" w:rsidRPr="005A618B" w:rsidRDefault="00EB2B81" w:rsidP="00EB2B81">
            <w:pPr>
              <w:rPr>
                <w:sz w:val="20"/>
                <w:szCs w:val="20"/>
                <w:lang w:eastAsia="en-AU"/>
              </w:rPr>
            </w:pPr>
            <w:r>
              <w:rPr>
                <w:sz w:val="20"/>
                <w:szCs w:val="20"/>
                <w:lang w:eastAsia="en-AU"/>
              </w:rPr>
              <w:t>64</w:t>
            </w:r>
          </w:p>
        </w:tc>
      </w:tr>
      <w:tr w:rsidR="00EB2B81" w14:paraId="7AF8C3F3" w14:textId="77777777" w:rsidTr="00EB2B81">
        <w:trPr>
          <w:trHeight w:val="444"/>
        </w:trPr>
        <w:tc>
          <w:tcPr>
            <w:tcW w:w="1331" w:type="dxa"/>
          </w:tcPr>
          <w:p w14:paraId="2729F0EC" w14:textId="77777777" w:rsidR="00EB2B81" w:rsidRPr="005A618B" w:rsidRDefault="00EB2B81" w:rsidP="00EB2B81">
            <w:pPr>
              <w:rPr>
                <w:sz w:val="20"/>
                <w:szCs w:val="20"/>
                <w:lang w:eastAsia="en-AU"/>
              </w:rPr>
            </w:pPr>
            <w:r w:rsidRPr="005A618B">
              <w:rPr>
                <w:sz w:val="20"/>
                <w:szCs w:val="20"/>
                <w:lang w:eastAsia="en-AU"/>
              </w:rPr>
              <w:t>Average staffing levels</w:t>
            </w:r>
          </w:p>
        </w:tc>
        <w:tc>
          <w:tcPr>
            <w:tcW w:w="681" w:type="dxa"/>
          </w:tcPr>
          <w:p w14:paraId="0F0C51B3" w14:textId="77777777" w:rsidR="00EB2B81" w:rsidRPr="005A618B" w:rsidRDefault="00EB2B81" w:rsidP="00EB2B81">
            <w:pPr>
              <w:rPr>
                <w:sz w:val="20"/>
                <w:szCs w:val="20"/>
                <w:lang w:eastAsia="en-AU"/>
              </w:rPr>
            </w:pPr>
            <w:r>
              <w:rPr>
                <w:sz w:val="20"/>
                <w:szCs w:val="20"/>
                <w:lang w:eastAsia="en-AU"/>
              </w:rPr>
              <w:t>477</w:t>
            </w:r>
          </w:p>
        </w:tc>
        <w:tc>
          <w:tcPr>
            <w:tcW w:w="681" w:type="dxa"/>
          </w:tcPr>
          <w:p w14:paraId="66A6E9D6" w14:textId="77777777" w:rsidR="00EB2B81" w:rsidRPr="005A618B" w:rsidRDefault="00EB2B81" w:rsidP="00EB2B81">
            <w:pPr>
              <w:rPr>
                <w:sz w:val="20"/>
                <w:szCs w:val="20"/>
                <w:lang w:eastAsia="en-AU"/>
              </w:rPr>
            </w:pPr>
            <w:r>
              <w:rPr>
                <w:sz w:val="20"/>
                <w:szCs w:val="20"/>
                <w:lang w:eastAsia="en-AU"/>
              </w:rPr>
              <w:t>501</w:t>
            </w:r>
          </w:p>
        </w:tc>
        <w:tc>
          <w:tcPr>
            <w:tcW w:w="682" w:type="dxa"/>
          </w:tcPr>
          <w:p w14:paraId="2C659E38" w14:textId="77777777" w:rsidR="00EB2B81" w:rsidRPr="005A618B" w:rsidRDefault="00EB2B81" w:rsidP="00EB2B81">
            <w:pPr>
              <w:rPr>
                <w:sz w:val="20"/>
                <w:szCs w:val="20"/>
                <w:lang w:eastAsia="en-AU"/>
              </w:rPr>
            </w:pPr>
            <w:r>
              <w:rPr>
                <w:sz w:val="20"/>
                <w:szCs w:val="20"/>
                <w:lang w:eastAsia="en-AU"/>
              </w:rPr>
              <w:t>554</w:t>
            </w:r>
          </w:p>
        </w:tc>
        <w:tc>
          <w:tcPr>
            <w:tcW w:w="684" w:type="dxa"/>
          </w:tcPr>
          <w:p w14:paraId="51739E43" w14:textId="77777777" w:rsidR="00EB2B81" w:rsidRPr="005A618B" w:rsidRDefault="00EB2B81" w:rsidP="00EB2B81">
            <w:pPr>
              <w:rPr>
                <w:sz w:val="20"/>
                <w:szCs w:val="20"/>
                <w:lang w:eastAsia="en-AU"/>
              </w:rPr>
            </w:pPr>
            <w:r>
              <w:rPr>
                <w:sz w:val="20"/>
                <w:szCs w:val="20"/>
                <w:lang w:eastAsia="en-AU"/>
              </w:rPr>
              <w:t>554</w:t>
            </w:r>
          </w:p>
        </w:tc>
        <w:tc>
          <w:tcPr>
            <w:tcW w:w="684" w:type="dxa"/>
          </w:tcPr>
          <w:p w14:paraId="5B8B5AF6" w14:textId="77777777" w:rsidR="00EB2B81" w:rsidRPr="005A618B" w:rsidRDefault="00EB2B81" w:rsidP="00EB2B81">
            <w:pPr>
              <w:rPr>
                <w:sz w:val="20"/>
                <w:szCs w:val="20"/>
                <w:lang w:eastAsia="en-AU"/>
              </w:rPr>
            </w:pPr>
            <w:r>
              <w:rPr>
                <w:sz w:val="20"/>
                <w:szCs w:val="20"/>
                <w:lang w:eastAsia="en-AU"/>
              </w:rPr>
              <w:t>591</w:t>
            </w:r>
          </w:p>
        </w:tc>
        <w:tc>
          <w:tcPr>
            <w:tcW w:w="684" w:type="dxa"/>
          </w:tcPr>
          <w:p w14:paraId="0C2D7B6B" w14:textId="77777777" w:rsidR="00EB2B81" w:rsidRPr="005A618B" w:rsidRDefault="00EB2B81" w:rsidP="00EB2B81">
            <w:pPr>
              <w:rPr>
                <w:sz w:val="20"/>
                <w:szCs w:val="20"/>
                <w:lang w:eastAsia="en-AU"/>
              </w:rPr>
            </w:pPr>
            <w:r>
              <w:rPr>
                <w:sz w:val="20"/>
                <w:szCs w:val="20"/>
                <w:lang w:eastAsia="en-AU"/>
              </w:rPr>
              <w:t>591</w:t>
            </w:r>
          </w:p>
        </w:tc>
        <w:tc>
          <w:tcPr>
            <w:tcW w:w="684" w:type="dxa"/>
          </w:tcPr>
          <w:p w14:paraId="47E46880" w14:textId="77777777" w:rsidR="00EB2B81" w:rsidRPr="005A618B" w:rsidRDefault="00EB2B81" w:rsidP="00EB2B81">
            <w:pPr>
              <w:rPr>
                <w:sz w:val="20"/>
                <w:szCs w:val="20"/>
                <w:lang w:eastAsia="en-AU"/>
              </w:rPr>
            </w:pPr>
            <w:r>
              <w:rPr>
                <w:sz w:val="20"/>
                <w:szCs w:val="20"/>
                <w:lang w:eastAsia="en-AU"/>
              </w:rPr>
              <w:t>575</w:t>
            </w:r>
          </w:p>
        </w:tc>
        <w:tc>
          <w:tcPr>
            <w:tcW w:w="684" w:type="dxa"/>
          </w:tcPr>
          <w:p w14:paraId="2089CBEC" w14:textId="77777777" w:rsidR="00EB2B81" w:rsidRPr="005A618B" w:rsidRDefault="00EB2B81" w:rsidP="00EB2B81">
            <w:pPr>
              <w:rPr>
                <w:sz w:val="20"/>
                <w:szCs w:val="20"/>
                <w:lang w:eastAsia="en-AU"/>
              </w:rPr>
            </w:pPr>
            <w:r>
              <w:rPr>
                <w:sz w:val="20"/>
                <w:szCs w:val="20"/>
                <w:lang w:eastAsia="en-AU"/>
              </w:rPr>
              <w:t>559</w:t>
            </w:r>
          </w:p>
        </w:tc>
        <w:tc>
          <w:tcPr>
            <w:tcW w:w="684" w:type="dxa"/>
          </w:tcPr>
          <w:p w14:paraId="6160D2E8" w14:textId="77777777" w:rsidR="00EB2B81" w:rsidRPr="005A618B" w:rsidRDefault="00EB2B81" w:rsidP="00EB2B81">
            <w:pPr>
              <w:rPr>
                <w:sz w:val="20"/>
                <w:szCs w:val="20"/>
                <w:lang w:eastAsia="en-AU"/>
              </w:rPr>
            </w:pPr>
            <w:r>
              <w:rPr>
                <w:sz w:val="20"/>
                <w:szCs w:val="20"/>
                <w:lang w:eastAsia="en-AU"/>
              </w:rPr>
              <w:t>488</w:t>
            </w:r>
          </w:p>
        </w:tc>
        <w:tc>
          <w:tcPr>
            <w:tcW w:w="684" w:type="dxa"/>
          </w:tcPr>
          <w:p w14:paraId="5A87F4A2" w14:textId="77777777" w:rsidR="00EB2B81" w:rsidRPr="005A618B" w:rsidRDefault="00EB2B81" w:rsidP="00EB2B81">
            <w:pPr>
              <w:rPr>
                <w:sz w:val="20"/>
                <w:szCs w:val="20"/>
                <w:lang w:eastAsia="en-AU"/>
              </w:rPr>
            </w:pPr>
            <w:r>
              <w:rPr>
                <w:sz w:val="20"/>
                <w:szCs w:val="20"/>
                <w:lang w:eastAsia="en-AU"/>
              </w:rPr>
              <w:t>450</w:t>
            </w:r>
          </w:p>
        </w:tc>
        <w:tc>
          <w:tcPr>
            <w:tcW w:w="684" w:type="dxa"/>
          </w:tcPr>
          <w:p w14:paraId="2CC0C956" w14:textId="77777777" w:rsidR="00EB2B81" w:rsidRPr="005A618B" w:rsidRDefault="00EB2B81" w:rsidP="00EB2B81">
            <w:pPr>
              <w:rPr>
                <w:sz w:val="20"/>
                <w:szCs w:val="20"/>
                <w:lang w:eastAsia="en-AU"/>
              </w:rPr>
            </w:pPr>
            <w:r>
              <w:rPr>
                <w:sz w:val="20"/>
                <w:szCs w:val="20"/>
                <w:lang w:eastAsia="en-AU"/>
              </w:rPr>
              <w:t>409</w:t>
            </w:r>
          </w:p>
        </w:tc>
      </w:tr>
    </w:tbl>
    <w:p w14:paraId="34824E12" w14:textId="77777777" w:rsidR="00EB2B81" w:rsidRDefault="00EB2B81" w:rsidP="00EB2B81"/>
    <w:p w14:paraId="05F9C7B5" w14:textId="77777777" w:rsidR="00EB2B81" w:rsidRDefault="00EB2B81" w:rsidP="00EB2B81">
      <w:pPr>
        <w:pStyle w:val="Heading3"/>
      </w:pPr>
      <w:bookmarkStart w:id="558" w:name="_Toc449432108"/>
      <w:bookmarkStart w:id="559" w:name="_Toc449438576"/>
      <w:bookmarkStart w:id="560" w:name="_Toc450310171"/>
      <w:r>
        <w:t>Conclusion</w:t>
      </w:r>
      <w:bookmarkEnd w:id="558"/>
      <w:bookmarkEnd w:id="559"/>
      <w:bookmarkEnd w:id="560"/>
    </w:p>
    <w:p w14:paraId="5A6F22F3" w14:textId="77777777" w:rsidR="00EB2B81" w:rsidRDefault="00EB2B81" w:rsidP="00EB2B81">
      <w:pPr>
        <w:rPr>
          <w:lang w:val="en-US" w:eastAsia="en-AU"/>
        </w:rPr>
      </w:pPr>
      <w:r w:rsidRPr="00D97EF2">
        <w:rPr>
          <w:lang w:val="en-US" w:eastAsia="en-AU"/>
        </w:rPr>
        <w:t xml:space="preserve">Overall the Review </w:t>
      </w:r>
      <w:r>
        <w:rPr>
          <w:lang w:val="en-US" w:eastAsia="en-AU"/>
        </w:rPr>
        <w:t>finds</w:t>
      </w:r>
      <w:r w:rsidRPr="00D97EF2">
        <w:rPr>
          <w:lang w:val="en-US" w:eastAsia="en-AU"/>
        </w:rPr>
        <w:t xml:space="preserve"> </w:t>
      </w:r>
      <w:r w:rsidRPr="00D97EF2" w:rsidDel="00585015">
        <w:rPr>
          <w:lang w:val="en-US" w:eastAsia="en-AU"/>
        </w:rPr>
        <w:t xml:space="preserve">that </w:t>
      </w:r>
      <w:r w:rsidRPr="00D97EF2">
        <w:rPr>
          <w:lang w:val="en-US" w:eastAsia="en-AU"/>
        </w:rPr>
        <w:t xml:space="preserve">the ACMA </w:t>
      </w:r>
      <w:r>
        <w:rPr>
          <w:lang w:val="en-US" w:eastAsia="en-AU"/>
        </w:rPr>
        <w:t>is operating efficiently and has effectively managed its resources and internal structures to deliver the changing scope of its functional remit over time.</w:t>
      </w:r>
    </w:p>
    <w:p w14:paraId="749CA6F4" w14:textId="77777777" w:rsidR="00CF6194" w:rsidRPr="00113CF9" w:rsidRDefault="00CF6194" w:rsidP="00CB4DEF">
      <w:pPr>
        <w:pBdr>
          <w:top w:val="single" w:sz="4" w:space="1" w:color="auto"/>
          <w:left w:val="single" w:sz="4" w:space="1" w:color="auto"/>
          <w:bottom w:val="single" w:sz="4" w:space="1" w:color="auto"/>
          <w:right w:val="single" w:sz="4" w:space="1" w:color="auto"/>
        </w:pBdr>
        <w:shd w:val="clear" w:color="auto" w:fill="DEEAF6" w:themeFill="accent1" w:themeFillTint="33"/>
      </w:pPr>
      <w:r w:rsidRPr="00113CF9">
        <w:t>Draft proposal:</w:t>
      </w:r>
    </w:p>
    <w:p w14:paraId="38BDE750" w14:textId="37359B34" w:rsidR="00CF6194" w:rsidRPr="000A5A78" w:rsidRDefault="00CF6194" w:rsidP="00CB4DEF">
      <w:pPr>
        <w:pStyle w:val="ListParagraph"/>
        <w:numPr>
          <w:ilvl w:val="0"/>
          <w:numId w:val="17"/>
        </w:numPr>
        <w:pBdr>
          <w:top w:val="single" w:sz="4" w:space="1" w:color="auto"/>
          <w:left w:val="single" w:sz="4" w:space="1" w:color="auto"/>
          <w:bottom w:val="single" w:sz="4" w:space="1" w:color="auto"/>
          <w:right w:val="single" w:sz="4" w:space="1" w:color="auto"/>
        </w:pBdr>
        <w:shd w:val="clear" w:color="auto" w:fill="DEEAF6" w:themeFill="accent1" w:themeFillTint="33"/>
        <w:spacing w:line="276" w:lineRule="auto"/>
        <w:ind w:left="567" w:hanging="567"/>
      </w:pPr>
      <w:r>
        <w:t>That the ACMA should further analyse its cost base, in light of the proposed function changes, to ensure it is efficiently delivering on its responsibilities and minimising costs to industry.</w:t>
      </w:r>
    </w:p>
    <w:p w14:paraId="685FA786" w14:textId="3F627F35" w:rsidR="00EB2B81" w:rsidRDefault="00EB2B81" w:rsidP="00EB2B81">
      <w:r>
        <w:t xml:space="preserve">For the complete review of resources and efficiency analysis, including detailed time series data on expenditure and industry revenue, comparable benchmarking, corporate services, service delivery and functional efficiency refer to </w:t>
      </w:r>
      <w:r w:rsidR="00A57ADB" w:rsidRPr="00CB4DEF">
        <w:rPr>
          <w:u w:val="single"/>
        </w:rPr>
        <w:t>Appendix C</w:t>
      </w:r>
      <w:r>
        <w:t>.</w:t>
      </w:r>
    </w:p>
    <w:p w14:paraId="38AABA1D" w14:textId="77777777" w:rsidR="00EB2B81" w:rsidRDefault="00EB2B81" w:rsidP="00EB2B81">
      <w:pPr>
        <w:spacing w:after="200" w:line="276" w:lineRule="auto"/>
        <w:rPr>
          <w:color w:val="1F497D"/>
        </w:rPr>
      </w:pPr>
      <w:r>
        <w:rPr>
          <w:color w:val="1F497D"/>
        </w:rPr>
        <w:br w:type="page"/>
      </w:r>
    </w:p>
    <w:p w14:paraId="674E34B3" w14:textId="77777777" w:rsidR="00AC36AC" w:rsidRDefault="00EB2B81" w:rsidP="00CB4DEF">
      <w:pPr>
        <w:pStyle w:val="Heading2"/>
      </w:pPr>
      <w:bookmarkStart w:id="561" w:name="_Toc441845111"/>
      <w:bookmarkStart w:id="562" w:name="_Toc441847364"/>
      <w:bookmarkStart w:id="563" w:name="_Toc441848296"/>
      <w:bookmarkStart w:id="564" w:name="_Toc442107138"/>
      <w:bookmarkStart w:id="565" w:name="_Toc442108790"/>
      <w:bookmarkStart w:id="566" w:name="_Toc443038188"/>
      <w:bookmarkStart w:id="567" w:name="_Toc443043906"/>
      <w:bookmarkStart w:id="568" w:name="_Toc443052596"/>
      <w:bookmarkStart w:id="569" w:name="_Toc443054885"/>
      <w:bookmarkStart w:id="570" w:name="_Toc449432109"/>
      <w:bookmarkStart w:id="571" w:name="_Toc449438577"/>
      <w:bookmarkStart w:id="572" w:name="_Toc450310172"/>
      <w:r>
        <w:t>Part Five</w:t>
      </w:r>
      <w:r w:rsidR="00933CAA">
        <w:t>—</w:t>
      </w:r>
      <w:r>
        <w:t>The case for further regulatory reform</w:t>
      </w:r>
      <w:bookmarkStart w:id="573" w:name="_Toc441845112"/>
      <w:bookmarkStart w:id="574" w:name="_Toc441847365"/>
      <w:bookmarkStart w:id="575" w:name="_Toc441848297"/>
      <w:bookmarkStart w:id="576" w:name="_Toc442107139"/>
      <w:bookmarkStart w:id="577" w:name="_Toc442108791"/>
      <w:bookmarkStart w:id="578" w:name="_Toc443038189"/>
      <w:bookmarkStart w:id="579" w:name="_Toc443043907"/>
      <w:bookmarkStart w:id="580" w:name="_Toc443052597"/>
      <w:bookmarkStart w:id="581" w:name="_Toc443054886"/>
      <w:bookmarkStart w:id="582" w:name="_Toc449432110"/>
      <w:bookmarkStart w:id="583" w:name="_Toc449438578"/>
      <w:bookmarkEnd w:id="561"/>
      <w:bookmarkEnd w:id="562"/>
      <w:bookmarkEnd w:id="563"/>
      <w:bookmarkEnd w:id="564"/>
      <w:bookmarkEnd w:id="565"/>
      <w:bookmarkEnd w:id="566"/>
      <w:bookmarkEnd w:id="567"/>
      <w:bookmarkEnd w:id="568"/>
      <w:bookmarkEnd w:id="569"/>
      <w:bookmarkEnd w:id="570"/>
      <w:bookmarkEnd w:id="571"/>
      <w:bookmarkEnd w:id="572"/>
      <w:r w:rsidR="00222D57">
        <w:t xml:space="preserve"> </w:t>
      </w:r>
    </w:p>
    <w:p w14:paraId="4118DAB4" w14:textId="77777777" w:rsidR="00AC36AC" w:rsidRDefault="00AC36AC" w:rsidP="00AC36AC">
      <w:r w:rsidRPr="00A45B79">
        <w:t>The Australian Government is committed to regulatory reform to support innovation, boost productivity and stimulat</w:t>
      </w:r>
      <w:r>
        <w:t xml:space="preserve">e </w:t>
      </w:r>
      <w:r w:rsidRPr="00A45B79">
        <w:t xml:space="preserve">economic </w:t>
      </w:r>
      <w:r>
        <w:t xml:space="preserve">activity and </w:t>
      </w:r>
      <w:r w:rsidRPr="00A45B79">
        <w:t xml:space="preserve">growth. </w:t>
      </w:r>
      <w:r>
        <w:t>The Government recognises that such reform is critical to support flexibility in the economy and maximise the potential for industry to innovate and grow.</w:t>
      </w:r>
    </w:p>
    <w:p w14:paraId="718B09A6" w14:textId="77777777" w:rsidR="00AC36AC" w:rsidRPr="00A45B79" w:rsidRDefault="00AC36AC" w:rsidP="00AC36AC">
      <w:r>
        <w:rPr>
          <w:lang w:val="en-US"/>
        </w:rPr>
        <w:t xml:space="preserve">The communications sector can be an important influencer of productivity outcomes (and through these economic growth and living standards) as it plays a critical enabling </w:t>
      </w:r>
      <w:r>
        <w:t xml:space="preserve">role in the functioning and ongoing performance of the Australian economy. </w:t>
      </w:r>
    </w:p>
    <w:p w14:paraId="7DFE1279" w14:textId="77777777" w:rsidR="00AC36AC" w:rsidRPr="00A45B79" w:rsidRDefault="00AC36AC" w:rsidP="00AC36AC">
      <w:pPr>
        <w:rPr>
          <w:color w:val="1E1E1E"/>
          <w:spacing w:val="5"/>
          <w:lang w:val="en"/>
        </w:rPr>
      </w:pPr>
      <w:r>
        <w:t>Since 2013, the Department and the ACMA have worked together to remove outdated and irrelevant regulation that imposed considerable compliance costs on the communications sector and consumers. More</w:t>
      </w:r>
      <w:r w:rsidRPr="00A45B79">
        <w:t xml:space="preserve"> </w:t>
      </w:r>
      <w:r>
        <w:t>than</w:t>
      </w:r>
      <w:r w:rsidRPr="00A45B79">
        <w:t xml:space="preserve"> $</w:t>
      </w:r>
      <w:r>
        <w:t>351 million</w:t>
      </w:r>
      <w:r w:rsidRPr="00A45B79">
        <w:t xml:space="preserve"> </w:t>
      </w:r>
      <w:r>
        <w:t>in</w:t>
      </w:r>
      <w:r w:rsidRPr="00A45B79">
        <w:t xml:space="preserve"> regulatory savings have been achieved across the communications portfolio </w:t>
      </w:r>
      <w:r>
        <w:t xml:space="preserve">in this period </w:t>
      </w:r>
      <w:r w:rsidRPr="00A45B79">
        <w:rPr>
          <w:color w:val="1E1E1E"/>
          <w:spacing w:val="5"/>
          <w:lang w:val="en"/>
        </w:rPr>
        <w:t xml:space="preserve">with almost $4.5 billion across the broader economy. </w:t>
      </w:r>
    </w:p>
    <w:p w14:paraId="17179ED3" w14:textId="77777777" w:rsidR="00AC36AC" w:rsidRPr="00474BDA" w:rsidRDefault="00AC36AC" w:rsidP="00AC36AC">
      <w:pPr>
        <w:jc w:val="both"/>
        <w:rPr>
          <w:color w:val="1E1E1E"/>
          <w:spacing w:val="5"/>
          <w:lang w:val="en"/>
        </w:rPr>
      </w:pPr>
      <w:r w:rsidRPr="00A45B79">
        <w:rPr>
          <w:color w:val="1E1E1E"/>
          <w:spacing w:val="5"/>
          <w:lang w:val="en"/>
        </w:rPr>
        <w:t>In November 201</w:t>
      </w:r>
      <w:r>
        <w:rPr>
          <w:color w:val="1E1E1E"/>
          <w:spacing w:val="5"/>
          <w:lang w:val="en"/>
        </w:rPr>
        <w:t>5</w:t>
      </w:r>
      <w:r w:rsidRPr="00A45B79">
        <w:rPr>
          <w:color w:val="1E1E1E"/>
          <w:spacing w:val="5"/>
          <w:lang w:val="en"/>
        </w:rPr>
        <w:t>, the Government re-committed to its regul</w:t>
      </w:r>
      <w:r>
        <w:rPr>
          <w:color w:val="1E1E1E"/>
          <w:spacing w:val="5"/>
          <w:lang w:val="en"/>
        </w:rPr>
        <w:t>a</w:t>
      </w:r>
      <w:r w:rsidRPr="00A45B79">
        <w:rPr>
          <w:color w:val="1E1E1E"/>
          <w:spacing w:val="5"/>
          <w:lang w:val="en"/>
        </w:rPr>
        <w:t xml:space="preserve">tory reform agenda with a renewed focus on </w:t>
      </w:r>
      <w:r w:rsidRPr="00474BDA">
        <w:rPr>
          <w:color w:val="1E1E1E"/>
          <w:spacing w:val="5"/>
          <w:lang w:val="en"/>
        </w:rPr>
        <w:t xml:space="preserve">reforms that directly enhance innovation, competitiveness and productivity rather than </w:t>
      </w:r>
      <w:r>
        <w:rPr>
          <w:color w:val="1E1E1E"/>
          <w:spacing w:val="5"/>
          <w:lang w:val="en"/>
        </w:rPr>
        <w:t>compliance costs</w:t>
      </w:r>
      <w:r w:rsidRPr="00474BDA">
        <w:rPr>
          <w:color w:val="1E1E1E"/>
          <w:spacing w:val="5"/>
          <w:lang w:val="en"/>
        </w:rPr>
        <w:t xml:space="preserve"> alone.</w:t>
      </w:r>
      <w:r w:rsidRPr="00A45B79">
        <w:rPr>
          <w:color w:val="1E1E1E"/>
          <w:spacing w:val="5"/>
          <w:lang w:val="en"/>
        </w:rPr>
        <w:t xml:space="preserve"> </w:t>
      </w:r>
    </w:p>
    <w:p w14:paraId="0034C9AA" w14:textId="77777777" w:rsidR="00AC36AC" w:rsidRDefault="00AC36AC" w:rsidP="00AC36AC">
      <w:r>
        <w:t>The regulatory reform agenda requires all departments and agencies to reconsider current regulatory settings to ensure they are directed towards these objectives.</w:t>
      </w:r>
    </w:p>
    <w:p w14:paraId="04293D67" w14:textId="77777777" w:rsidR="00AC36AC" w:rsidRDefault="00AC36AC" w:rsidP="00AC36AC">
      <w:r>
        <w:t>In this Part, the Review therefore gives brief consideration to the appropriateness of the current communications regulatory framework and ways in which it may need to adapt to better support productivity and economic growth.</w:t>
      </w:r>
    </w:p>
    <w:p w14:paraId="5ED3FB1B" w14:textId="3D254633" w:rsidR="00F46778" w:rsidRDefault="00B6577F" w:rsidP="00E815EB">
      <w:pPr>
        <w:pStyle w:val="Heading3"/>
      </w:pPr>
      <w:bookmarkStart w:id="584" w:name="_Toc450310173"/>
      <w:r w:rsidRPr="00706D59">
        <w:rPr>
          <w:rStyle w:val="Heading4Char"/>
          <w:b/>
        </w:rPr>
        <w:t>A</w:t>
      </w:r>
      <w:r w:rsidR="00EB2B81" w:rsidRPr="00706D59">
        <w:rPr>
          <w:rStyle w:val="Heading4Char"/>
          <w:b/>
        </w:rPr>
        <w:t>n ageing regulatory regime</w:t>
      </w:r>
      <w:bookmarkEnd w:id="573"/>
      <w:bookmarkEnd w:id="574"/>
      <w:bookmarkEnd w:id="575"/>
      <w:bookmarkEnd w:id="576"/>
      <w:bookmarkEnd w:id="577"/>
      <w:bookmarkEnd w:id="578"/>
      <w:bookmarkEnd w:id="579"/>
      <w:bookmarkEnd w:id="580"/>
      <w:bookmarkEnd w:id="581"/>
      <w:bookmarkEnd w:id="582"/>
      <w:bookmarkEnd w:id="583"/>
      <w:bookmarkEnd w:id="584"/>
    </w:p>
    <w:p w14:paraId="35CE1CCB" w14:textId="77777777" w:rsidR="00EB2B81" w:rsidRDefault="00EB2B81" w:rsidP="00EB2B81">
      <w:r>
        <w:t xml:space="preserve">The ACMA was established in 2005 to be a converged regulator responsible for regulating the broadcasting, telecommunications, radiocommunications and online industries in Australia. </w:t>
      </w:r>
      <w:r w:rsidRPr="006162B8">
        <w:t xml:space="preserve">The ACMA </w:t>
      </w:r>
      <w:r>
        <w:t xml:space="preserve">has regulatory responsibilities for </w:t>
      </w:r>
      <w:r w:rsidRPr="006162B8">
        <w:t xml:space="preserve">four primary Acts, 22 secondary Acts and over 400 regulatory instruments. Included within this, the ACMA </w:t>
      </w:r>
      <w:r>
        <w:t xml:space="preserve">has </w:t>
      </w:r>
      <w:r w:rsidRPr="006162B8">
        <w:t>responsi</w:t>
      </w:r>
      <w:r>
        <w:t>bilities</w:t>
      </w:r>
      <w:r w:rsidRPr="006162B8">
        <w:t xml:space="preserve"> </w:t>
      </w:r>
      <w:r>
        <w:t xml:space="preserve">under </w:t>
      </w:r>
      <w:r w:rsidRPr="006162B8">
        <w:t>the three Acts that make up the core framework for communications regulation in Australia</w:t>
      </w:r>
      <w:r>
        <w:t>:</w:t>
      </w:r>
    </w:p>
    <w:p w14:paraId="3F337170" w14:textId="77777777" w:rsidR="00EB2B81" w:rsidRDefault="00EB2B81" w:rsidP="00EB2B81">
      <w:pPr>
        <w:pStyle w:val="Bulletlevel1"/>
      </w:pPr>
      <w:r w:rsidRPr="006162B8">
        <w:rPr>
          <w:iCs/>
        </w:rPr>
        <w:t>The</w:t>
      </w:r>
      <w:r w:rsidRPr="006162B8">
        <w:rPr>
          <w:i/>
          <w:iCs/>
        </w:rPr>
        <w:t xml:space="preserve"> Telecommunications Act 1997 </w:t>
      </w:r>
      <w:r w:rsidRPr="006162B8">
        <w:t>establishes a regulatory framework that promotes the availability of accessible and affordable telecommunication services in Australia and the efficiency and international competitiveness of the Australian telecommunications industry. It does this through the regulation of telecommunications carriers and others who provide carriage services. It also provides a mechanism for regulating communications content service providers.</w:t>
      </w:r>
    </w:p>
    <w:p w14:paraId="3393996C" w14:textId="77777777" w:rsidR="00EB2B81" w:rsidRPr="005F50AF" w:rsidRDefault="00EB2B81" w:rsidP="00EB2B81">
      <w:pPr>
        <w:pStyle w:val="Bulletlevel1"/>
        <w:rPr>
          <w:i/>
        </w:rPr>
      </w:pPr>
      <w:r w:rsidRPr="006162B8">
        <w:rPr>
          <w:iCs/>
        </w:rPr>
        <w:t>The</w:t>
      </w:r>
      <w:r w:rsidRPr="006162B8">
        <w:rPr>
          <w:i/>
          <w:iCs/>
        </w:rPr>
        <w:t xml:space="preserve"> Broadcasting Services Act 1992</w:t>
      </w:r>
      <w:r w:rsidRPr="006162B8">
        <w:rPr>
          <w:i/>
        </w:rPr>
        <w:t xml:space="preserve"> </w:t>
      </w:r>
      <w:r w:rsidRPr="006162B8">
        <w:t>establishes a regulatory framework for broadcasting which aims to promote the availability to Australian audiences of a diverse range of radio and television services offering entertainment, education and information. It does this by regulating broadcasting services and ce</w:t>
      </w:r>
      <w:r>
        <w:t>rtain kinds of online services.</w:t>
      </w:r>
    </w:p>
    <w:p w14:paraId="4071A5DE" w14:textId="77777777" w:rsidR="00EB2B81" w:rsidRDefault="00EB2B81" w:rsidP="00EB2B81">
      <w:pPr>
        <w:pStyle w:val="Bulletlevel1"/>
      </w:pPr>
      <w:r w:rsidRPr="006162B8">
        <w:rPr>
          <w:iCs/>
        </w:rPr>
        <w:t>The</w:t>
      </w:r>
      <w:r w:rsidRPr="006162B8">
        <w:rPr>
          <w:i/>
          <w:iCs/>
        </w:rPr>
        <w:t xml:space="preserve"> Radiocommunications Act 1992</w:t>
      </w:r>
      <w:r w:rsidRPr="006162B8">
        <w:rPr>
          <w:i/>
        </w:rPr>
        <w:t xml:space="preserve"> </w:t>
      </w:r>
      <w:r w:rsidRPr="006162B8">
        <w:t>operates to ensure efficient use of the radiofrequency spectrum and make provision of spectrum for use in broadcasting, telecommunications and by defence, national security, law enforcement, emergency and other public/community services.</w:t>
      </w:r>
    </w:p>
    <w:p w14:paraId="13804336" w14:textId="63B1A466" w:rsidR="00F46778" w:rsidRDefault="00F46778" w:rsidP="00EB2B81">
      <w:r w:rsidRPr="0046716B">
        <w:t xml:space="preserve">The </w:t>
      </w:r>
      <w:r>
        <w:t>R</w:t>
      </w:r>
      <w:r w:rsidRPr="0046716B">
        <w:t xml:space="preserve">eview’s Issues Paper </w:t>
      </w:r>
      <w:r>
        <w:t>noted that, while consideration of the regulatory regime which the ACMA administers was not explicitly set out in the Terms of Reference, the effectiveness and enduring relevance of the regime has a significant impact on the performance of the ACMA.</w:t>
      </w:r>
    </w:p>
    <w:p w14:paraId="62F5031F" w14:textId="77777777" w:rsidR="00EB2B81" w:rsidRDefault="00EB2B81" w:rsidP="00EB2B81">
      <w:r>
        <w:t>The majority of the regulatory regime administered by the ACMA was developed in the 1990s and, excluding the recent review of the Radiocommunications Act and planned reforms, it is still fundamentally based on the existence of stand-alone networks delivering specific services and the business models that supported those networks.</w:t>
      </w:r>
    </w:p>
    <w:p w14:paraId="6C85B56B" w14:textId="302B4C80" w:rsidR="00EB2B81" w:rsidRDefault="00EB2B81" w:rsidP="00EB2B81">
      <w:r>
        <w:t>The regulatory regime pre-dates ubiquitous internet connectivity, changes in industry structure, the NBN, social media, advances in technology and changes in consumer expectations.</w:t>
      </w:r>
      <w:r w:rsidR="00CF6194">
        <w:t xml:space="preserve"> </w:t>
      </w:r>
      <w:r>
        <w:t xml:space="preserve">These changes pose significant challenges for the regulatory regime and the regulator which have been recognised in a number of contexts, including the ACMA’s 2011 </w:t>
      </w:r>
      <w:r w:rsidRPr="001E4238">
        <w:rPr>
          <w:i/>
        </w:rPr>
        <w:t>Broken Concepts</w:t>
      </w:r>
      <w:r>
        <w:t xml:space="preserve"> report</w:t>
      </w:r>
      <w:r>
        <w:rPr>
          <w:rStyle w:val="FootnoteReference"/>
        </w:rPr>
        <w:footnoteReference w:id="92"/>
      </w:r>
      <w:r>
        <w:t xml:space="preserve"> and more recently its 2013 </w:t>
      </w:r>
      <w:r w:rsidRPr="001E4238">
        <w:rPr>
          <w:i/>
        </w:rPr>
        <w:t>Broken Concepts</w:t>
      </w:r>
      <w:r>
        <w:t xml:space="preserve"> update</w:t>
      </w:r>
      <w:r>
        <w:rPr>
          <w:rStyle w:val="FootnoteReference"/>
        </w:rPr>
        <w:footnoteReference w:id="93"/>
      </w:r>
      <w:r w:rsidR="00B6577F">
        <w:t>.</w:t>
      </w:r>
      <w:r>
        <w:t xml:space="preserve"> Similarly, the final report of the Convergence Review noted that:</w:t>
      </w:r>
    </w:p>
    <w:p w14:paraId="608DBF0F" w14:textId="77777777" w:rsidR="00EB2B81" w:rsidRPr="00CB4DEF" w:rsidRDefault="00EB2B81" w:rsidP="00933CAA">
      <w:pPr>
        <w:pStyle w:val="Quote"/>
        <w:rPr>
          <w:color w:val="auto"/>
        </w:rPr>
      </w:pPr>
      <w:r w:rsidRPr="00CB4DEF">
        <w:rPr>
          <w:color w:val="auto"/>
        </w:rPr>
        <w:t>Many elements of the current regulatory regime are outdated or unnecessary and other rules are becoming ineffective with rapid changes in the communications landscape.</w:t>
      </w:r>
      <w:r w:rsidRPr="00CB4DEF">
        <w:rPr>
          <w:rStyle w:val="FootnoteReference"/>
          <w:color w:val="auto"/>
        </w:rPr>
        <w:footnoteReference w:id="94"/>
      </w:r>
    </w:p>
    <w:p w14:paraId="38E77F96" w14:textId="77777777" w:rsidR="00EB2B81" w:rsidRDefault="00EB2B81" w:rsidP="00933CAA">
      <w:pPr>
        <w:keepNext/>
      </w:pPr>
      <w:r>
        <w:t>A number of submissions to the ACMA Review Issues Paper commented on the importance of regulatory reform. For example:</w:t>
      </w:r>
    </w:p>
    <w:p w14:paraId="24166EDE" w14:textId="77777777" w:rsidR="00EB2B81" w:rsidRDefault="00EB2B81" w:rsidP="00EB2B81">
      <w:pPr>
        <w:pStyle w:val="Bulletlevel1"/>
      </w:pPr>
      <w:r>
        <w:t>Telstra observed that</w:t>
      </w:r>
      <w:r w:rsidDel="00327A90">
        <w:t xml:space="preserve"> </w:t>
      </w:r>
      <w:r>
        <w:t>“…the existing regulatory regime within which the ACMA operates has not kept pace with technological, behavioural and competitive changes in the sectors and is now presenting significant challenges to customers, industry and to the ACMA itself.”</w:t>
      </w:r>
      <w:r>
        <w:rPr>
          <w:rStyle w:val="FootnoteReference"/>
        </w:rPr>
        <w:footnoteReference w:id="95"/>
      </w:r>
    </w:p>
    <w:p w14:paraId="0BA7F82B" w14:textId="77777777" w:rsidR="00EB2B81" w:rsidRDefault="00EB2B81" w:rsidP="00EB2B81">
      <w:pPr>
        <w:pStyle w:val="Bulletlevel1"/>
      </w:pPr>
      <w:r>
        <w:t>FreeTV noted “Significant changes are also occurring within the broadcasting industry itself…This environment poses significant challenges for the regulatory framework to keep up, stay relevant and deliver policy outcomes.”</w:t>
      </w:r>
      <w:r>
        <w:rPr>
          <w:rStyle w:val="FootnoteReference"/>
        </w:rPr>
        <w:footnoteReference w:id="96"/>
      </w:r>
    </w:p>
    <w:p w14:paraId="45E841F8" w14:textId="08229582" w:rsidR="00EB2B81" w:rsidRDefault="00EB2B81" w:rsidP="00EB2B81">
      <w:pPr>
        <w:pStyle w:val="Bulletlevel1"/>
      </w:pPr>
      <w:r>
        <w:t>AMTA stated “</w:t>
      </w:r>
      <w:r w:rsidR="00B6577F">
        <w:t>…</w:t>
      </w:r>
      <w:r>
        <w:t>that it is timely to consider the appropriate regulatory framework for a future communications regulator…The objective of the future regulatory framework should be to facilitate industry outcomes that foster rather than inhibit the development of the communications sector and its capacity to contribute to economic and social outcomes.”</w:t>
      </w:r>
      <w:r>
        <w:rPr>
          <w:rStyle w:val="FootnoteReference"/>
        </w:rPr>
        <w:footnoteReference w:id="97"/>
      </w:r>
    </w:p>
    <w:p w14:paraId="7A379158" w14:textId="77777777" w:rsidR="00EB2B81" w:rsidRDefault="00EB2B81" w:rsidP="00EB2B81">
      <w:r>
        <w:t xml:space="preserve">A fundamental issue with the current regulatory regime is the distinction which is sought to be maintained in a number of areas between broadcasting, telecommunications and Internet services, at a time when </w:t>
      </w:r>
      <w:r w:rsidRPr="00B45D70">
        <w:t xml:space="preserve">the boundaries </w:t>
      </w:r>
      <w:r>
        <w:t xml:space="preserve">between these </w:t>
      </w:r>
      <w:r w:rsidRPr="00B45D70">
        <w:t>industries</w:t>
      </w:r>
      <w:r>
        <w:t xml:space="preserve"> are increasingly difficult to define</w:t>
      </w:r>
      <w:r>
        <w:rPr>
          <w:rStyle w:val="FootnoteReference"/>
        </w:rPr>
        <w:footnoteReference w:id="98"/>
      </w:r>
      <w:r w:rsidRPr="00B45D70">
        <w:t xml:space="preserve">. </w:t>
      </w:r>
      <w:r>
        <w:t>With t</w:t>
      </w:r>
      <w:r w:rsidRPr="00B45D70">
        <w:t xml:space="preserve">he </w:t>
      </w:r>
      <w:r>
        <w:t xml:space="preserve">recent take-up </w:t>
      </w:r>
      <w:r w:rsidRPr="00B45D70">
        <w:t>of application</w:t>
      </w:r>
      <w:r>
        <w:t>s</w:t>
      </w:r>
      <w:r w:rsidRPr="00B45D70">
        <w:t xml:space="preserve"> </w:t>
      </w:r>
      <w:r>
        <w:t xml:space="preserve">such as </w:t>
      </w:r>
      <w:r w:rsidRPr="00B45D70">
        <w:t>Spotify and Netflix</w:t>
      </w:r>
      <w:r>
        <w:t>, subjecting traditional broadcasters to regulatory treatment on the basis of the broadcast technologies they employ has become difficult to justify.</w:t>
      </w:r>
      <w:r w:rsidRPr="00FC013F">
        <w:t xml:space="preserve"> </w:t>
      </w:r>
      <w:r w:rsidRPr="00B45D70">
        <w:t xml:space="preserve">Similarly, </w:t>
      </w:r>
      <w:r>
        <w:t>traditional voice and mobile phone services</w:t>
      </w:r>
      <w:r w:rsidRPr="00B45D70">
        <w:t xml:space="preserve"> </w:t>
      </w:r>
      <w:r>
        <w:t xml:space="preserve">are subject to different quality-of-service requirements to similar services which are delivered </w:t>
      </w:r>
      <w:r w:rsidRPr="00B45D70">
        <w:t>by providers like Skype and WhatsApp</w:t>
      </w:r>
      <w:r>
        <w:t>.</w:t>
      </w:r>
    </w:p>
    <w:p w14:paraId="40CFDD65" w14:textId="77777777" w:rsidR="00EB2B81" w:rsidRDefault="00EB2B81" w:rsidP="00576140">
      <w:r>
        <w:t>The ability for one service provider to deliver the same content to different devices over different networks has led to inconsistent regulatory treatment. For example, the FreeTV Code applies to content delivered over free-to-air television networks, but not to the same content when it is streamed to a “smart” television via the Internet. Distinguishing service characteristics or consumer protections based on underlying networks is less meaningful now that technology allows similar services and content to be accessed across a range of networks and devices.</w:t>
      </w:r>
    </w:p>
    <w:p w14:paraId="016D526C" w14:textId="77777777" w:rsidR="00EB2B81" w:rsidRDefault="00EB2B81" w:rsidP="00576140">
      <w:r>
        <w:t xml:space="preserve">There is also misplaced emphasis in the regulatory regime focusing regulatory attention on traditional broadcasting or telecommunications providers to achieve public policy outcomes. For example, many consumer safeguard measures in the Telecommunications Act and the </w:t>
      </w:r>
      <w:r w:rsidRPr="00D272AA">
        <w:rPr>
          <w:i/>
        </w:rPr>
        <w:t>Telecommunications (Consumer Protection and Service Standards) Act 1999</w:t>
      </w:r>
      <w:r>
        <w:t xml:space="preserve"> are focused on voice telephony and therefore do not reflect the importance of other communications services to consumers.</w:t>
      </w:r>
    </w:p>
    <w:p w14:paraId="59FFADD5" w14:textId="77777777" w:rsidR="00EB2B81" w:rsidRDefault="00EB2B81" w:rsidP="00576140">
      <w:r>
        <w:t>In the media sector, ownership and control rules for broadcasting, datacasting and newspapers are designed to limit the degree of influence of any one media proprietor. However, the current concept of influence does not consider new forms and suppliers of communications and media content, nor new patterns of consumer behaviour.</w:t>
      </w:r>
      <w:r w:rsidR="00CF6194">
        <w:t xml:space="preserve"> </w:t>
      </w:r>
      <w:r>
        <w:t>Further, the use of geographically based licencing and regulatory models in broadcasting is coming under increasing pressure from the growth of Internet services which enable content and services to be generated, distributed and accessed from multiple locations nationally and internationally.</w:t>
      </w:r>
    </w:p>
    <w:p w14:paraId="40BCB1DA" w14:textId="77777777" w:rsidR="00EB2B81" w:rsidRDefault="00EB2B81" w:rsidP="00EB2B81">
      <w:r>
        <w:t>Over time the regulatory regime has been incrementally amended to address changes in technology. While this has extended some consumer protections to new services or mitigated some market distortions, it has reduced the coherence of the regulatory regime and expanded its size substantially, creating additional complexity for industry and consumers.</w:t>
      </w:r>
    </w:p>
    <w:p w14:paraId="21FFC599" w14:textId="77777777" w:rsidR="00EB2B81" w:rsidRDefault="00EB2B81" w:rsidP="00EB2B81">
      <w:r>
        <w:t>The ACMA’s examination of these issues has led it to conclude that “current media and communications legislation and regulation in Australia are under strain, increasingly ‘unfit for purpose’, and often unsuited to the goal of promoting the public interest”</w:t>
      </w:r>
      <w:r>
        <w:rPr>
          <w:rStyle w:val="FootnoteReference"/>
        </w:rPr>
        <w:footnoteReference w:id="99"/>
      </w:r>
      <w:r>
        <w:t>.</w:t>
      </w:r>
    </w:p>
    <w:p w14:paraId="6C4C4A68" w14:textId="31CE48E3" w:rsidR="00EB2B81" w:rsidRDefault="00EB2B81" w:rsidP="00BC43B3">
      <w:r>
        <w:t xml:space="preserve">Indeed, the analysis supporting Part </w:t>
      </w:r>
      <w:r w:rsidR="004238DE">
        <w:t>Three</w:t>
      </w:r>
      <w:r>
        <w:t xml:space="preserve"> of the Review has identified that the performance of the ACMA cannot be divorced from the efficacy of the regulatory regime. This is a logical conclusion given the two elements interact with each other and influence one another to produce the regulatory outcomes that are experienced by regulated entities and consumers. Further, it is evident that a regulatory regime unsuited to contemporary market realities will inevitably impair the performance of the ACMA. For this reason regulatory reform is one of the primary pathways towards supporting better performance outcomes by the ACMA.</w:t>
      </w:r>
    </w:p>
    <w:p w14:paraId="45CF7117" w14:textId="1FFE6606" w:rsidR="00EB2B81" w:rsidRDefault="001D5071" w:rsidP="00BC43B3">
      <w:r>
        <w:t>T</w:t>
      </w:r>
      <w:r w:rsidR="00EB2B81">
        <w:t>he Government has already undertaken significant reforms to reduce regulatory burdens on industry across the Communications and Arts portfolio, and is continuing this</w:t>
      </w:r>
      <w:r w:rsidR="00EB2B81" w:rsidRPr="009A6987">
        <w:t xml:space="preserve"> process through its response to the Vertigan </w:t>
      </w:r>
      <w:r w:rsidR="00EB2B81">
        <w:t>Review and the Spectrum Review,</w:t>
      </w:r>
      <w:r w:rsidR="00EB2B81" w:rsidRPr="009A6987">
        <w:t xml:space="preserve"> and by undertaking this </w:t>
      </w:r>
      <w:r w:rsidR="00EB2B81">
        <w:t>R</w:t>
      </w:r>
      <w:r w:rsidR="00EB2B81" w:rsidRPr="009A6987">
        <w:t>eview of the ACMA</w:t>
      </w:r>
      <w:r w:rsidR="00EB2B81">
        <w:t xml:space="preserve">. </w:t>
      </w:r>
      <w:r w:rsidR="00EB2B81" w:rsidRPr="003F32FE">
        <w:t xml:space="preserve">The re-write of the </w:t>
      </w:r>
      <w:r w:rsidR="00EB2B81" w:rsidRPr="003F32FE">
        <w:rPr>
          <w:i/>
          <w:iCs/>
        </w:rPr>
        <w:t>Radiocommunications Act 1992</w:t>
      </w:r>
      <w:r w:rsidR="00EB2B81" w:rsidRPr="003F32FE">
        <w:t>, which is being undertaken as recommended by the Department’s 2015 Spectrum Review, will reduce the regulatory burden on spectrum users by making the spectrum framework simpler and more efficient.</w:t>
      </w:r>
      <w:r w:rsidR="00EB2B81">
        <w:t xml:space="preserve"> The discussion above indicates that overall regulatory outcomes would be improved and achieved at lower cost to industry by further reform to update the </w:t>
      </w:r>
      <w:r w:rsidR="00EB2B81" w:rsidDel="00C02A76">
        <w:t xml:space="preserve">legacy </w:t>
      </w:r>
      <w:r w:rsidR="00EB2B81">
        <w:t>regulatory framework and bring it into line with a contemporary</w:t>
      </w:r>
      <w:r w:rsidR="00EB2B81" w:rsidDel="00A72831">
        <w:t xml:space="preserve"> </w:t>
      </w:r>
      <w:r w:rsidR="00EB2B81" w:rsidDel="00C02A76">
        <w:t>view of the</w:t>
      </w:r>
      <w:r w:rsidR="00EB2B81">
        <w:t xml:space="preserve"> market structure and principles of better practice regulation.</w:t>
      </w:r>
    </w:p>
    <w:p w14:paraId="42325C31" w14:textId="77777777" w:rsidR="00EB2B81" w:rsidRDefault="00EB2B81" w:rsidP="00504587">
      <w:pPr>
        <w:pStyle w:val="Heading4"/>
      </w:pPr>
      <w:bookmarkStart w:id="585" w:name="_Toc441845113"/>
      <w:bookmarkStart w:id="586" w:name="_Toc441847366"/>
      <w:bookmarkStart w:id="587" w:name="_Toc441848298"/>
      <w:bookmarkStart w:id="588" w:name="_Toc442107140"/>
      <w:bookmarkStart w:id="589" w:name="_Toc442108792"/>
      <w:bookmarkStart w:id="590" w:name="_Toc443038190"/>
      <w:bookmarkStart w:id="591" w:name="_Toc443043908"/>
      <w:bookmarkStart w:id="592" w:name="_Toc443052598"/>
      <w:bookmarkStart w:id="593" w:name="_Toc443054887"/>
      <w:bookmarkStart w:id="594" w:name="_Toc449432111"/>
      <w:bookmarkStart w:id="595" w:name="_Toc449438579"/>
      <w:bookmarkStart w:id="596" w:name="_Toc450310174"/>
      <w:r>
        <w:t xml:space="preserve">Principles to </w:t>
      </w:r>
      <w:r w:rsidDel="00687777">
        <w:t xml:space="preserve">guide </w:t>
      </w:r>
      <w:r>
        <w:t>a regulatory reform process</w:t>
      </w:r>
      <w:bookmarkEnd w:id="585"/>
      <w:bookmarkEnd w:id="586"/>
      <w:bookmarkEnd w:id="587"/>
      <w:bookmarkEnd w:id="588"/>
      <w:bookmarkEnd w:id="589"/>
      <w:bookmarkEnd w:id="590"/>
      <w:bookmarkEnd w:id="591"/>
      <w:bookmarkEnd w:id="592"/>
      <w:bookmarkEnd w:id="593"/>
      <w:bookmarkEnd w:id="594"/>
      <w:bookmarkEnd w:id="595"/>
      <w:bookmarkEnd w:id="596"/>
    </w:p>
    <w:p w14:paraId="21079FAA" w14:textId="77777777" w:rsidR="00EB2B81" w:rsidRDefault="00EB2B81" w:rsidP="00BC43B3">
      <w:r>
        <w:t>Noting that the current regulatory regime has shaped commercial decisions in many markets, a reform process would need to be carefully planned so that it did not to unnecessarily disrupt commercial activity, innovation or investment decisions.</w:t>
      </w:r>
    </w:p>
    <w:p w14:paraId="3C850AC2" w14:textId="77777777" w:rsidR="00EB2B81" w:rsidRDefault="00EB2B81" w:rsidP="00BC43B3">
      <w:r>
        <w:t>A first step could be to develop a set of principles to guide the reform process in order to promote a consistent approach and common set of objectives.</w:t>
      </w:r>
    </w:p>
    <w:p w14:paraId="56FA91B0" w14:textId="77777777" w:rsidR="00EB2B81" w:rsidRDefault="00EB2B81" w:rsidP="00BC43B3">
      <w:r>
        <w:t>The Review has identified two sets of principles. Firstly, high level intervention principles that guide decisions about when and how governments should intervene in the market. Secondly, where it is decided that regulation is the appropriate form of intervention, a set of regulatory design principles are proposed to help guide the way regulation is used.</w:t>
      </w:r>
    </w:p>
    <w:p w14:paraId="65B3E547" w14:textId="77777777" w:rsidR="00EB2B81" w:rsidRDefault="00EB2B81" w:rsidP="00BC43B3">
      <w:r>
        <w:t>The high level intervention principles draw on previous work by the Department and include the following:</w:t>
      </w:r>
    </w:p>
    <w:p w14:paraId="416FB48D" w14:textId="77777777" w:rsidR="00EB2B81" w:rsidRDefault="00EB2B81" w:rsidP="00EB2B81">
      <w:pPr>
        <w:pStyle w:val="Bulletlevel1"/>
      </w:pPr>
      <w:r>
        <w:t xml:space="preserve">The role of government is to facilitate competitive market environments </w:t>
      </w:r>
      <w:r w:rsidRPr="009A6987">
        <w:t>as the primary mechanism for achieving public policy goals</w:t>
      </w:r>
      <w:r>
        <w:t xml:space="preserve"> and then to intervene further only where clear evidence exists of market failure, or if a public policy goal is unlikely to be delivered by the market;</w:t>
      </w:r>
    </w:p>
    <w:p w14:paraId="756E644E" w14:textId="77777777" w:rsidR="00EB2B81" w:rsidRDefault="00EB2B81" w:rsidP="00EB2B81">
      <w:pPr>
        <w:pStyle w:val="Bulletlevel1"/>
      </w:pPr>
      <w:r>
        <w:t>When government intervenes in the market it should be done in such a way as to impose the minimum cost in order to achieve the public policy goals. Such interventions should produce benefits that outweigh the costs, including costs imposed on industry (compliance), government (enforcement) and consumers (reduced innovation, choice or competition);</w:t>
      </w:r>
    </w:p>
    <w:p w14:paraId="270AF16F" w14:textId="51CEE9D5" w:rsidR="00EB2B81" w:rsidRDefault="00EB2B81" w:rsidP="00EB2B81">
      <w:pPr>
        <w:pStyle w:val="Bulletlevel1"/>
      </w:pPr>
      <w:r w:rsidRPr="009A6987">
        <w:t>When market interventions are necessary</w:t>
      </w:r>
      <w:r>
        <w:t>, a number of regulatory tools should be considered</w:t>
      </w:r>
      <w:r w:rsidRPr="009A6987">
        <w:t>—</w:t>
      </w:r>
      <w:r>
        <w:t>policy makers should not rely exclusively on</w:t>
      </w:r>
      <w:r w:rsidRPr="009A6987">
        <w:t xml:space="preserve"> </w:t>
      </w:r>
      <w:r>
        <w:t xml:space="preserve">‘black letter’ </w:t>
      </w:r>
      <w:r w:rsidRPr="009A6987">
        <w:t xml:space="preserve">regulation but </w:t>
      </w:r>
      <w:r>
        <w:t xml:space="preserve">also consider other options such as </w:t>
      </w:r>
      <w:r w:rsidRPr="009A6987">
        <w:t>direct and co-investment (</w:t>
      </w:r>
      <w:r>
        <w:t xml:space="preserve">for example </w:t>
      </w:r>
      <w:r w:rsidR="0020342E">
        <w:t>nbn</w:t>
      </w:r>
      <w:r w:rsidRPr="009A6987">
        <w:t>, Screen Australia</w:t>
      </w:r>
      <w:r>
        <w:t xml:space="preserve"> and the</w:t>
      </w:r>
      <w:r w:rsidR="00CF6194">
        <w:t xml:space="preserve"> </w:t>
      </w:r>
      <w:r w:rsidRPr="009A6987">
        <w:t xml:space="preserve">Mobile Black Spot Programme), </w:t>
      </w:r>
      <w:r>
        <w:t>contracted service delivery (Universal Service Obligation, National Relay Service),</w:t>
      </w:r>
      <w:r w:rsidRPr="009A6987">
        <w:t xml:space="preserve"> indirect funding (tax incentives) and facilitation and education program</w:t>
      </w:r>
      <w:r>
        <w:t>me</w:t>
      </w:r>
      <w:r w:rsidRPr="009A6987">
        <w:t>s</w:t>
      </w:r>
      <w:r>
        <w:t>;</w:t>
      </w:r>
      <w:r w:rsidR="006024FD">
        <w:t xml:space="preserve"> and</w:t>
      </w:r>
    </w:p>
    <w:p w14:paraId="69DCF4C8" w14:textId="77777777" w:rsidR="00EB2B81" w:rsidRDefault="00EB2B81" w:rsidP="00EB2B81">
      <w:pPr>
        <w:pStyle w:val="Bulletlevel1"/>
      </w:pPr>
      <w:r>
        <w:t>Government intervention should be considered from a system-wide view of the interdependence, interconnectivity and feedback relationships between different part of the communications sector and other sectors in the economy.</w:t>
      </w:r>
    </w:p>
    <w:p w14:paraId="5CA7851B" w14:textId="77777777" w:rsidR="00EB2B81" w:rsidRDefault="00EB2B81" w:rsidP="00BC43B3">
      <w:r>
        <w:t>The regulatory design principles identified by the Review are as follows:</w:t>
      </w:r>
    </w:p>
    <w:p w14:paraId="21AA3E98" w14:textId="77777777" w:rsidR="00EB2B81" w:rsidRDefault="00EB2B81" w:rsidP="00EB2B81">
      <w:pPr>
        <w:pStyle w:val="Bulletlevel1"/>
      </w:pPr>
      <w:r>
        <w:t>Regulation should establish rules that are clear, simple and practical for all users and that have a sound legal and empirical base;</w:t>
      </w:r>
    </w:p>
    <w:p w14:paraId="1B300245" w14:textId="77777777" w:rsidR="00EB2B81" w:rsidRDefault="00EB2B81" w:rsidP="00EB2B81">
      <w:pPr>
        <w:pStyle w:val="Bulletlevel1"/>
      </w:pPr>
      <w:r>
        <w:t>Regulation should be competitively neutral such that it achieves parity of treatment of similar services regardless of the underlying medium or device used to deliver or receive the service, unless there are clearly articulated and compelling reasons to do otherwise;</w:t>
      </w:r>
    </w:p>
    <w:p w14:paraId="1BD3DB9F" w14:textId="16D84539" w:rsidR="00EB2B81" w:rsidRDefault="00EB2B81" w:rsidP="00EB2B81">
      <w:pPr>
        <w:pStyle w:val="Bulletlevel1"/>
      </w:pPr>
      <w:r>
        <w:t>Regulation should</w:t>
      </w:r>
      <w:r w:rsidRPr="00A158C1">
        <w:t xml:space="preserve"> promote the greatest practical use of co-regulation and self-regulation</w:t>
      </w:r>
      <w:r>
        <w:t>;</w:t>
      </w:r>
      <w:r w:rsidR="006024FD">
        <w:t xml:space="preserve"> and</w:t>
      </w:r>
    </w:p>
    <w:p w14:paraId="299D3256" w14:textId="77777777" w:rsidR="00EB2B81" w:rsidRDefault="00EB2B81" w:rsidP="00EB2B81">
      <w:pPr>
        <w:pStyle w:val="Bulletlevel1"/>
      </w:pPr>
      <w:r>
        <w:t>E</w:t>
      </w:r>
      <w:r w:rsidRPr="00A158C1">
        <w:t xml:space="preserve">nforcement frameworks in legislation </w:t>
      </w:r>
      <w:r>
        <w:t>should</w:t>
      </w:r>
      <w:r w:rsidRPr="00A158C1">
        <w:t xml:space="preserve"> provide remedies </w:t>
      </w:r>
      <w:r>
        <w:t xml:space="preserve">which are </w:t>
      </w:r>
      <w:r w:rsidRPr="00A158C1">
        <w:t xml:space="preserve">proportionate to the nature of the </w:t>
      </w:r>
      <w:r>
        <w:t xml:space="preserve">relevant </w:t>
      </w:r>
      <w:r w:rsidRPr="00A158C1">
        <w:t>breach.</w:t>
      </w:r>
    </w:p>
    <w:p w14:paraId="0EA0E357" w14:textId="77777777" w:rsidR="00EB2B81" w:rsidRDefault="00EB2B81" w:rsidP="00BC43B3">
      <w:r>
        <w:t>As a new regulatory framework is established based on these principles, c</w:t>
      </w:r>
      <w:r w:rsidRPr="00A158C1">
        <w:t xml:space="preserve">oncepts, regulation and reporting regimes that are included in current regulation but which are outdated and no longer relevant </w:t>
      </w:r>
      <w:r>
        <w:t>should</w:t>
      </w:r>
      <w:r w:rsidRPr="00A158C1">
        <w:t xml:space="preserve"> be removed. </w:t>
      </w:r>
      <w:r>
        <w:t>Any new regulation should</w:t>
      </w:r>
      <w:r w:rsidRPr="00A158C1">
        <w:t xml:space="preserve"> be flexible enough to allow for the future removal or amendment of rules for which compliance has been consistent over prolonged periods</w:t>
      </w:r>
      <w:r>
        <w:t>.</w:t>
      </w:r>
    </w:p>
    <w:p w14:paraId="4D3E28C4" w14:textId="79D64439" w:rsidR="00EB2B81" w:rsidRDefault="00EB2B81" w:rsidP="00504587">
      <w:pPr>
        <w:pStyle w:val="Heading4"/>
      </w:pPr>
      <w:bookmarkStart w:id="597" w:name="_Toc441845114"/>
      <w:bookmarkStart w:id="598" w:name="_Toc441847367"/>
      <w:bookmarkStart w:id="599" w:name="_Toc441848299"/>
      <w:bookmarkStart w:id="600" w:name="_Toc442107141"/>
      <w:bookmarkStart w:id="601" w:name="_Toc442108793"/>
      <w:bookmarkStart w:id="602" w:name="_Toc443038191"/>
      <w:bookmarkStart w:id="603" w:name="_Toc443043909"/>
      <w:bookmarkStart w:id="604" w:name="_Toc443052599"/>
      <w:bookmarkStart w:id="605" w:name="_Toc443054888"/>
      <w:bookmarkStart w:id="606" w:name="_Toc449432112"/>
      <w:bookmarkStart w:id="607" w:name="_Toc449438580"/>
      <w:bookmarkStart w:id="608" w:name="_Toc450310175"/>
      <w:r>
        <w:t xml:space="preserve">Enduring </w:t>
      </w:r>
      <w:r w:rsidR="00867431">
        <w:t>p</w:t>
      </w:r>
      <w:r>
        <w:t xml:space="preserve">olicy </w:t>
      </w:r>
      <w:r w:rsidR="00867431">
        <w:t>c</w:t>
      </w:r>
      <w:r>
        <w:t>oncepts</w:t>
      </w:r>
      <w:bookmarkEnd w:id="597"/>
      <w:bookmarkEnd w:id="598"/>
      <w:bookmarkEnd w:id="599"/>
      <w:bookmarkEnd w:id="600"/>
      <w:bookmarkEnd w:id="601"/>
      <w:bookmarkEnd w:id="602"/>
      <w:bookmarkEnd w:id="603"/>
      <w:bookmarkEnd w:id="604"/>
      <w:bookmarkEnd w:id="605"/>
      <w:bookmarkEnd w:id="606"/>
      <w:bookmarkEnd w:id="607"/>
      <w:bookmarkEnd w:id="608"/>
    </w:p>
    <w:p w14:paraId="64AECED4" w14:textId="77777777" w:rsidR="00EB2B81" w:rsidRDefault="00EB2B81" w:rsidP="00BC43B3">
      <w:r>
        <w:t>Principles alone are unlikely to be sufficient to guide the development of communications regulation given societal expectations regarding the wide set of public policy outcomes to be delivered by the communications sector.</w:t>
      </w:r>
    </w:p>
    <w:p w14:paraId="21417CE0" w14:textId="77777777" w:rsidR="00EB2B81" w:rsidRDefault="00EB2B81" w:rsidP="00BC43B3">
      <w:r>
        <w:t>The regulatory reform process would also need to consider the public policy objectives that are likely to remain relevant to the communications sector regardless of future changes in the market, society and technology and where regulation is likely to have an ongoing role.</w:t>
      </w:r>
    </w:p>
    <w:p w14:paraId="68605964" w14:textId="77777777" w:rsidR="00EB2B81" w:rsidRDefault="00EB2B81" w:rsidP="00EB2B81">
      <w:pPr>
        <w:pStyle w:val="Default"/>
        <w:spacing w:after="120"/>
        <w:rPr>
          <w:sz w:val="22"/>
          <w:szCs w:val="22"/>
        </w:rPr>
      </w:pPr>
      <w:r w:rsidRPr="00904999">
        <w:rPr>
          <w:sz w:val="22"/>
          <w:szCs w:val="22"/>
        </w:rPr>
        <w:t xml:space="preserve">In 2013, the Department published a policy background paper called ‘Deregulation in the Communications Portfolio’. It examined the key policy objectives in communications legislation and sought to identify those </w:t>
      </w:r>
      <w:r>
        <w:rPr>
          <w:sz w:val="22"/>
          <w:szCs w:val="22"/>
        </w:rPr>
        <w:t>which have remained relevant in the face of recent technological change</w:t>
      </w:r>
      <w:r w:rsidRPr="00904999">
        <w:rPr>
          <w:sz w:val="22"/>
          <w:szCs w:val="22"/>
        </w:rPr>
        <w:t>.</w:t>
      </w:r>
      <w:r w:rsidRPr="00446497">
        <w:rPr>
          <w:sz w:val="22"/>
          <w:szCs w:val="22"/>
          <w:vertAlign w:val="superscript"/>
        </w:rPr>
        <w:footnoteReference w:id="100"/>
      </w:r>
    </w:p>
    <w:p w14:paraId="53523E20" w14:textId="09ED6128" w:rsidR="00EB2B81" w:rsidRDefault="00EB2B81" w:rsidP="00BC43B3">
      <w:r w:rsidRPr="00732E5A">
        <w:t xml:space="preserve">The paper drew on work by the ACMA to develop seven enduring concepts that </w:t>
      </w:r>
      <w:r>
        <w:t>could</w:t>
      </w:r>
      <w:r w:rsidRPr="00732E5A">
        <w:t xml:space="preserve"> provide a guide for present and future regulatory intervention.</w:t>
      </w:r>
      <w:r>
        <w:rPr>
          <w:rStyle w:val="FootnoteReference"/>
        </w:rPr>
        <w:footnoteReference w:id="101"/>
      </w:r>
      <w:r>
        <w:t xml:space="preserve"> The Review’s information-gathering has led to the inclusion of </w:t>
      </w:r>
      <w:r w:rsidRPr="006162B8">
        <w:t>a further enduring concept</w:t>
      </w:r>
      <w:r>
        <w:t xml:space="preserve"> related to the importance of general purpose networks to Australian society and its economy.</w:t>
      </w:r>
    </w:p>
    <w:p w14:paraId="15262194" w14:textId="77777777" w:rsidR="00EB2B81" w:rsidRPr="002755CC" w:rsidRDefault="00EB2B81" w:rsidP="00504587">
      <w:pPr>
        <w:pStyle w:val="Heading5"/>
      </w:pPr>
      <w:r w:rsidRPr="002755CC">
        <w:t>Access to services / participation in society</w:t>
      </w:r>
    </w:p>
    <w:p w14:paraId="72E2D6F8" w14:textId="77777777" w:rsidR="00EB2B81" w:rsidRDefault="00EB2B81" w:rsidP="00F652FB">
      <w:r w:rsidRPr="002755CC">
        <w:t xml:space="preserve">Citizens should enjoy reasonable and equitable access to communications infrastructure, services and the content necessary to </w:t>
      </w:r>
      <w:r>
        <w:t xml:space="preserve">enable </w:t>
      </w:r>
      <w:r w:rsidRPr="002755CC">
        <w:t>their effective participation in society and the economy.</w:t>
      </w:r>
    </w:p>
    <w:p w14:paraId="035DEEBE" w14:textId="77777777" w:rsidR="00EB2B81" w:rsidRDefault="00EB2B81" w:rsidP="00504587">
      <w:pPr>
        <w:pStyle w:val="Heading5"/>
      </w:pPr>
      <w:r w:rsidRPr="002755CC">
        <w:t>Competition</w:t>
      </w:r>
    </w:p>
    <w:p w14:paraId="459CB23C" w14:textId="77777777" w:rsidR="00EB2B81" w:rsidRDefault="00EB2B81" w:rsidP="00F652FB">
      <w:r w:rsidRPr="002755CC">
        <w:t>Markets should be open and competitive so as to encourage investment, innovation and diversity of choice. Regulatory settings should embody competitive neutrality across platforms and among market participants so as to minimise potential market distortions.</w:t>
      </w:r>
    </w:p>
    <w:p w14:paraId="276E7F04" w14:textId="77777777" w:rsidR="00EB2B81" w:rsidRDefault="00EB2B81" w:rsidP="00504587">
      <w:pPr>
        <w:pStyle w:val="Heading5"/>
      </w:pPr>
      <w:r w:rsidRPr="002755CC">
        <w:t>Efficient allocation and use of resources</w:t>
      </w:r>
    </w:p>
    <w:p w14:paraId="550B806A" w14:textId="77777777" w:rsidR="00EB2B81" w:rsidRDefault="00EB2B81" w:rsidP="00F652FB">
      <w:r w:rsidRPr="002755CC">
        <w:t>Policy settings should be coherent, appropriately calibrated and predictable so that a minimum level of service is available to all and public resources are used efficiently over time. This would include ensuring that radiofrequency spectrum is allocated</w:t>
      </w:r>
      <w:r>
        <w:t xml:space="preserve"> and priced</w:t>
      </w:r>
      <w:r w:rsidRPr="002755CC">
        <w:t xml:space="preserve"> efficiently,</w:t>
      </w:r>
      <w:r>
        <w:t xml:space="preserve"> and</w:t>
      </w:r>
      <w:r w:rsidRPr="002755CC">
        <w:t xml:space="preserve"> </w:t>
      </w:r>
      <w:r>
        <w:t xml:space="preserve">that it is managed </w:t>
      </w:r>
      <w:r w:rsidRPr="002755CC">
        <w:t>for technical and dynamic efficiency</w:t>
      </w:r>
      <w:r>
        <w:t xml:space="preserve"> over time</w:t>
      </w:r>
      <w:r w:rsidRPr="002755CC">
        <w:t xml:space="preserve">. </w:t>
      </w:r>
      <w:r w:rsidRPr="006162B8">
        <w:t>This should be balanced with</w:t>
      </w:r>
      <w:r w:rsidRPr="002755CC">
        <w:t xml:space="preserve"> rights holders being able to secure an appropriate return on their investment and/or intellectual property.</w:t>
      </w:r>
    </w:p>
    <w:p w14:paraId="354A32AF" w14:textId="77777777" w:rsidR="00EB2B81" w:rsidRPr="002755CC" w:rsidRDefault="00EB2B81" w:rsidP="00504587">
      <w:pPr>
        <w:pStyle w:val="Heading5"/>
      </w:pPr>
      <w:r w:rsidRPr="002755CC">
        <w:t>Network reliability and interconnection</w:t>
      </w:r>
    </w:p>
    <w:p w14:paraId="7A8724AF" w14:textId="77777777" w:rsidR="00EB2B81" w:rsidRDefault="00EB2B81" w:rsidP="00F652FB">
      <w:r w:rsidRPr="006162B8">
        <w:t>Networks should operate in an efficient and effective manner. A unique feature of communications networks is their interconnected nature where multiple and co-dependent parties all require, and must themselves contribute to, an assured level of service. The requirement to offer any-to-any connectivity is critical to the efficient functioning of most communications networks.</w:t>
      </w:r>
    </w:p>
    <w:p w14:paraId="2D9747DC" w14:textId="77777777" w:rsidR="00EB2B81" w:rsidRPr="002755CC" w:rsidRDefault="00EB2B81" w:rsidP="00504587">
      <w:pPr>
        <w:pStyle w:val="Heading5"/>
      </w:pPr>
      <w:r w:rsidRPr="002755CC">
        <w:t>National interest</w:t>
      </w:r>
    </w:p>
    <w:p w14:paraId="1FAC872F" w14:textId="77777777" w:rsidR="00EB2B81" w:rsidRDefault="00EB2B81" w:rsidP="00F652FB">
      <w:r w:rsidRPr="002755CC">
        <w:t xml:space="preserve">The communications sector settings should reflect the national interest both domestically and through international forums </w:t>
      </w:r>
      <w:r>
        <w:t>such as those held by the International Telecommunications Union</w:t>
      </w:r>
      <w:r w:rsidRPr="002755CC">
        <w:t xml:space="preserve">. Citizens should be confident that their use of these services is secure and they are protected, for example, from electronic attacks and fraud. </w:t>
      </w:r>
      <w:r>
        <w:t>Ensuring</w:t>
      </w:r>
      <w:r w:rsidRPr="002755CC">
        <w:t xml:space="preserve"> adequate access to spectrum resources for defence, national security, law enforcement, emergency services and other public and community services (such as meteorology and scientific research) is also </w:t>
      </w:r>
      <w:r>
        <w:t>of importance</w:t>
      </w:r>
      <w:r w:rsidRPr="002755CC">
        <w:t>.</w:t>
      </w:r>
    </w:p>
    <w:p w14:paraId="38CADBC2" w14:textId="77777777" w:rsidR="00EB2B81" w:rsidRDefault="00EB2B81" w:rsidP="00504587">
      <w:pPr>
        <w:pStyle w:val="Heading5"/>
      </w:pPr>
      <w:r w:rsidRPr="002755CC">
        <w:t>Diversity of voices</w:t>
      </w:r>
    </w:p>
    <w:p w14:paraId="595D7878" w14:textId="77777777" w:rsidR="00EB2B81" w:rsidRDefault="00EB2B81" w:rsidP="00F652FB">
      <w:r w:rsidRPr="002755CC">
        <w:t xml:space="preserve">There should be a diversity of major information sources and perspectives expressed in the public sphere to </w:t>
      </w:r>
      <w:r>
        <w:t>foster</w:t>
      </w:r>
      <w:r w:rsidRPr="002755CC">
        <w:t xml:space="preserve"> an informed citizenry and healthy democracy. It is important that </w:t>
      </w:r>
      <w:r>
        <w:t xml:space="preserve">these information sources </w:t>
      </w:r>
      <w:r w:rsidRPr="002755CC">
        <w:t>be fair, accurate and transparent.</w:t>
      </w:r>
    </w:p>
    <w:p w14:paraId="71E36902" w14:textId="77777777" w:rsidR="00EB2B81" w:rsidRDefault="00EB2B81" w:rsidP="00504587">
      <w:pPr>
        <w:pStyle w:val="Heading5"/>
      </w:pPr>
      <w:r w:rsidRPr="002755CC">
        <w:t>Australian identity</w:t>
      </w:r>
    </w:p>
    <w:p w14:paraId="3C4074A0" w14:textId="77777777" w:rsidR="00EB2B81" w:rsidRDefault="00EB2B81" w:rsidP="00F652FB">
      <w:r w:rsidRPr="002755CC">
        <w:t>Australians should be able to experience Australian voices and stories when using or consuming media and communications services.</w:t>
      </w:r>
    </w:p>
    <w:p w14:paraId="0FC7048E" w14:textId="77777777" w:rsidR="00EB2B81" w:rsidRDefault="00EB2B81" w:rsidP="00504587">
      <w:pPr>
        <w:pStyle w:val="Heading5"/>
      </w:pPr>
      <w:r w:rsidRPr="002755CC">
        <w:t>Values and safeguards</w:t>
      </w:r>
    </w:p>
    <w:p w14:paraId="61067AAD" w14:textId="77777777" w:rsidR="00EB2B81" w:rsidRDefault="00EB2B81" w:rsidP="00F652FB">
      <w:r w:rsidRPr="002755CC">
        <w:t>Services should reflect community standards, meet community needs and be ‘fit-for-purpose’. Users should be provided with effective and accessible avenues of complaint and redress if standards are not met. In relation to content, children</w:t>
      </w:r>
      <w:r>
        <w:t xml:space="preserve"> </w:t>
      </w:r>
      <w:r w:rsidRPr="002755CC">
        <w:t>in particular should be protected from harmful material.</w:t>
      </w:r>
    </w:p>
    <w:p w14:paraId="509D1670" w14:textId="77777777" w:rsidR="00EB2B81" w:rsidRDefault="00EB2B81" w:rsidP="00BC43B3">
      <w:r w:rsidRPr="00D272AA">
        <w:t>The reform process would need to assess whether these concepts, or others, are likely to remain in the public interest</w:t>
      </w:r>
      <w:r>
        <w:t xml:space="preserve"> and how best to achieve them based on the principles outline above.</w:t>
      </w:r>
    </w:p>
    <w:p w14:paraId="3572AD7D" w14:textId="72B4E7A9" w:rsidR="00EB2B81" w:rsidRDefault="00EB2B81" w:rsidP="00BC43B3">
      <w:r w:rsidRPr="00D272AA">
        <w:t xml:space="preserve">Once the policy objectives </w:t>
      </w:r>
      <w:r w:rsidR="00E95905">
        <w:t>are</w:t>
      </w:r>
      <w:r w:rsidR="00E95905" w:rsidRPr="00D272AA">
        <w:t xml:space="preserve"> </w:t>
      </w:r>
      <w:r w:rsidRPr="00D272AA">
        <w:t>understood the final step would be analysing the existing regulatory regime to look at the fundamental commonalties across the primary acts and how they can be streamlined to establish a coherent framework that promotes th</w:t>
      </w:r>
      <w:r>
        <w:t>e</w:t>
      </w:r>
      <w:r w:rsidRPr="00D272AA">
        <w:t xml:space="preserve">se objectives in a </w:t>
      </w:r>
      <w:r w:rsidRPr="00AF5BE6">
        <w:t>manner</w:t>
      </w:r>
      <w:r>
        <w:t xml:space="preserve"> consistent with the agreed principles.</w:t>
      </w:r>
    </w:p>
    <w:p w14:paraId="0B767658" w14:textId="77777777" w:rsidR="00EB2B81" w:rsidRDefault="00EB2B81" w:rsidP="00933CAA">
      <w:pPr>
        <w:pStyle w:val="Heading3"/>
      </w:pPr>
      <w:bookmarkStart w:id="609" w:name="_Toc441847368"/>
      <w:bookmarkStart w:id="610" w:name="_Toc441848300"/>
      <w:bookmarkStart w:id="611" w:name="_Toc442107142"/>
      <w:bookmarkStart w:id="612" w:name="_Toc442108794"/>
      <w:bookmarkStart w:id="613" w:name="_Toc443038192"/>
      <w:bookmarkStart w:id="614" w:name="_Toc443043910"/>
      <w:bookmarkStart w:id="615" w:name="_Toc443052600"/>
      <w:bookmarkStart w:id="616" w:name="_Toc443054889"/>
      <w:bookmarkStart w:id="617" w:name="_Toc449432113"/>
      <w:bookmarkStart w:id="618" w:name="_Toc449438581"/>
      <w:bookmarkStart w:id="619" w:name="_Toc450310176"/>
      <w:r>
        <w:t>Co- and self-regulation</w:t>
      </w:r>
      <w:bookmarkEnd w:id="609"/>
      <w:bookmarkEnd w:id="610"/>
      <w:bookmarkEnd w:id="611"/>
      <w:bookmarkEnd w:id="612"/>
      <w:bookmarkEnd w:id="613"/>
      <w:bookmarkEnd w:id="614"/>
      <w:bookmarkEnd w:id="615"/>
      <w:bookmarkEnd w:id="616"/>
      <w:bookmarkEnd w:id="617"/>
      <w:bookmarkEnd w:id="618"/>
      <w:bookmarkEnd w:id="619"/>
    </w:p>
    <w:p w14:paraId="5AA6D0F4" w14:textId="77777777" w:rsidR="00EB2B81" w:rsidRDefault="00EB2B81" w:rsidP="00BC43B3">
      <w:r w:rsidRPr="006453A1">
        <w:t xml:space="preserve">Best practice regulatory design </w:t>
      </w:r>
      <w:r>
        <w:t xml:space="preserve">also </w:t>
      </w:r>
      <w:r w:rsidRPr="006453A1">
        <w:t>suggests that in the communications sector</w:t>
      </w:r>
      <w:r>
        <w:t>,</w:t>
      </w:r>
      <w:r w:rsidRPr="006453A1">
        <w:t xml:space="preserve"> with its fast </w:t>
      </w:r>
      <w:r>
        <w:t>pace</w:t>
      </w:r>
      <w:r w:rsidRPr="006453A1">
        <w:t xml:space="preserve"> of change and innovation, greater reliance on co-</w:t>
      </w:r>
      <w:r>
        <w:t>regulatory</w:t>
      </w:r>
      <w:r w:rsidRPr="006453A1">
        <w:t xml:space="preserve"> and self-regulatory models </w:t>
      </w:r>
      <w:r>
        <w:t>sh</w:t>
      </w:r>
      <w:r w:rsidRPr="006453A1">
        <w:t>ould lead to better outcomes for consumers and industry.</w:t>
      </w:r>
    </w:p>
    <w:p w14:paraId="4CAB0951" w14:textId="21283E13" w:rsidR="00EB2B81" w:rsidRPr="006453A1" w:rsidRDefault="00EB2B81" w:rsidP="00576140">
      <w:r w:rsidRPr="006453A1">
        <w:t>The Department described in some detail the role of co</w:t>
      </w:r>
      <w:r>
        <w:t>-</w:t>
      </w:r>
      <w:r w:rsidRPr="006453A1">
        <w:t xml:space="preserve"> and self-regulation in its paper on regulating harms in the Australian communications sector. This paper noted that while both forms of regulation are available, in reality the dominant form of intervention in the communications market has been through black</w:t>
      </w:r>
      <w:r w:rsidR="00E95905">
        <w:t xml:space="preserve"> </w:t>
      </w:r>
      <w:r w:rsidRPr="006453A1">
        <w:t>letter law and co-regula</w:t>
      </w:r>
      <w:r>
        <w:t>tory</w:t>
      </w:r>
      <w:r w:rsidRPr="006453A1">
        <w:t xml:space="preserve"> codes of practice. While co-regulation has a range of strengths, there are questions as to whether it should be the default approach to dealing with regulatory harms as it will not succeed unless a range of factors are in place. The Department’s paper concluded </w:t>
      </w:r>
      <w:r>
        <w:t>with the observation</w:t>
      </w:r>
      <w:r w:rsidRPr="006453A1">
        <w:t xml:space="preserve"> that</w:t>
      </w:r>
      <w:r>
        <w:t>, in the complex and ever-changing communications sector,</w:t>
      </w:r>
      <w:r w:rsidRPr="006453A1">
        <w:t xml:space="preserve"> </w:t>
      </w:r>
      <w:r>
        <w:t>it may be most appropriate to employ</w:t>
      </w:r>
      <w:r w:rsidRPr="006453A1">
        <w:t xml:space="preserve"> a small number of rules-based obligations </w:t>
      </w:r>
      <w:r>
        <w:t xml:space="preserve">in some areas while allowing </w:t>
      </w:r>
      <w:r w:rsidRPr="006453A1">
        <w:t>greater use of self-regulation in others</w:t>
      </w:r>
      <w:r>
        <w:rPr>
          <w:rStyle w:val="FootnoteReference"/>
        </w:rPr>
        <w:footnoteReference w:id="102"/>
      </w:r>
      <w:r w:rsidRPr="006453A1">
        <w:t>.</w:t>
      </w:r>
    </w:p>
    <w:p w14:paraId="589138BF" w14:textId="77777777" w:rsidR="00EB2B81" w:rsidRPr="006453A1" w:rsidRDefault="00EB2B81" w:rsidP="00576140">
      <w:r w:rsidRPr="006453A1">
        <w:t>This suggest</w:t>
      </w:r>
      <w:r>
        <w:t>s</w:t>
      </w:r>
      <w:r w:rsidRPr="006453A1">
        <w:t xml:space="preserve"> </w:t>
      </w:r>
      <w:r>
        <w:t xml:space="preserve">that a reform process should aim to </w:t>
      </w:r>
      <w:r w:rsidRPr="006453A1">
        <w:t>reinvigorate the use of self-regulation. This approach would involve:</w:t>
      </w:r>
    </w:p>
    <w:p w14:paraId="563AECCC" w14:textId="77777777" w:rsidR="00EB2B81" w:rsidRPr="006453A1" w:rsidRDefault="00EB2B81" w:rsidP="00EB2B81">
      <w:pPr>
        <w:pStyle w:val="Bulletlevel1"/>
      </w:pPr>
      <w:r>
        <w:t>P</w:t>
      </w:r>
      <w:r w:rsidRPr="006453A1">
        <w:t xml:space="preserve">rimary legislation </w:t>
      </w:r>
      <w:r>
        <w:t>incorporating</w:t>
      </w:r>
      <w:r w:rsidRPr="006453A1">
        <w:t xml:space="preserve"> the core rules that Government had determined should apply to all participants in the industry</w:t>
      </w:r>
      <w:r w:rsidRPr="006453A1" w:rsidDel="00B84C8F">
        <w:t xml:space="preserve"> </w:t>
      </w:r>
      <w:r w:rsidRPr="006453A1">
        <w:t>and which are directed towards minimising harm</w:t>
      </w:r>
      <w:r>
        <w:t>s;</w:t>
      </w:r>
    </w:p>
    <w:p w14:paraId="2D9B4027" w14:textId="77777777" w:rsidR="00EB2B81" w:rsidRPr="006453A1" w:rsidRDefault="00EB2B81" w:rsidP="00EB2B81">
      <w:pPr>
        <w:pStyle w:val="Bulletlevel1"/>
      </w:pPr>
      <w:r w:rsidRPr="006453A1">
        <w:t xml:space="preserve">The majority of technical rules and standards </w:t>
      </w:r>
      <w:r>
        <w:t>being</w:t>
      </w:r>
      <w:r w:rsidRPr="006453A1">
        <w:t xml:space="preserve"> dealt with in self-regulatory codes agreed between relevant industry stakeholders, with the flexibility to change and adapt as technology and practices evolve over time</w:t>
      </w:r>
      <w:r>
        <w:t>;</w:t>
      </w:r>
    </w:p>
    <w:p w14:paraId="37F8DD2E" w14:textId="77777777" w:rsidR="00EB2B81" w:rsidRPr="006453A1" w:rsidRDefault="00EB2B81" w:rsidP="00EB2B81">
      <w:pPr>
        <w:pStyle w:val="Bulletlevel1"/>
      </w:pPr>
      <w:r w:rsidRPr="006453A1">
        <w:t xml:space="preserve">Industry </w:t>
      </w:r>
      <w:r>
        <w:t>being</w:t>
      </w:r>
      <w:r w:rsidRPr="006453A1">
        <w:t xml:space="preserve"> empowered to deal with a broader range of issues in self-regulatory codes, if it determined this was necessary to do so but without the imposition of mandatory obligations to develop these codes</w:t>
      </w:r>
      <w:r>
        <w:t>; and</w:t>
      </w:r>
    </w:p>
    <w:p w14:paraId="6149EC59" w14:textId="77777777" w:rsidR="00EB2B81" w:rsidRPr="006453A1" w:rsidRDefault="00EB2B81" w:rsidP="00EB2B81">
      <w:pPr>
        <w:pStyle w:val="Bulletlevel1"/>
      </w:pPr>
      <w:r w:rsidRPr="006453A1">
        <w:t xml:space="preserve">As always, Government </w:t>
      </w:r>
      <w:r>
        <w:t>having</w:t>
      </w:r>
      <w:r w:rsidRPr="006453A1">
        <w:t xml:space="preserve"> the power to ‘re-enter the field’ in the case of any perceived need to regulate due to a failure of self-regulatory codes or technical standards.</w:t>
      </w:r>
    </w:p>
    <w:p w14:paraId="6BFD0CD6" w14:textId="77777777" w:rsidR="00EB2B81" w:rsidRDefault="00EB2B81" w:rsidP="00576140">
      <w:r w:rsidRPr="006453A1">
        <w:t xml:space="preserve">In order for a greater reliance on self-regulation to </w:t>
      </w:r>
      <w:r>
        <w:t>be effective</w:t>
      </w:r>
      <w:r w:rsidRPr="006453A1">
        <w:t xml:space="preserve">, an essential </w:t>
      </w:r>
      <w:r>
        <w:t>element</w:t>
      </w:r>
      <w:r w:rsidRPr="006453A1">
        <w:t xml:space="preserve"> will be </w:t>
      </w:r>
      <w:r>
        <w:t xml:space="preserve">a strong </w:t>
      </w:r>
      <w:r w:rsidRPr="006453A1">
        <w:t>commit</w:t>
      </w:r>
      <w:r>
        <w:t>ment from industry s</w:t>
      </w:r>
      <w:r w:rsidRPr="006453A1">
        <w:t xml:space="preserve">o </w:t>
      </w:r>
      <w:r>
        <w:t xml:space="preserve">that it will remain </w:t>
      </w:r>
      <w:r w:rsidRPr="006453A1">
        <w:t xml:space="preserve">responsive to consumer </w:t>
      </w:r>
      <w:r>
        <w:t xml:space="preserve">needs and will support codes </w:t>
      </w:r>
      <w:r w:rsidRPr="006453A1">
        <w:t>through high levels of voluntary compliance.</w:t>
      </w:r>
    </w:p>
    <w:p w14:paraId="65E26D45" w14:textId="77777777" w:rsidR="00EB2B81" w:rsidRDefault="00EB2B81" w:rsidP="00576140">
      <w:r w:rsidRPr="006453A1">
        <w:t>It will be necessary for self-regulatory codes to incorporate effective compliance processes</w:t>
      </w:r>
      <w:r>
        <w:t>, with t</w:t>
      </w:r>
      <w:r w:rsidRPr="006453A1">
        <w:t xml:space="preserve">hose processes </w:t>
      </w:r>
      <w:r>
        <w:t xml:space="preserve">being </w:t>
      </w:r>
      <w:r w:rsidRPr="006453A1">
        <w:t xml:space="preserve">supported by the establishment of independent industry bodies </w:t>
      </w:r>
      <w:r>
        <w:t xml:space="preserve">to </w:t>
      </w:r>
      <w:r w:rsidRPr="006453A1">
        <w:t>implement complaint handling procedures.</w:t>
      </w:r>
    </w:p>
    <w:p w14:paraId="3A86CFE6" w14:textId="77777777" w:rsidR="00933CAA" w:rsidRDefault="00933CAA" w:rsidP="00CB4DEF">
      <w:pPr>
        <w:pBdr>
          <w:top w:val="single" w:sz="4" w:space="1" w:color="auto"/>
          <w:left w:val="single" w:sz="4" w:space="1" w:color="auto"/>
          <w:bottom w:val="single" w:sz="4" w:space="1" w:color="auto"/>
          <w:right w:val="single" w:sz="4" w:space="1" w:color="auto"/>
        </w:pBdr>
        <w:shd w:val="clear" w:color="auto" w:fill="DEEAF6" w:themeFill="accent1" w:themeFillTint="33"/>
      </w:pPr>
      <w:r>
        <w:t>Draft proposal:</w:t>
      </w:r>
    </w:p>
    <w:p w14:paraId="60E2909B" w14:textId="77777777" w:rsidR="00933CAA" w:rsidRDefault="00933CAA" w:rsidP="00CB4DEF">
      <w:pPr>
        <w:pStyle w:val="ListParagraph"/>
        <w:numPr>
          <w:ilvl w:val="0"/>
          <w:numId w:val="17"/>
        </w:numPr>
        <w:pBdr>
          <w:top w:val="single" w:sz="4" w:space="1" w:color="auto"/>
          <w:left w:val="single" w:sz="4" w:space="1" w:color="auto"/>
          <w:bottom w:val="single" w:sz="4" w:space="1" w:color="auto"/>
          <w:right w:val="single" w:sz="4" w:space="1" w:color="auto"/>
        </w:pBdr>
        <w:shd w:val="clear" w:color="auto" w:fill="DEEAF6" w:themeFill="accent1" w:themeFillTint="33"/>
        <w:spacing w:line="276" w:lineRule="auto"/>
        <w:ind w:left="567" w:hanging="567"/>
      </w:pPr>
      <w:r>
        <w:t xml:space="preserve">To </w:t>
      </w:r>
      <w:r w:rsidRPr="00693B22">
        <w:rPr>
          <w:rFonts w:cs="Calibri"/>
        </w:rPr>
        <w:t>enable</w:t>
      </w:r>
      <w:r>
        <w:t xml:space="preserve"> the communications sector to reach its full potential as an enabler of innovation and productivity, the Government commence a coordinated programme of regulatory reform to establish a contemporary communications regulatory framework.</w:t>
      </w:r>
    </w:p>
    <w:p w14:paraId="6ED27348" w14:textId="77777777" w:rsidR="00EB2B81" w:rsidRDefault="00EB2B81" w:rsidP="00EB2B81">
      <w:r>
        <w:br w:type="page"/>
      </w:r>
    </w:p>
    <w:p w14:paraId="1A9D7D5B" w14:textId="77777777" w:rsidR="00EB2B81" w:rsidRPr="00DE5E8F" w:rsidRDefault="00EB2B81" w:rsidP="00933CAA">
      <w:pPr>
        <w:pStyle w:val="Heading2"/>
      </w:pPr>
      <w:bookmarkStart w:id="620" w:name="_Toc443038193"/>
      <w:bookmarkStart w:id="621" w:name="_Toc443043911"/>
      <w:bookmarkStart w:id="622" w:name="_Toc443052601"/>
      <w:bookmarkStart w:id="623" w:name="_Toc443054890"/>
      <w:bookmarkStart w:id="624" w:name="_Toc449432114"/>
      <w:bookmarkStart w:id="625" w:name="_Toc449438582"/>
      <w:bookmarkStart w:id="626" w:name="_Toc450310177"/>
      <w:r>
        <w:t>Appendices</w:t>
      </w:r>
      <w:bookmarkEnd w:id="620"/>
      <w:bookmarkEnd w:id="621"/>
      <w:bookmarkEnd w:id="622"/>
      <w:bookmarkEnd w:id="623"/>
      <w:bookmarkEnd w:id="624"/>
      <w:bookmarkEnd w:id="625"/>
      <w:bookmarkEnd w:id="626"/>
    </w:p>
    <w:p w14:paraId="26DECAA0" w14:textId="0EFA06FE" w:rsidR="00EB2B81" w:rsidRDefault="00EB2B81" w:rsidP="00933CAA">
      <w:pPr>
        <w:pStyle w:val="Heading3"/>
      </w:pPr>
      <w:bookmarkStart w:id="627" w:name="_Toc443038195"/>
      <w:bookmarkStart w:id="628" w:name="_Toc443043913"/>
      <w:bookmarkStart w:id="629" w:name="_Toc443052603"/>
      <w:bookmarkStart w:id="630" w:name="_Toc443054892"/>
      <w:bookmarkStart w:id="631" w:name="_Toc449432115"/>
      <w:bookmarkStart w:id="632" w:name="_Toc449438583"/>
      <w:bookmarkStart w:id="633" w:name="_Toc450310178"/>
      <w:r>
        <w:t xml:space="preserve">Appendix A: Draft </w:t>
      </w:r>
      <w:r w:rsidR="00867431">
        <w:t>p</w:t>
      </w:r>
      <w:r>
        <w:t>roposals</w:t>
      </w:r>
      <w:bookmarkEnd w:id="627"/>
      <w:bookmarkEnd w:id="628"/>
      <w:bookmarkEnd w:id="629"/>
      <w:bookmarkEnd w:id="630"/>
      <w:bookmarkEnd w:id="631"/>
      <w:bookmarkEnd w:id="632"/>
      <w:bookmarkEnd w:id="633"/>
    </w:p>
    <w:p w14:paraId="4C10294D" w14:textId="77777777" w:rsidR="00EB2B81" w:rsidRDefault="00EB2B81" w:rsidP="00933CAA">
      <w:pPr>
        <w:pStyle w:val="Heading4"/>
      </w:pPr>
      <w:bookmarkStart w:id="634" w:name="_Toc449620028"/>
      <w:bookmarkStart w:id="635" w:name="_Toc450310179"/>
      <w:r>
        <w:t>Remit</w:t>
      </w:r>
      <w:bookmarkEnd w:id="634"/>
      <w:bookmarkEnd w:id="635"/>
    </w:p>
    <w:p w14:paraId="230D4C43" w14:textId="77777777" w:rsidR="00EB2B81" w:rsidRDefault="00EB2B81" w:rsidP="006A76CE">
      <w:pPr>
        <w:pStyle w:val="Bulletlevel1"/>
        <w:numPr>
          <w:ilvl w:val="0"/>
          <w:numId w:val="31"/>
        </w:numPr>
        <w:rPr>
          <w:b/>
        </w:rPr>
      </w:pPr>
      <w:r>
        <w:t>That the ACMA’s remit cover all the layers of the communications market, including infrastructure, transport, devices, content and applications.</w:t>
      </w:r>
    </w:p>
    <w:p w14:paraId="50335F49" w14:textId="77777777" w:rsidR="00EB2B81" w:rsidRDefault="00EB2B81" w:rsidP="00933CAA">
      <w:pPr>
        <w:pStyle w:val="Heading4"/>
      </w:pPr>
      <w:bookmarkStart w:id="636" w:name="_Toc449620029"/>
      <w:bookmarkStart w:id="637" w:name="_Toc450310180"/>
      <w:r w:rsidRPr="00B45D70">
        <w:t>Functions analysis</w:t>
      </w:r>
      <w:bookmarkEnd w:id="636"/>
      <w:bookmarkEnd w:id="637"/>
    </w:p>
    <w:p w14:paraId="5DDB4F28" w14:textId="77777777" w:rsidR="00EB2B81" w:rsidRDefault="00EB2B81" w:rsidP="006A76CE">
      <w:pPr>
        <w:pStyle w:val="Bulletlevel1"/>
        <w:numPr>
          <w:ilvl w:val="0"/>
          <w:numId w:val="31"/>
        </w:numPr>
        <w:ind w:left="357" w:hanging="357"/>
        <w:contextualSpacing w:val="0"/>
        <w:rPr>
          <w:b/>
        </w:rPr>
      </w:pPr>
      <w:r w:rsidRPr="001946A5">
        <w:t>That the ACMA’s cyber</w:t>
      </w:r>
      <w:r>
        <w:t>-</w:t>
      </w:r>
      <w:r w:rsidRPr="001946A5">
        <w:t>security program</w:t>
      </w:r>
      <w:r>
        <w:t>me</w:t>
      </w:r>
      <w:r w:rsidRPr="001946A5">
        <w:t xml:space="preserve">s be transferred, along with staff and funding, </w:t>
      </w:r>
      <w:r>
        <w:t>to</w:t>
      </w:r>
      <w:r w:rsidRPr="001946A5">
        <w:t xml:space="preserve"> the Attorney-General’s Department</w:t>
      </w:r>
      <w:r w:rsidRPr="0002535F">
        <w:rPr>
          <w:rFonts w:asciiTheme="majorHAnsi" w:hAnsiTheme="majorHAnsi"/>
        </w:rPr>
        <w:t>.</w:t>
      </w:r>
    </w:p>
    <w:p w14:paraId="417890FD" w14:textId="77777777" w:rsidR="00EB2B81" w:rsidRDefault="00EB2B81" w:rsidP="006A76CE">
      <w:pPr>
        <w:pStyle w:val="Bulletlevel1"/>
        <w:numPr>
          <w:ilvl w:val="0"/>
          <w:numId w:val="31"/>
        </w:numPr>
        <w:ind w:left="357" w:hanging="357"/>
        <w:contextualSpacing w:val="0"/>
      </w:pPr>
      <w:r>
        <w:t>That the Bureau of Communications Research assume the lead in taking forward research about the emerging environment and market trends, with ACMA’s regulatory research programme focusing on supporting the effectiveness of regulatory functions and harms that are affecting businesses and consumers.</w:t>
      </w:r>
    </w:p>
    <w:p w14:paraId="495F237C" w14:textId="235B9187" w:rsidR="00EB2B81" w:rsidRDefault="00EB2B81" w:rsidP="006A76CE">
      <w:pPr>
        <w:pStyle w:val="Bulletlevel1"/>
        <w:numPr>
          <w:ilvl w:val="0"/>
          <w:numId w:val="31"/>
        </w:numPr>
        <w:ind w:left="357" w:hanging="357"/>
        <w:contextualSpacing w:val="0"/>
      </w:pPr>
      <w:r w:rsidRPr="00895A03">
        <w:t xml:space="preserve">That the Department </w:t>
      </w:r>
      <w:r>
        <w:t>of Communications and the Arts</w:t>
      </w:r>
      <w:r w:rsidRPr="00895A03">
        <w:t xml:space="preserve"> be responsible for head of delegation roles to key international policy-setting forums, including the World Radiocommunication</w:t>
      </w:r>
      <w:r w:rsidR="00563873">
        <w:t>s</w:t>
      </w:r>
      <w:r w:rsidRPr="00895A03">
        <w:t xml:space="preserve"> Conference</w:t>
      </w:r>
      <w:r>
        <w:t>,</w:t>
      </w:r>
      <w:r w:rsidRPr="00895A03">
        <w:t xml:space="preserve"> and that clear guidance and negotiating parameters be provided by the Department to heads of delegation.</w:t>
      </w:r>
    </w:p>
    <w:p w14:paraId="61E12343" w14:textId="77777777" w:rsidR="00EB2B81" w:rsidRDefault="00EB2B81" w:rsidP="006A76CE">
      <w:pPr>
        <w:pStyle w:val="Bulletlevel1"/>
        <w:numPr>
          <w:ilvl w:val="0"/>
          <w:numId w:val="31"/>
        </w:numPr>
        <w:ind w:left="357" w:hanging="357"/>
        <w:contextualSpacing w:val="0"/>
      </w:pPr>
      <w:r w:rsidDel="00B9073E">
        <w:t>That further work be undertaken to determine whether it may be more efficient for another body, such as the Australian Taxation Office, to undertake the revenue collection functions currently performed by the ACMA.</w:t>
      </w:r>
    </w:p>
    <w:p w14:paraId="1512ABAB" w14:textId="77777777" w:rsidR="00EB2B81" w:rsidRPr="001946A5" w:rsidRDefault="00EB2B81" w:rsidP="006A76CE">
      <w:pPr>
        <w:pStyle w:val="Bulletlevel1"/>
        <w:numPr>
          <w:ilvl w:val="0"/>
          <w:numId w:val="31"/>
        </w:numPr>
      </w:pPr>
      <w:r w:rsidRPr="001946A5">
        <w:t>That</w:t>
      </w:r>
      <w:r>
        <w:t>, within the next 12 months,</w:t>
      </w:r>
      <w:r w:rsidRPr="001946A5">
        <w:t xml:space="preserve"> the ACMA examine whether</w:t>
      </w:r>
      <w:r>
        <w:t xml:space="preserve"> some or all of</w:t>
      </w:r>
      <w:r w:rsidRPr="001946A5">
        <w:t xml:space="preserve"> the following functions can be referred to industry for self-regulation, in consultation with relevant industry bodies:</w:t>
      </w:r>
    </w:p>
    <w:p w14:paraId="085068EF" w14:textId="77777777" w:rsidR="00EB2B81" w:rsidRPr="001946A5" w:rsidRDefault="00EB2B81" w:rsidP="006A76CE">
      <w:pPr>
        <w:pStyle w:val="Bulletlevel1"/>
        <w:ind w:left="1276"/>
      </w:pPr>
      <w:r w:rsidRPr="001946A5">
        <w:t>technical standards</w:t>
      </w:r>
      <w:r>
        <w:t>;</w:t>
      </w:r>
    </w:p>
    <w:p w14:paraId="0FD659F1" w14:textId="77777777" w:rsidR="00EB2B81" w:rsidRPr="001946A5" w:rsidRDefault="00EB2B81" w:rsidP="006A76CE">
      <w:pPr>
        <w:pStyle w:val="Bulletlevel1"/>
        <w:ind w:left="1276"/>
      </w:pPr>
      <w:r w:rsidRPr="001946A5">
        <w:t>Integrated Public Number Database</w:t>
      </w:r>
      <w:r>
        <w:t>;</w:t>
      </w:r>
    </w:p>
    <w:p w14:paraId="2D45201C" w14:textId="77777777" w:rsidR="00EB2B81" w:rsidRPr="001946A5" w:rsidRDefault="00EB2B81" w:rsidP="006A76CE">
      <w:pPr>
        <w:pStyle w:val="Bulletlevel1"/>
        <w:ind w:left="1276"/>
      </w:pPr>
      <w:r w:rsidRPr="001946A5">
        <w:t>Do Not Call Register</w:t>
      </w:r>
      <w:r>
        <w:t>;</w:t>
      </w:r>
    </w:p>
    <w:p w14:paraId="4FED966E" w14:textId="77777777" w:rsidR="00EB2B81" w:rsidRDefault="00EB2B81" w:rsidP="006A76CE">
      <w:pPr>
        <w:pStyle w:val="Bulletlevel1"/>
        <w:ind w:left="1276"/>
        <w:contextualSpacing w:val="0"/>
      </w:pPr>
      <w:r>
        <w:t>Action on unsolicited communications, including Spam.</w:t>
      </w:r>
    </w:p>
    <w:p w14:paraId="68B0E601" w14:textId="52F23EA4" w:rsidR="00EB2B81" w:rsidRDefault="00EB2B81" w:rsidP="006A76CE">
      <w:pPr>
        <w:pStyle w:val="Bulletlevel1"/>
        <w:numPr>
          <w:ilvl w:val="0"/>
          <w:numId w:val="31"/>
        </w:numPr>
        <w:ind w:left="357" w:hanging="357"/>
        <w:contextualSpacing w:val="0"/>
      </w:pPr>
      <w:r>
        <w:t>That the Department will undertake further work on the potential to expand the ACMA’s remit to include the functions of the Classification Board and Classification Review Board Scheme.</w:t>
      </w:r>
    </w:p>
    <w:p w14:paraId="6574B1B7" w14:textId="77777777" w:rsidR="00EB2B81" w:rsidRPr="001946A5" w:rsidRDefault="00EB2B81" w:rsidP="006A76CE">
      <w:pPr>
        <w:pStyle w:val="Bulletlevel1"/>
        <w:numPr>
          <w:ilvl w:val="0"/>
          <w:numId w:val="31"/>
        </w:numPr>
      </w:pPr>
      <w:r w:rsidRPr="001946A5">
        <w:t xml:space="preserve">That the </w:t>
      </w:r>
      <w:r w:rsidRPr="00D272AA">
        <w:rPr>
          <w:i/>
        </w:rPr>
        <w:t>Interactive Gambling Act</w:t>
      </w:r>
      <w:r>
        <w:rPr>
          <w:i/>
        </w:rPr>
        <w:t xml:space="preserve"> 2001</w:t>
      </w:r>
      <w:r w:rsidRPr="001946A5">
        <w:t xml:space="preserve"> be amended to require </w:t>
      </w:r>
      <w:r>
        <w:t xml:space="preserve">the </w:t>
      </w:r>
      <w:r w:rsidRPr="001946A5">
        <w:t>ACMA to:</w:t>
      </w:r>
    </w:p>
    <w:p w14:paraId="48D2B543" w14:textId="77777777" w:rsidR="00EB2B81" w:rsidRPr="001946A5" w:rsidRDefault="00EB2B81" w:rsidP="006A76CE">
      <w:pPr>
        <w:pStyle w:val="Bulletlevel1"/>
        <w:ind w:left="1276"/>
      </w:pPr>
      <w:r w:rsidRPr="001946A5">
        <w:t>Handle all complaints relating to interactive gambling services and advertisement</w:t>
      </w:r>
      <w:r>
        <w:t>s;</w:t>
      </w:r>
    </w:p>
    <w:p w14:paraId="5680A7E0" w14:textId="77777777" w:rsidR="00EB2B81" w:rsidRDefault="00EB2B81" w:rsidP="006A76CE">
      <w:pPr>
        <w:pStyle w:val="Bulletlevel1"/>
        <w:ind w:left="1276"/>
      </w:pPr>
      <w:r w:rsidRPr="001946A5">
        <w:t>Conduct the same investigation process irrespective of whether the content is hosted in Australia or overseas</w:t>
      </w:r>
      <w:r>
        <w:t>; and</w:t>
      </w:r>
    </w:p>
    <w:p w14:paraId="20B522BB" w14:textId="77777777" w:rsidR="00EB2B81" w:rsidRDefault="00EB2B81" w:rsidP="006A76CE">
      <w:pPr>
        <w:pStyle w:val="Bulletlevel1"/>
        <w:ind w:left="1276"/>
        <w:contextualSpacing w:val="0"/>
      </w:pPr>
      <w:r>
        <w:t>Enforce civil penalties for breaches of the Act.</w:t>
      </w:r>
    </w:p>
    <w:p w14:paraId="6002180E" w14:textId="77777777" w:rsidR="00EB2B81" w:rsidRDefault="00EB2B81" w:rsidP="006A76CE">
      <w:pPr>
        <w:pStyle w:val="Bulletlevel1"/>
        <w:numPr>
          <w:ilvl w:val="0"/>
          <w:numId w:val="31"/>
        </w:numPr>
        <w:ind w:left="357" w:hanging="357"/>
        <w:contextualSpacing w:val="0"/>
      </w:pPr>
      <w:r>
        <w:t>That the current institutional arrangements for economic regulation of the communications sector be retained.</w:t>
      </w:r>
    </w:p>
    <w:p w14:paraId="4B61ACCC" w14:textId="77777777" w:rsidR="00EB2B81" w:rsidRDefault="00EB2B81" w:rsidP="006A76CE">
      <w:pPr>
        <w:pStyle w:val="Bulletlevel1"/>
        <w:numPr>
          <w:ilvl w:val="0"/>
          <w:numId w:val="31"/>
        </w:numPr>
        <w:ind w:left="357" w:hanging="357"/>
        <w:contextualSpacing w:val="0"/>
      </w:pPr>
      <w:r>
        <w:t>That cross-appointment arrangements between the ACMA and ACCC be strengthened in order to benefit both ACMA and ACCC decision-making.</w:t>
      </w:r>
    </w:p>
    <w:p w14:paraId="7D2EF488" w14:textId="7D9CC46D" w:rsidR="00EB2B81" w:rsidRDefault="00EB2B81" w:rsidP="006A76CE">
      <w:pPr>
        <w:pStyle w:val="Bulletlevel1"/>
        <w:numPr>
          <w:ilvl w:val="0"/>
          <w:numId w:val="31"/>
        </w:numPr>
      </w:pPr>
      <w:r>
        <w:t>That the current institutional arrangements for communications consumer protections be retained.</w:t>
      </w:r>
    </w:p>
    <w:p w14:paraId="0D68113A" w14:textId="77777777" w:rsidR="00EB2B81" w:rsidRPr="00B45D70" w:rsidRDefault="00EB2B81" w:rsidP="00933CAA">
      <w:pPr>
        <w:pStyle w:val="Heading4"/>
      </w:pPr>
      <w:bookmarkStart w:id="638" w:name="_Toc449620030"/>
      <w:bookmarkStart w:id="639" w:name="_Toc450310181"/>
      <w:r w:rsidRPr="00B45D70">
        <w:t>Objectives</w:t>
      </w:r>
      <w:bookmarkEnd w:id="638"/>
      <w:bookmarkEnd w:id="639"/>
    </w:p>
    <w:p w14:paraId="6C698F72" w14:textId="77777777" w:rsidR="00EB2B81" w:rsidRDefault="00EB2B81" w:rsidP="006A76CE">
      <w:pPr>
        <w:pStyle w:val="Bulletlevel1"/>
        <w:numPr>
          <w:ilvl w:val="0"/>
          <w:numId w:val="31"/>
        </w:numPr>
      </w:pPr>
      <w:r>
        <w:t>That, as a priority as future reform is undertaken, the government provide the ACMA with a clear set of overarching policy objectives to guide its decision-making.</w:t>
      </w:r>
    </w:p>
    <w:p w14:paraId="28B0FD27" w14:textId="77777777" w:rsidR="00EB2B81" w:rsidRPr="0002535F" w:rsidRDefault="00EB2B81" w:rsidP="00933CAA">
      <w:pPr>
        <w:pStyle w:val="Heading4"/>
      </w:pPr>
      <w:bookmarkStart w:id="640" w:name="_Toc449620031"/>
      <w:bookmarkStart w:id="641" w:name="_Toc450310182"/>
      <w:r w:rsidRPr="00B45D70">
        <w:t>Governance</w:t>
      </w:r>
      <w:bookmarkEnd w:id="640"/>
      <w:bookmarkEnd w:id="641"/>
    </w:p>
    <w:p w14:paraId="28EC9B02" w14:textId="3835F778" w:rsidR="00EB2B81" w:rsidRDefault="00EB2B81" w:rsidP="006A76CE">
      <w:pPr>
        <w:pStyle w:val="Bulletlevel1"/>
        <w:numPr>
          <w:ilvl w:val="0"/>
          <w:numId w:val="31"/>
        </w:numPr>
        <w:ind w:left="357" w:hanging="357"/>
        <w:contextualSpacing w:val="0"/>
      </w:pPr>
      <w:r w:rsidRPr="001946A5">
        <w:t xml:space="preserve">That the </w:t>
      </w:r>
      <w:r>
        <w:t>commission model of decision</w:t>
      </w:r>
      <w:r w:rsidR="00AB23B9">
        <w:t>-</w:t>
      </w:r>
      <w:r>
        <w:t>making be retained.</w:t>
      </w:r>
    </w:p>
    <w:p w14:paraId="18036D67" w14:textId="77777777" w:rsidR="00EB2B81" w:rsidRDefault="00EB2B81" w:rsidP="006A76CE">
      <w:pPr>
        <w:pStyle w:val="Bulletlevel1"/>
        <w:numPr>
          <w:ilvl w:val="0"/>
          <w:numId w:val="31"/>
        </w:numPr>
        <w:ind w:left="357" w:hanging="357"/>
        <w:contextualSpacing w:val="0"/>
      </w:pPr>
      <w:r w:rsidRPr="007F219B">
        <w:t xml:space="preserve">That the skill set to be covered by </w:t>
      </w:r>
      <w:r>
        <w:t>Authority</w:t>
      </w:r>
      <w:r w:rsidRPr="007F219B">
        <w:t xml:space="preserve"> members be outlined in legislation to ensure an appropriate and diverse mix </w:t>
      </w:r>
      <w:r>
        <w:t>of abilities</w:t>
      </w:r>
      <w:r w:rsidRPr="007F219B">
        <w:t xml:space="preserve"> to respond to the future needs of the </w:t>
      </w:r>
      <w:r>
        <w:t>ACMA</w:t>
      </w:r>
      <w:r w:rsidRPr="007F219B">
        <w:t>.</w:t>
      </w:r>
    </w:p>
    <w:p w14:paraId="5688BB71" w14:textId="77777777" w:rsidR="00EB2B81" w:rsidRDefault="00EB2B81" w:rsidP="006A76CE">
      <w:pPr>
        <w:pStyle w:val="Bulletlevel1"/>
        <w:numPr>
          <w:ilvl w:val="0"/>
          <w:numId w:val="31"/>
        </w:numPr>
        <w:ind w:left="357" w:hanging="357"/>
        <w:contextualSpacing w:val="0"/>
      </w:pPr>
      <w:r>
        <w:t>That all members of the Authority be appointed on a full-time basis and that the Authority consist of a Chair, a Deputy Chair and at least three other full-time members.</w:t>
      </w:r>
    </w:p>
    <w:p w14:paraId="568BD2A3" w14:textId="77777777" w:rsidR="00EB2B81" w:rsidRDefault="00EB2B81" w:rsidP="006A76CE">
      <w:pPr>
        <w:pStyle w:val="Bulletlevel1"/>
        <w:numPr>
          <w:ilvl w:val="0"/>
          <w:numId w:val="31"/>
        </w:numPr>
        <w:ind w:left="357" w:hanging="357"/>
        <w:contextualSpacing w:val="0"/>
      </w:pPr>
      <w:r w:rsidRPr="001946A5">
        <w:t xml:space="preserve">That the existing </w:t>
      </w:r>
      <w:r>
        <w:t>arrangements are maintained where the Chair is the Accountable Authority with an ability to delegate powers, duties and functions, to the extent permitted by the PGPA Act, to a CEO.</w:t>
      </w:r>
    </w:p>
    <w:p w14:paraId="4D1CA955" w14:textId="096392AF" w:rsidR="00EB2B81" w:rsidRDefault="00EB2B81" w:rsidP="006A76CE">
      <w:pPr>
        <w:pStyle w:val="Bulletlevel1"/>
        <w:numPr>
          <w:ilvl w:val="0"/>
          <w:numId w:val="31"/>
        </w:numPr>
        <w:ind w:left="357" w:hanging="357"/>
        <w:contextualSpacing w:val="0"/>
        <w:rPr>
          <w:b/>
        </w:rPr>
      </w:pPr>
      <w:r w:rsidRPr="00B4448B">
        <w:t>That provision be made in the ACMA Act for the Authority to establish sub-boards to manage subject matter not requiring the full commitment of the Authority, or to manage issues that would otherwise diminish the Authority’s capacity to focus on its key decision</w:t>
      </w:r>
      <w:r w:rsidR="00AB23B9">
        <w:t>-</w:t>
      </w:r>
      <w:r w:rsidRPr="00B4448B">
        <w:t>making or direction setting responsibilities. That the Chair of any such sub-boards be a member of the Authority but not be the Chair of the Authority.</w:t>
      </w:r>
    </w:p>
    <w:p w14:paraId="5F98EDDB" w14:textId="77777777" w:rsidR="00EB2B81" w:rsidRDefault="00EB2B81" w:rsidP="00933CAA">
      <w:pPr>
        <w:pStyle w:val="Heading4"/>
      </w:pPr>
      <w:r w:rsidRPr="00E17A95">
        <w:t xml:space="preserve"> </w:t>
      </w:r>
      <w:bookmarkStart w:id="642" w:name="_Toc449620032"/>
      <w:bookmarkStart w:id="643" w:name="_Toc450310183"/>
      <w:r w:rsidRPr="00E17A95">
        <w:t>Enhancing regulator performance</w:t>
      </w:r>
      <w:bookmarkEnd w:id="642"/>
      <w:bookmarkEnd w:id="643"/>
    </w:p>
    <w:p w14:paraId="08E9CB72" w14:textId="77777777" w:rsidR="00EB2B81" w:rsidRDefault="00EB2B81">
      <w:pPr>
        <w:pStyle w:val="Bulletlevel1"/>
        <w:numPr>
          <w:ilvl w:val="0"/>
          <w:numId w:val="31"/>
        </w:numPr>
      </w:pPr>
      <w:r>
        <w:t xml:space="preserve">Legislate the following four regulator principles in the ACMA’s enabling legislation, proposed </w:t>
      </w:r>
      <w:r w:rsidRPr="00136232">
        <w:t>draft:</w:t>
      </w:r>
    </w:p>
    <w:p w14:paraId="0C2E8293" w14:textId="007CD9F4" w:rsidR="00EB2B81" w:rsidRPr="00CB4DEF" w:rsidRDefault="00EB2B81" w:rsidP="00CB4DEF">
      <w:pPr>
        <w:pStyle w:val="Bulletlevel1"/>
        <w:ind w:left="851" w:hanging="851"/>
        <w:rPr>
          <w:b/>
          <w:i/>
        </w:rPr>
      </w:pPr>
      <w:r w:rsidRPr="00CB4DEF">
        <w:rPr>
          <w:i/>
        </w:rPr>
        <w:t>The ACMA have regard that its regulatory settings do not unnecessarily hinder competition, innovation or efficient investment.</w:t>
      </w:r>
    </w:p>
    <w:p w14:paraId="6F53F0AE" w14:textId="35B69B0A" w:rsidR="00EB2B81" w:rsidRPr="00CB4DEF" w:rsidRDefault="00EB2B81" w:rsidP="00CB4DEF">
      <w:pPr>
        <w:pStyle w:val="Bulletlevel1"/>
        <w:ind w:left="851" w:hanging="851"/>
        <w:rPr>
          <w:i/>
        </w:rPr>
      </w:pPr>
      <w:r w:rsidRPr="00CB4DEF">
        <w:rPr>
          <w:i/>
        </w:rPr>
        <w:t>The ACMA should apply a risk-based approach to regulation, compliance and enforcement activities. Regulatory intervention should be targeted, evidence-based and commensurate with risk.</w:t>
      </w:r>
    </w:p>
    <w:p w14:paraId="024534A8" w14:textId="4BFF001E" w:rsidR="00EB2B81" w:rsidRPr="00CB4DEF" w:rsidRDefault="00EB2B81" w:rsidP="00CB4DEF">
      <w:pPr>
        <w:pStyle w:val="Bulletlevel1"/>
        <w:ind w:left="851" w:hanging="851"/>
        <w:rPr>
          <w:b/>
          <w:i/>
        </w:rPr>
      </w:pPr>
      <w:r w:rsidRPr="00CB4DEF">
        <w:rPr>
          <w:i/>
        </w:rPr>
        <w:t>The ACMA should implement continuous review of regulation to reduce burden and streamline approaches where the benefits exceed the costs.</w:t>
      </w:r>
    </w:p>
    <w:p w14:paraId="3401C4CF" w14:textId="77777777" w:rsidR="00EB2B81" w:rsidRPr="00CB4DEF" w:rsidRDefault="00EB2B81" w:rsidP="00CB4DEF">
      <w:pPr>
        <w:pStyle w:val="Bulletlevel1"/>
        <w:ind w:left="851" w:hanging="851"/>
        <w:rPr>
          <w:b/>
          <w:i/>
        </w:rPr>
      </w:pPr>
      <w:r w:rsidRPr="00CB4DEF">
        <w:rPr>
          <w:i/>
        </w:rPr>
        <w:t>The ACMA should be transparent in its actions and clearly indicate the priorities and objectives which inform its decision-making to regulated entities and the broader public.</w:t>
      </w:r>
    </w:p>
    <w:p w14:paraId="42E80062" w14:textId="41DDF6B5" w:rsidR="00EB2B81" w:rsidRDefault="00EB2B81" w:rsidP="00CB4DEF">
      <w:pPr>
        <w:pStyle w:val="Definitiontext"/>
        <w:numPr>
          <w:ilvl w:val="0"/>
          <w:numId w:val="31"/>
        </w:numPr>
        <w:tabs>
          <w:tab w:val="left" w:pos="426"/>
        </w:tabs>
        <w:spacing w:before="0"/>
      </w:pPr>
      <w:r>
        <w:t>That t</w:t>
      </w:r>
      <w:r w:rsidRPr="00EA0228">
        <w:t>he Minister provide</w:t>
      </w:r>
      <w:r>
        <w:t xml:space="preserve"> </w:t>
      </w:r>
      <w:r w:rsidRPr="00EA0228">
        <w:t xml:space="preserve">the ACMA with an annual </w:t>
      </w:r>
      <w:r>
        <w:t>S</w:t>
      </w:r>
      <w:r w:rsidRPr="00EA0228">
        <w:t xml:space="preserve">tatement of </w:t>
      </w:r>
      <w:r>
        <w:t>E</w:t>
      </w:r>
      <w:r w:rsidRPr="00EA0228">
        <w:t xml:space="preserve">xpectations </w:t>
      </w:r>
      <w:r>
        <w:t>and the ACMA respond by publishing a Statement of Intent outlining how it will seek to deliver on the Government’s expectations.</w:t>
      </w:r>
    </w:p>
    <w:p w14:paraId="59638F82" w14:textId="2268CB45" w:rsidR="00EB2B81" w:rsidRPr="001946A5" w:rsidRDefault="00EB2B81" w:rsidP="00CB4DEF">
      <w:pPr>
        <w:pStyle w:val="Definitiontext"/>
        <w:numPr>
          <w:ilvl w:val="0"/>
          <w:numId w:val="31"/>
        </w:numPr>
        <w:tabs>
          <w:tab w:val="left" w:pos="426"/>
        </w:tabs>
        <w:spacing w:before="0"/>
      </w:pPr>
      <w:r w:rsidRPr="00136232">
        <w:t>That the Minister provide the ACCC with an annual Statement of Expectations and the ACCC respond by publishing a Statement of Intent outlining how it will seek to deliver on the Government’s expectations.</w:t>
      </w:r>
    </w:p>
    <w:p w14:paraId="5B855B3F" w14:textId="70642BD9" w:rsidR="00EB2B81" w:rsidRDefault="00EB2B81" w:rsidP="00CB4DEF">
      <w:pPr>
        <w:pStyle w:val="Definitiontext"/>
        <w:numPr>
          <w:ilvl w:val="0"/>
          <w:numId w:val="31"/>
        </w:numPr>
        <w:tabs>
          <w:tab w:val="left" w:pos="426"/>
        </w:tabs>
        <w:spacing w:before="0"/>
        <w:ind w:left="357" w:hanging="357"/>
      </w:pPr>
      <w:r>
        <w:t>That timeliness of decision</w:t>
      </w:r>
      <w:r w:rsidR="00AB23B9">
        <w:t>-</w:t>
      </w:r>
      <w:r>
        <w:t>making be established as a key area of focus and accountability for future cycles of the ACMA’s regulator performance framework, and Government consider legislative amendment to support more timely decision</w:t>
      </w:r>
      <w:r w:rsidR="00AB23B9">
        <w:t>-</w:t>
      </w:r>
      <w:r>
        <w:t>making, where necessary.</w:t>
      </w:r>
    </w:p>
    <w:p w14:paraId="260A64BE" w14:textId="50C225DA" w:rsidR="00EB2B81" w:rsidRPr="00312EC0" w:rsidRDefault="00EB2B81" w:rsidP="00CB4DEF">
      <w:pPr>
        <w:pStyle w:val="Bulletlevel1"/>
        <w:numPr>
          <w:ilvl w:val="0"/>
          <w:numId w:val="31"/>
        </w:numPr>
        <w:ind w:left="357" w:hanging="357"/>
        <w:contextualSpacing w:val="0"/>
      </w:pPr>
      <w:r>
        <w:t>That the ACMA publish information on the steps it takes to ensure stakeholders have a clear understanding of the relationship between its actions and its compliance and enforcement policy</w:t>
      </w:r>
      <w:r w:rsidRPr="00312EC0">
        <w:t>.</w:t>
      </w:r>
    </w:p>
    <w:p w14:paraId="77C7933A" w14:textId="77777777" w:rsidR="00EB2B81" w:rsidRDefault="00EB2B81" w:rsidP="00CB4DEF">
      <w:pPr>
        <w:pStyle w:val="Bulletlevel1"/>
        <w:numPr>
          <w:ilvl w:val="0"/>
          <w:numId w:val="31"/>
        </w:numPr>
        <w:ind w:left="357" w:hanging="357"/>
        <w:contextualSpacing w:val="0"/>
      </w:pPr>
      <w:r>
        <w:t>That the ACMA publish a report to the Minister every two years on initiatives undertaken to identify and reduce regulatory burden on industry and individuals.</w:t>
      </w:r>
    </w:p>
    <w:p w14:paraId="3B9A5A0A" w14:textId="585ADCDF" w:rsidR="00EB2B81" w:rsidRDefault="00EB2B81" w:rsidP="00CB4DEF">
      <w:pPr>
        <w:pStyle w:val="Bulletlevel1"/>
        <w:numPr>
          <w:ilvl w:val="0"/>
          <w:numId w:val="31"/>
        </w:numPr>
        <w:ind w:left="357" w:hanging="357"/>
        <w:contextualSpacing w:val="0"/>
      </w:pPr>
      <w:r w:rsidRPr="001946A5">
        <w:t xml:space="preserve">That the ACMA </w:t>
      </w:r>
      <w:r>
        <w:t>produce a public</w:t>
      </w:r>
      <w:r w:rsidRPr="001946A5">
        <w:t xml:space="preserve"> report on steps taken to improve the transparency </w:t>
      </w:r>
      <w:r>
        <w:t>and consistency of its decision-</w:t>
      </w:r>
      <w:r w:rsidRPr="001946A5">
        <w:t>making processes, and that implementation and stakeholder satisfaction be independently assessed by the end of 2017.</w:t>
      </w:r>
    </w:p>
    <w:p w14:paraId="2B7D10CB" w14:textId="77777777" w:rsidR="00EB2B81" w:rsidRPr="00B45D70" w:rsidRDefault="00EB2B81" w:rsidP="00933CAA">
      <w:pPr>
        <w:pStyle w:val="Heading4"/>
      </w:pPr>
      <w:bookmarkStart w:id="644" w:name="_Toc449620033"/>
      <w:bookmarkStart w:id="645" w:name="_Toc450310184"/>
      <w:r w:rsidRPr="00B45D70">
        <w:t>Resources</w:t>
      </w:r>
      <w:bookmarkEnd w:id="644"/>
      <w:bookmarkEnd w:id="645"/>
    </w:p>
    <w:p w14:paraId="77FA0972" w14:textId="77777777" w:rsidR="00EB2B81" w:rsidRDefault="00EB2B81" w:rsidP="006A76CE">
      <w:pPr>
        <w:pStyle w:val="Bulletlevel1"/>
        <w:numPr>
          <w:ilvl w:val="0"/>
          <w:numId w:val="31"/>
        </w:numPr>
        <w:ind w:left="357" w:hanging="357"/>
        <w:contextualSpacing w:val="0"/>
      </w:pPr>
      <w:r>
        <w:t>That it would be timely to review the policy objectives of revenue collection from the communications sector and evaluate whether new business models and OTT services are contributing appropriately.</w:t>
      </w:r>
    </w:p>
    <w:p w14:paraId="4E49421D" w14:textId="77777777" w:rsidR="00EB2B81" w:rsidRDefault="00EB2B81" w:rsidP="006A76CE">
      <w:pPr>
        <w:pStyle w:val="Bulletlevel1"/>
        <w:numPr>
          <w:ilvl w:val="0"/>
          <w:numId w:val="31"/>
        </w:numPr>
        <w:ind w:left="357" w:hanging="357"/>
        <w:contextualSpacing w:val="0"/>
      </w:pPr>
      <w:r>
        <w:t>That the ACMA should further analyse its cost base, in light of the proposed function changes, to ensure it is efficiently delivering on its responsibilities and minimising costs to industry.</w:t>
      </w:r>
    </w:p>
    <w:p w14:paraId="6B7A3B5C" w14:textId="77777777" w:rsidR="00EB2B81" w:rsidRDefault="00EB2B81" w:rsidP="00933CAA">
      <w:pPr>
        <w:pStyle w:val="Heading4"/>
      </w:pPr>
      <w:bookmarkStart w:id="646" w:name="_Toc449620034"/>
      <w:bookmarkStart w:id="647" w:name="_Toc450310185"/>
      <w:r w:rsidRPr="0079781B">
        <w:t>Regulatory reform</w:t>
      </w:r>
      <w:bookmarkEnd w:id="646"/>
      <w:bookmarkEnd w:id="647"/>
    </w:p>
    <w:p w14:paraId="4B4416AE" w14:textId="77777777" w:rsidR="00EB2B81" w:rsidRDefault="00EB2B81" w:rsidP="006A76CE">
      <w:pPr>
        <w:pStyle w:val="Bulletlevel1"/>
        <w:numPr>
          <w:ilvl w:val="0"/>
          <w:numId w:val="31"/>
        </w:numPr>
        <w:rPr>
          <w:b/>
        </w:rPr>
      </w:pPr>
      <w:r>
        <w:t>To enable the communications sector to reach its full potential as an enabler of innovation and productivity, the Government commence a coordinated programme of regulatory reform to establish a contemporary communications regulatory framework.</w:t>
      </w:r>
    </w:p>
    <w:p w14:paraId="0E26FE89" w14:textId="77777777" w:rsidR="00EB2B81" w:rsidRDefault="00EB2B81" w:rsidP="00EB2B81">
      <w:r>
        <w:br w:type="page"/>
      </w:r>
    </w:p>
    <w:p w14:paraId="08FF81C6" w14:textId="77777777" w:rsidR="00EB2B81" w:rsidRDefault="00EB2B81" w:rsidP="00933CAA">
      <w:pPr>
        <w:pStyle w:val="Heading3"/>
      </w:pPr>
      <w:bookmarkStart w:id="648" w:name="_Appendix_B:_Regulator"/>
      <w:bookmarkStart w:id="649" w:name="_Toc449432117"/>
      <w:bookmarkStart w:id="650" w:name="_Toc449438584"/>
      <w:bookmarkStart w:id="651" w:name="_Toc450310186"/>
      <w:bookmarkEnd w:id="648"/>
      <w:r>
        <w:t>Appendix B: Regulator performance assessment</w:t>
      </w:r>
      <w:bookmarkEnd w:id="649"/>
      <w:bookmarkEnd w:id="650"/>
      <w:bookmarkEnd w:id="651"/>
    </w:p>
    <w:p w14:paraId="4D223EA7" w14:textId="77777777" w:rsidR="00EB2B81" w:rsidRDefault="00EB2B81" w:rsidP="00113CF9">
      <w:r>
        <w:t>The changing communications market means that t</w:t>
      </w:r>
      <w:r w:rsidRPr="00B240FB">
        <w:t>he balancing act for regulators is more challenging than ever before. Several decades of experience have heightened the expectations of both policy makers and regulated entities</w:t>
      </w:r>
      <w:r>
        <w:t>,</w:t>
      </w:r>
      <w:r w:rsidRPr="00B240FB">
        <w:t xml:space="preserve"> while communications markets have continued to become more sophisticated, dynamic and complex.</w:t>
      </w:r>
    </w:p>
    <w:p w14:paraId="35CA6F93" w14:textId="77777777" w:rsidR="00EB2B81" w:rsidRDefault="00EB2B81" w:rsidP="00113CF9">
      <w:r w:rsidRPr="00B240FB">
        <w:t xml:space="preserve">The conflicting demands regulators are asked to juggle were </w:t>
      </w:r>
      <w:r>
        <w:t xml:space="preserve">well </w:t>
      </w:r>
      <w:r w:rsidRPr="00B240FB">
        <w:t>described by the Harvard academic</w:t>
      </w:r>
      <w:r>
        <w:t xml:space="preserve"> and author</w:t>
      </w:r>
      <w:r w:rsidRPr="00B240FB">
        <w:t xml:space="preserve"> </w:t>
      </w:r>
      <w:r>
        <w:t xml:space="preserve">Professor </w:t>
      </w:r>
      <w:r w:rsidRPr="00B240FB">
        <w:t>Malcolm Sparrow:</w:t>
      </w:r>
    </w:p>
    <w:p w14:paraId="32272B40" w14:textId="77777777" w:rsidR="00EB2B81" w:rsidRPr="001C1689" w:rsidRDefault="00EB2B81" w:rsidP="00BF7B18">
      <w:pPr>
        <w:pStyle w:val="Quote"/>
      </w:pPr>
      <w:r w:rsidRPr="001C1689">
        <w:t>‘be less intrusive—but more effective</w:t>
      </w:r>
    </w:p>
    <w:p w14:paraId="23B30FB7" w14:textId="77777777" w:rsidR="00EB2B81" w:rsidRPr="001C1689" w:rsidRDefault="00EB2B81" w:rsidP="00BF7B18">
      <w:pPr>
        <w:pStyle w:val="Quote"/>
      </w:pPr>
      <w:r w:rsidRPr="001C1689">
        <w:t>be kinder and gentler—but don’t let the charlatans get away with anything</w:t>
      </w:r>
    </w:p>
    <w:p w14:paraId="276EB4AD" w14:textId="77777777" w:rsidR="00EB2B81" w:rsidRPr="001C1689" w:rsidRDefault="00EB2B81" w:rsidP="00BF7B18">
      <w:pPr>
        <w:pStyle w:val="Quote"/>
      </w:pPr>
      <w:r w:rsidRPr="001C1689">
        <w:t>focus your efforts—but be consistent</w:t>
      </w:r>
    </w:p>
    <w:p w14:paraId="5D16187A" w14:textId="77777777" w:rsidR="00EB2B81" w:rsidRPr="001C1689" w:rsidRDefault="00EB2B81" w:rsidP="00BF7B18">
      <w:pPr>
        <w:pStyle w:val="Quote"/>
      </w:pPr>
      <w:r w:rsidRPr="001C1689">
        <w:t>process things quicker—and be more careful next time</w:t>
      </w:r>
    </w:p>
    <w:p w14:paraId="33B5F309" w14:textId="77777777" w:rsidR="00EB2B81" w:rsidRPr="001C1689" w:rsidRDefault="00EB2B81" w:rsidP="00BF7B18">
      <w:pPr>
        <w:pStyle w:val="Quote"/>
      </w:pPr>
      <w:r w:rsidRPr="001C1689">
        <w:t>deal with important issues—but do not stray outside your statutory authority</w:t>
      </w:r>
    </w:p>
    <w:p w14:paraId="66397DA1" w14:textId="77777777" w:rsidR="00EB2B81" w:rsidRPr="009C39DA" w:rsidRDefault="00EB2B81" w:rsidP="00BF7B18">
      <w:pPr>
        <w:pStyle w:val="Quote"/>
      </w:pPr>
      <w:r w:rsidRPr="001C1689">
        <w:t>be more responsive to the regulated community—but don’t get captured by industry.’</w:t>
      </w:r>
      <w:r w:rsidRPr="001C1689">
        <w:rPr>
          <w:vertAlign w:val="superscript"/>
        </w:rPr>
        <w:footnoteReference w:id="103"/>
      </w:r>
    </w:p>
    <w:p w14:paraId="46956FC4" w14:textId="77777777" w:rsidR="00EB2B81" w:rsidRDefault="00EB2B81" w:rsidP="002E15A7">
      <w:r w:rsidRPr="00B240FB">
        <w:t>Similarly</w:t>
      </w:r>
      <w:r>
        <w:t>,</w:t>
      </w:r>
      <w:r w:rsidRPr="00B240FB">
        <w:t xml:space="preserve"> the task of </w:t>
      </w:r>
      <w:r>
        <w:t>establishing performance expectations</w:t>
      </w:r>
      <w:r w:rsidRPr="00B240FB">
        <w:t xml:space="preserve"> requires reflection and judgement about how best to balance an array of competing aims. </w:t>
      </w:r>
      <w:r>
        <w:t>Parts 1 and 2 of the report have sought to</w:t>
      </w:r>
      <w:r w:rsidRPr="00B240FB">
        <w:t xml:space="preserve"> </w:t>
      </w:r>
      <w:r>
        <w:t xml:space="preserve">describe the communications market, the remit, functions, objectives and governance of the regulator. These sought to answer the question about </w:t>
      </w:r>
      <w:r>
        <w:rPr>
          <w:i/>
        </w:rPr>
        <w:t>what</w:t>
      </w:r>
      <w:r>
        <w:t xml:space="preserve"> the ACMA should be doing. The purpose of this Appendix is to set expectations about </w:t>
      </w:r>
      <w:r>
        <w:rPr>
          <w:i/>
        </w:rPr>
        <w:t>how</w:t>
      </w:r>
      <w:r w:rsidDel="00A92B01">
        <w:t xml:space="preserve"> it </w:t>
      </w:r>
      <w:r>
        <w:t>should be doing it.</w:t>
      </w:r>
    </w:p>
    <w:p w14:paraId="6DED89B8" w14:textId="77777777" w:rsidR="00EB2B81" w:rsidRPr="001E4238" w:rsidRDefault="00EB2B81" w:rsidP="00933CAA">
      <w:pPr>
        <w:pStyle w:val="Heading4"/>
      </w:pPr>
      <w:bookmarkStart w:id="652" w:name="_Toc437594271"/>
      <w:bookmarkStart w:id="653" w:name="_Toc437599289"/>
      <w:bookmarkStart w:id="654" w:name="_Toc437600394"/>
      <w:bookmarkStart w:id="655" w:name="_Toc440536936"/>
      <w:bookmarkStart w:id="656" w:name="_Toc441743832"/>
      <w:bookmarkStart w:id="657" w:name="_Toc441744274"/>
      <w:bookmarkStart w:id="658" w:name="_Toc441845094"/>
      <w:bookmarkStart w:id="659" w:name="_Toc441847347"/>
      <w:bookmarkStart w:id="660" w:name="_Toc441848279"/>
      <w:bookmarkStart w:id="661" w:name="_Toc442107121"/>
      <w:bookmarkStart w:id="662" w:name="_Toc442108773"/>
      <w:bookmarkStart w:id="663" w:name="_Toc443038171"/>
      <w:bookmarkStart w:id="664" w:name="_Toc443043889"/>
      <w:bookmarkStart w:id="665" w:name="_Toc443052579"/>
      <w:bookmarkStart w:id="666" w:name="_Toc443054868"/>
      <w:bookmarkStart w:id="667" w:name="_Toc443307375"/>
      <w:bookmarkStart w:id="668" w:name="_Toc445810590"/>
      <w:bookmarkStart w:id="669" w:name="_Toc449108101"/>
      <w:bookmarkStart w:id="670" w:name="_Toc449432118"/>
      <w:bookmarkStart w:id="671" w:name="_Toc449438585"/>
      <w:bookmarkStart w:id="672" w:name="_Toc449620036"/>
      <w:bookmarkStart w:id="673" w:name="_Toc450310187"/>
      <w:r w:rsidRPr="001E4238">
        <w:t>Elements that influence performance</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14:paraId="4CC937AD" w14:textId="77777777" w:rsidR="00EB2B81" w:rsidRDefault="00EB2B81" w:rsidP="002E15A7">
      <w:r w:rsidRPr="00B240FB">
        <w:t>Good regulatory outcomes are a combination of two factors—the regulatory regime and how the regulation is administered. As noted by the Productivity Commission</w:t>
      </w:r>
      <w:r>
        <w:t>,</w:t>
      </w:r>
      <w:r w:rsidRPr="00B240FB">
        <w:t xml:space="preserve"> the way regulation is administered</w:t>
      </w:r>
      <w:r>
        <w:t xml:space="preserve"> </w:t>
      </w:r>
      <w:r w:rsidRPr="00B240FB">
        <w:t>and the approach of regulator</w:t>
      </w:r>
      <w:r>
        <w:t xml:space="preserve">s have as significant </w:t>
      </w:r>
      <w:r w:rsidRPr="00B240FB">
        <w:t>an impact on businesses as the regulatory regime itself</w:t>
      </w:r>
      <w:r>
        <w:t>.</w:t>
      </w:r>
      <w:r w:rsidRPr="00B240FB">
        <w:rPr>
          <w:vertAlign w:val="superscript"/>
        </w:rPr>
        <w:footnoteReference w:id="104"/>
      </w:r>
    </w:p>
    <w:p w14:paraId="5E69CDF9" w14:textId="77777777" w:rsidR="00EB2B81" w:rsidRDefault="00EB2B81" w:rsidP="002E15A7">
      <w:r>
        <w:t>H</w:t>
      </w:r>
      <w:r w:rsidRPr="00B240FB">
        <w:t xml:space="preserve">ow effectively a regulator performs its role is influenced by both its external </w:t>
      </w:r>
      <w:r>
        <w:t xml:space="preserve">institutional </w:t>
      </w:r>
      <w:r w:rsidRPr="00B240FB">
        <w:t xml:space="preserve">design and its internal operating approach. </w:t>
      </w:r>
      <w:r>
        <w:t>These two elements, one of which must be designed, and the other of which is an operational achievement of the organisation, must work together to support and reinforce the performance expectations of Government and the broader community.</w:t>
      </w:r>
    </w:p>
    <w:p w14:paraId="1C0FB967" w14:textId="43330F96" w:rsidR="00EB2B81" w:rsidRDefault="00EB2B81" w:rsidP="002E15A7">
      <w:r w:rsidRPr="00B240FB">
        <w:t xml:space="preserve">To </w:t>
      </w:r>
      <w:r>
        <w:t>develop</w:t>
      </w:r>
      <w:r w:rsidRPr="00B240FB">
        <w:t xml:space="preserve"> a </w:t>
      </w:r>
      <w:r>
        <w:t>framework to analyse the factors that drive performance, and their interdependencies, the Review</w:t>
      </w:r>
      <w:r w:rsidRPr="00B240FB" w:rsidDel="00AB3CBA">
        <w:t xml:space="preserve"> </w:t>
      </w:r>
      <w:r>
        <w:t>has</w:t>
      </w:r>
      <w:r w:rsidRPr="00B240FB">
        <w:t xml:space="preserve"> drawn on a diverse body of literature and expertise</w:t>
      </w:r>
      <w:r>
        <w:t>.</w:t>
      </w:r>
      <w:r w:rsidRPr="00B240FB">
        <w:rPr>
          <w:vertAlign w:val="superscript"/>
        </w:rPr>
        <w:footnoteReference w:id="105"/>
      </w:r>
      <w:r w:rsidRPr="00B240FB">
        <w:t xml:space="preserve"> </w:t>
      </w:r>
      <w:r>
        <w:t>During this</w:t>
      </w:r>
      <w:r w:rsidRPr="00B240FB">
        <w:t xml:space="preserve"> process </w:t>
      </w:r>
      <w:r>
        <w:t>the Review</w:t>
      </w:r>
      <w:r w:rsidDel="00AB3CBA">
        <w:t xml:space="preserve"> </w:t>
      </w:r>
      <w:r w:rsidRPr="00B240FB">
        <w:t xml:space="preserve">identified </w:t>
      </w:r>
      <w:r>
        <w:t>a number of</w:t>
      </w:r>
      <w:r w:rsidRPr="00B240FB">
        <w:t xml:space="preserve"> key </w:t>
      </w:r>
      <w:r>
        <w:t>elements that influence</w:t>
      </w:r>
      <w:r w:rsidRPr="00B240FB">
        <w:t xml:space="preserve"> performance. </w:t>
      </w:r>
      <w:r>
        <w:t xml:space="preserve">These are comprised of institutional design settings which are largely determined </w:t>
      </w:r>
      <w:r w:rsidRPr="00B240FB">
        <w:t xml:space="preserve">by </w:t>
      </w:r>
      <w:r>
        <w:t>g</w:t>
      </w:r>
      <w:r w:rsidRPr="00B240FB">
        <w:t xml:space="preserve">overnments and </w:t>
      </w:r>
      <w:r>
        <w:t>p</w:t>
      </w:r>
      <w:r w:rsidRPr="00B240FB">
        <w:t xml:space="preserve">arliaments, and internal drivers </w:t>
      </w:r>
      <w:r>
        <w:t xml:space="preserve">which </w:t>
      </w:r>
      <w:r w:rsidRPr="00B240FB">
        <w:t xml:space="preserve">capture the </w:t>
      </w:r>
      <w:r>
        <w:t xml:space="preserve">internal </w:t>
      </w:r>
      <w:r w:rsidRPr="00B240FB">
        <w:t xml:space="preserve">operating approach, management and capability of the regulator. </w:t>
      </w:r>
      <w:r>
        <w:t xml:space="preserve">This chapter will focus on internal performance, but with consideration to the broader context and factors that influence it. These elements are set out in Figure </w:t>
      </w:r>
      <w:r w:rsidR="000C2259">
        <w:t>B</w:t>
      </w:r>
      <w:r>
        <w:t>1 below.</w:t>
      </w:r>
    </w:p>
    <w:p w14:paraId="22486622" w14:textId="77777777" w:rsidR="00EB2B81" w:rsidRPr="00312EC0" w:rsidRDefault="00EB2B81" w:rsidP="00933CAA">
      <w:pPr>
        <w:pStyle w:val="Tablefigureheading"/>
      </w:pPr>
      <w:r w:rsidRPr="00312EC0">
        <w:t xml:space="preserve">Figure </w:t>
      </w:r>
      <w:r>
        <w:t>B</w:t>
      </w:r>
      <w:r w:rsidRPr="00312EC0">
        <w:t>1: The elements of regulatory performance</w:t>
      </w:r>
    </w:p>
    <w:p w14:paraId="4E82E54A" w14:textId="77777777" w:rsidR="00BC43B3" w:rsidRDefault="00BC43B3" w:rsidP="008323EA">
      <w:pPr>
        <w:jc w:val="center"/>
      </w:pPr>
      <w:bookmarkStart w:id="674" w:name="_Toc437594279"/>
      <w:bookmarkStart w:id="675" w:name="_Toc437599032"/>
      <w:bookmarkStart w:id="676" w:name="_Toc437599290"/>
      <w:bookmarkStart w:id="677" w:name="_Toc437600395"/>
      <w:bookmarkStart w:id="678" w:name="_Toc440536937"/>
      <w:bookmarkStart w:id="679" w:name="_Toc441743833"/>
      <w:bookmarkStart w:id="680" w:name="_Toc441744275"/>
      <w:bookmarkStart w:id="681" w:name="_Toc441845095"/>
      <w:bookmarkStart w:id="682" w:name="_Toc441847348"/>
      <w:bookmarkStart w:id="683" w:name="_Toc441848280"/>
      <w:bookmarkStart w:id="684" w:name="_Toc442107122"/>
      <w:bookmarkStart w:id="685" w:name="_Toc442108774"/>
      <w:bookmarkStart w:id="686" w:name="_Toc443038172"/>
      <w:bookmarkStart w:id="687" w:name="_Toc443043890"/>
      <w:bookmarkStart w:id="688" w:name="_Toc443052580"/>
      <w:bookmarkStart w:id="689" w:name="_Toc443054869"/>
      <w:bookmarkStart w:id="690" w:name="_Toc443307376"/>
      <w:bookmarkStart w:id="691" w:name="_Toc445810591"/>
      <w:bookmarkStart w:id="692" w:name="_Toc449108102"/>
      <w:bookmarkStart w:id="693" w:name="_Toc449432119"/>
      <w:bookmarkStart w:id="694" w:name="_Toc449438586"/>
      <w:r>
        <w:rPr>
          <w:noProof/>
          <w:lang w:eastAsia="en-AU"/>
        </w:rPr>
        <w:drawing>
          <wp:inline distT="0" distB="0" distL="0" distR="0" wp14:anchorId="5F870CFA" wp14:editId="5B09B4C0">
            <wp:extent cx="4809524" cy="2409524"/>
            <wp:effectExtent l="0" t="0" r="0" b="0"/>
            <wp:docPr id="247" name="Picture 247" descr="Design settings: governance, degree of independence from government, functions and remit, clarity of objectives&#10;&#10;Internal performance drivers: performance, resources, management and capability (not in scope)" title="Elements of regulatory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09524" cy="2409524"/>
                    </a:xfrm>
                    <a:prstGeom prst="rect">
                      <a:avLst/>
                    </a:prstGeom>
                  </pic:spPr>
                </pic:pic>
              </a:graphicData>
            </a:graphic>
          </wp:inline>
        </w:drawing>
      </w:r>
    </w:p>
    <w:p w14:paraId="0EA337E7" w14:textId="77777777" w:rsidR="00EB2B81" w:rsidRPr="001E4238" w:rsidRDefault="00EB2B81" w:rsidP="00BF7B18">
      <w:pPr>
        <w:pStyle w:val="Heading4"/>
      </w:pPr>
      <w:bookmarkStart w:id="695" w:name="_Toc449620037"/>
      <w:bookmarkStart w:id="696" w:name="_Toc450310188"/>
      <w:r w:rsidRPr="001E4238">
        <w:t>Approach</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26A4619A" w14:textId="77777777" w:rsidR="00EB2B81" w:rsidRDefault="00EB2B81" w:rsidP="002E15A7">
      <w:r w:rsidRPr="00C66A0D">
        <w:t>To facilitate better outcomes</w:t>
      </w:r>
      <w:r>
        <w:t>,</w:t>
      </w:r>
      <w:r w:rsidRPr="00C66A0D">
        <w:t xml:space="preserve"> </w:t>
      </w:r>
      <w:r>
        <w:t>it is necessary</w:t>
      </w:r>
      <w:r w:rsidRPr="00C66A0D">
        <w:t xml:space="preserve"> to understand how the current design of the regulator and its internal operating approaches are interacting to shape overall regulatory performance outcomes.</w:t>
      </w:r>
      <w:r>
        <w:t xml:space="preserve"> To do this, the Review</w:t>
      </w:r>
      <w:r w:rsidDel="00AB3CBA">
        <w:t xml:space="preserve"> </w:t>
      </w:r>
      <w:r>
        <w:t>undertook analysis to understand</w:t>
      </w:r>
      <w:r w:rsidRPr="00C66A0D">
        <w:t xml:space="preserve"> what is driving performance outcomes</w:t>
      </w:r>
      <w:r>
        <w:t xml:space="preserve"> </w:t>
      </w:r>
      <w:r w:rsidRPr="00C66A0D">
        <w:t>and dr</w:t>
      </w:r>
      <w:r>
        <w:t>e</w:t>
      </w:r>
      <w:r w:rsidRPr="00C66A0D">
        <w:t>w on these</w:t>
      </w:r>
      <w:r>
        <w:t xml:space="preserve"> insights</w:t>
      </w:r>
      <w:r w:rsidRPr="00C66A0D">
        <w:t xml:space="preserve"> to inform </w:t>
      </w:r>
      <w:r>
        <w:t xml:space="preserve">possible </w:t>
      </w:r>
      <w:r w:rsidRPr="00C66A0D">
        <w:t>design choices.</w:t>
      </w:r>
    </w:p>
    <w:p w14:paraId="0B410BC4" w14:textId="77777777" w:rsidR="00EB2B81" w:rsidRDefault="00EB2B81" w:rsidP="002E15A7">
      <w:r>
        <w:t>Broadly, our analysis involved a three step process.</w:t>
      </w:r>
    </w:p>
    <w:p w14:paraId="596D283B" w14:textId="77777777" w:rsidR="00EB2B81" w:rsidRDefault="00EB2B81" w:rsidP="00BC43B3">
      <w:r w:rsidRPr="00B9045B">
        <w:rPr>
          <w:b/>
        </w:rPr>
        <w:t>Step one</w:t>
      </w:r>
      <w:r>
        <w:t xml:space="preserve"> identified performance outcomes and operating attributes of the ACMA.</w:t>
      </w:r>
    </w:p>
    <w:p w14:paraId="4BAD4AF5" w14:textId="77777777" w:rsidR="00EB2B81" w:rsidRPr="00C66A0D" w:rsidRDefault="00EB2B81" w:rsidP="00BC43B3">
      <w:r w:rsidRPr="00C66A0D">
        <w:t>Some attributes are specific to a regulator operating in a communications environment whil</w:t>
      </w:r>
      <w:r>
        <w:t>e</w:t>
      </w:r>
      <w:r w:rsidRPr="00C66A0D">
        <w:t xml:space="preserve"> others are </w:t>
      </w:r>
      <w:r>
        <w:t xml:space="preserve">more general </w:t>
      </w:r>
      <w:r w:rsidRPr="00C66A0D">
        <w:t xml:space="preserve">best practice traits. </w:t>
      </w:r>
      <w:r>
        <w:t>In our view b</w:t>
      </w:r>
      <w:r w:rsidRPr="00C66A0D">
        <w:t>est practice is not necessarily a universal nor static concept; rather it represents the design choices and operating attributes best suited to the remit</w:t>
      </w:r>
      <w:r>
        <w:t xml:space="preserve"> and context</w:t>
      </w:r>
      <w:r w:rsidRPr="00C66A0D">
        <w:t xml:space="preserve"> of the regulator</w:t>
      </w:r>
      <w:r>
        <w:t>,</w:t>
      </w:r>
      <w:r w:rsidRPr="00C66A0D">
        <w:t xml:space="preserve"> and the domestic market and political structure it operates within.</w:t>
      </w:r>
    </w:p>
    <w:p w14:paraId="52216594" w14:textId="77777777" w:rsidR="00EB2B81" w:rsidRPr="00C66A0D" w:rsidRDefault="00EB2B81" w:rsidP="00EB2B81">
      <w:r w:rsidRPr="00C66A0D">
        <w:t xml:space="preserve">The four desired performance outcomes </w:t>
      </w:r>
      <w:r>
        <w:t>the Review</w:t>
      </w:r>
      <w:r w:rsidDel="00AB3CBA">
        <w:t xml:space="preserve"> </w:t>
      </w:r>
      <w:r>
        <w:t>has identified for a future focused communications regulator are that the regulator</w:t>
      </w:r>
      <w:r w:rsidRPr="00C66A0D">
        <w:t>:</w:t>
      </w:r>
    </w:p>
    <w:p w14:paraId="6642D107" w14:textId="77777777" w:rsidR="00EB2B81" w:rsidRPr="00C66A0D" w:rsidRDefault="00EB2B81" w:rsidP="002E15A7">
      <w:pPr>
        <w:pStyle w:val="Bulletlevel1"/>
      </w:pPr>
      <w:r>
        <w:t xml:space="preserve">is an </w:t>
      </w:r>
      <w:r w:rsidRPr="00C66A0D">
        <w:t>agile, timely and informed decision maker</w:t>
      </w:r>
      <w:r>
        <w:t>;</w:t>
      </w:r>
    </w:p>
    <w:p w14:paraId="2C59F9D2" w14:textId="77777777" w:rsidR="00EB2B81" w:rsidRPr="00C66A0D" w:rsidRDefault="00EB2B81" w:rsidP="002E15A7">
      <w:pPr>
        <w:pStyle w:val="Bulletlevel1"/>
      </w:pPr>
      <w:r>
        <w:t>takes a</w:t>
      </w:r>
      <w:r w:rsidRPr="00C66A0D">
        <w:t xml:space="preserve">ctions </w:t>
      </w:r>
      <w:r>
        <w:t xml:space="preserve">which </w:t>
      </w:r>
      <w:r w:rsidRPr="00C66A0D">
        <w:t>are targeted and commensurate with risk</w:t>
      </w:r>
      <w:r>
        <w:t>;</w:t>
      </w:r>
    </w:p>
    <w:p w14:paraId="12D1C5EF" w14:textId="77777777" w:rsidR="00EB2B81" w:rsidRPr="009C58C1" w:rsidRDefault="00EB2B81" w:rsidP="002E15A7">
      <w:pPr>
        <w:pStyle w:val="Bulletlevel1"/>
      </w:pPr>
      <w:r w:rsidRPr="00C66A0D">
        <w:t>delivers continuous improvements of regulatory frameworks</w:t>
      </w:r>
      <w:r>
        <w:t>; and</w:t>
      </w:r>
    </w:p>
    <w:p w14:paraId="14A310BB" w14:textId="77777777" w:rsidR="00EB2B81" w:rsidRDefault="00EB2B81" w:rsidP="002E15A7">
      <w:pPr>
        <w:pStyle w:val="Bulletlevel1"/>
      </w:pPr>
      <w:r w:rsidRPr="00506CE9">
        <w:t>has the confidence and trust of stakeholders.</w:t>
      </w:r>
    </w:p>
    <w:p w14:paraId="4EC5A488" w14:textId="77777777" w:rsidR="00EB2B81" w:rsidRDefault="00EB2B81" w:rsidP="002E15A7">
      <w:r w:rsidRPr="00B9045B">
        <w:rPr>
          <w:b/>
        </w:rPr>
        <w:t>Step two</w:t>
      </w:r>
      <w:r w:rsidRPr="00C66A0D">
        <w:t xml:space="preserve"> </w:t>
      </w:r>
      <w:r>
        <w:t xml:space="preserve">assessed current performance by analysing </w:t>
      </w:r>
      <w:r w:rsidRPr="00C66A0D">
        <w:t>performance data and stakeholder feedback.</w:t>
      </w:r>
    </w:p>
    <w:p w14:paraId="0F45E401" w14:textId="77777777" w:rsidR="00EB2B81" w:rsidRDefault="00EB2B81" w:rsidP="002E15A7">
      <w:r>
        <w:t>The Review</w:t>
      </w:r>
      <w:r w:rsidDel="00AB3CBA">
        <w:t xml:space="preserve"> </w:t>
      </w:r>
      <w:r>
        <w:t xml:space="preserve">used </w:t>
      </w:r>
      <w:r w:rsidRPr="00C66A0D">
        <w:t>various sources including stakeholder submissions</w:t>
      </w:r>
      <w:r>
        <w:t xml:space="preserve"> and </w:t>
      </w:r>
      <w:r w:rsidRPr="00C66A0D">
        <w:t>consultations, a self-assessment by the ACMA against the Regulator Performanc</w:t>
      </w:r>
      <w:r>
        <w:t xml:space="preserve">e </w:t>
      </w:r>
      <w:r w:rsidRPr="00C66A0D">
        <w:t xml:space="preserve">Framework </w:t>
      </w:r>
      <w:r>
        <w:t>(</w:t>
      </w:r>
      <w:r w:rsidRPr="00C66A0D">
        <w:t>RPF</w:t>
      </w:r>
      <w:r>
        <w:t>)</w:t>
      </w:r>
      <w:r w:rsidRPr="00C66A0D">
        <w:t>, discussions with the reference group of regulatory experts</w:t>
      </w:r>
      <w:r>
        <w:t>,</w:t>
      </w:r>
      <w:r w:rsidRPr="00C66A0D">
        <w:t xml:space="preserve"> a</w:t>
      </w:r>
      <w:r>
        <w:t xml:space="preserve">s well as </w:t>
      </w:r>
      <w:r w:rsidRPr="00C66A0D">
        <w:t xml:space="preserve">empirical and qualitative information </w:t>
      </w:r>
      <w:r>
        <w:t xml:space="preserve">provided </w:t>
      </w:r>
      <w:r w:rsidRPr="00C66A0D">
        <w:t xml:space="preserve">by the ACMA at the request of the </w:t>
      </w:r>
      <w:r>
        <w:t>Review</w:t>
      </w:r>
      <w:r w:rsidRPr="00C66A0D">
        <w:t>.</w:t>
      </w:r>
    </w:p>
    <w:p w14:paraId="0748B1BD" w14:textId="77777777" w:rsidR="00EB2B81" w:rsidRDefault="00EB2B81" w:rsidP="002E15A7">
      <w:r w:rsidRPr="00C66A0D">
        <w:rPr>
          <w:rFonts w:eastAsia="Times New Roman" w:cs="Arial"/>
          <w:color w:val="000000"/>
        </w:rPr>
        <w:t>The RPF</w:t>
      </w:r>
      <w:r>
        <w:rPr>
          <w:rFonts w:eastAsia="Times New Roman" w:cs="Arial"/>
          <w:color w:val="000000"/>
        </w:rPr>
        <w:t xml:space="preserve"> </w:t>
      </w:r>
      <w:r w:rsidRPr="00C66A0D">
        <w:rPr>
          <w:rFonts w:eastAsia="Times New Roman" w:cs="Arial"/>
          <w:color w:val="000000"/>
        </w:rPr>
        <w:t>was used to structure our information requests for data and stakeholder input</w:t>
      </w:r>
      <w:r>
        <w:rPr>
          <w:rFonts w:eastAsia="Times New Roman" w:cs="Arial"/>
          <w:color w:val="000000"/>
        </w:rPr>
        <w:t>.</w:t>
      </w:r>
      <w:r w:rsidRPr="00C66A0D">
        <w:rPr>
          <w:rFonts w:eastAsia="Times New Roman" w:cs="Arial"/>
          <w:color w:val="000000"/>
          <w:vertAlign w:val="superscript"/>
        </w:rPr>
        <w:footnoteReference w:id="106"/>
      </w:r>
      <w:r w:rsidRPr="00C66A0D">
        <w:rPr>
          <w:rFonts w:eastAsia="Times New Roman" w:cs="Arial"/>
          <w:color w:val="000000"/>
        </w:rPr>
        <w:t> </w:t>
      </w:r>
      <w:r w:rsidRPr="00C66A0D">
        <w:t xml:space="preserve">This information </w:t>
      </w:r>
      <w:r>
        <w:t>was</w:t>
      </w:r>
      <w:r w:rsidRPr="00C66A0D">
        <w:t xml:space="preserve"> analysed to generate insights and communicate findings about</w:t>
      </w:r>
      <w:r>
        <w:t xml:space="preserve"> whether</w:t>
      </w:r>
      <w:r w:rsidRPr="00C66A0D">
        <w:t>:</w:t>
      </w:r>
    </w:p>
    <w:p w14:paraId="0AD75C0E" w14:textId="77777777" w:rsidR="00EB2B81" w:rsidRPr="002E15A7" w:rsidRDefault="00EB2B81" w:rsidP="002E15A7">
      <w:pPr>
        <w:pStyle w:val="Bulletlevel1"/>
      </w:pPr>
      <w:r w:rsidRPr="002E15A7">
        <w:t>The ACMA’s operating approach is effective and aligned with our aspirations for the regulator; and</w:t>
      </w:r>
    </w:p>
    <w:p w14:paraId="02F34800" w14:textId="77777777" w:rsidR="00EB2B81" w:rsidRPr="002E15A7" w:rsidRDefault="00EB2B81" w:rsidP="002E15A7">
      <w:pPr>
        <w:pStyle w:val="Bulletlevel1"/>
      </w:pPr>
      <w:r w:rsidRPr="002E15A7">
        <w:t>The four performance outcomes from step one are being promoted or inhibited by current design settings.</w:t>
      </w:r>
    </w:p>
    <w:p w14:paraId="4A1DE358" w14:textId="77777777" w:rsidR="00EB2B81" w:rsidRDefault="00EB2B81" w:rsidP="00EB2B81">
      <w:r>
        <w:t>It is important to note that whilst the RPF focuses on the regulator itself the assessment the Review</w:t>
      </w:r>
      <w:r w:rsidDel="00AB3CBA">
        <w:t xml:space="preserve"> </w:t>
      </w:r>
      <w:r>
        <w:t>has undertaken aims to be more systemic by exploring how the current design of the regulator and its internal operating approaches are interacting to shape performance outcomes.</w:t>
      </w:r>
    </w:p>
    <w:p w14:paraId="77A77B6A" w14:textId="77777777" w:rsidR="00EB2B81" w:rsidRDefault="00EB2B81" w:rsidP="002E15A7">
      <w:r w:rsidRPr="00B9045B">
        <w:rPr>
          <w:b/>
        </w:rPr>
        <w:t>Step three</w:t>
      </w:r>
      <w:r w:rsidRPr="00633551">
        <w:t xml:space="preserve"> </w:t>
      </w:r>
      <w:r>
        <w:t xml:space="preserve">draws on the insights gained from the previous two steps to </w:t>
      </w:r>
      <w:r w:rsidRPr="00633551">
        <w:t>propose</w:t>
      </w:r>
      <w:r w:rsidRPr="00C73543">
        <w:t xml:space="preserve"> </w:t>
      </w:r>
      <w:r w:rsidRPr="00633551">
        <w:t xml:space="preserve">measures to enhance the future </w:t>
      </w:r>
      <w:r>
        <w:t>performance of the ACMA</w:t>
      </w:r>
      <w:r w:rsidRPr="00633551">
        <w:t>.</w:t>
      </w:r>
    </w:p>
    <w:p w14:paraId="6F36772F" w14:textId="77777777" w:rsidR="00EB2B81" w:rsidRDefault="00EB2B81" w:rsidP="002E15A7">
      <w:r w:rsidRPr="00BB54B5">
        <w:t xml:space="preserve">The remainder of this </w:t>
      </w:r>
      <w:r>
        <w:t>Appendix</w:t>
      </w:r>
      <w:r w:rsidRPr="00BB54B5">
        <w:t xml:space="preserve"> </w:t>
      </w:r>
      <w:r>
        <w:t>aims</w:t>
      </w:r>
      <w:r w:rsidRPr="00BB54B5">
        <w:t xml:space="preserve"> to </w:t>
      </w:r>
      <w:r>
        <w:t>establish a vision and description of the performance objectives that would guide the communications regulator into the future. Further, this Appendix undertakes an assessment of current performance against the RPF and further describes the draft proposals to enhance future performance in line with the performance objectives described.</w:t>
      </w:r>
    </w:p>
    <w:p w14:paraId="178732A6" w14:textId="18E9C84F" w:rsidR="00EB2B81" w:rsidRDefault="000C2259" w:rsidP="00BF7B18">
      <w:pPr>
        <w:pStyle w:val="Heading4"/>
      </w:pPr>
      <w:bookmarkStart w:id="697" w:name="_Toc450310189"/>
      <w:r>
        <w:t>Regulator Performance Principles</w:t>
      </w:r>
      <w:bookmarkEnd w:id="697"/>
    </w:p>
    <w:p w14:paraId="38AEC56D" w14:textId="77777777" w:rsidR="00EB2B81" w:rsidRDefault="00EB2B81" w:rsidP="00EB2B81">
      <w:r>
        <w:t>The report earlier identifies the importance of a clear set of objectives for the ACMA to the achievement of good regulatory outcomes. While achieving this for the ACMA’s policy objectives will require regulatory reform, it is possible to legislate a set of principles addressing the way in which the ACMA goes about performing its regulatory functions. The Review proposes to establish a series of regulator principles in the ACMA’s enabling legislation to express the unambiguous intention of government and Parliament that the regulation of communications industries will be guided by best practice principles and continuous improvement over time. This approach is similar to the general duties and guiding regulatory principles set out in Ofcom’s enabling legislation</w:t>
      </w:r>
      <w:r>
        <w:rPr>
          <w:rStyle w:val="FootnoteReference"/>
        </w:rPr>
        <w:footnoteReference w:id="107"/>
      </w:r>
      <w:r>
        <w:t>.</w:t>
      </w:r>
    </w:p>
    <w:p w14:paraId="23D8A624" w14:textId="77777777" w:rsidR="00EB2B81" w:rsidRDefault="00EB2B81" w:rsidP="00EB2B81">
      <w:r>
        <w:t>The review proposes a set of guiding principles with a focus that the regulator should:</w:t>
      </w:r>
    </w:p>
    <w:p w14:paraId="496A67C1" w14:textId="77777777" w:rsidR="00EB2B81" w:rsidRDefault="00EB2B81" w:rsidP="00EB2B81">
      <w:pPr>
        <w:pStyle w:val="Bulletlevel1"/>
      </w:pPr>
      <w:r w:rsidRPr="00B7741E">
        <w:t>apply a risk-based approach to regulation, compliance and enforcement activities. Regulatory intervention should be targeted, evidence-based and commensurate with risk</w:t>
      </w:r>
    </w:p>
    <w:p w14:paraId="121B2531" w14:textId="77777777" w:rsidR="00EB2B81" w:rsidRDefault="00EB2B81" w:rsidP="00EB2B81">
      <w:pPr>
        <w:pStyle w:val="Bulletlevel1"/>
      </w:pPr>
      <w:r w:rsidRPr="00B7741E">
        <w:t>be transparent in its actions and clearly indicate the priorities and objectives which inform its decision-making to regulated entities and the broader public; and</w:t>
      </w:r>
    </w:p>
    <w:p w14:paraId="366E869E" w14:textId="793A8636" w:rsidR="00EB2B81" w:rsidRDefault="00EB2B81" w:rsidP="00EB2B81">
      <w:pPr>
        <w:pStyle w:val="Bulletlevel1"/>
      </w:pPr>
      <w:r w:rsidRPr="00B7741E">
        <w:t>implement continuous review of regulation to reduce burden and streamline approaches where the benefits exceed the costs.</w:t>
      </w:r>
    </w:p>
    <w:p w14:paraId="492F2F9E" w14:textId="77777777" w:rsidR="00EB2B81" w:rsidRDefault="00EB2B81" w:rsidP="00EB2B81">
      <w:r>
        <w:t>It is important to emphasise that the proposed regulator principles do not seek to prescribe policy objectives or outcomes. Rather, they are behavioural in character, and seek to provide guidance to the regulator on how it should approach its regulatory role.</w:t>
      </w:r>
    </w:p>
    <w:p w14:paraId="3242A088" w14:textId="77777777" w:rsidR="00EB2B81" w:rsidRPr="00B7741E" w:rsidRDefault="00EB2B81" w:rsidP="00BF7B18">
      <w:pPr>
        <w:pStyle w:val="Heading5"/>
      </w:pPr>
      <w:r>
        <w:t>Consideration of competition, innovation and investment</w:t>
      </w:r>
    </w:p>
    <w:p w14:paraId="41155CF8" w14:textId="77777777" w:rsidR="00EB2B81" w:rsidRDefault="00EB2B81" w:rsidP="00113CF9">
      <w:r w:rsidRPr="000472FF">
        <w:t xml:space="preserve">Licensing, </w:t>
      </w:r>
      <w:r>
        <w:t>and</w:t>
      </w:r>
      <w:r w:rsidRPr="000472FF">
        <w:t xml:space="preserve"> technical and resource allocation decisions can impose barriers to entry and limit the growth of new players, or apply regulatory costs disproportionally across different segments of the </w:t>
      </w:r>
      <w:r>
        <w:t>sector</w:t>
      </w:r>
      <w:r w:rsidRPr="000472FF">
        <w:t xml:space="preserve">. These regulatory decisions can </w:t>
      </w:r>
      <w:r>
        <w:t>influence</w:t>
      </w:r>
      <w:r w:rsidRPr="000472FF">
        <w:t xml:space="preserve"> </w:t>
      </w:r>
      <w:r>
        <w:t xml:space="preserve">the competitive dynamic in the market between firms </w:t>
      </w:r>
      <w:r w:rsidRPr="000472FF">
        <w:t>as well as impede the ability of Australian firms to compete in what is now a global communications market.</w:t>
      </w:r>
    </w:p>
    <w:p w14:paraId="6B9C6E95" w14:textId="77777777" w:rsidR="00EB2B81" w:rsidRDefault="00EB2B81" w:rsidP="00EB2B81">
      <w:r>
        <w:t>A number of stakeholders noted the importance of promoting competition, innovation and investment as a way of achieving good regulatory outcomes. ASTRA argues that:</w:t>
      </w:r>
    </w:p>
    <w:p w14:paraId="6B4B37D2" w14:textId="77777777" w:rsidR="00EB2B81" w:rsidRPr="00CB4DEF" w:rsidRDefault="00EB2B81" w:rsidP="00BF7B18">
      <w:pPr>
        <w:pStyle w:val="Quote"/>
        <w:rPr>
          <w:color w:val="auto"/>
        </w:rPr>
      </w:pPr>
      <w:r w:rsidRPr="00CB4DEF">
        <w:rPr>
          <w:color w:val="auto"/>
        </w:rPr>
        <w:t>the objective of the regulator should be to maximise consumer benefit by ensuring regulatory conditions which encourage innovation, investment and competition. These are the preconditions for a vibrant, agile and high quality communications sector which delivers services with a broader social, as well as commercial/economic benefits.</w:t>
      </w:r>
      <w:r w:rsidRPr="00CB4DEF">
        <w:rPr>
          <w:rStyle w:val="FootnoteReference"/>
          <w:color w:val="auto"/>
        </w:rPr>
        <w:footnoteReference w:id="108"/>
      </w:r>
    </w:p>
    <w:p w14:paraId="3FA9707F" w14:textId="77777777" w:rsidR="00EB2B81" w:rsidRPr="008712F4" w:rsidRDefault="00EB2B81" w:rsidP="00EB2B81">
      <w:r w:rsidRPr="008712F4">
        <w:t>Similarly, Telstra argues that the ACMA’s objectives should include:</w:t>
      </w:r>
    </w:p>
    <w:p w14:paraId="624D7FB1" w14:textId="77777777" w:rsidR="00EB2B81" w:rsidRPr="00CB4DEF" w:rsidRDefault="00EB2B81" w:rsidP="00BF7B18">
      <w:pPr>
        <w:pStyle w:val="Quote"/>
        <w:rPr>
          <w:color w:val="auto"/>
        </w:rPr>
      </w:pPr>
      <w:r w:rsidRPr="00CB4DEF">
        <w:rPr>
          <w:color w:val="auto"/>
        </w:rPr>
        <w:t>promoting the long term interest of end users; promoting investment in the communications and broadcasting sectors that facilitates the social and economic development of Australia; promoting the efficient use of public resources (e.g. spectrum); supporting Government policy for the communications and broadcasting sectors; and facilitating industry’s contribution to the Australian economy.</w:t>
      </w:r>
      <w:r w:rsidRPr="00CB4DEF">
        <w:rPr>
          <w:rStyle w:val="FootnoteReference"/>
          <w:color w:val="auto"/>
        </w:rPr>
        <w:footnoteReference w:id="109"/>
      </w:r>
    </w:p>
    <w:p w14:paraId="5228950C" w14:textId="77777777" w:rsidR="00EB2B81" w:rsidRPr="008712F4" w:rsidRDefault="00EB2B81" w:rsidP="00EB2B81">
      <w:r w:rsidRPr="008712F4">
        <w:t>Communications Alliance believes the regulator’s objectives should be to:</w:t>
      </w:r>
    </w:p>
    <w:p w14:paraId="79EACED6" w14:textId="77777777" w:rsidR="00EB2B81" w:rsidRPr="00CB4DEF" w:rsidRDefault="00EB2B81" w:rsidP="00BF7B18">
      <w:pPr>
        <w:pStyle w:val="Quote"/>
        <w:rPr>
          <w:color w:val="auto"/>
        </w:rPr>
      </w:pPr>
      <w:r w:rsidRPr="00CB4DEF">
        <w:rPr>
          <w:color w:val="auto"/>
        </w:rPr>
        <w:t>(i) Maintain a bias against intervention, driven by a positive obligation to de-regulate</w:t>
      </w:r>
    </w:p>
    <w:p w14:paraId="400DF402" w14:textId="77777777" w:rsidR="00EB2B81" w:rsidRPr="00CB4DEF" w:rsidRDefault="00EB2B81" w:rsidP="00BF7B18">
      <w:pPr>
        <w:pStyle w:val="Quote"/>
        <w:rPr>
          <w:color w:val="auto"/>
        </w:rPr>
      </w:pPr>
      <w:r w:rsidRPr="00CB4DEF">
        <w:rPr>
          <w:color w:val="auto"/>
        </w:rPr>
        <w:t>(ii) Achieve a culture of continuous self-improvement</w:t>
      </w:r>
    </w:p>
    <w:p w14:paraId="7256CBC3" w14:textId="77777777" w:rsidR="00EB2B81" w:rsidRPr="00CB4DEF" w:rsidRDefault="00EB2B81" w:rsidP="00BF7B18">
      <w:pPr>
        <w:pStyle w:val="Quote"/>
        <w:rPr>
          <w:color w:val="auto"/>
        </w:rPr>
      </w:pPr>
      <w:r w:rsidRPr="00CB4DEF">
        <w:rPr>
          <w:color w:val="auto"/>
        </w:rPr>
        <w:t>(iii) Remain committed to facilitating competition, innovation and investment in the telecommunications and other regulated sectors and to promoting consequent consumer benefit.</w:t>
      </w:r>
      <w:r w:rsidRPr="00CB4DEF">
        <w:rPr>
          <w:rStyle w:val="FootnoteReference"/>
          <w:color w:val="auto"/>
        </w:rPr>
        <w:footnoteReference w:id="110"/>
      </w:r>
    </w:p>
    <w:p w14:paraId="06D3EC48" w14:textId="77777777" w:rsidR="00EB2B81" w:rsidRDefault="00EB2B81" w:rsidP="00113CF9">
      <w:r w:rsidRPr="000472FF">
        <w:t xml:space="preserve">In light of these factors </w:t>
      </w:r>
      <w:r>
        <w:t xml:space="preserve">there may be </w:t>
      </w:r>
      <w:r w:rsidRPr="000472FF">
        <w:t xml:space="preserve">merit in </w:t>
      </w:r>
      <w:r>
        <w:t xml:space="preserve">strengthening consideration of </w:t>
      </w:r>
      <w:r w:rsidRPr="000472FF">
        <w:t xml:space="preserve">competition issues when the ACMA is weighing up policy </w:t>
      </w:r>
      <w:r>
        <w:t>objectives.</w:t>
      </w:r>
    </w:p>
    <w:p w14:paraId="0B1C4420" w14:textId="77777777" w:rsidR="00EB2B81" w:rsidRDefault="00EB2B81" w:rsidP="00EB2B81">
      <w:r>
        <w:t xml:space="preserve">Further, the Review also noted that technical decisions made by the ACMA can have an important bearing on competition, investment and innovation. In response </w:t>
      </w:r>
      <w:r w:rsidRPr="000472FF">
        <w:t>t</w:t>
      </w:r>
      <w:r>
        <w:t>o</w:t>
      </w:r>
      <w:r w:rsidRPr="000472FF">
        <w:t xml:space="preserve"> these factors </w:t>
      </w:r>
      <w:r>
        <w:t xml:space="preserve">the Review explored options to strengthen consideration of </w:t>
      </w:r>
      <w:r w:rsidRPr="000472FF">
        <w:t xml:space="preserve">competition issues when the ACMA is weighing up </w:t>
      </w:r>
      <w:r>
        <w:t>regulatory</w:t>
      </w:r>
      <w:r w:rsidRPr="000472FF">
        <w:t xml:space="preserve"> </w:t>
      </w:r>
      <w:r>
        <w:t>objectives. As the ACMA is not a competition regulator it is not appropriate to establish a specific objective which requires the ACMA to promote competition. However, the ACMA is an economic regulator as a result of its responsibility for spectrum management, and its licencing and technical decisions could potentially impose barriers to entry and limit the growth of new services</w:t>
      </w:r>
      <w:r>
        <w:rPr>
          <w:rStyle w:val="FootnoteReference"/>
        </w:rPr>
        <w:footnoteReference w:id="111"/>
      </w:r>
      <w:r>
        <w:t>.</w:t>
      </w:r>
      <w:r w:rsidR="00CF6194">
        <w:t xml:space="preserve"> </w:t>
      </w:r>
      <w:r>
        <w:t>The Review concluded that the ACMA could be asked to not hinder competition, unless this is unavoidable in fulfilling its statutory responsibilities. The Review considers this approach will encourage greater market-based thinking within the regulatory culture.</w:t>
      </w:r>
    </w:p>
    <w:p w14:paraId="566E3B6B" w14:textId="77777777" w:rsidR="00EB2B81" w:rsidRDefault="00EB2B81" w:rsidP="002E15A7">
      <w:r w:rsidRPr="00441951">
        <w:t>The Review</w:t>
      </w:r>
      <w:r w:rsidRPr="00441951" w:rsidDel="008C5828">
        <w:t xml:space="preserve"> </w:t>
      </w:r>
      <w:r w:rsidRPr="00441951">
        <w:t>has also considered whether the Minister could provide the ACMA with a Statement of Expectations to provide better direction and certainty about the Government’s priorities. In response, the ACMA would be expected to publish a statement of intent to outline the steps it would take to support the Government’s priorities. To ensure consistency in the Government’s approach to outlining its expectations for regulators in the communications sector the Review</w:t>
      </w:r>
      <w:r w:rsidRPr="00441951" w:rsidDel="008C5828">
        <w:t xml:space="preserve"> </w:t>
      </w:r>
      <w:r w:rsidRPr="00441951">
        <w:t xml:space="preserve">considers the Minister for Communications should also issues a similar statement of expectations to the ACCC within the scope of Part XIB and XIC of the </w:t>
      </w:r>
      <w:r w:rsidRPr="00441951">
        <w:rPr>
          <w:i/>
        </w:rPr>
        <w:t>Competition and Consumer Act (2010)</w:t>
      </w:r>
      <w:r w:rsidRPr="00441951">
        <w:t xml:space="preserve"> (the CCA).</w:t>
      </w:r>
    </w:p>
    <w:p w14:paraId="5DEA4FC3" w14:textId="77777777" w:rsidR="00933CAA" w:rsidRDefault="00933CAA" w:rsidP="00933CAA">
      <w:pPr>
        <w:pBdr>
          <w:top w:val="single" w:sz="4" w:space="1" w:color="auto"/>
          <w:left w:val="single" w:sz="4" w:space="4" w:color="auto"/>
          <w:bottom w:val="single" w:sz="4" w:space="1" w:color="auto"/>
          <w:right w:val="single" w:sz="4" w:space="4" w:color="auto"/>
        </w:pBdr>
      </w:pPr>
      <w:r>
        <w:t>Key findings</w:t>
      </w:r>
    </w:p>
    <w:p w14:paraId="62C5519D" w14:textId="5702E485" w:rsidR="00174EEE" w:rsidRDefault="00933CAA" w:rsidP="00C46989">
      <w:pPr>
        <w:pStyle w:val="Bulletlevel1"/>
        <w:pBdr>
          <w:top w:val="single" w:sz="4" w:space="1" w:color="auto"/>
          <w:left w:val="single" w:sz="4" w:space="4" w:color="auto"/>
          <w:bottom w:val="single" w:sz="4" w:space="1" w:color="auto"/>
          <w:right w:val="single" w:sz="4" w:space="4" w:color="auto"/>
        </w:pBdr>
      </w:pPr>
      <w:r>
        <w:t>A clearer description of performance expectations relating to the ACMA’s regulatory role will support better outcomes for industry and consumers.</w:t>
      </w:r>
    </w:p>
    <w:p w14:paraId="46D8DEE2" w14:textId="77777777" w:rsidR="00174EEE" w:rsidRPr="00D54776" w:rsidRDefault="00174EEE" w:rsidP="00113CF9">
      <w:pPr>
        <w:pBdr>
          <w:top w:val="single" w:sz="4" w:space="1" w:color="auto"/>
          <w:left w:val="single" w:sz="4" w:space="1" w:color="auto"/>
          <w:bottom w:val="single" w:sz="4" w:space="1" w:color="auto"/>
          <w:right w:val="single" w:sz="4" w:space="1" w:color="auto"/>
        </w:pBdr>
        <w:shd w:val="clear" w:color="auto" w:fill="CCE0EC"/>
      </w:pPr>
      <w:r w:rsidRPr="00D54776">
        <w:t>Draft proposal</w:t>
      </w:r>
      <w:r>
        <w:t>:</w:t>
      </w:r>
    </w:p>
    <w:p w14:paraId="08EB6A28" w14:textId="77777777" w:rsidR="00174EEE" w:rsidRDefault="00174EEE" w:rsidP="00113CF9">
      <w:pPr>
        <w:pBdr>
          <w:top w:val="single" w:sz="4" w:space="1" w:color="auto"/>
          <w:left w:val="single" w:sz="4" w:space="1" w:color="auto"/>
          <w:bottom w:val="single" w:sz="4" w:space="1" w:color="auto"/>
          <w:right w:val="single" w:sz="4" w:space="1" w:color="auto"/>
        </w:pBdr>
        <w:shd w:val="clear" w:color="auto" w:fill="CCE0EC"/>
        <w:spacing w:line="276" w:lineRule="auto"/>
        <w:ind w:left="567" w:hanging="567"/>
      </w:pPr>
      <w:r>
        <w:t>18.</w:t>
      </w:r>
      <w:r>
        <w:tab/>
      </w:r>
      <w:r w:rsidRPr="00441951">
        <w:t>Legislate</w:t>
      </w:r>
      <w:r>
        <w:t xml:space="preserve"> the following four</w:t>
      </w:r>
      <w:r w:rsidRPr="00530EDE">
        <w:t xml:space="preserve"> </w:t>
      </w:r>
      <w:r>
        <w:t>r</w:t>
      </w:r>
      <w:r w:rsidRPr="00530EDE">
        <w:t xml:space="preserve">egulator </w:t>
      </w:r>
      <w:r>
        <w:t>p</w:t>
      </w:r>
      <w:r w:rsidRPr="00530EDE">
        <w:t>rinciple</w:t>
      </w:r>
      <w:r>
        <w:t>s in the ACMA’s enabling legislation</w:t>
      </w:r>
      <w:r w:rsidRPr="00530EDE">
        <w:t>, proposed draft:</w:t>
      </w:r>
    </w:p>
    <w:p w14:paraId="4A544324" w14:textId="77777777" w:rsidR="00174EEE" w:rsidRPr="00CB4DEF" w:rsidRDefault="00174EEE" w:rsidP="00294D6F">
      <w:pPr>
        <w:pStyle w:val="Bulletlevel1"/>
        <w:pBdr>
          <w:top w:val="single" w:sz="4" w:space="1" w:color="auto"/>
          <w:left w:val="single" w:sz="4" w:space="1" w:color="auto"/>
          <w:bottom w:val="single" w:sz="4" w:space="1" w:color="auto"/>
          <w:right w:val="single" w:sz="4" w:space="1" w:color="auto"/>
        </w:pBdr>
        <w:shd w:val="clear" w:color="auto" w:fill="CCE0EC"/>
        <w:ind w:left="851" w:hanging="851"/>
        <w:rPr>
          <w:b/>
          <w:i/>
        </w:rPr>
      </w:pPr>
      <w:r w:rsidRPr="00CB4DEF">
        <w:rPr>
          <w:i/>
        </w:rPr>
        <w:t>The ACMA have regard that its regulatory settings do not unnecessarily hinder competition, innovation or efficient investment.</w:t>
      </w:r>
    </w:p>
    <w:p w14:paraId="1DA0A847" w14:textId="77777777" w:rsidR="00174EEE" w:rsidRPr="00CB4DEF" w:rsidRDefault="00174EEE" w:rsidP="00294D6F">
      <w:pPr>
        <w:pStyle w:val="Bulletlevel1"/>
        <w:pBdr>
          <w:top w:val="single" w:sz="4" w:space="1" w:color="auto"/>
          <w:left w:val="single" w:sz="4" w:space="1" w:color="auto"/>
          <w:bottom w:val="single" w:sz="4" w:space="1" w:color="auto"/>
          <w:right w:val="single" w:sz="4" w:space="1" w:color="auto"/>
        </w:pBdr>
        <w:shd w:val="clear" w:color="auto" w:fill="CCE0EC"/>
        <w:ind w:left="851" w:hanging="851"/>
        <w:rPr>
          <w:i/>
        </w:rPr>
      </w:pPr>
      <w:r w:rsidRPr="00CB4DEF">
        <w:rPr>
          <w:i/>
        </w:rPr>
        <w:t>The ACMA should apply a risk-based approach to regulation, compliance and enforcement activities. Regulatory intervention should be targeted, evidence-based and commensurate with risk.</w:t>
      </w:r>
    </w:p>
    <w:p w14:paraId="37646A5C" w14:textId="553BD029" w:rsidR="00174EEE" w:rsidRPr="00CB4DEF" w:rsidRDefault="00174EEE" w:rsidP="00294D6F">
      <w:pPr>
        <w:pStyle w:val="Bulletlevel1"/>
        <w:pBdr>
          <w:top w:val="single" w:sz="4" w:space="1" w:color="auto"/>
          <w:left w:val="single" w:sz="4" w:space="1" w:color="auto"/>
          <w:bottom w:val="single" w:sz="4" w:space="1" w:color="auto"/>
          <w:right w:val="single" w:sz="4" w:space="1" w:color="auto"/>
        </w:pBdr>
        <w:shd w:val="clear" w:color="auto" w:fill="CCE0EC"/>
        <w:ind w:left="851" w:hanging="851"/>
        <w:rPr>
          <w:b/>
          <w:i/>
        </w:rPr>
      </w:pPr>
      <w:r w:rsidRPr="00CB4DEF">
        <w:rPr>
          <w:i/>
        </w:rPr>
        <w:t>The ACMA should implement continuous review of regulation to reduce burden and streamline approaches where the benefits exceed the costs.</w:t>
      </w:r>
    </w:p>
    <w:p w14:paraId="2251189A" w14:textId="77777777" w:rsidR="00174EEE" w:rsidRPr="00CB4DEF" w:rsidRDefault="00174EEE" w:rsidP="00294D6F">
      <w:pPr>
        <w:pStyle w:val="Bulletlevel1"/>
        <w:pBdr>
          <w:top w:val="single" w:sz="4" w:space="1" w:color="auto"/>
          <w:left w:val="single" w:sz="4" w:space="1" w:color="auto"/>
          <w:bottom w:val="single" w:sz="4" w:space="1" w:color="auto"/>
          <w:right w:val="single" w:sz="4" w:space="1" w:color="auto"/>
        </w:pBdr>
        <w:shd w:val="clear" w:color="auto" w:fill="CCE0EC"/>
        <w:ind w:left="851" w:hanging="851"/>
        <w:rPr>
          <w:i/>
        </w:rPr>
      </w:pPr>
      <w:r w:rsidRPr="00CB4DEF">
        <w:rPr>
          <w:i/>
        </w:rPr>
        <w:t>The ACMA should be transparent in its actions and clearly indicate the priorities and objectives which inform its decision-making to regulated entities and the broader public.</w:t>
      </w:r>
    </w:p>
    <w:p w14:paraId="1C2982DF" w14:textId="77777777" w:rsidR="00174EEE" w:rsidRDefault="00174EEE" w:rsidP="00113CF9">
      <w:pPr>
        <w:pBdr>
          <w:top w:val="single" w:sz="4" w:space="1" w:color="auto"/>
          <w:left w:val="single" w:sz="4" w:space="1" w:color="auto"/>
          <w:bottom w:val="single" w:sz="4" w:space="1" w:color="auto"/>
          <w:right w:val="single" w:sz="4" w:space="1" w:color="auto"/>
        </w:pBdr>
        <w:shd w:val="clear" w:color="auto" w:fill="CCE0EC"/>
        <w:ind w:left="567" w:hanging="567"/>
      </w:pPr>
      <w:r>
        <w:t>19.</w:t>
      </w:r>
      <w:r>
        <w:tab/>
        <w:t>That t</w:t>
      </w:r>
      <w:r w:rsidRPr="00EA0228">
        <w:t>he Minister provide</w:t>
      </w:r>
      <w:r>
        <w:t xml:space="preserve"> </w:t>
      </w:r>
      <w:r w:rsidRPr="00EA0228">
        <w:t xml:space="preserve">the ACMA with an annual </w:t>
      </w:r>
      <w:r>
        <w:t>S</w:t>
      </w:r>
      <w:r w:rsidRPr="00EA0228">
        <w:t xml:space="preserve">tatement of </w:t>
      </w:r>
      <w:r>
        <w:t>E</w:t>
      </w:r>
      <w:r w:rsidRPr="00EA0228">
        <w:t xml:space="preserve">xpectations </w:t>
      </w:r>
      <w:r>
        <w:t>and the ACMA respond by publishing a Statement of Intent outlining how it will seek to deliver on the Government’s expectations.</w:t>
      </w:r>
    </w:p>
    <w:p w14:paraId="7F8E5DF4" w14:textId="77777777" w:rsidR="00174EEE" w:rsidRDefault="00174EEE" w:rsidP="00113CF9">
      <w:pPr>
        <w:pBdr>
          <w:top w:val="single" w:sz="4" w:space="1" w:color="auto"/>
          <w:left w:val="single" w:sz="4" w:space="1" w:color="auto"/>
          <w:bottom w:val="single" w:sz="4" w:space="1" w:color="auto"/>
          <w:right w:val="single" w:sz="4" w:space="1" w:color="auto"/>
        </w:pBdr>
        <w:shd w:val="clear" w:color="auto" w:fill="CCE0EC"/>
        <w:ind w:left="567" w:hanging="567"/>
      </w:pPr>
      <w:r>
        <w:t>20.</w:t>
      </w:r>
      <w:r>
        <w:tab/>
      </w:r>
      <w:r w:rsidRPr="00441951">
        <w:t>That the Minister provide the ACCC with an annual Statement of Expectations and the ACCC respond by publishing a Statement of Intent outlining how it will seek to deliver on the Government’s expectations.</w:t>
      </w:r>
    </w:p>
    <w:p w14:paraId="13B75BA5" w14:textId="77777777" w:rsidR="00EB2B81" w:rsidRDefault="00EB2B81" w:rsidP="00BF7B18">
      <w:pPr>
        <w:pStyle w:val="Heading4"/>
      </w:pPr>
      <w:bookmarkStart w:id="698" w:name="_Toc443307377"/>
      <w:bookmarkStart w:id="699" w:name="_Toc445810593"/>
      <w:bookmarkStart w:id="700" w:name="_Toc449108104"/>
      <w:bookmarkStart w:id="701" w:name="_Toc449432121"/>
      <w:bookmarkStart w:id="702" w:name="_Toc449438588"/>
      <w:bookmarkStart w:id="703" w:name="_Toc449620039"/>
      <w:bookmarkStart w:id="704" w:name="_Toc450310190"/>
      <w:r w:rsidRPr="00A1575E">
        <w:t>A regulator that is an agile, timely and informed decision maker</w:t>
      </w:r>
      <w:bookmarkEnd w:id="698"/>
      <w:bookmarkEnd w:id="699"/>
      <w:bookmarkEnd w:id="700"/>
      <w:bookmarkEnd w:id="701"/>
      <w:bookmarkEnd w:id="702"/>
      <w:bookmarkEnd w:id="703"/>
      <w:bookmarkEnd w:id="704"/>
    </w:p>
    <w:p w14:paraId="7C43821C" w14:textId="77777777" w:rsidR="00EB2B81" w:rsidRPr="00B33DF4" w:rsidRDefault="00EB2B81" w:rsidP="00BF7B18">
      <w:pPr>
        <w:pStyle w:val="Heading5"/>
        <w:rPr>
          <w:color w:val="323E4F" w:themeColor="text2" w:themeShade="BF"/>
        </w:rPr>
      </w:pPr>
      <w:r>
        <w:t>Desired attributes</w:t>
      </w:r>
    </w:p>
    <w:p w14:paraId="44E35CB7" w14:textId="72AD8930" w:rsidR="00EB2B81" w:rsidRPr="00303344" w:rsidRDefault="00EB2B81" w:rsidP="00BC43B3">
      <w:pPr>
        <w:rPr>
          <w:rFonts w:eastAsia="Times New Roman" w:cs="Arial"/>
          <w:color w:val="000000"/>
          <w:sz w:val="24"/>
          <w:szCs w:val="24"/>
        </w:rPr>
      </w:pPr>
      <w:r>
        <w:t>Given the scope of reform expected over coming years, the Review</w:t>
      </w:r>
      <w:r w:rsidDel="00AB3CBA">
        <w:t xml:space="preserve"> </w:t>
      </w:r>
      <w:r>
        <w:t>considers that a</w:t>
      </w:r>
      <w:r w:rsidRPr="00303344">
        <w:t xml:space="preserve"> fit-for-purpose regulator w</w:t>
      </w:r>
      <w:r>
        <w:t>ould</w:t>
      </w:r>
      <w:r w:rsidRPr="00303344">
        <w:t xml:space="preserve"> need to be agile, responsive and proportionate in its decision</w:t>
      </w:r>
      <w:r w:rsidR="00AB23B9">
        <w:t>-</w:t>
      </w:r>
      <w:r w:rsidRPr="00303344">
        <w:t xml:space="preserve">making. </w:t>
      </w:r>
      <w:r>
        <w:t>It would</w:t>
      </w:r>
      <w:r w:rsidRPr="00303344">
        <w:t xml:space="preserve"> need to </w:t>
      </w:r>
      <w:r>
        <w:t xml:space="preserve">develop an adaptive culture and be well positioned to </w:t>
      </w:r>
      <w:r w:rsidRPr="00303344">
        <w:t>adjust its approach as the regulatory regime is reformed.</w:t>
      </w:r>
    </w:p>
    <w:p w14:paraId="6168ABB9" w14:textId="77777777" w:rsidR="00EB2B81" w:rsidRPr="00303344" w:rsidRDefault="00EB2B81" w:rsidP="00BC43B3">
      <w:r>
        <w:t xml:space="preserve">Timeliness will be increasingly important given the </w:t>
      </w:r>
      <w:r w:rsidRPr="00303344">
        <w:t xml:space="preserve">rapid technology product cycles and service innovation, and a radiofrequency spectrum </w:t>
      </w:r>
      <w:r>
        <w:t xml:space="preserve">regime </w:t>
      </w:r>
      <w:r w:rsidRPr="00303344">
        <w:t xml:space="preserve">whose </w:t>
      </w:r>
      <w:r>
        <w:t>true economic value can only be</w:t>
      </w:r>
      <w:r w:rsidRPr="00303344">
        <w:t xml:space="preserve"> realised when fully utilised and allocated towards its highest value use.</w:t>
      </w:r>
    </w:p>
    <w:p w14:paraId="0790D0D8" w14:textId="0674DD8B" w:rsidR="00EB2B81" w:rsidRDefault="00EB2B81" w:rsidP="00BC43B3">
      <w:r>
        <w:t>The Review</w:t>
      </w:r>
      <w:r w:rsidDel="00AB3CBA">
        <w:t xml:space="preserve"> </w:t>
      </w:r>
      <w:r>
        <w:t>expects that the regulator</w:t>
      </w:r>
      <w:r w:rsidRPr="00303344">
        <w:t xml:space="preserve"> will need to have </w:t>
      </w:r>
      <w:r>
        <w:t>deep expertise</w:t>
      </w:r>
      <w:r w:rsidRPr="00303344">
        <w:t xml:space="preserve"> </w:t>
      </w:r>
      <w:r>
        <w:t xml:space="preserve">and an understanding of business models and potential harms </w:t>
      </w:r>
      <w:r w:rsidRPr="00303344">
        <w:t xml:space="preserve">across </w:t>
      </w:r>
      <w:r>
        <w:t>the</w:t>
      </w:r>
      <w:r w:rsidRPr="00303344">
        <w:t xml:space="preserve"> layers of the communications </w:t>
      </w:r>
      <w:r>
        <w:t>markets</w:t>
      </w:r>
      <w:r w:rsidRPr="00303344">
        <w:t xml:space="preserve">. </w:t>
      </w:r>
      <w:r>
        <w:t>It</w:t>
      </w:r>
      <w:r w:rsidRPr="00303344">
        <w:t xml:space="preserve"> will increasingly need to understand the way previously distinct market players are competing with each other and operating across multiple layers. It will need to recognise when and how its decisions have implications for competition and the capacity to take this into account in its decision</w:t>
      </w:r>
      <w:r w:rsidR="00AB23B9">
        <w:t>-</w:t>
      </w:r>
      <w:r w:rsidRPr="00303344">
        <w:t>making.</w:t>
      </w:r>
    </w:p>
    <w:p w14:paraId="59A8B2E1" w14:textId="77777777" w:rsidR="00EB2B81" w:rsidRDefault="00EB2B81" w:rsidP="00BC43B3">
      <w:r w:rsidRPr="00303344">
        <w:t>Significantly</w:t>
      </w:r>
      <w:r>
        <w:t>,</w:t>
      </w:r>
      <w:r w:rsidRPr="00303344">
        <w:t xml:space="preserve"> the ACMA </w:t>
      </w:r>
      <w:r>
        <w:t>will require</w:t>
      </w:r>
      <w:r w:rsidRPr="00303344">
        <w:t xml:space="preserve"> decision</w:t>
      </w:r>
      <w:r>
        <w:t xml:space="preserve"> </w:t>
      </w:r>
      <w:r w:rsidRPr="00303344">
        <w:t xml:space="preserve">makers </w:t>
      </w:r>
      <w:r>
        <w:t xml:space="preserve">who </w:t>
      </w:r>
      <w:r w:rsidRPr="00303344">
        <w:t>are steeped in the facts and able to exerc</w:t>
      </w:r>
      <w:r>
        <w:t>ise judgement based on evidence</w:t>
      </w:r>
      <w:r w:rsidRPr="00303344">
        <w:t xml:space="preserve"> and an assessment of the costs and benefits. The regulator will need to </w:t>
      </w:r>
      <w:r>
        <w:t xml:space="preserve">continue to </w:t>
      </w:r>
      <w:r w:rsidRPr="00303344">
        <w:t xml:space="preserve">demonstrate regulatory craftsmanship to design interventions that are targeted to address the harms </w:t>
      </w:r>
      <w:r>
        <w:t>in an</w:t>
      </w:r>
      <w:r w:rsidRPr="00303344">
        <w:t xml:space="preserve"> environment</w:t>
      </w:r>
      <w:r>
        <w:t xml:space="preserve"> better suited to ex post market correctives over ex ante rule-making.</w:t>
      </w:r>
      <w:r>
        <w:rPr>
          <w:rStyle w:val="FootnoteReference"/>
        </w:rPr>
        <w:footnoteReference w:id="112"/>
      </w:r>
    </w:p>
    <w:p w14:paraId="37E3355C" w14:textId="77777777" w:rsidR="00EB2B81" w:rsidRPr="00B33DF4" w:rsidRDefault="00EB2B81" w:rsidP="00BF7B18">
      <w:pPr>
        <w:pStyle w:val="Heading5"/>
        <w:rPr>
          <w:color w:val="323E4F" w:themeColor="text2" w:themeShade="BF"/>
        </w:rPr>
      </w:pPr>
      <w:r>
        <w:t>Assessment of current performance</w:t>
      </w:r>
    </w:p>
    <w:p w14:paraId="2282D92C" w14:textId="77777777" w:rsidR="00EB2B81" w:rsidRPr="00783DAE" w:rsidRDefault="00EB2B81" w:rsidP="00BC43B3">
      <w:r w:rsidRPr="00783DAE">
        <w:t xml:space="preserve">The ACMA has broadly met its service delivery performance indicators when it comes to responding to enquiries, issuing radiocommunications licenses and other high-volume functions such as the Do Not Call Register. </w:t>
      </w:r>
      <w:r>
        <w:t>Steady</w:t>
      </w:r>
      <w:r w:rsidRPr="00783DAE">
        <w:t xml:space="preserve"> improvements have been achieved in these service delivery operations with many of the high-volume functions now being semi to fully-automated.</w:t>
      </w:r>
    </w:p>
    <w:p w14:paraId="10D24328" w14:textId="5D3B2A32" w:rsidR="00EB2B81" w:rsidRPr="00783DAE" w:rsidRDefault="00EB2B81" w:rsidP="00BC43B3">
      <w:r w:rsidRPr="00783DAE">
        <w:t>Where the ACMA has intervened strongly in telecommunications markets the evidence indicates the approach delivered a positive net-benefit and/or reduced the number of complaints. For example, the ACMA research from the Reconnecting the Customer inquiry informed significant revisions to the Telecommunications Consumer Protection</w:t>
      </w:r>
      <w:r>
        <w:t>s</w:t>
      </w:r>
      <w:r w:rsidRPr="00783DAE">
        <w:t xml:space="preserve"> (TCP Code) in 2012. This took place </w:t>
      </w:r>
      <w:r>
        <w:t>at</w:t>
      </w:r>
      <w:r w:rsidRPr="00783DAE">
        <w:t xml:space="preserve"> a time when product complexity in fixed line and mobile services was increasing and consumers were complaining in increasing numbers about bill shock and unexpected charges. Commissioned analysis by the ACMA estimated consumers have benefited by $545</w:t>
      </w:r>
      <w:r w:rsidR="00E549A3">
        <w:t> million</w:t>
      </w:r>
      <w:r w:rsidRPr="00783DAE">
        <w:t xml:space="preserve"> each year since the revised Code was introduced in 2012</w:t>
      </w:r>
      <w:r>
        <w:t>.</w:t>
      </w:r>
      <w:r>
        <w:rPr>
          <w:rStyle w:val="FootnoteReference"/>
        </w:rPr>
        <w:footnoteReference w:id="113"/>
      </w:r>
      <w:r w:rsidRPr="00783DAE">
        <w:t xml:space="preserve"> </w:t>
      </w:r>
      <w:r>
        <w:t xml:space="preserve">This is supported by statistics published by the Telecommunications Industry Ombudsman (TIO): </w:t>
      </w:r>
      <w:r w:rsidRPr="004F0AEA">
        <w:t xml:space="preserve">Figure </w:t>
      </w:r>
      <w:r w:rsidR="000C2259">
        <w:t>B</w:t>
      </w:r>
      <w:r>
        <w:t>2 shows a fall in complaints relating to unexpectedly high charges received by the TIO following the introduction of the TCP Code in August 2012.</w:t>
      </w:r>
    </w:p>
    <w:p w14:paraId="6D6704A9" w14:textId="41CE9C8D" w:rsidR="00EB2B81" w:rsidRDefault="00EB2B81" w:rsidP="00BC43B3">
      <w:r w:rsidRPr="00783DAE">
        <w:t>The average annual reduction in new TIO complaints for the two financial years following the registration of the code was 27,378</w:t>
      </w:r>
      <w:r>
        <w:t>.</w:t>
      </w:r>
      <w:r>
        <w:rPr>
          <w:rStyle w:val="FootnoteReference"/>
        </w:rPr>
        <w:footnoteReference w:id="114"/>
      </w:r>
      <w:r w:rsidRPr="00783DAE">
        <w:t xml:space="preserve"> Further, </w:t>
      </w:r>
      <w:r>
        <w:t xml:space="preserve">as shown in </w:t>
      </w:r>
      <w:r w:rsidRPr="004F0AEA">
        <w:t xml:space="preserve">Figure </w:t>
      </w:r>
      <w:r w:rsidR="000C2259">
        <w:t>B</w:t>
      </w:r>
      <w:r>
        <w:t xml:space="preserve">3, </w:t>
      </w:r>
      <w:r w:rsidRPr="00783DAE">
        <w:t>TIO complaint statistics on Mobile Premium Services peaked in 2008–09 with over 13,000 new complaints over that period. With the introduction of the Mobile Premium Services Code in July 2009, there was a substantial decrease in new complaints to just over 4,000 in 2009–10</w:t>
      </w:r>
      <w:r>
        <w:t>.</w:t>
      </w:r>
      <w:r>
        <w:rPr>
          <w:rStyle w:val="FootnoteReference"/>
        </w:rPr>
        <w:footnoteReference w:id="115"/>
      </w:r>
      <w:r w:rsidRPr="00783DAE">
        <w:t xml:space="preserve"> Complaint numbers continued to decrease to their lowest level of around 1,</w:t>
      </w:r>
      <w:r>
        <w:t>6</w:t>
      </w:r>
      <w:r w:rsidRPr="00783DAE">
        <w:t>00 in 2013–14</w:t>
      </w:r>
      <w:r>
        <w:t>.</w:t>
      </w:r>
      <w:r w:rsidRPr="00193B84">
        <w:rPr>
          <w:vertAlign w:val="superscript"/>
        </w:rPr>
        <w:footnoteReference w:id="116"/>
      </w:r>
    </w:p>
    <w:p w14:paraId="242AAAE7" w14:textId="77777777" w:rsidR="00EB2B81" w:rsidRPr="00783DAE" w:rsidRDefault="00EB2B81" w:rsidP="00174EEE">
      <w:pPr>
        <w:pStyle w:val="Tablefigureheading"/>
      </w:pPr>
      <w:r w:rsidRPr="00312EC0">
        <w:t xml:space="preserve">Figure </w:t>
      </w:r>
      <w:r>
        <w:t>B</w:t>
      </w:r>
      <w:r w:rsidRPr="00312EC0">
        <w:t>2: TIO statistics showing number of new complaints relating to bill shock following introduction of relevant codes by the ACMA</w:t>
      </w:r>
      <w:r>
        <w:rPr>
          <w:rStyle w:val="FootnoteReference"/>
        </w:rPr>
        <w:footnoteReference w:id="117"/>
      </w:r>
    </w:p>
    <w:p w14:paraId="13EB1BCA" w14:textId="77777777" w:rsidR="00BC43B3" w:rsidRDefault="00BC43B3" w:rsidP="00BC43B3">
      <w:r>
        <w:rPr>
          <w:noProof/>
          <w:lang w:eastAsia="en-AU"/>
        </w:rPr>
        <w:drawing>
          <wp:inline distT="0" distB="0" distL="0" distR="0" wp14:anchorId="1E68131A" wp14:editId="19B18EC2">
            <wp:extent cx="5926455" cy="2350770"/>
            <wp:effectExtent l="0" t="0" r="0" b="0"/>
            <wp:docPr id="241" name="Picture 241" descr="Financial year 2010-11: 19,137 complaints&#10;Financial year 2011-12: 21,903 complaints&#10;Financial year 2012-13: 19,023 complaints&#10;Financial year 2013-14: 15,464 complaints&#10;Financial year 2014-15: 13,589 complaints&#10;&#10;Note that the TCP code was introduced in August 2012." title="TIO statistics showing number of new complaints relating to bill shock following introduction of relevant codes by the AC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26455" cy="2350770"/>
                    </a:xfrm>
                    <a:prstGeom prst="rect">
                      <a:avLst/>
                    </a:prstGeom>
                  </pic:spPr>
                </pic:pic>
              </a:graphicData>
            </a:graphic>
          </wp:inline>
        </w:drawing>
      </w:r>
    </w:p>
    <w:p w14:paraId="3D95CCE1" w14:textId="77777777" w:rsidR="00EB2B81" w:rsidRDefault="00EB2B81" w:rsidP="00174EEE">
      <w:pPr>
        <w:pStyle w:val="Tablefigureheading"/>
      </w:pPr>
      <w:r w:rsidRPr="00312EC0">
        <w:t xml:space="preserve">Figure </w:t>
      </w:r>
      <w:r>
        <w:t>B</w:t>
      </w:r>
      <w:r w:rsidRPr="00312EC0">
        <w:t>3: TIO statistics showing number of new complaints relating to Mobile Premium Services following introduction of relevant codes by the ACMA</w:t>
      </w:r>
      <w:r>
        <w:rPr>
          <w:rStyle w:val="FootnoteReference"/>
        </w:rPr>
        <w:footnoteReference w:id="118"/>
      </w:r>
    </w:p>
    <w:p w14:paraId="0A0E0699" w14:textId="77777777" w:rsidR="005C1E2A" w:rsidRPr="00CB4DEF" w:rsidRDefault="005C1E2A" w:rsidP="00CB4DEF"/>
    <w:p w14:paraId="36E1ABEE" w14:textId="77777777" w:rsidR="00BC43B3" w:rsidRDefault="00BC43B3" w:rsidP="00BC43B3">
      <w:r>
        <w:rPr>
          <w:noProof/>
          <w:lang w:eastAsia="en-AU"/>
        </w:rPr>
        <w:drawing>
          <wp:inline distT="0" distB="0" distL="0" distR="0" wp14:anchorId="4BBE78CD" wp14:editId="5516B231">
            <wp:extent cx="5926455" cy="2491740"/>
            <wp:effectExtent l="0" t="0" r="0" b="3810"/>
            <wp:docPr id="240" name="Picture 240" descr="Financial year 2008-09: 13,596 complaints&#10;Financial year 2009-10: 4,011 complaints&#10;Financial year 2010-11: 2,184 complaints&#10;Financial year 2011-12: 2,580 complaints&#10;Financial year 2012-13: 1,990 complaints&#10;Financial year 2013-14: 1,639 complaints&#10;Financial year 2014-15: 2,134 complaints&#10;&#10;Note that the Mobile Premium Services Code was introduced in July 2009" title="TIO statistics showing number of new complaints relating to Mobile Premium Services following introduction of relevant codes by the AC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26455" cy="2491740"/>
                    </a:xfrm>
                    <a:prstGeom prst="rect">
                      <a:avLst/>
                    </a:prstGeom>
                  </pic:spPr>
                </pic:pic>
              </a:graphicData>
            </a:graphic>
          </wp:inline>
        </w:drawing>
      </w:r>
    </w:p>
    <w:p w14:paraId="0A8D9B49" w14:textId="7F7538DF" w:rsidR="00EB2B81" w:rsidRDefault="00EB2B81" w:rsidP="00BC43B3">
      <w:r w:rsidRPr="00783DAE">
        <w:t>Stakeholders have broadly expressed a desire for more timely decision</w:t>
      </w:r>
      <w:r w:rsidR="00AB23B9">
        <w:t>-</w:t>
      </w:r>
      <w:r w:rsidRPr="00783DAE">
        <w:t>making outcomes and planning processes.</w:t>
      </w:r>
      <w:r>
        <w:t xml:space="preserve"> The Australian Subscription Television and Radio Association (ASTRA) has also expressed concerns about lengthy process in decision</w:t>
      </w:r>
      <w:r w:rsidR="00AB23B9">
        <w:t>-</w:t>
      </w:r>
      <w:r>
        <w:t>making</w:t>
      </w:r>
      <w:r w:rsidRPr="00783DAE">
        <w:t xml:space="preserve"> </w:t>
      </w:r>
      <w:r>
        <w:t>and notes the recent ASTRA Code Review took three years and three months (longer than the intended life of the Code) to complete. A submitted case study identified over 18 iterations of exchanging formal consultation comments throughout the process.</w:t>
      </w:r>
      <w:r>
        <w:rPr>
          <w:rStyle w:val="FootnoteReference"/>
        </w:rPr>
        <w:footnoteReference w:id="119"/>
      </w:r>
      <w:r>
        <w:t xml:space="preserve"> During</w:t>
      </w:r>
      <w:r w:rsidRPr="00783DAE">
        <w:t xml:space="preserve"> consultation several stakeholders have </w:t>
      </w:r>
      <w:r>
        <w:t>expressed concerns, which are shared by the Review, about</w:t>
      </w:r>
      <w:r w:rsidRPr="00783DAE">
        <w:t xml:space="preserve"> of the lack of </w:t>
      </w:r>
      <w:r>
        <w:t>consistent process</w:t>
      </w:r>
      <w:r w:rsidRPr="00783DAE">
        <w:t xml:space="preserve"> for major rule-making, code-registration and planning activities. </w:t>
      </w:r>
      <w:r>
        <w:t>The Review</w:t>
      </w:r>
      <w:r w:rsidDel="00AB3CBA">
        <w:t xml:space="preserve"> </w:t>
      </w:r>
      <w:r>
        <w:t>notes that the commitment of industry itself is central to timely outcomes in co-regulatory processes.</w:t>
      </w:r>
      <w:r w:rsidRPr="00783DAE">
        <w:t xml:space="preserve"> </w:t>
      </w:r>
      <w:r>
        <w:t>During consultations stakeholders have expressed a desire for processes to be designed for consistent use within classes of decision making, with the objective to provide more visibility and predictability around the sequence of key decision points and a greater integration of Regulation Impact Statement principles into the decision</w:t>
      </w:r>
      <w:r w:rsidR="00AB23B9">
        <w:t>-</w:t>
      </w:r>
      <w:r>
        <w:t>making processes.</w:t>
      </w:r>
    </w:p>
    <w:p w14:paraId="758B007B" w14:textId="41DEC2C5" w:rsidR="00EB2B81" w:rsidRDefault="00EB2B81" w:rsidP="00BC43B3">
      <w:r w:rsidRPr="00783DAE">
        <w:t xml:space="preserve">The ACMA </w:t>
      </w:r>
      <w:r>
        <w:t xml:space="preserve">has </w:t>
      </w:r>
      <w:r w:rsidRPr="00783DAE">
        <w:t xml:space="preserve">supplied </w:t>
      </w:r>
      <w:r>
        <w:t xml:space="preserve">the Review with </w:t>
      </w:r>
      <w:r w:rsidRPr="00783DAE">
        <w:t>data on the timeframes for rule</w:t>
      </w:r>
      <w:r w:rsidR="009F41FF">
        <w:t>-</w:t>
      </w:r>
      <w:r w:rsidRPr="00783DAE">
        <w:t xml:space="preserve">making and planning activities between 2011 and 2015. </w:t>
      </w:r>
      <w:r>
        <w:t>The Review</w:t>
      </w:r>
      <w:r w:rsidRPr="00783DAE" w:rsidDel="00AB3CBA">
        <w:t xml:space="preserve"> </w:t>
      </w:r>
      <w:r w:rsidRPr="00783DAE">
        <w:t>note</w:t>
      </w:r>
      <w:r>
        <w:t>s</w:t>
      </w:r>
      <w:r w:rsidRPr="00783DAE">
        <w:t xml:space="preserve"> the </w:t>
      </w:r>
      <w:r>
        <w:t>timeframes</w:t>
      </w:r>
      <w:r w:rsidRPr="00783DAE">
        <w:t xml:space="preserve"> </w:t>
      </w:r>
      <w:r>
        <w:t xml:space="preserve">in </w:t>
      </w:r>
      <w:r w:rsidRPr="004F0AEA">
        <w:t xml:space="preserve">Table </w:t>
      </w:r>
      <w:r w:rsidR="000C2259">
        <w:t>B</w:t>
      </w:r>
      <w:r w:rsidRPr="004F0AEA">
        <w:t>1</w:t>
      </w:r>
      <w:r w:rsidRPr="00783DAE">
        <w:t xml:space="preserve"> </w:t>
      </w:r>
      <w:r>
        <w:t>are</w:t>
      </w:r>
      <w:r w:rsidRPr="00783DAE">
        <w:t xml:space="preserve"> based on when the formal process of working on a rule</w:t>
      </w:r>
      <w:r w:rsidR="009F41FF">
        <w:t>-</w:t>
      </w:r>
      <w:r w:rsidRPr="00783DAE">
        <w:t>making instrument began</w:t>
      </w:r>
      <w:r>
        <w:t>, or when the first version of a Code was formally submitted to the Authority, and</w:t>
      </w:r>
      <w:r w:rsidRPr="00783DAE">
        <w:t xml:space="preserve"> does not </w:t>
      </w:r>
      <w:r>
        <w:t>incorporate</w:t>
      </w:r>
      <w:r w:rsidRPr="00783DAE">
        <w:t xml:space="preserve"> the </w:t>
      </w:r>
      <w:r>
        <w:t xml:space="preserve">prior </w:t>
      </w:r>
      <w:r w:rsidRPr="00783DAE">
        <w:t xml:space="preserve">engagement and negotiation with stakeholder groups that can accompany some of the more significant activities the ACMA undertakes. For this reason the data underestimates, in some instances substantially, the felt experience </w:t>
      </w:r>
      <w:r>
        <w:t xml:space="preserve">of </w:t>
      </w:r>
      <w:r w:rsidRPr="00783DAE">
        <w:t>stakeholders engaged in the process.</w:t>
      </w:r>
    </w:p>
    <w:p w14:paraId="42B50C85" w14:textId="77777777" w:rsidR="005C1E2A" w:rsidRDefault="005C1E2A" w:rsidP="00695A68">
      <w:pPr>
        <w:pStyle w:val="Tablefigureheading"/>
      </w:pPr>
    </w:p>
    <w:p w14:paraId="083B6A03" w14:textId="77777777" w:rsidR="005C1E2A" w:rsidRDefault="005C1E2A" w:rsidP="00695A68">
      <w:pPr>
        <w:pStyle w:val="Tablefigureheading"/>
      </w:pPr>
    </w:p>
    <w:p w14:paraId="709E5B07" w14:textId="77777777" w:rsidR="00EB2B81" w:rsidRPr="00C93F84" w:rsidRDefault="00EB2B81" w:rsidP="00695A68">
      <w:pPr>
        <w:pStyle w:val="Tablefigureheading"/>
      </w:pPr>
      <w:r w:rsidRPr="004F0AEA">
        <w:t xml:space="preserve">Table </w:t>
      </w:r>
      <w:r>
        <w:t>B</w:t>
      </w:r>
      <w:r w:rsidRPr="004F0AEA">
        <w:t>1:</w:t>
      </w:r>
      <w:r>
        <w:t xml:space="preserve"> ACMA </w:t>
      </w:r>
      <w:r w:rsidRPr="00695A68">
        <w:t>rule</w:t>
      </w:r>
      <w:r w:rsidR="009F41FF">
        <w:t>-</w:t>
      </w:r>
      <w:r w:rsidRPr="00695A68">
        <w:t>making</w:t>
      </w:r>
      <w:r>
        <w:t xml:space="preserve"> timeframes </w:t>
      </w:r>
    </w:p>
    <w:tbl>
      <w:tblPr>
        <w:tblStyle w:val="TableGrid"/>
        <w:tblW w:w="9254" w:type="dxa"/>
        <w:tblLook w:val="04A0" w:firstRow="1" w:lastRow="0" w:firstColumn="1" w:lastColumn="0" w:noHBand="0" w:noVBand="1"/>
        <w:tblCaption w:val="ACMA rulemaking timeframes"/>
        <w:tblDescription w:val="ACMA Act&#10;Instrument type: Determinations&#10;Number of decisions made: 10&#10;Minimum decision time: 2 months&#10;Maxiumum decision time: 5 months&#10;Average decision time: 4.75&#10;&#10;&#10;BSA&#10;Instrument type: Determinations&#10;Number of decisions made: 1&#10;Minimum decision time: 8 months&#10;Maxiumum decision time: 8 months&#10;Average decision time: 8 months&#10;&#10;Instrument type: Standards&#10;Number of decisions made: 8&#10;Minimum decision time: 3 months&#10;Maxiumum decision time: 21 months&#10;Average decision time: 7.6 months&#10;&#10;Instrument type: Instruments&#10;Number of decisions made: 1&#10;Minimum decision time: 3 months&#10;Maxiumum decision time: 3 months&#10;Average decision time: 3 months&#10;&#10;Instrument type: Industry codes&#10;Number of decisions made: 10&#10;Minimum decision time: 2 months&#10;Maxiumum decision time: 32 months&#10;Average decision time: 6 months&#10;&#10;&#10;Do Not Call&#10;Instrument type: Determinations&#10;Number of decisions made: 4&#10;Minimum decision time: 3 months&#10;Maxiumum decision time: 6 months&#10;Average decision time: 3.8 months&#10;&#10;&#10;Radiocommunications&#10;Instrument type: Determinations&#10;Number of decisions made: 50&#10;Minimum decision time: 1 day&#10;Maxiumum decision time: 13 months&#10;Average decision time: 5.4 months&#10;&#10;Instrument type: Standards&#10;Number of decisions made: 24&#10;Minimum decision time: 3 months&#10;Maxiumum decision time: 11 months&#10;Average decision time: 7.5 months&#10;&#10;Instrument type: Declarations&#10;Number of decisions made: 1&#10;Minimum decision time: 15 months&#10;Maxiumum decision time: 15 months&#10;Average decision time: 15 months&#10;&#10;&#10;Telecommunications Act&#10;Instrument type: Determinations&#10;Number of decisions made: 17&#10;Minimum decision time: 1 month&#10;Maxiumum decision time: 13 months&#10;Average decision time: 6.9 months&#10;&#10;Instrument type: Standards&#10;Number of decisions made: 23&#10;Minimum decision time: 2 months&#10;Maxiumum decision time: 12 months&#10;Average decision time: 4.7 months&#10;&#10;Instrument type: Service provider rules&#10;Number of decisions made: 7&#10;Minimum decision time: 1 month&#10;Maxiumum decision time: 12 months&#10;Average decision time: 10.5 months&#10;&#10;Instrument type: Industry codes&#10;Number of decisions made: 7&#10;Minimum decision time: 1 month&#10;Maxiumum decision time: 16 months&#10;Average decision time: 5.5 months&#10;&#10;&#10;TCPSS Act&#10;Instrument type: Standards&#10;Number of decisions made: 2&#10;Minimum decision time: 1 month&#10;Maxiumum decision time: 3 months&#10;Average decision time: 2 months&#10;&#10;Instrument type: Determinations&#10;Number of decisions made: 6&#10;Minimum decision time: 3 months&#10;Maxiumum decision time: 10 months&#10;Average decision time: 5.8 months"/>
      </w:tblPr>
      <w:tblGrid>
        <w:gridCol w:w="2259"/>
        <w:gridCol w:w="1610"/>
        <w:gridCol w:w="1343"/>
        <w:gridCol w:w="1356"/>
        <w:gridCol w:w="1365"/>
        <w:gridCol w:w="1321"/>
      </w:tblGrid>
      <w:tr w:rsidR="00EB2B81" w14:paraId="52FD159E" w14:textId="77777777" w:rsidTr="00EB2B81">
        <w:trPr>
          <w:tblHeader/>
        </w:trPr>
        <w:tc>
          <w:tcPr>
            <w:tcW w:w="2263" w:type="dxa"/>
            <w:tcBorders>
              <w:bottom w:val="nil"/>
            </w:tcBorders>
            <w:shd w:val="clear" w:color="auto" w:fill="000000" w:themeFill="text1"/>
          </w:tcPr>
          <w:p w14:paraId="06170E90" w14:textId="77777777" w:rsidR="00EB2B81" w:rsidRPr="00D67A34" w:rsidRDefault="00EB2B81" w:rsidP="00EB2B81">
            <w:pPr>
              <w:rPr>
                <w:sz w:val="20"/>
                <w:szCs w:val="20"/>
              </w:rPr>
            </w:pPr>
            <w:r w:rsidRPr="00D67A34">
              <w:rPr>
                <w:sz w:val="20"/>
                <w:szCs w:val="20"/>
              </w:rPr>
              <w:t>Act</w:t>
            </w:r>
          </w:p>
        </w:tc>
        <w:tc>
          <w:tcPr>
            <w:tcW w:w="1497" w:type="dxa"/>
            <w:tcBorders>
              <w:bottom w:val="nil"/>
            </w:tcBorders>
            <w:shd w:val="clear" w:color="auto" w:fill="000000" w:themeFill="text1"/>
          </w:tcPr>
          <w:p w14:paraId="3D9656E5" w14:textId="77777777" w:rsidR="00EB2B81" w:rsidRPr="00D67A34" w:rsidRDefault="00EB2B81" w:rsidP="00EB2B81">
            <w:pPr>
              <w:rPr>
                <w:sz w:val="20"/>
                <w:szCs w:val="20"/>
              </w:rPr>
            </w:pPr>
            <w:r w:rsidRPr="00D67A34">
              <w:rPr>
                <w:sz w:val="20"/>
                <w:szCs w:val="20"/>
              </w:rPr>
              <w:t>Instrument type</w:t>
            </w:r>
          </w:p>
        </w:tc>
        <w:tc>
          <w:tcPr>
            <w:tcW w:w="1371" w:type="dxa"/>
            <w:tcBorders>
              <w:bottom w:val="nil"/>
            </w:tcBorders>
            <w:shd w:val="clear" w:color="auto" w:fill="000000" w:themeFill="text1"/>
          </w:tcPr>
          <w:p w14:paraId="4B906BF4" w14:textId="77777777" w:rsidR="00EB2B81" w:rsidRPr="00D67A34" w:rsidRDefault="00EB2B81" w:rsidP="00EB2B81">
            <w:pPr>
              <w:rPr>
                <w:sz w:val="20"/>
                <w:szCs w:val="20"/>
              </w:rPr>
            </w:pPr>
            <w:r w:rsidRPr="00D67A34">
              <w:rPr>
                <w:sz w:val="20"/>
                <w:szCs w:val="20"/>
              </w:rPr>
              <w:t>Number of decisions made</w:t>
            </w:r>
          </w:p>
        </w:tc>
        <w:tc>
          <w:tcPr>
            <w:tcW w:w="1382" w:type="dxa"/>
            <w:tcBorders>
              <w:bottom w:val="nil"/>
            </w:tcBorders>
            <w:shd w:val="clear" w:color="auto" w:fill="000000" w:themeFill="text1"/>
          </w:tcPr>
          <w:p w14:paraId="7E8A4488" w14:textId="77777777" w:rsidR="00EB2B81" w:rsidRPr="00D67A34" w:rsidRDefault="00EB2B81" w:rsidP="00EB2B81">
            <w:pPr>
              <w:rPr>
                <w:sz w:val="20"/>
                <w:szCs w:val="20"/>
              </w:rPr>
            </w:pPr>
            <w:r w:rsidRPr="00D67A34">
              <w:rPr>
                <w:sz w:val="20"/>
                <w:szCs w:val="20"/>
              </w:rPr>
              <w:t>Minimum decision time</w:t>
            </w:r>
          </w:p>
        </w:tc>
        <w:tc>
          <w:tcPr>
            <w:tcW w:w="1389" w:type="dxa"/>
            <w:tcBorders>
              <w:bottom w:val="nil"/>
            </w:tcBorders>
            <w:shd w:val="clear" w:color="auto" w:fill="000000" w:themeFill="text1"/>
          </w:tcPr>
          <w:p w14:paraId="19740DE5" w14:textId="77777777" w:rsidR="00EB2B81" w:rsidRPr="00D67A34" w:rsidRDefault="00EB2B81" w:rsidP="00EB2B81">
            <w:pPr>
              <w:rPr>
                <w:sz w:val="20"/>
                <w:szCs w:val="20"/>
              </w:rPr>
            </w:pPr>
            <w:r w:rsidRPr="00D67A34">
              <w:rPr>
                <w:sz w:val="20"/>
                <w:szCs w:val="20"/>
              </w:rPr>
              <w:t>Maximum decision time</w:t>
            </w:r>
          </w:p>
        </w:tc>
        <w:tc>
          <w:tcPr>
            <w:tcW w:w="1352" w:type="dxa"/>
            <w:tcBorders>
              <w:bottom w:val="nil"/>
            </w:tcBorders>
            <w:shd w:val="clear" w:color="auto" w:fill="000000" w:themeFill="text1"/>
          </w:tcPr>
          <w:p w14:paraId="1445C0AB" w14:textId="77777777" w:rsidR="00EB2B81" w:rsidRPr="00D67A34" w:rsidRDefault="00EB2B81" w:rsidP="00EB2B81">
            <w:pPr>
              <w:rPr>
                <w:sz w:val="20"/>
                <w:szCs w:val="20"/>
              </w:rPr>
            </w:pPr>
            <w:r w:rsidRPr="00D67A34">
              <w:rPr>
                <w:sz w:val="20"/>
                <w:szCs w:val="20"/>
              </w:rPr>
              <w:t>Average decision time</w:t>
            </w:r>
          </w:p>
        </w:tc>
      </w:tr>
      <w:tr w:rsidR="00EB2B81" w14:paraId="79E91CBF" w14:textId="77777777" w:rsidTr="00EB2B81">
        <w:tc>
          <w:tcPr>
            <w:tcW w:w="2263" w:type="dxa"/>
            <w:tcBorders>
              <w:top w:val="nil"/>
              <w:left w:val="nil"/>
              <w:bottom w:val="nil"/>
            </w:tcBorders>
            <w:shd w:val="clear" w:color="auto" w:fill="D9D9D9" w:themeFill="background1" w:themeFillShade="D9"/>
          </w:tcPr>
          <w:p w14:paraId="523342C3" w14:textId="77777777" w:rsidR="00EB2B81" w:rsidRPr="00D67A34" w:rsidRDefault="00EB2B81" w:rsidP="002E15A7">
            <w:r w:rsidRPr="00D67A34">
              <w:t>ACMA Act</w:t>
            </w:r>
          </w:p>
        </w:tc>
        <w:tc>
          <w:tcPr>
            <w:tcW w:w="1497" w:type="dxa"/>
            <w:tcBorders>
              <w:top w:val="nil"/>
              <w:bottom w:val="nil"/>
            </w:tcBorders>
            <w:shd w:val="clear" w:color="auto" w:fill="D9D9D9" w:themeFill="background1" w:themeFillShade="D9"/>
          </w:tcPr>
          <w:p w14:paraId="1395100E" w14:textId="77777777" w:rsidR="00EB2B81" w:rsidRPr="00D67A34" w:rsidRDefault="00EB2B81" w:rsidP="002E15A7">
            <w:r>
              <w:t>Determinations</w:t>
            </w:r>
          </w:p>
        </w:tc>
        <w:tc>
          <w:tcPr>
            <w:tcW w:w="1371" w:type="dxa"/>
            <w:tcBorders>
              <w:top w:val="nil"/>
              <w:bottom w:val="nil"/>
            </w:tcBorders>
            <w:shd w:val="clear" w:color="auto" w:fill="D9D9D9" w:themeFill="background1" w:themeFillShade="D9"/>
          </w:tcPr>
          <w:p w14:paraId="58959B10" w14:textId="77777777" w:rsidR="00EB2B81" w:rsidRPr="00D67A34" w:rsidRDefault="00EB2B81" w:rsidP="002E15A7">
            <w:r>
              <w:t>10</w:t>
            </w:r>
          </w:p>
        </w:tc>
        <w:tc>
          <w:tcPr>
            <w:tcW w:w="1382" w:type="dxa"/>
            <w:tcBorders>
              <w:top w:val="nil"/>
              <w:bottom w:val="nil"/>
            </w:tcBorders>
            <w:shd w:val="clear" w:color="auto" w:fill="D9D9D9" w:themeFill="background1" w:themeFillShade="D9"/>
          </w:tcPr>
          <w:p w14:paraId="7E6A9491" w14:textId="77777777" w:rsidR="00EB2B81" w:rsidRPr="00D67A34" w:rsidRDefault="00EB2B81" w:rsidP="002E15A7">
            <w:r>
              <w:t>2 months</w:t>
            </w:r>
          </w:p>
        </w:tc>
        <w:tc>
          <w:tcPr>
            <w:tcW w:w="1389" w:type="dxa"/>
            <w:tcBorders>
              <w:top w:val="nil"/>
              <w:bottom w:val="nil"/>
            </w:tcBorders>
            <w:shd w:val="clear" w:color="auto" w:fill="D9D9D9" w:themeFill="background1" w:themeFillShade="D9"/>
          </w:tcPr>
          <w:p w14:paraId="59D2841F" w14:textId="77777777" w:rsidR="00EB2B81" w:rsidRPr="00D67A34" w:rsidRDefault="00EB2B81" w:rsidP="002E15A7">
            <w:r>
              <w:t>5 months</w:t>
            </w:r>
          </w:p>
        </w:tc>
        <w:tc>
          <w:tcPr>
            <w:tcW w:w="1352" w:type="dxa"/>
            <w:tcBorders>
              <w:top w:val="nil"/>
              <w:bottom w:val="nil"/>
              <w:right w:val="nil"/>
            </w:tcBorders>
            <w:shd w:val="clear" w:color="auto" w:fill="D9D9D9" w:themeFill="background1" w:themeFillShade="D9"/>
          </w:tcPr>
          <w:p w14:paraId="7C23866E" w14:textId="77777777" w:rsidR="00EB2B81" w:rsidRPr="00D67A34" w:rsidRDefault="00EB2B81" w:rsidP="002E15A7">
            <w:r>
              <w:t>4.75 months</w:t>
            </w:r>
          </w:p>
        </w:tc>
      </w:tr>
      <w:tr w:rsidR="00EB2B81" w14:paraId="7024C9E3" w14:textId="77777777" w:rsidTr="00EB2B81">
        <w:tc>
          <w:tcPr>
            <w:tcW w:w="2263" w:type="dxa"/>
            <w:tcBorders>
              <w:top w:val="nil"/>
              <w:left w:val="nil"/>
              <w:bottom w:val="nil"/>
            </w:tcBorders>
          </w:tcPr>
          <w:p w14:paraId="7F00D613" w14:textId="77777777" w:rsidR="00EB2B81" w:rsidRPr="00D67A34" w:rsidRDefault="00EB2B81" w:rsidP="002E15A7">
            <w:r w:rsidRPr="00D67A34">
              <w:t>BSA</w:t>
            </w:r>
          </w:p>
        </w:tc>
        <w:tc>
          <w:tcPr>
            <w:tcW w:w="1497" w:type="dxa"/>
            <w:tcBorders>
              <w:top w:val="nil"/>
              <w:bottom w:val="nil"/>
            </w:tcBorders>
          </w:tcPr>
          <w:p w14:paraId="5E219F7F" w14:textId="77777777" w:rsidR="00EB2B81" w:rsidRPr="00D67A34" w:rsidRDefault="00EB2B81" w:rsidP="002E15A7">
            <w:r>
              <w:t>Determinations</w:t>
            </w:r>
          </w:p>
        </w:tc>
        <w:tc>
          <w:tcPr>
            <w:tcW w:w="1371" w:type="dxa"/>
            <w:tcBorders>
              <w:top w:val="nil"/>
              <w:bottom w:val="nil"/>
            </w:tcBorders>
          </w:tcPr>
          <w:p w14:paraId="4AF0AA12" w14:textId="77777777" w:rsidR="00EB2B81" w:rsidRPr="00D67A34" w:rsidRDefault="00EB2B81" w:rsidP="002E15A7">
            <w:r>
              <w:t>1</w:t>
            </w:r>
          </w:p>
        </w:tc>
        <w:tc>
          <w:tcPr>
            <w:tcW w:w="1382" w:type="dxa"/>
            <w:tcBorders>
              <w:top w:val="nil"/>
              <w:bottom w:val="nil"/>
            </w:tcBorders>
          </w:tcPr>
          <w:p w14:paraId="0DB953B4" w14:textId="77777777" w:rsidR="00EB2B81" w:rsidRPr="00D67A34" w:rsidRDefault="00EB2B81" w:rsidP="002E15A7">
            <w:r>
              <w:t>8 months</w:t>
            </w:r>
          </w:p>
        </w:tc>
        <w:tc>
          <w:tcPr>
            <w:tcW w:w="1389" w:type="dxa"/>
            <w:tcBorders>
              <w:top w:val="nil"/>
              <w:bottom w:val="nil"/>
            </w:tcBorders>
          </w:tcPr>
          <w:p w14:paraId="19CCC7BB" w14:textId="77777777" w:rsidR="00EB2B81" w:rsidRPr="00D67A34" w:rsidRDefault="00EB2B81" w:rsidP="002E15A7">
            <w:r>
              <w:t>8 months</w:t>
            </w:r>
          </w:p>
        </w:tc>
        <w:tc>
          <w:tcPr>
            <w:tcW w:w="1352" w:type="dxa"/>
            <w:tcBorders>
              <w:top w:val="nil"/>
              <w:bottom w:val="nil"/>
              <w:right w:val="nil"/>
            </w:tcBorders>
          </w:tcPr>
          <w:p w14:paraId="60171245" w14:textId="77777777" w:rsidR="00EB2B81" w:rsidRPr="00D67A34" w:rsidRDefault="00EB2B81" w:rsidP="002E15A7">
            <w:r>
              <w:t>8 months</w:t>
            </w:r>
          </w:p>
        </w:tc>
      </w:tr>
      <w:tr w:rsidR="00EB2B81" w14:paraId="33ACB8DF" w14:textId="77777777" w:rsidTr="00EB2B81">
        <w:tc>
          <w:tcPr>
            <w:tcW w:w="2263" w:type="dxa"/>
            <w:tcBorders>
              <w:top w:val="nil"/>
              <w:left w:val="nil"/>
              <w:bottom w:val="nil"/>
            </w:tcBorders>
          </w:tcPr>
          <w:p w14:paraId="4E620E16" w14:textId="77777777" w:rsidR="00EB2B81" w:rsidRPr="00D67A34" w:rsidRDefault="00EB2B81" w:rsidP="00EB2B81">
            <w:pPr>
              <w:spacing w:line="360" w:lineRule="auto"/>
              <w:rPr>
                <w:sz w:val="20"/>
                <w:szCs w:val="20"/>
              </w:rPr>
            </w:pPr>
          </w:p>
        </w:tc>
        <w:tc>
          <w:tcPr>
            <w:tcW w:w="1497" w:type="dxa"/>
            <w:tcBorders>
              <w:top w:val="nil"/>
              <w:bottom w:val="nil"/>
            </w:tcBorders>
          </w:tcPr>
          <w:p w14:paraId="22C34F51" w14:textId="77777777" w:rsidR="00EB2B81" w:rsidRPr="00D67A34" w:rsidRDefault="00EB2B81" w:rsidP="002E15A7">
            <w:r>
              <w:t>Declarations</w:t>
            </w:r>
          </w:p>
        </w:tc>
        <w:tc>
          <w:tcPr>
            <w:tcW w:w="1371" w:type="dxa"/>
            <w:tcBorders>
              <w:top w:val="nil"/>
              <w:bottom w:val="nil"/>
            </w:tcBorders>
          </w:tcPr>
          <w:p w14:paraId="39C68A6D" w14:textId="77777777" w:rsidR="00EB2B81" w:rsidRPr="00D67A34" w:rsidRDefault="00EB2B81" w:rsidP="002E15A7">
            <w:r>
              <w:t>3</w:t>
            </w:r>
          </w:p>
        </w:tc>
        <w:tc>
          <w:tcPr>
            <w:tcW w:w="1382" w:type="dxa"/>
            <w:tcBorders>
              <w:top w:val="nil"/>
              <w:bottom w:val="nil"/>
            </w:tcBorders>
          </w:tcPr>
          <w:p w14:paraId="10B953B0" w14:textId="77777777" w:rsidR="00EB2B81" w:rsidRPr="00D67A34" w:rsidRDefault="00EB2B81" w:rsidP="002E15A7">
            <w:r>
              <w:t>5 months</w:t>
            </w:r>
          </w:p>
        </w:tc>
        <w:tc>
          <w:tcPr>
            <w:tcW w:w="1389" w:type="dxa"/>
            <w:tcBorders>
              <w:top w:val="nil"/>
              <w:bottom w:val="nil"/>
            </w:tcBorders>
          </w:tcPr>
          <w:p w14:paraId="30CC437B" w14:textId="77777777" w:rsidR="00EB2B81" w:rsidRPr="00D67A34" w:rsidRDefault="00EB2B81" w:rsidP="002E15A7">
            <w:r>
              <w:t>6 months</w:t>
            </w:r>
          </w:p>
        </w:tc>
        <w:tc>
          <w:tcPr>
            <w:tcW w:w="1352" w:type="dxa"/>
            <w:tcBorders>
              <w:top w:val="nil"/>
              <w:bottom w:val="nil"/>
              <w:right w:val="nil"/>
            </w:tcBorders>
          </w:tcPr>
          <w:p w14:paraId="27459688" w14:textId="77777777" w:rsidR="00EB2B81" w:rsidRPr="00D67A34" w:rsidRDefault="00EB2B81" w:rsidP="002E15A7">
            <w:r>
              <w:t>5.5 months</w:t>
            </w:r>
          </w:p>
        </w:tc>
      </w:tr>
      <w:tr w:rsidR="00EB2B81" w14:paraId="23776FF6" w14:textId="77777777" w:rsidTr="00EB2B81">
        <w:tc>
          <w:tcPr>
            <w:tcW w:w="2263" w:type="dxa"/>
            <w:tcBorders>
              <w:top w:val="nil"/>
              <w:left w:val="nil"/>
              <w:bottom w:val="nil"/>
            </w:tcBorders>
          </w:tcPr>
          <w:p w14:paraId="043D1836" w14:textId="77777777" w:rsidR="00EB2B81" w:rsidRPr="00D67A34" w:rsidRDefault="00EB2B81" w:rsidP="00EB2B81">
            <w:pPr>
              <w:spacing w:line="360" w:lineRule="auto"/>
              <w:rPr>
                <w:sz w:val="20"/>
                <w:szCs w:val="20"/>
              </w:rPr>
            </w:pPr>
          </w:p>
        </w:tc>
        <w:tc>
          <w:tcPr>
            <w:tcW w:w="1497" w:type="dxa"/>
            <w:tcBorders>
              <w:top w:val="nil"/>
              <w:bottom w:val="nil"/>
            </w:tcBorders>
          </w:tcPr>
          <w:p w14:paraId="36D670E3" w14:textId="77777777" w:rsidR="00EB2B81" w:rsidRPr="00D67A34" w:rsidRDefault="00EB2B81" w:rsidP="002E15A7">
            <w:r>
              <w:t>Standards</w:t>
            </w:r>
          </w:p>
        </w:tc>
        <w:tc>
          <w:tcPr>
            <w:tcW w:w="1371" w:type="dxa"/>
            <w:tcBorders>
              <w:top w:val="nil"/>
              <w:bottom w:val="nil"/>
            </w:tcBorders>
          </w:tcPr>
          <w:p w14:paraId="5BB580D1" w14:textId="77777777" w:rsidR="00EB2B81" w:rsidRPr="00D67A34" w:rsidRDefault="00EB2B81" w:rsidP="002E15A7">
            <w:r>
              <w:t>8</w:t>
            </w:r>
          </w:p>
        </w:tc>
        <w:tc>
          <w:tcPr>
            <w:tcW w:w="1382" w:type="dxa"/>
            <w:tcBorders>
              <w:top w:val="nil"/>
              <w:bottom w:val="nil"/>
            </w:tcBorders>
          </w:tcPr>
          <w:p w14:paraId="5D1BAF49" w14:textId="77777777" w:rsidR="00EB2B81" w:rsidRPr="00D67A34" w:rsidRDefault="00EB2B81" w:rsidP="002E15A7">
            <w:r>
              <w:t>3 months</w:t>
            </w:r>
          </w:p>
        </w:tc>
        <w:tc>
          <w:tcPr>
            <w:tcW w:w="1389" w:type="dxa"/>
            <w:tcBorders>
              <w:top w:val="nil"/>
              <w:bottom w:val="nil"/>
            </w:tcBorders>
          </w:tcPr>
          <w:p w14:paraId="0A2069CD" w14:textId="77777777" w:rsidR="00EB2B81" w:rsidRPr="00D67A34" w:rsidRDefault="00EB2B81" w:rsidP="002E15A7">
            <w:r>
              <w:t>21 months</w:t>
            </w:r>
          </w:p>
        </w:tc>
        <w:tc>
          <w:tcPr>
            <w:tcW w:w="1352" w:type="dxa"/>
            <w:tcBorders>
              <w:top w:val="nil"/>
              <w:bottom w:val="nil"/>
              <w:right w:val="nil"/>
            </w:tcBorders>
          </w:tcPr>
          <w:p w14:paraId="18878EA1" w14:textId="77777777" w:rsidR="00EB2B81" w:rsidRPr="00D67A34" w:rsidRDefault="00EB2B81" w:rsidP="002E15A7">
            <w:r>
              <w:t>7.6 months</w:t>
            </w:r>
          </w:p>
        </w:tc>
      </w:tr>
      <w:tr w:rsidR="00EB2B81" w14:paraId="1BD52185" w14:textId="77777777" w:rsidTr="00EB2B81">
        <w:tc>
          <w:tcPr>
            <w:tcW w:w="2263" w:type="dxa"/>
            <w:tcBorders>
              <w:top w:val="nil"/>
              <w:left w:val="nil"/>
              <w:bottom w:val="nil"/>
            </w:tcBorders>
          </w:tcPr>
          <w:p w14:paraId="380EF00F" w14:textId="77777777" w:rsidR="00EB2B81" w:rsidRPr="00D67A34" w:rsidRDefault="00EB2B81" w:rsidP="00EB2B81">
            <w:pPr>
              <w:spacing w:line="360" w:lineRule="auto"/>
              <w:rPr>
                <w:sz w:val="20"/>
                <w:szCs w:val="20"/>
              </w:rPr>
            </w:pPr>
          </w:p>
        </w:tc>
        <w:tc>
          <w:tcPr>
            <w:tcW w:w="1497" w:type="dxa"/>
            <w:tcBorders>
              <w:top w:val="nil"/>
              <w:bottom w:val="nil"/>
            </w:tcBorders>
          </w:tcPr>
          <w:p w14:paraId="301C3210" w14:textId="77777777" w:rsidR="00EB2B81" w:rsidRPr="00D67A34" w:rsidRDefault="00EB2B81" w:rsidP="002E15A7">
            <w:r>
              <w:t>Instruments</w:t>
            </w:r>
          </w:p>
        </w:tc>
        <w:tc>
          <w:tcPr>
            <w:tcW w:w="1371" w:type="dxa"/>
            <w:tcBorders>
              <w:top w:val="nil"/>
              <w:bottom w:val="nil"/>
            </w:tcBorders>
          </w:tcPr>
          <w:p w14:paraId="44B955A5" w14:textId="77777777" w:rsidR="00EB2B81" w:rsidRPr="00D67A34" w:rsidRDefault="00EB2B81" w:rsidP="002E15A7">
            <w:r>
              <w:t>1</w:t>
            </w:r>
          </w:p>
        </w:tc>
        <w:tc>
          <w:tcPr>
            <w:tcW w:w="1382" w:type="dxa"/>
            <w:tcBorders>
              <w:top w:val="nil"/>
              <w:bottom w:val="nil"/>
            </w:tcBorders>
          </w:tcPr>
          <w:p w14:paraId="15177FDF" w14:textId="77777777" w:rsidR="00EB2B81" w:rsidRPr="00D67A34" w:rsidRDefault="00EB2B81" w:rsidP="002E15A7">
            <w:r>
              <w:t>3 months</w:t>
            </w:r>
          </w:p>
        </w:tc>
        <w:tc>
          <w:tcPr>
            <w:tcW w:w="1389" w:type="dxa"/>
            <w:tcBorders>
              <w:top w:val="nil"/>
              <w:bottom w:val="nil"/>
            </w:tcBorders>
          </w:tcPr>
          <w:p w14:paraId="41915B30" w14:textId="77777777" w:rsidR="00EB2B81" w:rsidRPr="00D67A34" w:rsidRDefault="00EB2B81" w:rsidP="002E15A7">
            <w:r>
              <w:t>3 months</w:t>
            </w:r>
          </w:p>
        </w:tc>
        <w:tc>
          <w:tcPr>
            <w:tcW w:w="1352" w:type="dxa"/>
            <w:tcBorders>
              <w:top w:val="nil"/>
              <w:bottom w:val="nil"/>
              <w:right w:val="nil"/>
            </w:tcBorders>
          </w:tcPr>
          <w:p w14:paraId="00641DBA" w14:textId="77777777" w:rsidR="00EB2B81" w:rsidRPr="00D67A34" w:rsidRDefault="00EB2B81" w:rsidP="002E15A7">
            <w:r>
              <w:t>3 months</w:t>
            </w:r>
          </w:p>
        </w:tc>
      </w:tr>
      <w:tr w:rsidR="00EB2B81" w14:paraId="0E48D448" w14:textId="77777777" w:rsidTr="00EB2B81">
        <w:tc>
          <w:tcPr>
            <w:tcW w:w="2263" w:type="dxa"/>
            <w:tcBorders>
              <w:top w:val="nil"/>
              <w:left w:val="nil"/>
              <w:bottom w:val="nil"/>
            </w:tcBorders>
          </w:tcPr>
          <w:p w14:paraId="5A73A097" w14:textId="77777777" w:rsidR="00EB2B81" w:rsidRPr="00D67A34" w:rsidRDefault="00EB2B81" w:rsidP="00EB2B81">
            <w:pPr>
              <w:spacing w:line="360" w:lineRule="auto"/>
              <w:rPr>
                <w:sz w:val="20"/>
                <w:szCs w:val="20"/>
              </w:rPr>
            </w:pPr>
          </w:p>
        </w:tc>
        <w:tc>
          <w:tcPr>
            <w:tcW w:w="1497" w:type="dxa"/>
            <w:tcBorders>
              <w:top w:val="nil"/>
              <w:bottom w:val="nil"/>
            </w:tcBorders>
          </w:tcPr>
          <w:p w14:paraId="20E4AEB4" w14:textId="77777777" w:rsidR="00EB2B81" w:rsidRPr="00D67A34" w:rsidRDefault="00EB2B81" w:rsidP="002E15A7">
            <w:r>
              <w:t>Industry codes</w:t>
            </w:r>
          </w:p>
        </w:tc>
        <w:tc>
          <w:tcPr>
            <w:tcW w:w="1371" w:type="dxa"/>
            <w:tcBorders>
              <w:top w:val="nil"/>
              <w:bottom w:val="nil"/>
            </w:tcBorders>
          </w:tcPr>
          <w:p w14:paraId="000EEDCF" w14:textId="77777777" w:rsidR="00EB2B81" w:rsidRPr="00D67A34" w:rsidRDefault="00EB2B81" w:rsidP="002E15A7">
            <w:r>
              <w:t>10</w:t>
            </w:r>
          </w:p>
        </w:tc>
        <w:tc>
          <w:tcPr>
            <w:tcW w:w="1382" w:type="dxa"/>
            <w:tcBorders>
              <w:top w:val="nil"/>
              <w:bottom w:val="nil"/>
            </w:tcBorders>
          </w:tcPr>
          <w:p w14:paraId="57C5DD70" w14:textId="77777777" w:rsidR="00EB2B81" w:rsidRPr="00D67A34" w:rsidRDefault="00EB2B81" w:rsidP="002E15A7">
            <w:r>
              <w:t>2 months</w:t>
            </w:r>
          </w:p>
        </w:tc>
        <w:tc>
          <w:tcPr>
            <w:tcW w:w="1389" w:type="dxa"/>
            <w:tcBorders>
              <w:top w:val="nil"/>
              <w:bottom w:val="nil"/>
            </w:tcBorders>
          </w:tcPr>
          <w:p w14:paraId="5CCCF737" w14:textId="77777777" w:rsidR="00EB2B81" w:rsidRPr="00D67A34" w:rsidRDefault="00EB2B81" w:rsidP="002E15A7">
            <w:r>
              <w:t>32 months</w:t>
            </w:r>
          </w:p>
        </w:tc>
        <w:tc>
          <w:tcPr>
            <w:tcW w:w="1352" w:type="dxa"/>
            <w:tcBorders>
              <w:top w:val="nil"/>
              <w:bottom w:val="nil"/>
              <w:right w:val="nil"/>
            </w:tcBorders>
          </w:tcPr>
          <w:p w14:paraId="3E34E52D" w14:textId="77777777" w:rsidR="00EB2B81" w:rsidRPr="00D67A34" w:rsidRDefault="00EB2B81" w:rsidP="002E15A7">
            <w:r>
              <w:t>6 months</w:t>
            </w:r>
          </w:p>
        </w:tc>
      </w:tr>
      <w:tr w:rsidR="00EB2B81" w14:paraId="1754E0DB" w14:textId="77777777" w:rsidTr="00EB2B81">
        <w:tc>
          <w:tcPr>
            <w:tcW w:w="2263" w:type="dxa"/>
            <w:tcBorders>
              <w:top w:val="nil"/>
              <w:left w:val="nil"/>
              <w:bottom w:val="nil"/>
            </w:tcBorders>
            <w:shd w:val="clear" w:color="auto" w:fill="D9D9D9" w:themeFill="background1" w:themeFillShade="D9"/>
          </w:tcPr>
          <w:p w14:paraId="1B0474F9" w14:textId="77777777" w:rsidR="00EB2B81" w:rsidRPr="00D67A34" w:rsidRDefault="00EB2B81" w:rsidP="002E15A7">
            <w:r w:rsidRPr="00D67A34">
              <w:t>Do Not Call</w:t>
            </w:r>
          </w:p>
        </w:tc>
        <w:tc>
          <w:tcPr>
            <w:tcW w:w="1497" w:type="dxa"/>
            <w:tcBorders>
              <w:top w:val="nil"/>
              <w:bottom w:val="nil"/>
            </w:tcBorders>
            <w:shd w:val="clear" w:color="auto" w:fill="D9D9D9" w:themeFill="background1" w:themeFillShade="D9"/>
          </w:tcPr>
          <w:p w14:paraId="15082B62" w14:textId="77777777" w:rsidR="00EB2B81" w:rsidRPr="00D67A34" w:rsidRDefault="00EB2B81" w:rsidP="002E15A7">
            <w:r>
              <w:t>Determinations</w:t>
            </w:r>
          </w:p>
        </w:tc>
        <w:tc>
          <w:tcPr>
            <w:tcW w:w="1371" w:type="dxa"/>
            <w:tcBorders>
              <w:top w:val="nil"/>
              <w:bottom w:val="nil"/>
            </w:tcBorders>
            <w:shd w:val="clear" w:color="auto" w:fill="D9D9D9" w:themeFill="background1" w:themeFillShade="D9"/>
          </w:tcPr>
          <w:p w14:paraId="7575078B" w14:textId="77777777" w:rsidR="00EB2B81" w:rsidRPr="00D67A34" w:rsidRDefault="00EB2B81" w:rsidP="002E15A7">
            <w:r>
              <w:t>4</w:t>
            </w:r>
          </w:p>
        </w:tc>
        <w:tc>
          <w:tcPr>
            <w:tcW w:w="1382" w:type="dxa"/>
            <w:tcBorders>
              <w:top w:val="nil"/>
              <w:bottom w:val="nil"/>
            </w:tcBorders>
            <w:shd w:val="clear" w:color="auto" w:fill="D9D9D9" w:themeFill="background1" w:themeFillShade="D9"/>
          </w:tcPr>
          <w:p w14:paraId="25AF6180" w14:textId="77777777" w:rsidR="00EB2B81" w:rsidRPr="00D67A34" w:rsidRDefault="00EB2B81" w:rsidP="002E15A7">
            <w:r>
              <w:t>3 months</w:t>
            </w:r>
          </w:p>
        </w:tc>
        <w:tc>
          <w:tcPr>
            <w:tcW w:w="1389" w:type="dxa"/>
            <w:tcBorders>
              <w:top w:val="nil"/>
              <w:bottom w:val="nil"/>
            </w:tcBorders>
            <w:shd w:val="clear" w:color="auto" w:fill="D9D9D9" w:themeFill="background1" w:themeFillShade="D9"/>
          </w:tcPr>
          <w:p w14:paraId="543C24AB" w14:textId="77777777" w:rsidR="00EB2B81" w:rsidRPr="00D67A34" w:rsidRDefault="00EB2B81" w:rsidP="002E15A7">
            <w:r>
              <w:t>6 months</w:t>
            </w:r>
          </w:p>
        </w:tc>
        <w:tc>
          <w:tcPr>
            <w:tcW w:w="1352" w:type="dxa"/>
            <w:tcBorders>
              <w:top w:val="nil"/>
              <w:bottom w:val="nil"/>
              <w:right w:val="nil"/>
            </w:tcBorders>
            <w:shd w:val="clear" w:color="auto" w:fill="D9D9D9" w:themeFill="background1" w:themeFillShade="D9"/>
          </w:tcPr>
          <w:p w14:paraId="2257A4AA" w14:textId="77777777" w:rsidR="00EB2B81" w:rsidRPr="00D67A34" w:rsidRDefault="00EB2B81" w:rsidP="002E15A7">
            <w:r>
              <w:t>3.8 months</w:t>
            </w:r>
          </w:p>
        </w:tc>
      </w:tr>
      <w:tr w:rsidR="00EB2B81" w14:paraId="615C98E0" w14:textId="77777777" w:rsidTr="00EB2B81">
        <w:tc>
          <w:tcPr>
            <w:tcW w:w="2263" w:type="dxa"/>
            <w:tcBorders>
              <w:top w:val="nil"/>
              <w:left w:val="nil"/>
              <w:bottom w:val="nil"/>
            </w:tcBorders>
          </w:tcPr>
          <w:p w14:paraId="2E42F5E5" w14:textId="77777777" w:rsidR="00EB2B81" w:rsidRPr="00D67A34" w:rsidRDefault="00EB2B81" w:rsidP="002E15A7">
            <w:r w:rsidRPr="00D67A34">
              <w:t>Radiocommunications</w:t>
            </w:r>
          </w:p>
        </w:tc>
        <w:tc>
          <w:tcPr>
            <w:tcW w:w="1497" w:type="dxa"/>
            <w:tcBorders>
              <w:top w:val="nil"/>
              <w:bottom w:val="nil"/>
            </w:tcBorders>
          </w:tcPr>
          <w:p w14:paraId="59E01ED7" w14:textId="77777777" w:rsidR="00EB2B81" w:rsidRPr="00D67A34" w:rsidRDefault="00EB2B81" w:rsidP="002E15A7">
            <w:r>
              <w:t>Determinations</w:t>
            </w:r>
          </w:p>
        </w:tc>
        <w:tc>
          <w:tcPr>
            <w:tcW w:w="1371" w:type="dxa"/>
            <w:tcBorders>
              <w:top w:val="nil"/>
              <w:bottom w:val="nil"/>
            </w:tcBorders>
          </w:tcPr>
          <w:p w14:paraId="060C1758" w14:textId="77777777" w:rsidR="00EB2B81" w:rsidRPr="00D67A34" w:rsidRDefault="00EB2B81" w:rsidP="002E15A7">
            <w:r>
              <w:t>50</w:t>
            </w:r>
          </w:p>
        </w:tc>
        <w:tc>
          <w:tcPr>
            <w:tcW w:w="1382" w:type="dxa"/>
            <w:tcBorders>
              <w:top w:val="nil"/>
              <w:bottom w:val="nil"/>
            </w:tcBorders>
          </w:tcPr>
          <w:p w14:paraId="18E83A67" w14:textId="77777777" w:rsidR="00EB2B81" w:rsidRPr="00D67A34" w:rsidRDefault="00EB2B81" w:rsidP="002E15A7">
            <w:r>
              <w:t>1 day</w:t>
            </w:r>
          </w:p>
        </w:tc>
        <w:tc>
          <w:tcPr>
            <w:tcW w:w="1389" w:type="dxa"/>
            <w:tcBorders>
              <w:top w:val="nil"/>
              <w:bottom w:val="nil"/>
            </w:tcBorders>
          </w:tcPr>
          <w:p w14:paraId="20153412" w14:textId="77777777" w:rsidR="00EB2B81" w:rsidRPr="00D67A34" w:rsidRDefault="00EB2B81" w:rsidP="002E15A7">
            <w:r>
              <w:t>13 months</w:t>
            </w:r>
          </w:p>
        </w:tc>
        <w:tc>
          <w:tcPr>
            <w:tcW w:w="1352" w:type="dxa"/>
            <w:tcBorders>
              <w:top w:val="nil"/>
              <w:bottom w:val="nil"/>
              <w:right w:val="nil"/>
            </w:tcBorders>
          </w:tcPr>
          <w:p w14:paraId="687B6849" w14:textId="77777777" w:rsidR="00EB2B81" w:rsidRPr="00D67A34" w:rsidRDefault="00EB2B81" w:rsidP="002E15A7">
            <w:r>
              <w:t>5.4 months</w:t>
            </w:r>
          </w:p>
        </w:tc>
      </w:tr>
      <w:tr w:rsidR="00EB2B81" w14:paraId="54065743" w14:textId="77777777" w:rsidTr="00EB2B81">
        <w:tc>
          <w:tcPr>
            <w:tcW w:w="2263" w:type="dxa"/>
            <w:tcBorders>
              <w:top w:val="nil"/>
              <w:left w:val="nil"/>
              <w:bottom w:val="nil"/>
            </w:tcBorders>
          </w:tcPr>
          <w:p w14:paraId="3861B9D8" w14:textId="77777777" w:rsidR="00EB2B81" w:rsidRPr="00D67A34" w:rsidRDefault="00EB2B81" w:rsidP="00EB2B81">
            <w:pPr>
              <w:spacing w:line="360" w:lineRule="auto"/>
              <w:rPr>
                <w:sz w:val="20"/>
                <w:szCs w:val="20"/>
              </w:rPr>
            </w:pPr>
          </w:p>
        </w:tc>
        <w:tc>
          <w:tcPr>
            <w:tcW w:w="1497" w:type="dxa"/>
            <w:tcBorders>
              <w:top w:val="nil"/>
              <w:bottom w:val="nil"/>
            </w:tcBorders>
          </w:tcPr>
          <w:p w14:paraId="18235F99" w14:textId="77777777" w:rsidR="00EB2B81" w:rsidRPr="00D67A34" w:rsidRDefault="00EB2B81" w:rsidP="002E15A7">
            <w:r>
              <w:t>Standards</w:t>
            </w:r>
          </w:p>
        </w:tc>
        <w:tc>
          <w:tcPr>
            <w:tcW w:w="1371" w:type="dxa"/>
            <w:tcBorders>
              <w:top w:val="nil"/>
              <w:bottom w:val="nil"/>
            </w:tcBorders>
          </w:tcPr>
          <w:p w14:paraId="2017390A" w14:textId="77777777" w:rsidR="00EB2B81" w:rsidRPr="00D67A34" w:rsidRDefault="00EB2B81" w:rsidP="002E15A7">
            <w:r>
              <w:t>24</w:t>
            </w:r>
          </w:p>
        </w:tc>
        <w:tc>
          <w:tcPr>
            <w:tcW w:w="1382" w:type="dxa"/>
            <w:tcBorders>
              <w:top w:val="nil"/>
              <w:bottom w:val="nil"/>
            </w:tcBorders>
          </w:tcPr>
          <w:p w14:paraId="35F400E9" w14:textId="77777777" w:rsidR="00EB2B81" w:rsidRPr="00D67A34" w:rsidRDefault="00EB2B81" w:rsidP="002E15A7">
            <w:r>
              <w:t>3 months</w:t>
            </w:r>
          </w:p>
        </w:tc>
        <w:tc>
          <w:tcPr>
            <w:tcW w:w="1389" w:type="dxa"/>
            <w:tcBorders>
              <w:top w:val="nil"/>
              <w:bottom w:val="nil"/>
            </w:tcBorders>
          </w:tcPr>
          <w:p w14:paraId="6CD3C109" w14:textId="77777777" w:rsidR="00EB2B81" w:rsidRPr="00D67A34" w:rsidRDefault="00EB2B81" w:rsidP="002E15A7">
            <w:r>
              <w:t>11 months</w:t>
            </w:r>
          </w:p>
        </w:tc>
        <w:tc>
          <w:tcPr>
            <w:tcW w:w="1352" w:type="dxa"/>
            <w:tcBorders>
              <w:top w:val="nil"/>
              <w:bottom w:val="nil"/>
              <w:right w:val="nil"/>
            </w:tcBorders>
          </w:tcPr>
          <w:p w14:paraId="12A160AC" w14:textId="77777777" w:rsidR="00EB2B81" w:rsidRPr="00D67A34" w:rsidRDefault="00EB2B81" w:rsidP="002E15A7">
            <w:r>
              <w:t>7.5 months</w:t>
            </w:r>
          </w:p>
        </w:tc>
      </w:tr>
      <w:tr w:rsidR="00EB2B81" w14:paraId="0704275C" w14:textId="77777777" w:rsidTr="00EB2B81">
        <w:tc>
          <w:tcPr>
            <w:tcW w:w="2263" w:type="dxa"/>
            <w:tcBorders>
              <w:top w:val="nil"/>
              <w:left w:val="nil"/>
              <w:bottom w:val="nil"/>
            </w:tcBorders>
          </w:tcPr>
          <w:p w14:paraId="124E88B3" w14:textId="77777777" w:rsidR="00EB2B81" w:rsidRPr="00D67A34" w:rsidRDefault="00EB2B81" w:rsidP="00EB2B81">
            <w:pPr>
              <w:spacing w:line="360" w:lineRule="auto"/>
              <w:rPr>
                <w:sz w:val="20"/>
                <w:szCs w:val="20"/>
              </w:rPr>
            </w:pPr>
          </w:p>
        </w:tc>
        <w:tc>
          <w:tcPr>
            <w:tcW w:w="1497" w:type="dxa"/>
            <w:tcBorders>
              <w:top w:val="nil"/>
              <w:bottom w:val="nil"/>
            </w:tcBorders>
          </w:tcPr>
          <w:p w14:paraId="69DEE8F5" w14:textId="77777777" w:rsidR="00EB2B81" w:rsidRPr="00D67A34" w:rsidRDefault="00EB2B81" w:rsidP="002E15A7">
            <w:r>
              <w:t>Declarations</w:t>
            </w:r>
          </w:p>
        </w:tc>
        <w:tc>
          <w:tcPr>
            <w:tcW w:w="1371" w:type="dxa"/>
            <w:tcBorders>
              <w:top w:val="nil"/>
              <w:bottom w:val="nil"/>
            </w:tcBorders>
          </w:tcPr>
          <w:p w14:paraId="279BE61B" w14:textId="77777777" w:rsidR="00EB2B81" w:rsidRPr="00D67A34" w:rsidRDefault="00EB2B81" w:rsidP="002E15A7">
            <w:r>
              <w:t>1</w:t>
            </w:r>
          </w:p>
        </w:tc>
        <w:tc>
          <w:tcPr>
            <w:tcW w:w="1382" w:type="dxa"/>
            <w:tcBorders>
              <w:top w:val="nil"/>
              <w:bottom w:val="nil"/>
            </w:tcBorders>
          </w:tcPr>
          <w:p w14:paraId="22D77141" w14:textId="77777777" w:rsidR="00EB2B81" w:rsidRPr="00D67A34" w:rsidRDefault="00EB2B81" w:rsidP="002E15A7">
            <w:r>
              <w:t>15 months</w:t>
            </w:r>
          </w:p>
        </w:tc>
        <w:tc>
          <w:tcPr>
            <w:tcW w:w="1389" w:type="dxa"/>
            <w:tcBorders>
              <w:top w:val="nil"/>
              <w:bottom w:val="nil"/>
            </w:tcBorders>
          </w:tcPr>
          <w:p w14:paraId="3E207D1E" w14:textId="77777777" w:rsidR="00EB2B81" w:rsidRPr="00D67A34" w:rsidRDefault="00EB2B81" w:rsidP="002E15A7">
            <w:r>
              <w:t>15 months</w:t>
            </w:r>
          </w:p>
        </w:tc>
        <w:tc>
          <w:tcPr>
            <w:tcW w:w="1352" w:type="dxa"/>
            <w:tcBorders>
              <w:top w:val="nil"/>
              <w:bottom w:val="nil"/>
              <w:right w:val="nil"/>
            </w:tcBorders>
          </w:tcPr>
          <w:p w14:paraId="7F6CABB4" w14:textId="77777777" w:rsidR="00EB2B81" w:rsidRPr="00D67A34" w:rsidRDefault="00EB2B81" w:rsidP="002E15A7">
            <w:r>
              <w:t>15 months</w:t>
            </w:r>
          </w:p>
        </w:tc>
      </w:tr>
      <w:tr w:rsidR="00EB2B81" w14:paraId="17ED2BBB" w14:textId="77777777" w:rsidTr="00EB2B81">
        <w:tc>
          <w:tcPr>
            <w:tcW w:w="2263" w:type="dxa"/>
            <w:tcBorders>
              <w:top w:val="nil"/>
              <w:left w:val="nil"/>
              <w:bottom w:val="nil"/>
            </w:tcBorders>
            <w:shd w:val="clear" w:color="auto" w:fill="D9D9D9" w:themeFill="background1" w:themeFillShade="D9"/>
          </w:tcPr>
          <w:p w14:paraId="4566976A" w14:textId="77777777" w:rsidR="00EB2B81" w:rsidRPr="00D67A34" w:rsidRDefault="00EB2B81" w:rsidP="002E15A7">
            <w:r w:rsidRPr="00D67A34">
              <w:t>Telecommunications Act</w:t>
            </w:r>
          </w:p>
        </w:tc>
        <w:tc>
          <w:tcPr>
            <w:tcW w:w="1497" w:type="dxa"/>
            <w:tcBorders>
              <w:top w:val="nil"/>
              <w:bottom w:val="nil"/>
            </w:tcBorders>
            <w:shd w:val="clear" w:color="auto" w:fill="D9D9D9" w:themeFill="background1" w:themeFillShade="D9"/>
          </w:tcPr>
          <w:p w14:paraId="0BCB90AF" w14:textId="77777777" w:rsidR="00EB2B81" w:rsidRPr="00D67A34" w:rsidRDefault="00EB2B81" w:rsidP="002E15A7">
            <w:r>
              <w:t>Determinations</w:t>
            </w:r>
          </w:p>
        </w:tc>
        <w:tc>
          <w:tcPr>
            <w:tcW w:w="1371" w:type="dxa"/>
            <w:tcBorders>
              <w:top w:val="nil"/>
              <w:bottom w:val="nil"/>
            </w:tcBorders>
            <w:shd w:val="clear" w:color="auto" w:fill="D9D9D9" w:themeFill="background1" w:themeFillShade="D9"/>
          </w:tcPr>
          <w:p w14:paraId="1B7A2E84" w14:textId="77777777" w:rsidR="00EB2B81" w:rsidRPr="00D67A34" w:rsidRDefault="00EB2B81" w:rsidP="002E15A7">
            <w:r>
              <w:t>17</w:t>
            </w:r>
          </w:p>
        </w:tc>
        <w:tc>
          <w:tcPr>
            <w:tcW w:w="1382" w:type="dxa"/>
            <w:tcBorders>
              <w:top w:val="nil"/>
              <w:bottom w:val="nil"/>
            </w:tcBorders>
            <w:shd w:val="clear" w:color="auto" w:fill="D9D9D9" w:themeFill="background1" w:themeFillShade="D9"/>
          </w:tcPr>
          <w:p w14:paraId="3957467C" w14:textId="77777777" w:rsidR="00EB2B81" w:rsidRPr="00D67A34" w:rsidRDefault="00EB2B81" w:rsidP="002E15A7">
            <w:r>
              <w:t>1 month</w:t>
            </w:r>
          </w:p>
        </w:tc>
        <w:tc>
          <w:tcPr>
            <w:tcW w:w="1389" w:type="dxa"/>
            <w:tcBorders>
              <w:top w:val="nil"/>
              <w:bottom w:val="nil"/>
            </w:tcBorders>
            <w:shd w:val="clear" w:color="auto" w:fill="D9D9D9" w:themeFill="background1" w:themeFillShade="D9"/>
          </w:tcPr>
          <w:p w14:paraId="6437D64A" w14:textId="77777777" w:rsidR="00EB2B81" w:rsidRPr="00D67A34" w:rsidRDefault="00EB2B81" w:rsidP="002E15A7">
            <w:r>
              <w:t>13 months</w:t>
            </w:r>
          </w:p>
        </w:tc>
        <w:tc>
          <w:tcPr>
            <w:tcW w:w="1352" w:type="dxa"/>
            <w:tcBorders>
              <w:top w:val="nil"/>
              <w:bottom w:val="nil"/>
              <w:right w:val="nil"/>
            </w:tcBorders>
            <w:shd w:val="clear" w:color="auto" w:fill="D9D9D9" w:themeFill="background1" w:themeFillShade="D9"/>
          </w:tcPr>
          <w:p w14:paraId="4D24CD84" w14:textId="77777777" w:rsidR="00EB2B81" w:rsidRPr="00D67A34" w:rsidRDefault="00EB2B81" w:rsidP="002E15A7">
            <w:r>
              <w:t>6.9 months</w:t>
            </w:r>
          </w:p>
        </w:tc>
      </w:tr>
      <w:tr w:rsidR="00EB2B81" w14:paraId="23E6ECE8" w14:textId="77777777" w:rsidTr="00EB2B81">
        <w:tc>
          <w:tcPr>
            <w:tcW w:w="2263" w:type="dxa"/>
            <w:tcBorders>
              <w:top w:val="nil"/>
              <w:left w:val="nil"/>
              <w:bottom w:val="nil"/>
            </w:tcBorders>
            <w:shd w:val="clear" w:color="auto" w:fill="D9D9D9" w:themeFill="background1" w:themeFillShade="D9"/>
          </w:tcPr>
          <w:p w14:paraId="00B35232" w14:textId="77777777" w:rsidR="00EB2B81" w:rsidRPr="00D67A34" w:rsidRDefault="00EB2B81" w:rsidP="00EB2B81">
            <w:pPr>
              <w:spacing w:line="360" w:lineRule="auto"/>
              <w:rPr>
                <w:sz w:val="20"/>
                <w:szCs w:val="20"/>
              </w:rPr>
            </w:pPr>
          </w:p>
        </w:tc>
        <w:tc>
          <w:tcPr>
            <w:tcW w:w="1497" w:type="dxa"/>
            <w:tcBorders>
              <w:top w:val="nil"/>
              <w:bottom w:val="nil"/>
            </w:tcBorders>
            <w:shd w:val="clear" w:color="auto" w:fill="D9D9D9" w:themeFill="background1" w:themeFillShade="D9"/>
          </w:tcPr>
          <w:p w14:paraId="7A64F08C" w14:textId="77777777" w:rsidR="00EB2B81" w:rsidRPr="00D67A34" w:rsidRDefault="00EB2B81" w:rsidP="002E15A7">
            <w:r>
              <w:t>Standards</w:t>
            </w:r>
          </w:p>
        </w:tc>
        <w:tc>
          <w:tcPr>
            <w:tcW w:w="1371" w:type="dxa"/>
            <w:tcBorders>
              <w:top w:val="nil"/>
              <w:bottom w:val="nil"/>
            </w:tcBorders>
            <w:shd w:val="clear" w:color="auto" w:fill="D9D9D9" w:themeFill="background1" w:themeFillShade="D9"/>
          </w:tcPr>
          <w:p w14:paraId="0D6D2765" w14:textId="77777777" w:rsidR="00EB2B81" w:rsidRPr="00D67A34" w:rsidRDefault="00EB2B81" w:rsidP="002E15A7">
            <w:r>
              <w:t>23</w:t>
            </w:r>
          </w:p>
        </w:tc>
        <w:tc>
          <w:tcPr>
            <w:tcW w:w="1382" w:type="dxa"/>
            <w:tcBorders>
              <w:top w:val="nil"/>
              <w:bottom w:val="nil"/>
            </w:tcBorders>
            <w:shd w:val="clear" w:color="auto" w:fill="D9D9D9" w:themeFill="background1" w:themeFillShade="D9"/>
          </w:tcPr>
          <w:p w14:paraId="2F8D085D" w14:textId="77777777" w:rsidR="00EB2B81" w:rsidRPr="00D67A34" w:rsidRDefault="00EB2B81" w:rsidP="002E15A7">
            <w:r>
              <w:t>2 months</w:t>
            </w:r>
          </w:p>
        </w:tc>
        <w:tc>
          <w:tcPr>
            <w:tcW w:w="1389" w:type="dxa"/>
            <w:tcBorders>
              <w:top w:val="nil"/>
              <w:bottom w:val="nil"/>
            </w:tcBorders>
            <w:shd w:val="clear" w:color="auto" w:fill="D9D9D9" w:themeFill="background1" w:themeFillShade="D9"/>
          </w:tcPr>
          <w:p w14:paraId="508693E1" w14:textId="77777777" w:rsidR="00EB2B81" w:rsidRPr="00D67A34" w:rsidRDefault="00EB2B81" w:rsidP="002E15A7">
            <w:r>
              <w:t>12 months</w:t>
            </w:r>
          </w:p>
        </w:tc>
        <w:tc>
          <w:tcPr>
            <w:tcW w:w="1352" w:type="dxa"/>
            <w:tcBorders>
              <w:top w:val="nil"/>
              <w:bottom w:val="nil"/>
              <w:right w:val="nil"/>
            </w:tcBorders>
            <w:shd w:val="clear" w:color="auto" w:fill="D9D9D9" w:themeFill="background1" w:themeFillShade="D9"/>
          </w:tcPr>
          <w:p w14:paraId="55E3EC23" w14:textId="77777777" w:rsidR="00EB2B81" w:rsidRPr="00D67A34" w:rsidRDefault="00EB2B81" w:rsidP="002E15A7">
            <w:r>
              <w:t>4.7 months</w:t>
            </w:r>
          </w:p>
        </w:tc>
      </w:tr>
      <w:tr w:rsidR="00EB2B81" w14:paraId="649FA5CD" w14:textId="77777777" w:rsidTr="00EB2B81">
        <w:trPr>
          <w:trHeight w:val="684"/>
        </w:trPr>
        <w:tc>
          <w:tcPr>
            <w:tcW w:w="2263" w:type="dxa"/>
            <w:tcBorders>
              <w:top w:val="nil"/>
              <w:left w:val="nil"/>
              <w:bottom w:val="nil"/>
            </w:tcBorders>
            <w:shd w:val="clear" w:color="auto" w:fill="D9D9D9" w:themeFill="background1" w:themeFillShade="D9"/>
          </w:tcPr>
          <w:p w14:paraId="6D1B5339" w14:textId="77777777" w:rsidR="00EB2B81" w:rsidRPr="00D67A34" w:rsidRDefault="00EB2B81" w:rsidP="00EB2B81">
            <w:pPr>
              <w:spacing w:line="360" w:lineRule="auto"/>
              <w:rPr>
                <w:sz w:val="20"/>
                <w:szCs w:val="20"/>
              </w:rPr>
            </w:pPr>
          </w:p>
        </w:tc>
        <w:tc>
          <w:tcPr>
            <w:tcW w:w="1497" w:type="dxa"/>
            <w:tcBorders>
              <w:top w:val="nil"/>
              <w:bottom w:val="nil"/>
            </w:tcBorders>
            <w:shd w:val="clear" w:color="auto" w:fill="D9D9D9" w:themeFill="background1" w:themeFillShade="D9"/>
          </w:tcPr>
          <w:p w14:paraId="4C54B4D5" w14:textId="77777777" w:rsidR="00EB2B81" w:rsidRPr="00D67A34" w:rsidRDefault="00EB2B81" w:rsidP="00EB2B81">
            <w:pPr>
              <w:rPr>
                <w:sz w:val="20"/>
                <w:szCs w:val="20"/>
              </w:rPr>
            </w:pPr>
            <w:r>
              <w:rPr>
                <w:sz w:val="20"/>
                <w:szCs w:val="20"/>
              </w:rPr>
              <w:t>Service Provider Rules</w:t>
            </w:r>
          </w:p>
        </w:tc>
        <w:tc>
          <w:tcPr>
            <w:tcW w:w="1371" w:type="dxa"/>
            <w:tcBorders>
              <w:top w:val="nil"/>
              <w:bottom w:val="nil"/>
            </w:tcBorders>
            <w:shd w:val="clear" w:color="auto" w:fill="D9D9D9" w:themeFill="background1" w:themeFillShade="D9"/>
          </w:tcPr>
          <w:p w14:paraId="68AA246C" w14:textId="77777777" w:rsidR="00EB2B81" w:rsidRPr="00D67A34" w:rsidRDefault="00EB2B81" w:rsidP="002E15A7">
            <w:r>
              <w:t>7</w:t>
            </w:r>
          </w:p>
        </w:tc>
        <w:tc>
          <w:tcPr>
            <w:tcW w:w="1382" w:type="dxa"/>
            <w:tcBorders>
              <w:top w:val="nil"/>
              <w:bottom w:val="nil"/>
            </w:tcBorders>
            <w:shd w:val="clear" w:color="auto" w:fill="D9D9D9" w:themeFill="background1" w:themeFillShade="D9"/>
          </w:tcPr>
          <w:p w14:paraId="6244234A" w14:textId="77777777" w:rsidR="00EB2B81" w:rsidRPr="00D67A34" w:rsidRDefault="00EB2B81" w:rsidP="002E15A7">
            <w:r>
              <w:t>1 month</w:t>
            </w:r>
          </w:p>
        </w:tc>
        <w:tc>
          <w:tcPr>
            <w:tcW w:w="1389" w:type="dxa"/>
            <w:tcBorders>
              <w:top w:val="nil"/>
              <w:bottom w:val="nil"/>
            </w:tcBorders>
            <w:shd w:val="clear" w:color="auto" w:fill="D9D9D9" w:themeFill="background1" w:themeFillShade="D9"/>
          </w:tcPr>
          <w:p w14:paraId="6B0AC8D6" w14:textId="77777777" w:rsidR="00EB2B81" w:rsidRPr="00D67A34" w:rsidRDefault="00EB2B81" w:rsidP="002E15A7">
            <w:r>
              <w:t>12 months</w:t>
            </w:r>
          </w:p>
        </w:tc>
        <w:tc>
          <w:tcPr>
            <w:tcW w:w="1352" w:type="dxa"/>
            <w:tcBorders>
              <w:top w:val="nil"/>
              <w:bottom w:val="nil"/>
              <w:right w:val="nil"/>
            </w:tcBorders>
            <w:shd w:val="clear" w:color="auto" w:fill="D9D9D9" w:themeFill="background1" w:themeFillShade="D9"/>
          </w:tcPr>
          <w:p w14:paraId="17C7BCB8" w14:textId="77777777" w:rsidR="00EB2B81" w:rsidRPr="00D67A34" w:rsidRDefault="00EB2B81" w:rsidP="002E15A7">
            <w:r>
              <w:t>10.5 months</w:t>
            </w:r>
          </w:p>
        </w:tc>
      </w:tr>
      <w:tr w:rsidR="00EB2B81" w14:paraId="601A1C24" w14:textId="77777777" w:rsidTr="00EB2B81">
        <w:tc>
          <w:tcPr>
            <w:tcW w:w="2263" w:type="dxa"/>
            <w:tcBorders>
              <w:top w:val="nil"/>
              <w:left w:val="nil"/>
              <w:bottom w:val="nil"/>
            </w:tcBorders>
            <w:shd w:val="clear" w:color="auto" w:fill="D9D9D9" w:themeFill="background1" w:themeFillShade="D9"/>
          </w:tcPr>
          <w:p w14:paraId="5BA883D6" w14:textId="77777777" w:rsidR="00EB2B81" w:rsidRPr="00D67A34" w:rsidRDefault="00EB2B81" w:rsidP="00EB2B81">
            <w:pPr>
              <w:spacing w:line="360" w:lineRule="auto"/>
              <w:rPr>
                <w:sz w:val="20"/>
                <w:szCs w:val="20"/>
              </w:rPr>
            </w:pPr>
          </w:p>
        </w:tc>
        <w:tc>
          <w:tcPr>
            <w:tcW w:w="1497" w:type="dxa"/>
            <w:tcBorders>
              <w:top w:val="nil"/>
              <w:bottom w:val="nil"/>
            </w:tcBorders>
            <w:shd w:val="clear" w:color="auto" w:fill="D9D9D9" w:themeFill="background1" w:themeFillShade="D9"/>
          </w:tcPr>
          <w:p w14:paraId="6AD684D4" w14:textId="77777777" w:rsidR="00EB2B81" w:rsidRPr="00D67A34" w:rsidRDefault="00EB2B81" w:rsidP="002E15A7">
            <w:r>
              <w:t>Industry codes</w:t>
            </w:r>
          </w:p>
        </w:tc>
        <w:tc>
          <w:tcPr>
            <w:tcW w:w="1371" w:type="dxa"/>
            <w:tcBorders>
              <w:top w:val="nil"/>
              <w:bottom w:val="nil"/>
            </w:tcBorders>
            <w:shd w:val="clear" w:color="auto" w:fill="D9D9D9" w:themeFill="background1" w:themeFillShade="D9"/>
          </w:tcPr>
          <w:p w14:paraId="42B29BEC" w14:textId="77777777" w:rsidR="00EB2B81" w:rsidRPr="00D67A34" w:rsidRDefault="00EB2B81" w:rsidP="002E15A7">
            <w:r>
              <w:t>7</w:t>
            </w:r>
          </w:p>
        </w:tc>
        <w:tc>
          <w:tcPr>
            <w:tcW w:w="1382" w:type="dxa"/>
            <w:tcBorders>
              <w:top w:val="nil"/>
              <w:bottom w:val="nil"/>
            </w:tcBorders>
            <w:shd w:val="clear" w:color="auto" w:fill="D9D9D9" w:themeFill="background1" w:themeFillShade="D9"/>
          </w:tcPr>
          <w:p w14:paraId="59147D95" w14:textId="77777777" w:rsidR="00EB2B81" w:rsidRPr="00D67A34" w:rsidRDefault="00EB2B81" w:rsidP="002E15A7">
            <w:r>
              <w:t>1 month</w:t>
            </w:r>
          </w:p>
        </w:tc>
        <w:tc>
          <w:tcPr>
            <w:tcW w:w="1389" w:type="dxa"/>
            <w:tcBorders>
              <w:top w:val="nil"/>
              <w:bottom w:val="nil"/>
            </w:tcBorders>
            <w:shd w:val="clear" w:color="auto" w:fill="D9D9D9" w:themeFill="background1" w:themeFillShade="D9"/>
          </w:tcPr>
          <w:p w14:paraId="02229699" w14:textId="77777777" w:rsidR="00EB2B81" w:rsidRPr="00D67A34" w:rsidRDefault="00EB2B81" w:rsidP="002E15A7">
            <w:r>
              <w:t>16 months</w:t>
            </w:r>
          </w:p>
        </w:tc>
        <w:tc>
          <w:tcPr>
            <w:tcW w:w="1352" w:type="dxa"/>
            <w:tcBorders>
              <w:top w:val="nil"/>
              <w:bottom w:val="nil"/>
              <w:right w:val="nil"/>
            </w:tcBorders>
            <w:shd w:val="clear" w:color="auto" w:fill="D9D9D9" w:themeFill="background1" w:themeFillShade="D9"/>
          </w:tcPr>
          <w:p w14:paraId="03F81A6B" w14:textId="77777777" w:rsidR="00EB2B81" w:rsidRPr="00D67A34" w:rsidRDefault="00EB2B81" w:rsidP="002E15A7">
            <w:r>
              <w:t>5.5 months</w:t>
            </w:r>
          </w:p>
        </w:tc>
      </w:tr>
      <w:tr w:rsidR="00EB2B81" w14:paraId="4D5BCBB3" w14:textId="77777777" w:rsidTr="00EB2B81">
        <w:tc>
          <w:tcPr>
            <w:tcW w:w="2263" w:type="dxa"/>
            <w:tcBorders>
              <w:top w:val="nil"/>
              <w:left w:val="nil"/>
              <w:bottom w:val="nil"/>
            </w:tcBorders>
          </w:tcPr>
          <w:p w14:paraId="64B6746C" w14:textId="77777777" w:rsidR="00EB2B81" w:rsidRPr="00D67A34" w:rsidRDefault="00EB2B81" w:rsidP="002E15A7">
            <w:r w:rsidRPr="00D67A34">
              <w:t>TCPSS Act</w:t>
            </w:r>
          </w:p>
        </w:tc>
        <w:tc>
          <w:tcPr>
            <w:tcW w:w="1497" w:type="dxa"/>
            <w:tcBorders>
              <w:top w:val="nil"/>
              <w:bottom w:val="nil"/>
            </w:tcBorders>
          </w:tcPr>
          <w:p w14:paraId="469D3E9B" w14:textId="77777777" w:rsidR="00EB2B81" w:rsidRPr="00D67A34" w:rsidRDefault="00EB2B81" w:rsidP="002E15A7">
            <w:r>
              <w:t>Standards</w:t>
            </w:r>
          </w:p>
        </w:tc>
        <w:tc>
          <w:tcPr>
            <w:tcW w:w="1371" w:type="dxa"/>
            <w:tcBorders>
              <w:top w:val="nil"/>
              <w:bottom w:val="nil"/>
            </w:tcBorders>
          </w:tcPr>
          <w:p w14:paraId="1977A551" w14:textId="77777777" w:rsidR="00EB2B81" w:rsidRPr="00D67A34" w:rsidRDefault="00EB2B81" w:rsidP="002E15A7">
            <w:r>
              <w:t>2</w:t>
            </w:r>
          </w:p>
        </w:tc>
        <w:tc>
          <w:tcPr>
            <w:tcW w:w="1382" w:type="dxa"/>
            <w:tcBorders>
              <w:top w:val="nil"/>
              <w:bottom w:val="nil"/>
            </w:tcBorders>
          </w:tcPr>
          <w:p w14:paraId="1E0DC236" w14:textId="77777777" w:rsidR="00EB2B81" w:rsidRPr="00D67A34" w:rsidRDefault="00EB2B81" w:rsidP="002E15A7">
            <w:r>
              <w:t>1 month</w:t>
            </w:r>
          </w:p>
        </w:tc>
        <w:tc>
          <w:tcPr>
            <w:tcW w:w="1389" w:type="dxa"/>
            <w:tcBorders>
              <w:top w:val="nil"/>
              <w:bottom w:val="nil"/>
            </w:tcBorders>
          </w:tcPr>
          <w:p w14:paraId="10E0446C" w14:textId="77777777" w:rsidR="00EB2B81" w:rsidRPr="00D67A34" w:rsidRDefault="00EB2B81" w:rsidP="002E15A7">
            <w:r>
              <w:t>3 months</w:t>
            </w:r>
          </w:p>
        </w:tc>
        <w:tc>
          <w:tcPr>
            <w:tcW w:w="1352" w:type="dxa"/>
            <w:tcBorders>
              <w:top w:val="nil"/>
              <w:bottom w:val="nil"/>
              <w:right w:val="nil"/>
            </w:tcBorders>
          </w:tcPr>
          <w:p w14:paraId="06AD9C8F" w14:textId="77777777" w:rsidR="00EB2B81" w:rsidRPr="00D67A34" w:rsidRDefault="00EB2B81" w:rsidP="002E15A7">
            <w:r>
              <w:t>2 months</w:t>
            </w:r>
          </w:p>
        </w:tc>
      </w:tr>
      <w:tr w:rsidR="00EB2B81" w14:paraId="73F4211D" w14:textId="77777777" w:rsidTr="00EB2B81">
        <w:tc>
          <w:tcPr>
            <w:tcW w:w="2263" w:type="dxa"/>
            <w:tcBorders>
              <w:top w:val="nil"/>
              <w:left w:val="nil"/>
              <w:bottom w:val="single" w:sz="4" w:space="0" w:color="auto"/>
            </w:tcBorders>
          </w:tcPr>
          <w:p w14:paraId="55A2833E" w14:textId="77777777" w:rsidR="00EB2B81" w:rsidRPr="00D67A34" w:rsidRDefault="00EB2B81" w:rsidP="00EB2B81">
            <w:pPr>
              <w:spacing w:line="360" w:lineRule="auto"/>
              <w:rPr>
                <w:sz w:val="20"/>
                <w:szCs w:val="20"/>
              </w:rPr>
            </w:pPr>
          </w:p>
        </w:tc>
        <w:tc>
          <w:tcPr>
            <w:tcW w:w="1497" w:type="dxa"/>
            <w:tcBorders>
              <w:top w:val="nil"/>
              <w:bottom w:val="single" w:sz="4" w:space="0" w:color="auto"/>
            </w:tcBorders>
          </w:tcPr>
          <w:p w14:paraId="5691CCF8" w14:textId="77777777" w:rsidR="00EB2B81" w:rsidRPr="00D67A34" w:rsidRDefault="00EB2B81" w:rsidP="002E15A7">
            <w:r>
              <w:t>Determinations</w:t>
            </w:r>
          </w:p>
        </w:tc>
        <w:tc>
          <w:tcPr>
            <w:tcW w:w="1371" w:type="dxa"/>
            <w:tcBorders>
              <w:top w:val="nil"/>
              <w:bottom w:val="single" w:sz="4" w:space="0" w:color="auto"/>
            </w:tcBorders>
          </w:tcPr>
          <w:p w14:paraId="32713211" w14:textId="77777777" w:rsidR="00EB2B81" w:rsidRPr="00D67A34" w:rsidRDefault="00EB2B81" w:rsidP="002E15A7">
            <w:r>
              <w:t>6</w:t>
            </w:r>
          </w:p>
        </w:tc>
        <w:tc>
          <w:tcPr>
            <w:tcW w:w="1382" w:type="dxa"/>
            <w:tcBorders>
              <w:top w:val="nil"/>
              <w:bottom w:val="single" w:sz="4" w:space="0" w:color="auto"/>
            </w:tcBorders>
          </w:tcPr>
          <w:p w14:paraId="3B9A8633" w14:textId="77777777" w:rsidR="00EB2B81" w:rsidRPr="00D67A34" w:rsidRDefault="00EB2B81" w:rsidP="002E15A7">
            <w:r>
              <w:t>3 months</w:t>
            </w:r>
          </w:p>
        </w:tc>
        <w:tc>
          <w:tcPr>
            <w:tcW w:w="1389" w:type="dxa"/>
            <w:tcBorders>
              <w:top w:val="nil"/>
              <w:bottom w:val="single" w:sz="4" w:space="0" w:color="auto"/>
            </w:tcBorders>
          </w:tcPr>
          <w:p w14:paraId="321B2C11" w14:textId="77777777" w:rsidR="00EB2B81" w:rsidRPr="00D67A34" w:rsidRDefault="00EB2B81" w:rsidP="002E15A7">
            <w:r>
              <w:t>10 months</w:t>
            </w:r>
          </w:p>
        </w:tc>
        <w:tc>
          <w:tcPr>
            <w:tcW w:w="1352" w:type="dxa"/>
            <w:tcBorders>
              <w:top w:val="nil"/>
              <w:bottom w:val="single" w:sz="4" w:space="0" w:color="auto"/>
              <w:right w:val="nil"/>
            </w:tcBorders>
          </w:tcPr>
          <w:p w14:paraId="57766456" w14:textId="77777777" w:rsidR="00EB2B81" w:rsidRPr="00D67A34" w:rsidRDefault="00EB2B81" w:rsidP="002E15A7">
            <w:r>
              <w:t>5.8 months</w:t>
            </w:r>
          </w:p>
        </w:tc>
      </w:tr>
    </w:tbl>
    <w:p w14:paraId="77A7489F" w14:textId="77777777" w:rsidR="00EB2B81" w:rsidRDefault="00EB2B81" w:rsidP="00EB2B81"/>
    <w:p w14:paraId="6799FBF6" w14:textId="77777777" w:rsidR="00EB2B81" w:rsidRDefault="00EB2B81" w:rsidP="00BC43B3">
      <w:r w:rsidRPr="001F3DEA">
        <w:t>Stakeholders have broadly expressed a high degree of confidence in the capabilities and performance of the ACMA in the technical managem</w:t>
      </w:r>
      <w:r>
        <w:t>ent of radiofrequency spectrum.</w:t>
      </w:r>
    </w:p>
    <w:p w14:paraId="1964047B" w14:textId="4F13D1F9" w:rsidR="00EB2B81" w:rsidRPr="001F3DEA" w:rsidRDefault="00EB2B81" w:rsidP="00BC43B3">
      <w:r>
        <w:t>A review of key Regulation Impact Statements prepared by the ACMA indicates it regulatory decision</w:t>
      </w:r>
      <w:r w:rsidR="00AB23B9">
        <w:t>-</w:t>
      </w:r>
      <w:r>
        <w:t>making is supported and guided by a sound foundation of empirical evidence.</w:t>
      </w:r>
    </w:p>
    <w:p w14:paraId="2D0C9CAE" w14:textId="19E2CB2C" w:rsidR="00EB2B81" w:rsidRDefault="00EB2B81" w:rsidP="00BC43B3">
      <w:r w:rsidRPr="001F3DEA">
        <w:t>The ACMA has made steady improvements to business processes and monitoring approaches. This includes the reduction in scope of various information collection requests on the telecommunications and broadcasting sectors and the simplification of forms for regulated entities. Telstra noted progress in streamlining spectrum licensing but indicated there was scope for further improvements by fully automating spectrum and apparatus licensing transactions through a single online self-help portal</w:t>
      </w:r>
      <w:r w:rsidRPr="00820095">
        <w:rPr>
          <w:vertAlign w:val="superscript"/>
        </w:rPr>
        <w:footnoteReference w:id="120"/>
      </w:r>
      <w:r w:rsidR="00911D46">
        <w:t>,</w:t>
      </w:r>
      <w:r w:rsidRPr="001F3DEA">
        <w:t xml:space="preserve"> </w:t>
      </w:r>
      <w:r>
        <w:t xml:space="preserve">a process which is understood to be currently underway. </w:t>
      </w:r>
      <w:r w:rsidRPr="001F3DEA">
        <w:t>Stakeholders have expressed a desire for greater involvement in the design of forms and information requests</w:t>
      </w:r>
      <w:r>
        <w:t xml:space="preserve"> when they are first being developed</w:t>
      </w:r>
      <w:r w:rsidRPr="001F3DEA">
        <w:t>.</w:t>
      </w:r>
      <w:r>
        <w:t xml:space="preserve"> This may present an opportunity, as part of future regulatory reforms, in the event new compliance regimes are established or existing arrangements substantially changed, to seek to design approaches that minimise costs to industry.</w:t>
      </w:r>
    </w:p>
    <w:p w14:paraId="57E38950" w14:textId="77777777" w:rsidR="00EB2B81" w:rsidRDefault="00EB2B81" w:rsidP="00BC43B3">
      <w:r w:rsidRPr="001F3DEA">
        <w:t xml:space="preserve">Some stakeholders expressed concerns that information collection requirements are onerous. </w:t>
      </w:r>
      <w:r>
        <w:t>However, the Review considers this</w:t>
      </w:r>
      <w:r w:rsidRPr="001F3DEA">
        <w:t xml:space="preserve"> challenge is not unique to the </w:t>
      </w:r>
      <w:r>
        <w:t>ACMA</w:t>
      </w:r>
      <w:r w:rsidRPr="001F3DEA">
        <w:t xml:space="preserve"> and is borne by all regulators that need to collect information or monitor compliance with an appreciation for the costs imposed on market recipients. The </w:t>
      </w:r>
      <w:r>
        <w:t xml:space="preserve">Review </w:t>
      </w:r>
      <w:r w:rsidRPr="001F3DEA">
        <w:t xml:space="preserve">accepts that while there is scope for improvement the </w:t>
      </w:r>
      <w:r>
        <w:t xml:space="preserve">ACMA </w:t>
      </w:r>
      <w:r w:rsidRPr="001F3DEA">
        <w:t>must exercise important judgements about how best to prioritise and allocate resources across its continuous improvement and review program</w:t>
      </w:r>
      <w:r>
        <w:t>me</w:t>
      </w:r>
      <w:r w:rsidRPr="001F3DEA">
        <w:t>s. Nonetheless, it is important for regulators to embrace a continuous improvement culture and establish the necessary internal systems to deliver steady, meaningful and visible improvements for stakeholders over time.</w:t>
      </w:r>
    </w:p>
    <w:p w14:paraId="4F17B48D" w14:textId="77777777" w:rsidR="00174EEE" w:rsidRDefault="00174EEE" w:rsidP="00174EEE">
      <w:pPr>
        <w:pBdr>
          <w:top w:val="single" w:sz="4" w:space="1" w:color="auto"/>
          <w:left w:val="single" w:sz="4" w:space="4" w:color="auto"/>
          <w:bottom w:val="single" w:sz="4" w:space="1" w:color="auto"/>
          <w:right w:val="single" w:sz="4" w:space="4" w:color="auto"/>
        </w:pBdr>
      </w:pPr>
      <w:r>
        <w:t>Key findings</w:t>
      </w:r>
    </w:p>
    <w:p w14:paraId="5B76740A" w14:textId="466B2D2D" w:rsidR="00174EEE" w:rsidRDefault="00174EEE" w:rsidP="00174EEE">
      <w:pPr>
        <w:pStyle w:val="Bulletlevel1"/>
        <w:pBdr>
          <w:top w:val="single" w:sz="4" w:space="1" w:color="auto"/>
          <w:left w:val="single" w:sz="4" w:space="4" w:color="auto"/>
          <w:bottom w:val="single" w:sz="4" w:space="1" w:color="auto"/>
          <w:right w:val="single" w:sz="4" w:space="4" w:color="auto"/>
        </w:pBdr>
      </w:pPr>
      <w:r>
        <w:t>The ACMA’s regulatory decision</w:t>
      </w:r>
      <w:r w:rsidR="00AB23B9">
        <w:t>-</w:t>
      </w:r>
      <w:r>
        <w:t>making has generally been sound and supported by evidence.</w:t>
      </w:r>
    </w:p>
    <w:p w14:paraId="6A4E9645" w14:textId="2C991507" w:rsidR="00174EEE" w:rsidRDefault="00174EEE" w:rsidP="00174EEE">
      <w:pPr>
        <w:pStyle w:val="Bulletlevel1"/>
        <w:pBdr>
          <w:top w:val="single" w:sz="4" w:space="1" w:color="auto"/>
          <w:left w:val="single" w:sz="4" w:space="4" w:color="auto"/>
          <w:bottom w:val="single" w:sz="4" w:space="1" w:color="auto"/>
          <w:right w:val="single" w:sz="4" w:space="4" w:color="auto"/>
        </w:pBdr>
      </w:pPr>
      <w:r>
        <w:t>The ACMA’s decision-making timeframes for significant rule</w:t>
      </w:r>
      <w:r w:rsidR="009F41FF">
        <w:t>-</w:t>
      </w:r>
      <w:r>
        <w:t>making and planning processes have been sub-optimal. Various factors may be inhibiting the regulator from achieving timely outcomes—including the efficacy of current co-regulatory processes, and other procedural issues which legislation currently prevents from being handled administratively.</w:t>
      </w:r>
    </w:p>
    <w:p w14:paraId="63E7D1D2" w14:textId="77777777" w:rsidR="00EB2B81" w:rsidRDefault="00EB2B81" w:rsidP="00BF7B18">
      <w:pPr>
        <w:pStyle w:val="Heading6"/>
      </w:pPr>
      <w:bookmarkStart w:id="705" w:name="_Toc436923322"/>
      <w:bookmarkStart w:id="706" w:name="_Toc437440623"/>
      <w:r>
        <w:t>Draft Proposals</w:t>
      </w:r>
      <w:bookmarkEnd w:id="705"/>
      <w:bookmarkEnd w:id="706"/>
    </w:p>
    <w:p w14:paraId="4F694FB0" w14:textId="2F89341B" w:rsidR="00EB2B81" w:rsidRDefault="00EB2B81" w:rsidP="00174EEE">
      <w:r>
        <w:t>T</w:t>
      </w:r>
      <w:r w:rsidRPr="00FC40D5">
        <w:t xml:space="preserve">imeframes </w:t>
      </w:r>
      <w:r>
        <w:t>for current</w:t>
      </w:r>
      <w:r w:rsidRPr="00FC40D5">
        <w:t xml:space="preserve"> spectrum reallocation processes, licen</w:t>
      </w:r>
      <w:r w:rsidR="00911D46">
        <w:t>c</w:t>
      </w:r>
      <w:r w:rsidRPr="00FC40D5">
        <w:t>e area planning and various rule</w:t>
      </w:r>
      <w:r w:rsidR="009F41FF">
        <w:t>-</w:t>
      </w:r>
      <w:r w:rsidRPr="00FC40D5">
        <w:t>making and code registration activities</w:t>
      </w:r>
      <w:r>
        <w:t xml:space="preserve"> do not appear to regularly meet the expectations outlined earlier in this section</w:t>
      </w:r>
      <w:r w:rsidRPr="00FC40D5">
        <w:t>.</w:t>
      </w:r>
      <w:r>
        <w:t xml:space="preserve"> However, the Review</w:t>
      </w:r>
      <w:r w:rsidDel="008C5828">
        <w:t xml:space="preserve"> </w:t>
      </w:r>
      <w:r>
        <w:t>is not of the view that timeframes are solely determined by the performance of the regulator.</w:t>
      </w:r>
      <w:r w:rsidRPr="00FC40D5">
        <w:t xml:space="preserve"> </w:t>
      </w:r>
      <w:r>
        <w:t>Our consultations and analysis have identified</w:t>
      </w:r>
      <w:r w:rsidRPr="00FC40D5">
        <w:t xml:space="preserve"> </w:t>
      </w:r>
      <w:r>
        <w:t xml:space="preserve">several </w:t>
      </w:r>
      <w:r w:rsidRPr="00FC40D5">
        <w:t xml:space="preserve">factors that </w:t>
      </w:r>
      <w:r>
        <w:t xml:space="preserve">may be </w:t>
      </w:r>
      <w:r w:rsidRPr="00FC40D5">
        <w:t>contribut</w:t>
      </w:r>
      <w:r>
        <w:t>ing</w:t>
      </w:r>
      <w:r w:rsidRPr="00FC40D5">
        <w:t xml:space="preserve"> to these timeframes</w:t>
      </w:r>
      <w:r>
        <w:t xml:space="preserve"> which are discussed below</w:t>
      </w:r>
      <w:r w:rsidRPr="00FC40D5">
        <w:t>.</w:t>
      </w:r>
    </w:p>
    <w:p w14:paraId="1622EA15" w14:textId="18B0EA85" w:rsidR="00EB2B81" w:rsidRDefault="00EB2B81" w:rsidP="002E15A7">
      <w:r w:rsidRPr="00B7741E">
        <w:rPr>
          <w:szCs w:val="24"/>
        </w:rPr>
        <w:t>The Review</w:t>
      </w:r>
      <w:r w:rsidRPr="00FC40D5">
        <w:t xml:space="preserve"> recognise</w:t>
      </w:r>
      <w:r>
        <w:t>s</w:t>
      </w:r>
      <w:r w:rsidRPr="00FC40D5">
        <w:t xml:space="preserve"> the rigidity of governing legislation </w:t>
      </w:r>
      <w:r>
        <w:t xml:space="preserve">has </w:t>
      </w:r>
      <w:r w:rsidRPr="00FC40D5">
        <w:t>constrain</w:t>
      </w:r>
      <w:r>
        <w:t xml:space="preserve">ed </w:t>
      </w:r>
      <w:r w:rsidRPr="00FC40D5">
        <w:t>faster planning and decision</w:t>
      </w:r>
      <w:r w:rsidR="00AB23B9">
        <w:t>-</w:t>
      </w:r>
      <w:r w:rsidRPr="00FC40D5">
        <w:t>making</w:t>
      </w:r>
      <w:r>
        <w:t xml:space="preserve">, </w:t>
      </w:r>
      <w:r w:rsidRPr="00FC40D5">
        <w:t>particularly in spectrum and broadcast planning processes. The implementation of the Spectrum Review will address some of these past constraints</w:t>
      </w:r>
      <w:r>
        <w:t>. In particular,</w:t>
      </w:r>
      <w:r w:rsidRPr="00FC40D5">
        <w:t xml:space="preserve"> a single </w:t>
      </w:r>
      <w:r w:rsidR="00911D46" w:rsidRPr="00FC40D5">
        <w:t>licen</w:t>
      </w:r>
      <w:r w:rsidR="00911D46">
        <w:t>c</w:t>
      </w:r>
      <w:r w:rsidR="00911D46" w:rsidRPr="00FC40D5">
        <w:t xml:space="preserve">ing </w:t>
      </w:r>
      <w:r w:rsidRPr="00FC40D5">
        <w:t>system and simpler legislative regime</w:t>
      </w:r>
      <w:r>
        <w:t xml:space="preserve"> should speed things up</w:t>
      </w:r>
      <w:r w:rsidRPr="00FC40D5">
        <w:t>. However</w:t>
      </w:r>
      <w:r>
        <w:t>,</w:t>
      </w:r>
      <w:r w:rsidRPr="00FC40D5">
        <w:t xml:space="preserve"> there </w:t>
      </w:r>
      <w:r>
        <w:t xml:space="preserve">remains </w:t>
      </w:r>
      <w:r w:rsidRPr="00FC40D5">
        <w:t xml:space="preserve">scope for the regulator to improve outcomes through a more sophisticated </w:t>
      </w:r>
      <w:r>
        <w:t xml:space="preserve">level of </w:t>
      </w:r>
      <w:r w:rsidRPr="00FC40D5">
        <w:t>engagement with risk</w:t>
      </w:r>
      <w:r>
        <w:t>, consistent with the Government’s Risk Management Policy</w:t>
      </w:r>
      <w:r w:rsidRPr="00FC40D5">
        <w:t>. To achieve this</w:t>
      </w:r>
      <w:r>
        <w:t>,</w:t>
      </w:r>
      <w:r w:rsidRPr="00FC40D5">
        <w:t xml:space="preserve"> </w:t>
      </w:r>
      <w:r w:rsidRPr="00B7741E">
        <w:rPr>
          <w:szCs w:val="24"/>
        </w:rPr>
        <w:t>the Review</w:t>
      </w:r>
      <w:r>
        <w:t xml:space="preserve"> considers a Ministerial </w:t>
      </w:r>
      <w:r w:rsidR="00911D46">
        <w:t>S</w:t>
      </w:r>
      <w:r>
        <w:t xml:space="preserve">tatement of </w:t>
      </w:r>
      <w:r w:rsidR="00911D46">
        <w:t>E</w:t>
      </w:r>
      <w:r>
        <w:t>xpectations—</w:t>
      </w:r>
      <w:r w:rsidRPr="006F1CE8">
        <w:rPr>
          <w:szCs w:val="24"/>
        </w:rPr>
        <w:t xml:space="preserve">as outlined in Draft </w:t>
      </w:r>
      <w:r w:rsidRPr="00E6707E">
        <w:rPr>
          <w:szCs w:val="24"/>
        </w:rPr>
        <w:t xml:space="preserve">Proposal </w:t>
      </w:r>
      <w:r>
        <w:rPr>
          <w:szCs w:val="24"/>
        </w:rPr>
        <w:t>19</w:t>
      </w:r>
      <w:r>
        <w:t xml:space="preserve">—could </w:t>
      </w:r>
      <w:r w:rsidR="00CB237C">
        <w:t xml:space="preserve">assist </w:t>
      </w:r>
      <w:r>
        <w:t xml:space="preserve">the ACMA </w:t>
      </w:r>
      <w:r w:rsidR="00CB237C">
        <w:t>to achieve a better understanding of</w:t>
      </w:r>
      <w:r w:rsidRPr="00FC40D5">
        <w:t xml:space="preserve"> </w:t>
      </w:r>
      <w:r w:rsidR="00CB237C">
        <w:t>the</w:t>
      </w:r>
      <w:r w:rsidRPr="00FC40D5">
        <w:t xml:space="preserve"> </w:t>
      </w:r>
      <w:r>
        <w:t>G</w:t>
      </w:r>
      <w:r w:rsidRPr="00FC40D5">
        <w:t>overnment</w:t>
      </w:r>
      <w:r w:rsidR="00CB237C">
        <w:t xml:space="preserve">’s priorities and risk </w:t>
      </w:r>
      <w:r w:rsidR="003A3AE5">
        <w:t>appetite</w:t>
      </w:r>
      <w:r w:rsidR="00CB237C">
        <w:t>, as they work towards improving processes</w:t>
      </w:r>
      <w:r w:rsidRPr="00FC40D5">
        <w:t xml:space="preserve">. </w:t>
      </w:r>
    </w:p>
    <w:p w14:paraId="547AE49F" w14:textId="77777777" w:rsidR="00EB2B81" w:rsidRDefault="00EB2B81" w:rsidP="00BF7B18">
      <w:pPr>
        <w:pStyle w:val="Heading4"/>
      </w:pPr>
      <w:bookmarkStart w:id="707" w:name="_Toc443307378"/>
      <w:bookmarkStart w:id="708" w:name="_Toc445810594"/>
      <w:bookmarkStart w:id="709" w:name="_Toc449108105"/>
      <w:bookmarkStart w:id="710" w:name="_Toc449432122"/>
      <w:bookmarkStart w:id="711" w:name="_Toc449438589"/>
      <w:bookmarkStart w:id="712" w:name="_Toc449620040"/>
      <w:bookmarkStart w:id="713" w:name="_Toc450310191"/>
      <w:r>
        <w:t>A regulator whose actions are targeted and commensurate with risk</w:t>
      </w:r>
      <w:bookmarkEnd w:id="707"/>
      <w:bookmarkEnd w:id="708"/>
      <w:bookmarkEnd w:id="709"/>
      <w:bookmarkEnd w:id="710"/>
      <w:bookmarkEnd w:id="711"/>
      <w:bookmarkEnd w:id="712"/>
      <w:bookmarkEnd w:id="713"/>
    </w:p>
    <w:p w14:paraId="09A17C0F" w14:textId="77777777" w:rsidR="00EB2B81" w:rsidRPr="00B33DF4" w:rsidRDefault="00EB2B81" w:rsidP="00BF7B18">
      <w:pPr>
        <w:pStyle w:val="Heading5"/>
      </w:pPr>
      <w:r>
        <w:t>Desired attributes</w:t>
      </w:r>
    </w:p>
    <w:p w14:paraId="13210C31" w14:textId="77777777" w:rsidR="00EB2B81" w:rsidRDefault="00EB2B81" w:rsidP="00CB4DEF">
      <w:pPr>
        <w:pStyle w:val="Definitiontext"/>
        <w:spacing w:before="0"/>
      </w:pPr>
      <w:r>
        <w:rPr>
          <w:rFonts w:asciiTheme="minorHAnsi" w:hAnsiTheme="minorHAnsi"/>
        </w:rPr>
        <w:t>The Review</w:t>
      </w:r>
      <w:r w:rsidDel="00742050">
        <w:t xml:space="preserve"> </w:t>
      </w:r>
      <w:r>
        <w:t xml:space="preserve">considers that </w:t>
      </w:r>
      <w:r w:rsidRPr="00762ECB">
        <w:t>a deep understanding of risk and a sophisticated application of risk principles</w:t>
      </w:r>
      <w:r>
        <w:t xml:space="preserve"> should be the central organising principle of how the ACMA approaches its role</w:t>
      </w:r>
      <w:r w:rsidRPr="00762ECB">
        <w:t>.</w:t>
      </w:r>
    </w:p>
    <w:p w14:paraId="75DD64E0" w14:textId="77777777" w:rsidR="00EB2B81" w:rsidRPr="00F03DAB" w:rsidRDefault="00EB2B81" w:rsidP="00CB4DEF">
      <w:pPr>
        <w:pStyle w:val="Definitiontext"/>
        <w:spacing w:before="0"/>
      </w:pPr>
      <w:r w:rsidRPr="00715BC1">
        <w:t xml:space="preserve">The </w:t>
      </w:r>
      <w:r>
        <w:t>value</w:t>
      </w:r>
      <w:r w:rsidRPr="00715BC1">
        <w:t xml:space="preserve"> of risk as an organising principle for regulatory agencies was </w:t>
      </w:r>
      <w:r>
        <w:t>emphasised</w:t>
      </w:r>
      <w:r w:rsidRPr="00715BC1">
        <w:t xml:space="preserve"> in the 2005 Hampton Review of regulatory inspection and enforcement practices. </w:t>
      </w:r>
      <w:r>
        <w:t>It</w:t>
      </w:r>
      <w:r w:rsidRPr="00715BC1">
        <w:t xml:space="preserve"> found the application of risk processes and systems was patchy across the UK and recommended the system as a whole should use comprehensive risk assessments to </w:t>
      </w:r>
      <w:r>
        <w:t>make sure</w:t>
      </w:r>
      <w:r w:rsidRPr="00715BC1">
        <w:t xml:space="preserve"> regulatory resources </w:t>
      </w:r>
      <w:r>
        <w:t>were</w:t>
      </w:r>
      <w:r w:rsidRPr="00715BC1">
        <w:t xml:space="preserve"> targeted to areas </w:t>
      </w:r>
      <w:r>
        <w:t>needing</w:t>
      </w:r>
      <w:r w:rsidRPr="00715BC1">
        <w:t xml:space="preserve"> the most attention</w:t>
      </w:r>
      <w:r>
        <w:t>.</w:t>
      </w:r>
      <w:r>
        <w:rPr>
          <w:rStyle w:val="FootnoteReference"/>
        </w:rPr>
        <w:footnoteReference w:id="121"/>
      </w:r>
    </w:p>
    <w:p w14:paraId="4973E49A" w14:textId="77777777" w:rsidR="00EB2B81" w:rsidRDefault="00EB2B81" w:rsidP="00EB2B81">
      <w:pPr>
        <w:rPr>
          <w:rFonts w:eastAsia="Times New Roman" w:cs="Arial"/>
          <w:color w:val="000000"/>
          <w:szCs w:val="24"/>
        </w:rPr>
      </w:pPr>
      <w:r>
        <w:rPr>
          <w:rFonts w:eastAsia="Times New Roman" w:cs="Arial"/>
          <w:color w:val="000000"/>
          <w:szCs w:val="24"/>
        </w:rPr>
        <w:t>A sophisticated understanding of risk</w:t>
      </w:r>
      <w:r w:rsidRPr="00762ECB">
        <w:rPr>
          <w:rFonts w:eastAsia="Times New Roman" w:cs="Arial"/>
          <w:color w:val="000000"/>
          <w:szCs w:val="24"/>
        </w:rPr>
        <w:t xml:space="preserve"> is best expressed when the full suite of </w:t>
      </w:r>
      <w:r>
        <w:rPr>
          <w:rFonts w:eastAsia="Times New Roman" w:cs="Arial"/>
          <w:color w:val="000000"/>
          <w:szCs w:val="24"/>
        </w:rPr>
        <w:t>available</w:t>
      </w:r>
      <w:r w:rsidRPr="00762ECB">
        <w:rPr>
          <w:rFonts w:eastAsia="Times New Roman" w:cs="Arial"/>
          <w:color w:val="000000"/>
          <w:szCs w:val="24"/>
        </w:rPr>
        <w:t xml:space="preserve"> tools </w:t>
      </w:r>
      <w:r>
        <w:rPr>
          <w:rFonts w:eastAsia="Times New Roman" w:cs="Arial"/>
          <w:color w:val="000000"/>
          <w:szCs w:val="24"/>
        </w:rPr>
        <w:t>are</w:t>
      </w:r>
      <w:r w:rsidRPr="00762ECB">
        <w:rPr>
          <w:rFonts w:eastAsia="Times New Roman" w:cs="Arial"/>
          <w:color w:val="000000"/>
          <w:szCs w:val="24"/>
        </w:rPr>
        <w:t xml:space="preserve"> </w:t>
      </w:r>
      <w:r>
        <w:rPr>
          <w:rFonts w:eastAsia="Times New Roman" w:cs="Arial"/>
          <w:color w:val="000000"/>
          <w:szCs w:val="24"/>
        </w:rPr>
        <w:t>effectively</w:t>
      </w:r>
      <w:r w:rsidRPr="00762ECB">
        <w:rPr>
          <w:rFonts w:eastAsia="Times New Roman" w:cs="Arial"/>
          <w:color w:val="000000"/>
          <w:szCs w:val="24"/>
        </w:rPr>
        <w:t xml:space="preserve"> </w:t>
      </w:r>
      <w:r>
        <w:rPr>
          <w:rFonts w:eastAsia="Times New Roman" w:cs="Arial"/>
          <w:color w:val="000000"/>
          <w:szCs w:val="24"/>
        </w:rPr>
        <w:t>used</w:t>
      </w:r>
      <w:r w:rsidRPr="00762ECB">
        <w:rPr>
          <w:rFonts w:eastAsia="Times New Roman" w:cs="Arial"/>
          <w:color w:val="000000"/>
          <w:szCs w:val="24"/>
        </w:rPr>
        <w:t xml:space="preserve"> to </w:t>
      </w:r>
      <w:r>
        <w:rPr>
          <w:rFonts w:eastAsia="Times New Roman" w:cs="Arial"/>
          <w:color w:val="000000"/>
          <w:szCs w:val="24"/>
        </w:rPr>
        <w:t>achieve</w:t>
      </w:r>
      <w:r w:rsidRPr="00762ECB">
        <w:rPr>
          <w:rFonts w:eastAsia="Times New Roman" w:cs="Arial"/>
          <w:color w:val="000000"/>
          <w:szCs w:val="24"/>
        </w:rPr>
        <w:t xml:space="preserve"> compliance</w:t>
      </w:r>
      <w:r>
        <w:rPr>
          <w:rFonts w:eastAsia="Times New Roman" w:cs="Arial"/>
          <w:color w:val="000000"/>
          <w:szCs w:val="24"/>
        </w:rPr>
        <w:t>,</w:t>
      </w:r>
      <w:r w:rsidRPr="00762ECB">
        <w:rPr>
          <w:rFonts w:eastAsia="Times New Roman" w:cs="Arial"/>
          <w:color w:val="000000"/>
          <w:szCs w:val="24"/>
        </w:rPr>
        <w:t xml:space="preserve"> and </w:t>
      </w:r>
      <w:r>
        <w:rPr>
          <w:rFonts w:eastAsia="Times New Roman" w:cs="Arial"/>
          <w:color w:val="000000"/>
          <w:szCs w:val="24"/>
        </w:rPr>
        <w:t xml:space="preserve">when </w:t>
      </w:r>
      <w:r w:rsidRPr="00762ECB">
        <w:rPr>
          <w:rFonts w:eastAsia="Times New Roman" w:cs="Arial"/>
          <w:color w:val="000000"/>
          <w:szCs w:val="24"/>
        </w:rPr>
        <w:t xml:space="preserve">enforcement action, within the constraints of the authorising legislation, </w:t>
      </w:r>
      <w:r>
        <w:rPr>
          <w:rFonts w:eastAsia="Times New Roman" w:cs="Arial"/>
          <w:color w:val="000000"/>
          <w:szCs w:val="24"/>
        </w:rPr>
        <w:t>is</w:t>
      </w:r>
      <w:r w:rsidRPr="00762ECB">
        <w:rPr>
          <w:rFonts w:eastAsia="Times New Roman" w:cs="Arial"/>
          <w:color w:val="000000"/>
          <w:szCs w:val="24"/>
        </w:rPr>
        <w:t xml:space="preserve"> consistently proportionate to both the seriousness of the breach and the risk being managed.</w:t>
      </w:r>
      <w:r>
        <w:rPr>
          <w:rFonts w:eastAsia="Times New Roman" w:cs="Arial"/>
          <w:color w:val="000000"/>
          <w:szCs w:val="24"/>
        </w:rPr>
        <w:t xml:space="preserve"> It is also expressed through the design and implementation of tailored interventions, informed by evidence, that target harms with accuracy. In a reactive environment, as argued by </w:t>
      </w:r>
      <w:r w:rsidRPr="00762ECB">
        <w:rPr>
          <w:rFonts w:eastAsia="Times New Roman" w:cs="Arial"/>
          <w:color w:val="000000"/>
          <w:szCs w:val="24"/>
        </w:rPr>
        <w:t xml:space="preserve">a growing body of literature </w:t>
      </w:r>
      <w:r>
        <w:rPr>
          <w:rFonts w:eastAsia="Times New Roman" w:cs="Arial"/>
          <w:color w:val="000000"/>
          <w:szCs w:val="24"/>
        </w:rPr>
        <w:t>that</w:t>
      </w:r>
      <w:r w:rsidRPr="00762ECB">
        <w:rPr>
          <w:rFonts w:eastAsia="Times New Roman" w:cs="Arial"/>
          <w:color w:val="000000"/>
          <w:szCs w:val="24"/>
        </w:rPr>
        <w:t xml:space="preserve"> points to the need for regulators to </w:t>
      </w:r>
      <w:r>
        <w:rPr>
          <w:rFonts w:eastAsia="Times New Roman" w:cs="Arial"/>
          <w:color w:val="000000"/>
          <w:szCs w:val="24"/>
        </w:rPr>
        <w:t xml:space="preserve">favour </w:t>
      </w:r>
      <w:r w:rsidRPr="00762ECB">
        <w:rPr>
          <w:rFonts w:eastAsia="Times New Roman" w:cs="Arial"/>
          <w:color w:val="000000"/>
          <w:szCs w:val="24"/>
        </w:rPr>
        <w:t>ex</w:t>
      </w:r>
      <w:r>
        <w:rPr>
          <w:rFonts w:eastAsia="Times New Roman" w:cs="Arial"/>
          <w:color w:val="000000"/>
          <w:szCs w:val="24"/>
        </w:rPr>
        <w:t>-</w:t>
      </w:r>
      <w:r w:rsidRPr="00762ECB">
        <w:rPr>
          <w:rFonts w:eastAsia="Times New Roman" w:cs="Arial"/>
          <w:color w:val="000000"/>
          <w:szCs w:val="24"/>
        </w:rPr>
        <w:t xml:space="preserve">post approaches </w:t>
      </w:r>
      <w:r>
        <w:rPr>
          <w:rFonts w:eastAsia="Times New Roman" w:cs="Arial"/>
          <w:color w:val="000000"/>
          <w:szCs w:val="24"/>
        </w:rPr>
        <w:t>to regulating</w:t>
      </w:r>
      <w:r w:rsidRPr="00762ECB">
        <w:rPr>
          <w:rFonts w:eastAsia="Times New Roman" w:cs="Arial"/>
          <w:color w:val="000000"/>
          <w:szCs w:val="24"/>
        </w:rPr>
        <w:t xml:space="preserve"> </w:t>
      </w:r>
      <w:r>
        <w:rPr>
          <w:rFonts w:eastAsia="Times New Roman" w:cs="Arial"/>
          <w:color w:val="000000"/>
          <w:szCs w:val="24"/>
        </w:rPr>
        <w:t>communications</w:t>
      </w:r>
      <w:r w:rsidRPr="00762ECB">
        <w:rPr>
          <w:rFonts w:eastAsia="Times New Roman" w:cs="Arial"/>
          <w:color w:val="000000"/>
          <w:szCs w:val="24"/>
        </w:rPr>
        <w:t xml:space="preserve"> </w:t>
      </w:r>
      <w:r>
        <w:rPr>
          <w:rFonts w:eastAsia="Times New Roman" w:cs="Arial"/>
          <w:color w:val="000000"/>
          <w:szCs w:val="24"/>
        </w:rPr>
        <w:t>and digital economy industries, this capability is increasingly important.</w:t>
      </w:r>
      <w:r>
        <w:rPr>
          <w:rStyle w:val="FootnoteReference"/>
          <w:rFonts w:eastAsia="Times New Roman" w:cs="Arial"/>
          <w:color w:val="000000"/>
          <w:szCs w:val="24"/>
        </w:rPr>
        <w:footnoteReference w:id="122"/>
      </w:r>
    </w:p>
    <w:p w14:paraId="7E15D244" w14:textId="77777777" w:rsidR="00EB2B81" w:rsidRDefault="00EB2B81" w:rsidP="00EB2B81">
      <w:r>
        <w:t>A high-performance regulator should also be provided with fit-for-purpose powers that allow it to move up and down the enforcement pyramid in a way that reflects</w:t>
      </w:r>
      <w:r w:rsidRPr="00715BC1">
        <w:t xml:space="preserve"> the seriousness of the regulatory risk</w:t>
      </w:r>
      <w:r>
        <w:t xml:space="preserve"> and desired level of deterrence</w:t>
      </w:r>
      <w:r w:rsidRPr="00715BC1">
        <w:t>.</w:t>
      </w:r>
    </w:p>
    <w:p w14:paraId="2630713E" w14:textId="77777777" w:rsidR="00EB2B81" w:rsidRDefault="00EB2B81" w:rsidP="00BF7B18">
      <w:pPr>
        <w:pStyle w:val="Heading5"/>
      </w:pPr>
      <w:r>
        <w:t>Assessment of current performance</w:t>
      </w:r>
    </w:p>
    <w:p w14:paraId="2B7518CA" w14:textId="77777777" w:rsidR="00EB2B81" w:rsidRDefault="00EB2B81" w:rsidP="00EB2B81">
      <w:pPr>
        <w:rPr>
          <w:rFonts w:eastAsia="Times New Roman" w:cs="Arial"/>
          <w:color w:val="000000"/>
          <w:szCs w:val="24"/>
        </w:rPr>
      </w:pPr>
      <w:r>
        <w:rPr>
          <w:rFonts w:eastAsia="Times New Roman" w:cs="Arial"/>
          <w:color w:val="000000"/>
          <w:szCs w:val="24"/>
        </w:rPr>
        <w:t xml:space="preserve">Feedback from stakeholders and our analysis indicates </w:t>
      </w:r>
      <w:r w:rsidRPr="007D2AFF">
        <w:rPr>
          <w:rFonts w:eastAsia="Times New Roman" w:cs="Arial"/>
          <w:color w:val="000000"/>
          <w:szCs w:val="24"/>
        </w:rPr>
        <w:t>the ACMA has generally made effective use of its regulatory discretion.</w:t>
      </w:r>
    </w:p>
    <w:p w14:paraId="4644B8E0" w14:textId="355AB165" w:rsidR="00EB2B81" w:rsidRDefault="00EB2B81" w:rsidP="00EB2B81">
      <w:pPr>
        <w:rPr>
          <w:rFonts w:eastAsia="Times New Roman" w:cs="Arial"/>
          <w:color w:val="000000"/>
          <w:szCs w:val="24"/>
        </w:rPr>
      </w:pPr>
      <w:r w:rsidRPr="007D2AFF">
        <w:rPr>
          <w:rFonts w:eastAsia="Times New Roman" w:cs="Arial"/>
          <w:color w:val="000000"/>
          <w:szCs w:val="24"/>
        </w:rPr>
        <w:t>In many instances this approach has been seen as a practical response to the emergence of new business models driven by technological change. The exercise of forbearance is consistent with how the ACMA has communicated publicly about its operating philosophy. The ACMA adopts forbearance to facilitate practical outcomes, as a strategic tool to facilitate market innovations and evolutions in business models where it considers the legacy regulatory framework lacks utility.</w:t>
      </w:r>
      <w:r>
        <w:rPr>
          <w:rStyle w:val="FootnoteReference"/>
          <w:rFonts w:eastAsia="Times New Roman" w:cs="Arial"/>
          <w:color w:val="000000"/>
          <w:szCs w:val="24"/>
        </w:rPr>
        <w:footnoteReference w:id="123"/>
      </w:r>
      <w:r w:rsidRPr="007D2AFF">
        <w:rPr>
          <w:rFonts w:eastAsia="Times New Roman" w:cs="Arial"/>
          <w:color w:val="000000"/>
          <w:szCs w:val="24"/>
        </w:rPr>
        <w:t xml:space="preserve"> </w:t>
      </w:r>
      <w:r>
        <w:t>The Review</w:t>
      </w:r>
      <w:r w:rsidDel="00742050">
        <w:rPr>
          <w:rFonts w:eastAsia="Times New Roman" w:cs="Arial"/>
          <w:color w:val="000000"/>
          <w:szCs w:val="24"/>
        </w:rPr>
        <w:t xml:space="preserve"> </w:t>
      </w:r>
      <w:r>
        <w:rPr>
          <w:rFonts w:eastAsia="Times New Roman" w:cs="Arial"/>
          <w:color w:val="000000"/>
          <w:szCs w:val="24"/>
        </w:rPr>
        <w:t xml:space="preserve">supports this approach provided the discretion exists to do so. </w:t>
      </w:r>
      <w:r w:rsidRPr="007D2AFF">
        <w:rPr>
          <w:rFonts w:eastAsia="Times New Roman" w:cs="Arial"/>
          <w:color w:val="000000"/>
          <w:szCs w:val="24"/>
        </w:rPr>
        <w:t xml:space="preserve">It is worth noting many international regulators, such as the FCC in the US, have a broad legal power to forbear whereas the ACMA </w:t>
      </w:r>
      <w:r>
        <w:rPr>
          <w:rFonts w:eastAsia="Times New Roman" w:cs="Arial"/>
          <w:color w:val="000000"/>
          <w:szCs w:val="24"/>
        </w:rPr>
        <w:t>does not. The Review has given consideration as to whether an explicit legal power would be useful. However, at this point the Review</w:t>
      </w:r>
      <w:r w:rsidDel="00742050">
        <w:rPr>
          <w:rFonts w:eastAsia="Times New Roman" w:cs="Arial"/>
          <w:color w:val="000000"/>
          <w:szCs w:val="24"/>
        </w:rPr>
        <w:t xml:space="preserve"> </w:t>
      </w:r>
      <w:r>
        <w:rPr>
          <w:rFonts w:eastAsia="Times New Roman" w:cs="Arial"/>
          <w:color w:val="000000"/>
          <w:szCs w:val="24"/>
        </w:rPr>
        <w:t>does not think it would, as it would not add practical value beyond the discretion the ACMA already retains.</w:t>
      </w:r>
    </w:p>
    <w:p w14:paraId="55754BC1" w14:textId="77777777" w:rsidR="00EB2B81" w:rsidRDefault="00EB2B81" w:rsidP="00EB2B81">
      <w:r w:rsidRPr="00BA0BFF">
        <w:t xml:space="preserve">The ACMA has made effective use of flexibility afforded by the </w:t>
      </w:r>
      <w:r w:rsidRPr="007D2AFF">
        <w:rPr>
          <w:i/>
        </w:rPr>
        <w:t>Omnibus Repeal Day (Autumn 2014) Act 2014</w:t>
      </w:r>
      <w:r w:rsidRPr="00BA0BFF">
        <w:t>, which provided a general discretion to investigate broadcasting complaints. Previously, the ACMA was required to investigate every single valid complaint. In the period 17 October</w:t>
      </w:r>
      <w:r>
        <w:t xml:space="preserve"> 2014 to </w:t>
      </w:r>
      <w:r w:rsidRPr="00BA0BFF">
        <w:t>30 June 2015, it declined to investigate in 30 per cent of cases that in turn relieved industry of the administrative and resource burden to formally respond.</w:t>
      </w:r>
    </w:p>
    <w:p w14:paraId="0FE817EA" w14:textId="77777777" w:rsidR="00EB2B81" w:rsidRDefault="00EB2B81" w:rsidP="00EB2B81">
      <w:pPr>
        <w:rPr>
          <w:rFonts w:eastAsia="Times New Roman" w:cs="Arial"/>
          <w:color w:val="000000"/>
          <w:szCs w:val="24"/>
        </w:rPr>
      </w:pPr>
      <w:r w:rsidRPr="007D2AFF">
        <w:rPr>
          <w:rFonts w:eastAsia="Times New Roman" w:cs="Arial"/>
          <w:color w:val="000000"/>
          <w:szCs w:val="24"/>
        </w:rPr>
        <w:t xml:space="preserve">Some stakeholders in the broadcasting sector have expressed concerns about </w:t>
      </w:r>
      <w:r w:rsidRPr="007D2AFF" w:rsidDel="00342853">
        <w:rPr>
          <w:rFonts w:eastAsia="Times New Roman" w:cs="Arial"/>
          <w:color w:val="000000"/>
          <w:szCs w:val="24"/>
        </w:rPr>
        <w:t>approaches by the regulator in dealing with broadcast</w:t>
      </w:r>
      <w:r w:rsidDel="00342853">
        <w:rPr>
          <w:rFonts w:eastAsia="Times New Roman" w:cs="Arial"/>
          <w:color w:val="000000"/>
          <w:szCs w:val="24"/>
        </w:rPr>
        <w:t>ing</w:t>
      </w:r>
      <w:r w:rsidRPr="007D2AFF" w:rsidDel="00342853">
        <w:rPr>
          <w:rFonts w:eastAsia="Times New Roman" w:cs="Arial"/>
          <w:color w:val="000000"/>
          <w:szCs w:val="24"/>
        </w:rPr>
        <w:t xml:space="preserve"> complaints</w:t>
      </w:r>
      <w:r>
        <w:rPr>
          <w:rFonts w:eastAsia="Times New Roman" w:cs="Arial"/>
          <w:color w:val="000000"/>
          <w:szCs w:val="24"/>
        </w:rPr>
        <w:t xml:space="preserve"> being disproportionate to the level of harm</w:t>
      </w:r>
      <w:r w:rsidRPr="007D2AFF">
        <w:rPr>
          <w:rFonts w:eastAsia="Times New Roman" w:cs="Arial"/>
          <w:color w:val="000000"/>
          <w:szCs w:val="24"/>
        </w:rPr>
        <w:t>.</w:t>
      </w:r>
      <w:r>
        <w:rPr>
          <w:rStyle w:val="FootnoteReference"/>
          <w:rFonts w:eastAsia="Times New Roman" w:cs="Arial"/>
          <w:color w:val="000000"/>
          <w:szCs w:val="24"/>
        </w:rPr>
        <w:footnoteReference w:id="124"/>
      </w:r>
      <w:r w:rsidRPr="007D2AFF">
        <w:rPr>
          <w:rFonts w:eastAsia="Times New Roman" w:cs="Arial"/>
          <w:color w:val="000000"/>
          <w:szCs w:val="24"/>
        </w:rPr>
        <w:t xml:space="preserve"> Conversely</w:t>
      </w:r>
      <w:r>
        <w:rPr>
          <w:rFonts w:eastAsia="Times New Roman" w:cs="Arial"/>
          <w:color w:val="000000"/>
          <w:szCs w:val="24"/>
        </w:rPr>
        <w:t>, our</w:t>
      </w:r>
      <w:r w:rsidRPr="007D2AFF">
        <w:rPr>
          <w:rFonts w:eastAsia="Times New Roman" w:cs="Arial"/>
          <w:color w:val="000000"/>
          <w:szCs w:val="24"/>
        </w:rPr>
        <w:t xml:space="preserve"> consultations identified a </w:t>
      </w:r>
      <w:r>
        <w:rPr>
          <w:rFonts w:eastAsia="Times New Roman" w:cs="Arial"/>
          <w:color w:val="000000"/>
          <w:szCs w:val="24"/>
        </w:rPr>
        <w:t>greater</w:t>
      </w:r>
      <w:r w:rsidRPr="007D2AFF">
        <w:rPr>
          <w:rFonts w:eastAsia="Times New Roman" w:cs="Arial"/>
          <w:color w:val="000000"/>
          <w:szCs w:val="24"/>
        </w:rPr>
        <w:t xml:space="preserve"> degree of forbearance exercised by the ACMA when dealing with telecommunications and internet issues.</w:t>
      </w:r>
    </w:p>
    <w:p w14:paraId="55EA1598" w14:textId="56AA307F" w:rsidR="00EB2B81" w:rsidRDefault="00EB2B81" w:rsidP="00EB2B81">
      <w:pPr>
        <w:rPr>
          <w:rFonts w:eastAsia="Times New Roman" w:cs="Arial"/>
          <w:color w:val="000000"/>
          <w:szCs w:val="24"/>
        </w:rPr>
      </w:pPr>
      <w:r>
        <w:rPr>
          <w:rFonts w:eastAsia="Times New Roman" w:cs="Arial"/>
          <w:color w:val="000000"/>
          <w:szCs w:val="24"/>
        </w:rPr>
        <w:t>A review of internal documentation has found the</w:t>
      </w:r>
      <w:r w:rsidRPr="007D2AFF">
        <w:rPr>
          <w:rFonts w:eastAsia="Times New Roman" w:cs="Arial"/>
          <w:color w:val="000000"/>
          <w:szCs w:val="24"/>
        </w:rPr>
        <w:t xml:space="preserve"> ACMA has established internal risk policies to support its compliance and enforcement activities.</w:t>
      </w:r>
      <w:r>
        <w:rPr>
          <w:rFonts w:eastAsia="Times New Roman" w:cs="Arial"/>
          <w:color w:val="000000"/>
          <w:szCs w:val="24"/>
        </w:rPr>
        <w:t xml:space="preserve"> The Review</w:t>
      </w:r>
      <w:r w:rsidDel="00742050">
        <w:rPr>
          <w:rFonts w:eastAsia="Times New Roman" w:cs="Arial"/>
          <w:color w:val="000000"/>
          <w:szCs w:val="24"/>
        </w:rPr>
        <w:t xml:space="preserve"> </w:t>
      </w:r>
      <w:r>
        <w:rPr>
          <w:rFonts w:eastAsia="Times New Roman" w:cs="Arial"/>
          <w:color w:val="000000"/>
          <w:szCs w:val="24"/>
        </w:rPr>
        <w:t>note</w:t>
      </w:r>
      <w:r w:rsidR="00911D46">
        <w:rPr>
          <w:rFonts w:eastAsia="Times New Roman" w:cs="Arial"/>
          <w:color w:val="000000"/>
          <w:szCs w:val="24"/>
        </w:rPr>
        <w:t>s that</w:t>
      </w:r>
      <w:r>
        <w:rPr>
          <w:rFonts w:eastAsia="Times New Roman" w:cs="Arial"/>
          <w:color w:val="000000"/>
          <w:szCs w:val="24"/>
        </w:rPr>
        <w:t xml:space="preserve"> the ACMA has developed tailored risk guidance for some of its compliance and enforcement functions consistent with best practice. The Review</w:t>
      </w:r>
      <w:r w:rsidDel="00742050">
        <w:rPr>
          <w:rFonts w:eastAsia="Times New Roman" w:cs="Arial"/>
          <w:color w:val="000000"/>
          <w:szCs w:val="24"/>
        </w:rPr>
        <w:t xml:space="preserve"> </w:t>
      </w:r>
      <w:r>
        <w:rPr>
          <w:rFonts w:eastAsia="Times New Roman" w:cs="Arial"/>
          <w:color w:val="000000"/>
          <w:szCs w:val="24"/>
        </w:rPr>
        <w:t>considers there is scope to extend this practice and tailor guidance across other areas of its remit.</w:t>
      </w:r>
    </w:p>
    <w:p w14:paraId="104B3ACB" w14:textId="77777777" w:rsidR="00EB2B81" w:rsidRDefault="00EB2B81" w:rsidP="00EB2B81">
      <w:pPr>
        <w:rPr>
          <w:rFonts w:eastAsia="Times New Roman" w:cs="Arial"/>
          <w:color w:val="000000"/>
          <w:szCs w:val="24"/>
        </w:rPr>
      </w:pPr>
      <w:r>
        <w:rPr>
          <w:rFonts w:eastAsia="Times New Roman" w:cs="Arial"/>
          <w:color w:val="000000"/>
          <w:szCs w:val="24"/>
        </w:rPr>
        <w:t xml:space="preserve">Consultations with stakeholders have also indicated they generally consider the ACMA’s approach to its investigations to be professional and proportionate. </w:t>
      </w:r>
      <w:r w:rsidRPr="007D2AFF">
        <w:rPr>
          <w:rFonts w:eastAsia="Times New Roman" w:cs="Arial"/>
          <w:color w:val="000000"/>
          <w:szCs w:val="24"/>
        </w:rPr>
        <w:t xml:space="preserve">A recent audit by the ANAO of the effectiveness of the </w:t>
      </w:r>
      <w:r>
        <w:rPr>
          <w:rFonts w:eastAsia="Times New Roman" w:cs="Arial"/>
          <w:color w:val="000000"/>
          <w:szCs w:val="24"/>
        </w:rPr>
        <w:t>ACMA’s</w:t>
      </w:r>
      <w:r w:rsidRPr="007D2AFF">
        <w:rPr>
          <w:rFonts w:eastAsia="Times New Roman" w:cs="Arial"/>
          <w:color w:val="000000"/>
          <w:szCs w:val="24"/>
        </w:rPr>
        <w:t xml:space="preserve"> regulation of unsolicited communications under the Spam Act and Do Not Call Register Act found that sound guidance on risk management had been developed through a risk management framework review that had been underway at the ACMA between 2011 and early 2014. The ANAO found that the ACMA had </w:t>
      </w:r>
      <w:r w:rsidRPr="00A20117">
        <w:rPr>
          <w:rFonts w:eastAsia="Times New Roman" w:cs="Arial"/>
          <w:color w:val="000000"/>
          <w:szCs w:val="24"/>
        </w:rPr>
        <w:t>implemented: effective processes to ensure that risks are identified and managed; generally sound policies, processes and practices to support its communication of regulatory requirements and its compliance monitoring activities; and a graduated approach to addressing and resolving non-compliance identified through its regulatory activities. The ANAO however identified scope for improvement, noting that written investigation plans and risk assessments were not prepared for any of the 16 investigations finalised in 2013–14 and, in general, complainants were not notified when investigations had been completed.</w:t>
      </w:r>
      <w:r w:rsidRPr="00A20117">
        <w:rPr>
          <w:rStyle w:val="FootnoteReference"/>
          <w:rFonts w:eastAsia="Times New Roman" w:cs="Arial"/>
          <w:color w:val="000000"/>
          <w:szCs w:val="24"/>
        </w:rPr>
        <w:footnoteReference w:id="125"/>
      </w:r>
    </w:p>
    <w:p w14:paraId="311B37AB" w14:textId="77777777" w:rsidR="00EB2B81" w:rsidRDefault="00EB2B81" w:rsidP="00EB2B81">
      <w:r w:rsidRPr="009C5C26">
        <w:t xml:space="preserve">The ACMA has identified several examples where </w:t>
      </w:r>
      <w:r>
        <w:t>legislative</w:t>
      </w:r>
      <w:r w:rsidRPr="009C5C26">
        <w:t xml:space="preserve"> powers have constrained </w:t>
      </w:r>
      <w:r>
        <w:t>its</w:t>
      </w:r>
      <w:r w:rsidRPr="009C5C26">
        <w:t xml:space="preserve"> ability to achieve compliance in a </w:t>
      </w:r>
      <w:r>
        <w:t>way that is</w:t>
      </w:r>
      <w:r w:rsidRPr="009C5C26">
        <w:t xml:space="preserve"> commensurate with the breach. This includes areas of their remit </w:t>
      </w:r>
      <w:r>
        <w:t>that</w:t>
      </w:r>
      <w:r w:rsidRPr="009C5C26">
        <w:t xml:space="preserve"> </w:t>
      </w:r>
      <w:r>
        <w:t>establish</w:t>
      </w:r>
      <w:r w:rsidRPr="009C5C26">
        <w:t xml:space="preserve"> criminal law penalties without </w:t>
      </w:r>
      <w:r>
        <w:t xml:space="preserve">appropriate mid-tier powers, and </w:t>
      </w:r>
      <w:r w:rsidRPr="009C5C26">
        <w:t>instances where the law grants powers for the regulator to suspend or cancel a licen</w:t>
      </w:r>
      <w:r>
        <w:t>c</w:t>
      </w:r>
      <w:r w:rsidRPr="009C5C26">
        <w:t>e</w:t>
      </w:r>
      <w:r>
        <w:t xml:space="preserve"> without a more proportionate mid-tier sanction</w:t>
      </w:r>
      <w:r w:rsidRPr="009C5C26">
        <w:t>.</w:t>
      </w:r>
      <w:r>
        <w:t xml:space="preserve"> While, a number of the ACMA’s powers are specific to certain circumstances, the Review considers it generally has a broad range of enforcement powers available to respond to code or licence condition breaches. Where its powers are more limited, the ACMA has demonstrated its ability to utilise other approaches. For example, a 2008 ANAO audit found for most breaches of TV and Radio Codes the ACMA considered its enforcement powers were not appropriate to the breach and as a result used negotiated agreements with broadcasters</w:t>
      </w:r>
      <w:r>
        <w:rPr>
          <w:rStyle w:val="FootnoteReference"/>
        </w:rPr>
        <w:footnoteReference w:id="126"/>
      </w:r>
      <w:r>
        <w:t>.</w:t>
      </w:r>
      <w:r w:rsidRPr="009C5C26">
        <w:t xml:space="preserve"> </w:t>
      </w:r>
      <w:r>
        <w:t>The Review considers enforcement frameworks in legislation should provide remedies that are proportionate to the nature of the breach. The Government will seek to achieve this goal in the rewrite of spectrum legislation and other future regulatory reforms.</w:t>
      </w:r>
    </w:p>
    <w:p w14:paraId="7C335E41" w14:textId="77777777" w:rsidR="00174EEE" w:rsidRPr="001A081B" w:rsidRDefault="00174EEE" w:rsidP="00174EEE">
      <w:pPr>
        <w:pStyle w:val="Definitionterm"/>
        <w:pBdr>
          <w:top w:val="single" w:sz="4" w:space="1" w:color="auto"/>
          <w:left w:val="single" w:sz="4" w:space="4" w:color="auto"/>
          <w:bottom w:val="single" w:sz="4" w:space="1" w:color="auto"/>
          <w:right w:val="single" w:sz="4" w:space="4" w:color="auto"/>
        </w:pBdr>
        <w:rPr>
          <w:b w:val="0"/>
        </w:rPr>
      </w:pPr>
      <w:r w:rsidRPr="001A081B">
        <w:rPr>
          <w:b w:val="0"/>
        </w:rPr>
        <w:t>Key findings:</w:t>
      </w:r>
    </w:p>
    <w:p w14:paraId="59B3DA39" w14:textId="77777777" w:rsidR="00174EEE" w:rsidRDefault="00174EEE" w:rsidP="00174EEE">
      <w:pPr>
        <w:pStyle w:val="Bulletlevel1"/>
        <w:pBdr>
          <w:top w:val="single" w:sz="4" w:space="1" w:color="auto"/>
          <w:left w:val="single" w:sz="4" w:space="4" w:color="auto"/>
          <w:bottom w:val="single" w:sz="4" w:space="1" w:color="auto"/>
          <w:right w:val="single" w:sz="4" w:space="4" w:color="auto"/>
        </w:pBdr>
      </w:pPr>
      <w:r w:rsidRPr="00762ECB">
        <w:t>The ACMA</w:t>
      </w:r>
      <w:r>
        <w:t>’s</w:t>
      </w:r>
      <w:r w:rsidRPr="00762ECB">
        <w:t xml:space="preserve"> </w:t>
      </w:r>
      <w:r w:rsidRPr="002842ED">
        <w:t xml:space="preserve">performance in </w:t>
      </w:r>
      <w:r>
        <w:t xml:space="preserve">undertaking </w:t>
      </w:r>
      <w:r w:rsidRPr="002842ED">
        <w:t>compliance and enforcement</w:t>
      </w:r>
      <w:r>
        <w:t xml:space="preserve"> activities</w:t>
      </w:r>
      <w:r w:rsidRPr="002842ED">
        <w:t xml:space="preserve"> has generally been effective and commensurate with</w:t>
      </w:r>
      <w:r>
        <w:t xml:space="preserve"> risk</w:t>
      </w:r>
      <w:r w:rsidRPr="00762ECB">
        <w:t>.</w:t>
      </w:r>
    </w:p>
    <w:p w14:paraId="63C7AB39" w14:textId="77777777" w:rsidR="00174EEE" w:rsidRDefault="00174EEE" w:rsidP="00174EEE">
      <w:pPr>
        <w:pStyle w:val="Bulletlevel1"/>
        <w:pBdr>
          <w:top w:val="single" w:sz="4" w:space="1" w:color="auto"/>
          <w:left w:val="single" w:sz="4" w:space="4" w:color="auto"/>
          <w:bottom w:val="single" w:sz="4" w:space="1" w:color="auto"/>
          <w:right w:val="single" w:sz="4" w:space="4" w:color="auto"/>
        </w:pBdr>
      </w:pPr>
      <w:r w:rsidRPr="00441951">
        <w:t>Stakeholders in different industry sectors have differing perspectives on how the ACMA approaches its compliance and enforcement role.</w:t>
      </w:r>
    </w:p>
    <w:p w14:paraId="7E00A6D5" w14:textId="77777777" w:rsidR="00EB2B81" w:rsidRDefault="00EB2B81" w:rsidP="00BF7B18">
      <w:pPr>
        <w:pStyle w:val="Heading5"/>
      </w:pPr>
      <w:r>
        <w:t>Draft Proposals</w:t>
      </w:r>
    </w:p>
    <w:p w14:paraId="7A0D469E" w14:textId="5A1351E6" w:rsidR="00EB2B81" w:rsidRDefault="00EB2B81" w:rsidP="00EB2B81">
      <w:r>
        <w:t>To support an enduring and disciplined commitment to risk-based approaches as a guiding principle for a future communications regulator</w:t>
      </w:r>
      <w:r w:rsidR="00911D46">
        <w:t>,</w:t>
      </w:r>
      <w:r>
        <w:t xml:space="preserve"> </w:t>
      </w:r>
      <w:r>
        <w:rPr>
          <w:rFonts w:eastAsia="Times New Roman" w:cs="Arial"/>
          <w:color w:val="000000"/>
          <w:szCs w:val="24"/>
        </w:rPr>
        <w:t>the Review</w:t>
      </w:r>
      <w:r w:rsidDel="00742050">
        <w:rPr>
          <w:rFonts w:eastAsia="Times New Roman" w:cs="Arial"/>
          <w:color w:val="000000"/>
          <w:szCs w:val="24"/>
        </w:rPr>
        <w:t xml:space="preserve"> </w:t>
      </w:r>
      <w:r>
        <w:t xml:space="preserve">considers it would be valuable to establish a regulator principle in the ACMA’s enabling legislation. This has been put forward in draft Proposal 18 as a regulator principle—that the ACMA should </w:t>
      </w:r>
      <w:r>
        <w:rPr>
          <w:i/>
        </w:rPr>
        <w:t>apply a risk-based approach to regulation, compliance and enforcement activities. Regulatory intervention should be targeted, evidence based and commensurate with risk</w:t>
      </w:r>
      <w:r>
        <w:t>.</w:t>
      </w:r>
    </w:p>
    <w:p w14:paraId="6A5B045F" w14:textId="77777777" w:rsidR="00EB2B81" w:rsidRDefault="00EB2B81" w:rsidP="00EB2B81">
      <w:pPr>
        <w:rPr>
          <w:rFonts w:eastAsia="Times New Roman" w:cs="Arial"/>
          <w:color w:val="000000"/>
          <w:szCs w:val="24"/>
        </w:rPr>
      </w:pPr>
      <w:r w:rsidRPr="00850E20">
        <w:rPr>
          <w:rFonts w:eastAsia="Times New Roman" w:cs="Arial"/>
          <w:color w:val="000000"/>
          <w:szCs w:val="24"/>
        </w:rPr>
        <w:t xml:space="preserve">It will </w:t>
      </w:r>
      <w:r>
        <w:rPr>
          <w:rFonts w:eastAsia="Times New Roman" w:cs="Arial"/>
          <w:color w:val="000000"/>
          <w:szCs w:val="24"/>
        </w:rPr>
        <w:t>also</w:t>
      </w:r>
      <w:r w:rsidRPr="00850E20">
        <w:rPr>
          <w:rFonts w:eastAsia="Times New Roman" w:cs="Arial"/>
          <w:color w:val="000000"/>
          <w:szCs w:val="24"/>
        </w:rPr>
        <w:t xml:space="preserve"> be important for the ACMA to communicat</w:t>
      </w:r>
      <w:r>
        <w:rPr>
          <w:rFonts w:eastAsia="Times New Roman" w:cs="Arial"/>
          <w:color w:val="000000"/>
          <w:szCs w:val="24"/>
        </w:rPr>
        <w:t>e</w:t>
      </w:r>
      <w:r w:rsidRPr="00850E20">
        <w:rPr>
          <w:rFonts w:eastAsia="Times New Roman" w:cs="Arial"/>
          <w:color w:val="000000"/>
          <w:szCs w:val="24"/>
        </w:rPr>
        <w:t xml:space="preserve"> with stakeholders </w:t>
      </w:r>
      <w:r>
        <w:rPr>
          <w:rFonts w:eastAsia="Times New Roman" w:cs="Arial"/>
          <w:color w:val="000000"/>
          <w:szCs w:val="24"/>
        </w:rPr>
        <w:t>from time to time to ensure they retain confidence in the consistency between the actions taken and the compliance and enforcement policy. The Review</w:t>
      </w:r>
      <w:r w:rsidDel="00742050">
        <w:rPr>
          <w:rFonts w:eastAsia="Times New Roman" w:cs="Arial"/>
          <w:color w:val="000000"/>
          <w:szCs w:val="24"/>
        </w:rPr>
        <w:t xml:space="preserve"> </w:t>
      </w:r>
      <w:r>
        <w:rPr>
          <w:rFonts w:eastAsia="Times New Roman" w:cs="Arial"/>
          <w:color w:val="000000"/>
          <w:szCs w:val="24"/>
        </w:rPr>
        <w:t>considers the compliance and enforcement policy should be the frame of reference to assess the regulator’s consistency, rather than comparisons between approaches to different industries.</w:t>
      </w:r>
    </w:p>
    <w:p w14:paraId="40C39CC9" w14:textId="77777777" w:rsidR="00174EEE" w:rsidRPr="00215171" w:rsidRDefault="00174EEE" w:rsidP="00174EEE">
      <w:pPr>
        <w:pBdr>
          <w:top w:val="single" w:sz="4" w:space="1" w:color="auto"/>
          <w:left w:val="single" w:sz="4" w:space="4" w:color="auto"/>
          <w:bottom w:val="single" w:sz="4" w:space="1" w:color="auto"/>
          <w:right w:val="single" w:sz="4" w:space="4" w:color="auto"/>
        </w:pBdr>
        <w:shd w:val="clear" w:color="auto" w:fill="CCE0EC"/>
      </w:pPr>
      <w:r w:rsidRPr="00D54776">
        <w:t>Draft proposal</w:t>
      </w:r>
      <w:r>
        <w:t>:</w:t>
      </w:r>
    </w:p>
    <w:p w14:paraId="2B62908E" w14:textId="77777777" w:rsidR="00174EEE" w:rsidRDefault="00174EEE" w:rsidP="00174EEE">
      <w:pPr>
        <w:pBdr>
          <w:top w:val="single" w:sz="4" w:space="1" w:color="auto"/>
          <w:left w:val="single" w:sz="4" w:space="4" w:color="auto"/>
          <w:bottom w:val="single" w:sz="4" w:space="1" w:color="auto"/>
          <w:right w:val="single" w:sz="4" w:space="4" w:color="auto"/>
        </w:pBdr>
        <w:shd w:val="clear" w:color="auto" w:fill="CCE0EC"/>
        <w:spacing w:line="276" w:lineRule="auto"/>
        <w:ind w:left="567" w:hanging="567"/>
      </w:pPr>
      <w:r>
        <w:t>22.</w:t>
      </w:r>
      <w:r>
        <w:tab/>
        <w:t>That the ACMA publish information on the steps it takes to ensure stakeholders have a clear understanding of the relationship between its actions and its compliance and enforcement policy</w:t>
      </w:r>
      <w:r w:rsidRPr="007B017A">
        <w:rPr>
          <w:i/>
        </w:rPr>
        <w:t>.</w:t>
      </w:r>
    </w:p>
    <w:p w14:paraId="7F5060A3" w14:textId="77777777" w:rsidR="00EB2B81" w:rsidRDefault="00EB2B81" w:rsidP="00BF7B18">
      <w:pPr>
        <w:pStyle w:val="Heading4"/>
      </w:pPr>
      <w:bookmarkStart w:id="714" w:name="_Toc443307379"/>
      <w:bookmarkStart w:id="715" w:name="_Toc445810595"/>
      <w:bookmarkStart w:id="716" w:name="_Toc449108106"/>
      <w:bookmarkStart w:id="717" w:name="_Toc449432123"/>
      <w:bookmarkStart w:id="718" w:name="_Toc449438590"/>
      <w:bookmarkStart w:id="719" w:name="_Toc449620041"/>
      <w:bookmarkStart w:id="720" w:name="_Toc450310192"/>
      <w:r w:rsidRPr="00AE77B0">
        <w:t xml:space="preserve">A regulator that delivers continuous improvements of regulatory </w:t>
      </w:r>
      <w:bookmarkEnd w:id="714"/>
      <w:bookmarkEnd w:id="715"/>
      <w:r w:rsidRPr="00AE77B0">
        <w:t>framework</w:t>
      </w:r>
      <w:bookmarkEnd w:id="716"/>
      <w:bookmarkEnd w:id="717"/>
      <w:bookmarkEnd w:id="718"/>
      <w:bookmarkEnd w:id="719"/>
      <w:bookmarkEnd w:id="720"/>
    </w:p>
    <w:p w14:paraId="4998513D" w14:textId="77777777" w:rsidR="00EB2B81" w:rsidRDefault="00EB2B81" w:rsidP="00BF7B18">
      <w:pPr>
        <w:pStyle w:val="Heading5"/>
      </w:pPr>
      <w:r>
        <w:t>Desired Attributes</w:t>
      </w:r>
    </w:p>
    <w:p w14:paraId="73716D18" w14:textId="77777777" w:rsidR="00EB2B81" w:rsidRDefault="00EB2B81" w:rsidP="00EB2B81">
      <w:pPr>
        <w:rPr>
          <w:rFonts w:eastAsia="Times New Roman" w:cs="Arial"/>
          <w:szCs w:val="24"/>
        </w:rPr>
      </w:pPr>
      <w:r w:rsidRPr="00762ECB">
        <w:t>Regulation must be regularly reviewed to ensure it remains fit</w:t>
      </w:r>
      <w:r>
        <w:t>-</w:t>
      </w:r>
      <w:r w:rsidRPr="00762ECB">
        <w:t>for</w:t>
      </w:r>
      <w:r>
        <w:t>-</w:t>
      </w:r>
      <w:r w:rsidRPr="00762ECB">
        <w:t xml:space="preserve">purpose over time. As industries and services mature, consumers become </w:t>
      </w:r>
      <w:r>
        <w:t xml:space="preserve">better </w:t>
      </w:r>
      <w:r w:rsidRPr="00762ECB">
        <w:t>educated</w:t>
      </w:r>
      <w:r>
        <w:t xml:space="preserve">, and commercial incentives align with regulatory objectives, then </w:t>
      </w:r>
      <w:r w:rsidRPr="00546CE1">
        <w:t>often we observe compliance becoming embedded in the underlying business model. These cycles offer opportunities for the regulator to reduce burden. Better practice regulators establish internal scanning processes</w:t>
      </w:r>
      <w:r>
        <w:t xml:space="preserve"> and stakeholder engagement mechanisms to identify and take advantage of such opportunities. They demonstrate an </w:t>
      </w:r>
      <w:r w:rsidRPr="00F03DAB">
        <w:rPr>
          <w:rFonts w:eastAsia="Times New Roman" w:cs="Arial"/>
          <w:szCs w:val="24"/>
        </w:rPr>
        <w:t>organisational commitment to reduce burden on regulated entities</w:t>
      </w:r>
      <w:r>
        <w:t xml:space="preserve"> and</w:t>
      </w:r>
      <w:r>
        <w:rPr>
          <w:rFonts w:eastAsia="Times New Roman" w:cs="Arial"/>
          <w:szCs w:val="24"/>
        </w:rPr>
        <w:t xml:space="preserve"> help inform the development of better regulation by sharing information with policy departments.</w:t>
      </w:r>
    </w:p>
    <w:p w14:paraId="61732D0D" w14:textId="77777777" w:rsidR="00EB2B81" w:rsidRDefault="00EB2B81" w:rsidP="00EB2B81">
      <w:r>
        <w:t>Further, in areas where strong competition has emerged, or industry has sufficiently matured its practices over time, the regulator should assume the initiative to explore the conditions under which regulatory interventions could transition from rules based regulation to co-regulation, and from co-regulation to self-regulation.</w:t>
      </w:r>
    </w:p>
    <w:p w14:paraId="1A9424F7" w14:textId="77777777" w:rsidR="00EB2B81" w:rsidRDefault="00EB2B81" w:rsidP="00BF7B18">
      <w:pPr>
        <w:pStyle w:val="Heading5"/>
      </w:pPr>
      <w:r>
        <w:t>Assessment of current performance</w:t>
      </w:r>
    </w:p>
    <w:p w14:paraId="405AD805" w14:textId="77777777" w:rsidR="00EB2B81" w:rsidRDefault="00EB2B81" w:rsidP="00EB2B81">
      <w:pPr>
        <w:rPr>
          <w:rFonts w:eastAsia="Times New Roman" w:cs="Arial"/>
          <w:szCs w:val="24"/>
        </w:rPr>
      </w:pPr>
      <w:r>
        <w:rPr>
          <w:rFonts w:eastAsia="Times New Roman" w:cs="Arial"/>
          <w:szCs w:val="24"/>
        </w:rPr>
        <w:t>T</w:t>
      </w:r>
      <w:r w:rsidRPr="001A081B">
        <w:rPr>
          <w:rFonts w:eastAsia="Times New Roman" w:cs="Arial"/>
          <w:szCs w:val="24"/>
        </w:rPr>
        <w:t>he ACMA has</w:t>
      </w:r>
      <w:r>
        <w:rPr>
          <w:rFonts w:eastAsia="Times New Roman" w:cs="Arial"/>
          <w:szCs w:val="24"/>
        </w:rPr>
        <w:t xml:space="preserve"> demonstrated its commitment to the Government’s deregulation agenda by delivering an estimated $53</w:t>
      </w:r>
      <w:r w:rsidR="00E549A3">
        <w:rPr>
          <w:rFonts w:eastAsia="Times New Roman" w:cs="Arial"/>
          <w:szCs w:val="24"/>
        </w:rPr>
        <w:t> million</w:t>
      </w:r>
      <w:r>
        <w:rPr>
          <w:rFonts w:eastAsia="Times New Roman" w:cs="Arial"/>
          <w:szCs w:val="24"/>
        </w:rPr>
        <w:t xml:space="preserve"> in </w:t>
      </w:r>
      <w:r w:rsidRPr="001A081B">
        <w:rPr>
          <w:rFonts w:eastAsia="Times New Roman" w:cs="Arial"/>
          <w:szCs w:val="24"/>
        </w:rPr>
        <w:t xml:space="preserve">compliance cost savings to business and consumers, and repealed over 130 redundant legislative instruments. This is a commendable achievement given the size and scope of </w:t>
      </w:r>
      <w:r>
        <w:rPr>
          <w:rFonts w:eastAsia="Times New Roman" w:cs="Arial"/>
          <w:szCs w:val="24"/>
        </w:rPr>
        <w:t xml:space="preserve">the </w:t>
      </w:r>
      <w:r w:rsidRPr="001A081B">
        <w:rPr>
          <w:rFonts w:eastAsia="Times New Roman" w:cs="Arial"/>
          <w:szCs w:val="24"/>
        </w:rPr>
        <w:t>ACMA’s remit.</w:t>
      </w:r>
    </w:p>
    <w:p w14:paraId="781E0BCF" w14:textId="77777777" w:rsidR="00EB2B81" w:rsidRDefault="00EB2B81" w:rsidP="00EB2B81">
      <w:pPr>
        <w:rPr>
          <w:rFonts w:eastAsia="Times New Roman" w:cs="Arial"/>
          <w:szCs w:val="24"/>
        </w:rPr>
      </w:pPr>
      <w:r>
        <w:rPr>
          <w:rFonts w:eastAsia="Times New Roman" w:cs="Arial"/>
          <w:color w:val="000000"/>
          <w:szCs w:val="24"/>
        </w:rPr>
        <w:t>The Review</w:t>
      </w:r>
      <w:r w:rsidDel="00742050">
        <w:rPr>
          <w:rFonts w:eastAsia="Times New Roman" w:cs="Arial"/>
          <w:color w:val="000000"/>
          <w:szCs w:val="24"/>
        </w:rPr>
        <w:t xml:space="preserve"> </w:t>
      </w:r>
      <w:r w:rsidRPr="00783DAE">
        <w:t>consider</w:t>
      </w:r>
      <w:r>
        <w:t>s</w:t>
      </w:r>
      <w:r w:rsidRPr="00783DAE">
        <w:t xml:space="preserve"> there is an opportunity to create internal systems to make sure the regulatory stock is </w:t>
      </w:r>
      <w:r>
        <w:t>subject to appropriate levels of continuous review. This may involve the ACMA making changes to regulation or providing advice to the Government on proposals for regulatory reform.</w:t>
      </w:r>
    </w:p>
    <w:p w14:paraId="33B7F5CB" w14:textId="77777777" w:rsidR="00EB2B81" w:rsidRDefault="00EB2B81" w:rsidP="00EB2B81">
      <w:pPr>
        <w:rPr>
          <w:rFonts w:eastAsia="Times New Roman" w:cs="Arial"/>
          <w:szCs w:val="24"/>
        </w:rPr>
      </w:pPr>
      <w:r>
        <w:rPr>
          <w:rFonts w:eastAsia="Times New Roman" w:cs="Arial"/>
          <w:szCs w:val="24"/>
        </w:rPr>
        <w:t>Stakeholders and the Government have acknowledged the value of various papers published by the ACMA which explore</w:t>
      </w:r>
      <w:r w:rsidRPr="001A081B">
        <w:rPr>
          <w:rFonts w:eastAsia="Times New Roman" w:cs="Arial"/>
          <w:szCs w:val="24"/>
        </w:rPr>
        <w:t xml:space="preserve"> how technological change and new business models are increasing pressure on existing regulatory concepts. The </w:t>
      </w:r>
      <w:r w:rsidRPr="001A081B">
        <w:rPr>
          <w:rFonts w:eastAsia="Times New Roman" w:cs="Arial"/>
          <w:i/>
          <w:szCs w:val="24"/>
        </w:rPr>
        <w:t>Broken Concepts</w:t>
      </w:r>
      <w:r w:rsidRPr="001A081B">
        <w:rPr>
          <w:rFonts w:eastAsia="Times New Roman" w:cs="Arial"/>
          <w:szCs w:val="24"/>
        </w:rPr>
        <w:t xml:space="preserve"> and </w:t>
      </w:r>
      <w:r w:rsidRPr="001A081B">
        <w:rPr>
          <w:rFonts w:eastAsia="Times New Roman" w:cs="Arial"/>
          <w:i/>
          <w:szCs w:val="24"/>
        </w:rPr>
        <w:t>Enduring Concepts</w:t>
      </w:r>
      <w:r w:rsidRPr="001A081B">
        <w:rPr>
          <w:rFonts w:eastAsia="Times New Roman" w:cs="Arial"/>
          <w:szCs w:val="24"/>
        </w:rPr>
        <w:t xml:space="preserve"> papers have been widely referenced by stakeholders and have provided a valuable conceptual framework to</w:t>
      </w:r>
      <w:r>
        <w:rPr>
          <w:rFonts w:eastAsia="Times New Roman" w:cs="Arial"/>
          <w:szCs w:val="24"/>
        </w:rPr>
        <w:t xml:space="preserve"> facilitate discussion and</w:t>
      </w:r>
      <w:r w:rsidRPr="001A081B">
        <w:rPr>
          <w:rFonts w:eastAsia="Times New Roman" w:cs="Arial"/>
          <w:szCs w:val="24"/>
        </w:rPr>
        <w:t xml:space="preserve"> inform policy makers in the process of considering and </w:t>
      </w:r>
      <w:r>
        <w:rPr>
          <w:rFonts w:eastAsia="Times New Roman" w:cs="Arial"/>
          <w:szCs w:val="24"/>
        </w:rPr>
        <w:t>implementing</w:t>
      </w:r>
      <w:r w:rsidRPr="001A081B">
        <w:rPr>
          <w:rFonts w:eastAsia="Times New Roman" w:cs="Arial"/>
          <w:szCs w:val="24"/>
        </w:rPr>
        <w:t xml:space="preserve"> reforms.</w:t>
      </w:r>
    </w:p>
    <w:p w14:paraId="335D2E4F" w14:textId="77777777" w:rsidR="00EB2B81" w:rsidRDefault="00EB2B81" w:rsidP="00EB2B81">
      <w:pPr>
        <w:rPr>
          <w:rFonts w:eastAsia="Times New Roman" w:cs="Arial"/>
          <w:szCs w:val="24"/>
        </w:rPr>
      </w:pPr>
      <w:r>
        <w:rPr>
          <w:rFonts w:eastAsia="Times New Roman" w:cs="Arial"/>
          <w:szCs w:val="24"/>
        </w:rPr>
        <w:t>In addition</w:t>
      </w:r>
      <w:r w:rsidRPr="001A081B">
        <w:rPr>
          <w:rFonts w:eastAsia="Times New Roman" w:cs="Arial"/>
          <w:szCs w:val="24"/>
        </w:rPr>
        <w:t>, the ACMA has published reflection papers to synthesise its experience on the conditions in which self and co-regulatory arrangements can operate effectively</w:t>
      </w:r>
      <w:r>
        <w:rPr>
          <w:rFonts w:eastAsia="Times New Roman" w:cs="Arial"/>
          <w:szCs w:val="24"/>
        </w:rPr>
        <w:t xml:space="preserve"> as alternatives to black letter law</w:t>
      </w:r>
      <w:r w:rsidRPr="001A081B">
        <w:rPr>
          <w:rFonts w:eastAsia="Times New Roman" w:cs="Arial"/>
          <w:szCs w:val="24"/>
        </w:rPr>
        <w:t xml:space="preserve">. </w:t>
      </w:r>
      <w:r>
        <w:rPr>
          <w:rFonts w:eastAsia="Times New Roman" w:cs="Arial"/>
          <w:szCs w:val="24"/>
        </w:rPr>
        <w:t xml:space="preserve">Future reforms would also benefits from the regulator’s insights about the conditions under which self-regulatory arrangements may become a viable alternative to co-regulation. </w:t>
      </w:r>
      <w:r w:rsidRPr="001A081B">
        <w:rPr>
          <w:rFonts w:eastAsia="Times New Roman" w:cs="Arial"/>
          <w:szCs w:val="24"/>
        </w:rPr>
        <w:t xml:space="preserve">The </w:t>
      </w:r>
      <w:r>
        <w:rPr>
          <w:rFonts w:eastAsia="Times New Roman" w:cs="Arial"/>
          <w:szCs w:val="24"/>
        </w:rPr>
        <w:t>R</w:t>
      </w:r>
      <w:r w:rsidRPr="001A081B">
        <w:rPr>
          <w:rFonts w:eastAsia="Times New Roman" w:cs="Arial"/>
          <w:szCs w:val="24"/>
        </w:rPr>
        <w:t>eview encourages the regulator to continue to share its reflections and insights about the efficacy of the regulatory regime</w:t>
      </w:r>
      <w:r w:rsidRPr="001A081B" w:rsidDel="006404DD">
        <w:rPr>
          <w:rFonts w:eastAsia="Times New Roman" w:cs="Arial"/>
          <w:szCs w:val="24"/>
        </w:rPr>
        <w:t>.</w:t>
      </w:r>
    </w:p>
    <w:p w14:paraId="18C66411" w14:textId="77777777" w:rsidR="002D5684" w:rsidRPr="001A081B" w:rsidRDefault="002D5684" w:rsidP="002D5684">
      <w:pPr>
        <w:pStyle w:val="Definitionterm"/>
        <w:pBdr>
          <w:top w:val="single" w:sz="4" w:space="1" w:color="auto"/>
          <w:left w:val="single" w:sz="4" w:space="4" w:color="auto"/>
          <w:bottom w:val="single" w:sz="4" w:space="1" w:color="auto"/>
          <w:right w:val="single" w:sz="4" w:space="4" w:color="auto"/>
        </w:pBdr>
        <w:rPr>
          <w:b w:val="0"/>
        </w:rPr>
      </w:pPr>
      <w:r w:rsidRPr="001A081B">
        <w:rPr>
          <w:b w:val="0"/>
        </w:rPr>
        <w:t>Key findings:</w:t>
      </w:r>
    </w:p>
    <w:p w14:paraId="0DF9B213" w14:textId="77777777" w:rsidR="002D5684" w:rsidRDefault="002D5684" w:rsidP="002D5684">
      <w:pPr>
        <w:pStyle w:val="Bulletlevel1"/>
        <w:pBdr>
          <w:top w:val="single" w:sz="4" w:space="1" w:color="auto"/>
          <w:left w:val="single" w:sz="4" w:space="4" w:color="auto"/>
          <w:bottom w:val="single" w:sz="4" w:space="1" w:color="auto"/>
          <w:right w:val="single" w:sz="4" w:space="4" w:color="auto"/>
        </w:pBdr>
      </w:pPr>
      <w:r w:rsidRPr="00762ECB">
        <w:t xml:space="preserve">The ACMA has </w:t>
      </w:r>
      <w:r>
        <w:t>demonstrated its commitment to the</w:t>
      </w:r>
      <w:r w:rsidRPr="00762ECB">
        <w:t xml:space="preserve"> </w:t>
      </w:r>
      <w:r>
        <w:t>G</w:t>
      </w:r>
      <w:r w:rsidRPr="00762ECB">
        <w:t>overnment’s deregulation agenda.</w:t>
      </w:r>
    </w:p>
    <w:p w14:paraId="3F314AD5" w14:textId="77777777" w:rsidR="00EB2B81" w:rsidRPr="001A081B" w:rsidRDefault="002D5684" w:rsidP="002D5684">
      <w:pPr>
        <w:pStyle w:val="Bulletlevel1"/>
        <w:pBdr>
          <w:top w:val="single" w:sz="4" w:space="1" w:color="auto"/>
          <w:left w:val="single" w:sz="4" w:space="4" w:color="auto"/>
          <w:bottom w:val="single" w:sz="4" w:space="1" w:color="auto"/>
          <w:right w:val="single" w:sz="4" w:space="4" w:color="auto"/>
        </w:pBdr>
        <w:rPr>
          <w:rFonts w:eastAsia="Times New Roman" w:cs="Arial"/>
          <w:szCs w:val="24"/>
        </w:rPr>
      </w:pPr>
      <w:r>
        <w:t>There is scope to implement measures and systems to make sure there is an ongoing commitment to reduce burden on regulated entities.</w:t>
      </w:r>
    </w:p>
    <w:p w14:paraId="6110B59A" w14:textId="77777777" w:rsidR="00EB2B81" w:rsidRDefault="00EB2B81" w:rsidP="00BF7B18">
      <w:pPr>
        <w:pStyle w:val="Heading5"/>
      </w:pPr>
      <w:bookmarkStart w:id="721" w:name="_Toc436923330"/>
      <w:bookmarkStart w:id="722" w:name="_Toc437440631"/>
      <w:r>
        <w:t>Draft Proposals</w:t>
      </w:r>
    </w:p>
    <w:bookmarkEnd w:id="721"/>
    <w:bookmarkEnd w:id="722"/>
    <w:p w14:paraId="5913C82F" w14:textId="77777777" w:rsidR="00EB2B81" w:rsidRDefault="00EB2B81" w:rsidP="00504587">
      <w:pPr>
        <w:rPr>
          <w:rFonts w:eastAsia="Times New Roman" w:cs="Arial"/>
          <w:color w:val="000000"/>
          <w:szCs w:val="24"/>
        </w:rPr>
      </w:pPr>
      <w:r w:rsidRPr="00762ECB">
        <w:t>Given the range of competing organisational priorities face</w:t>
      </w:r>
      <w:r>
        <w:t>d by the ACMA</w:t>
      </w:r>
      <w:r w:rsidRPr="00762ECB">
        <w:t xml:space="preserve"> at any given </w:t>
      </w:r>
      <w:r>
        <w:t>time</w:t>
      </w:r>
      <w:r w:rsidRPr="00762ECB">
        <w:t>, and the institutional cultures of regulators</w:t>
      </w:r>
      <w:r>
        <w:t xml:space="preserve"> more generally</w:t>
      </w:r>
      <w:r w:rsidRPr="00762ECB">
        <w:t>,</w:t>
      </w:r>
      <w:r>
        <w:t xml:space="preserve"> it is reasonable to consider that a commitment to reduce</w:t>
      </w:r>
      <w:r w:rsidRPr="00762ECB">
        <w:t xml:space="preserve"> regulatory burden </w:t>
      </w:r>
      <w:r>
        <w:t xml:space="preserve">would not endure in the absence of whole-of-government </w:t>
      </w:r>
      <w:r w:rsidRPr="00762ECB">
        <w:t xml:space="preserve">policy </w:t>
      </w:r>
      <w:r>
        <w:t>commitments</w:t>
      </w:r>
      <w:r w:rsidRPr="00762ECB">
        <w:t xml:space="preserve">. </w:t>
      </w:r>
      <w:r>
        <w:rPr>
          <w:rFonts w:eastAsia="Times New Roman" w:cs="Arial"/>
          <w:color w:val="000000"/>
          <w:szCs w:val="24"/>
        </w:rPr>
        <w:t>An objective of this review is to ensure a future-focused regulator</w:t>
      </w:r>
      <w:r w:rsidRPr="004C7571">
        <w:rPr>
          <w:rFonts w:eastAsia="Times New Roman" w:cs="Arial"/>
          <w:color w:val="000000"/>
          <w:szCs w:val="24"/>
        </w:rPr>
        <w:t xml:space="preserve"> </w:t>
      </w:r>
      <w:r>
        <w:rPr>
          <w:rFonts w:eastAsia="Times New Roman" w:cs="Arial"/>
          <w:color w:val="000000"/>
          <w:szCs w:val="24"/>
        </w:rPr>
        <w:t>remains committed to reducing the burden on regulated entities beyond</w:t>
      </w:r>
      <w:r w:rsidRPr="004C7571">
        <w:rPr>
          <w:rFonts w:eastAsia="Times New Roman" w:cs="Arial"/>
          <w:color w:val="000000"/>
          <w:szCs w:val="24"/>
        </w:rPr>
        <w:t xml:space="preserve"> the </w:t>
      </w:r>
      <w:r>
        <w:rPr>
          <w:rFonts w:eastAsia="Times New Roman" w:cs="Arial"/>
          <w:color w:val="000000"/>
          <w:szCs w:val="24"/>
        </w:rPr>
        <w:t xml:space="preserve">current Government’s </w:t>
      </w:r>
      <w:r w:rsidRPr="004C7571">
        <w:rPr>
          <w:rFonts w:eastAsia="Times New Roman" w:cs="Arial"/>
          <w:color w:val="000000"/>
          <w:szCs w:val="24"/>
        </w:rPr>
        <w:t>deregulation agenda</w:t>
      </w:r>
      <w:r>
        <w:rPr>
          <w:rFonts w:eastAsia="Times New Roman" w:cs="Arial"/>
          <w:color w:val="000000"/>
          <w:szCs w:val="24"/>
        </w:rPr>
        <w:t>.</w:t>
      </w:r>
    </w:p>
    <w:p w14:paraId="66F39AD9" w14:textId="77777777" w:rsidR="00EB2B81" w:rsidRDefault="00EB2B81" w:rsidP="00504587">
      <w:r>
        <w:t>One option to strengthen the longevity of continuous improvement culture is to establish an objective in the regulator’s enabling legislation</w:t>
      </w:r>
      <w:r w:rsidRPr="00762ECB">
        <w:t xml:space="preserve">. </w:t>
      </w:r>
      <w:r>
        <w:t xml:space="preserve">If established in law, this principle would express the unambiguous intention of government and Parliament that regulation of communications industries will be subject to continuous improvement over time. </w:t>
      </w:r>
      <w:r>
        <w:rPr>
          <w:rFonts w:eastAsia="Times New Roman" w:cs="Arial"/>
          <w:color w:val="000000"/>
          <w:szCs w:val="24"/>
        </w:rPr>
        <w:t xml:space="preserve">This would be given effect by draft Proposal </w:t>
      </w:r>
      <w:r w:rsidRPr="00B7741E">
        <w:rPr>
          <w:rFonts w:eastAsia="Times New Roman" w:cs="Arial"/>
          <w:color w:val="000000"/>
          <w:szCs w:val="24"/>
        </w:rPr>
        <w:t>1</w:t>
      </w:r>
      <w:r>
        <w:rPr>
          <w:rFonts w:eastAsia="Times New Roman" w:cs="Arial"/>
          <w:color w:val="000000"/>
          <w:szCs w:val="24"/>
        </w:rPr>
        <w:t xml:space="preserve">8 which proposes to legislate a regulator principle to promote continuous improvement. </w:t>
      </w:r>
      <w:r>
        <w:t>T</w:t>
      </w:r>
      <w:r>
        <w:rPr>
          <w:rFonts w:eastAsia="Times New Roman" w:cs="Arial"/>
          <w:color w:val="000000"/>
          <w:szCs w:val="24"/>
        </w:rPr>
        <w:t>he Review</w:t>
      </w:r>
      <w:r w:rsidDel="00742050">
        <w:rPr>
          <w:rFonts w:eastAsia="Times New Roman" w:cs="Arial"/>
          <w:color w:val="000000"/>
          <w:szCs w:val="24"/>
        </w:rPr>
        <w:t xml:space="preserve"> </w:t>
      </w:r>
      <w:r>
        <w:rPr>
          <w:rFonts w:eastAsia="Times New Roman" w:cs="Arial"/>
          <w:color w:val="000000"/>
          <w:szCs w:val="24"/>
        </w:rPr>
        <w:t xml:space="preserve">notes that a commitment to reducing burden is not intended to diminish regulatory objectives, nor is it intended to imply a continuous and definite ratcheting down of regulation over time. Rather, </w:t>
      </w:r>
      <w:r>
        <w:t>where risks have receded or regulation is no longer necessary this objective will seek to ensure there is an ongoing and consistent commitment by the regulator to reduce that burden on industry in a steady manner.</w:t>
      </w:r>
    </w:p>
    <w:p w14:paraId="2A8866A0" w14:textId="77777777" w:rsidR="00174EEE" w:rsidRPr="00D54776" w:rsidRDefault="00174EEE" w:rsidP="00174EEE">
      <w:pPr>
        <w:pStyle w:val="Definitionterm"/>
        <w:pBdr>
          <w:top w:val="single" w:sz="4" w:space="1" w:color="auto"/>
          <w:left w:val="single" w:sz="4" w:space="4" w:color="auto"/>
          <w:bottom w:val="single" w:sz="4" w:space="1" w:color="auto"/>
          <w:right w:val="single" w:sz="4" w:space="4" w:color="auto"/>
        </w:pBdr>
        <w:shd w:val="clear" w:color="auto" w:fill="CCE0EC"/>
        <w:spacing w:before="0" w:after="240" w:line="360" w:lineRule="auto"/>
        <w:rPr>
          <w:b w:val="0"/>
        </w:rPr>
      </w:pPr>
      <w:r w:rsidRPr="00D54776">
        <w:rPr>
          <w:b w:val="0"/>
        </w:rPr>
        <w:t>Draft proposal</w:t>
      </w:r>
      <w:r>
        <w:rPr>
          <w:b w:val="0"/>
        </w:rPr>
        <w:t>:</w:t>
      </w:r>
    </w:p>
    <w:p w14:paraId="4DD5E243" w14:textId="77777777" w:rsidR="00174EEE" w:rsidRDefault="00174EEE" w:rsidP="00174EEE">
      <w:pPr>
        <w:pStyle w:val="Definitiontext"/>
        <w:pBdr>
          <w:top w:val="single" w:sz="4" w:space="1" w:color="auto"/>
          <w:left w:val="single" w:sz="4" w:space="4" w:color="auto"/>
          <w:bottom w:val="single" w:sz="4" w:space="1" w:color="auto"/>
          <w:right w:val="single" w:sz="4" w:space="4" w:color="auto"/>
        </w:pBdr>
        <w:shd w:val="clear" w:color="auto" w:fill="CCE0EC"/>
        <w:spacing w:before="0"/>
        <w:ind w:left="567" w:hanging="567"/>
      </w:pPr>
      <w:r>
        <w:t>23.</w:t>
      </w:r>
      <w:r>
        <w:tab/>
        <w:t>That the ACMA publish a report to the Minister every two years on initiatives undertaken to identify and reduce regulatory burden on industry and individuals</w:t>
      </w:r>
      <w:r w:rsidRPr="00251E94">
        <w:t>.</w:t>
      </w:r>
    </w:p>
    <w:p w14:paraId="215611E3" w14:textId="77777777" w:rsidR="00EB2B81" w:rsidRDefault="00EB2B81" w:rsidP="00BF7B18">
      <w:pPr>
        <w:pStyle w:val="Heading4"/>
      </w:pPr>
      <w:bookmarkStart w:id="723" w:name="_Toc443307380"/>
      <w:bookmarkStart w:id="724" w:name="_Toc445810596"/>
      <w:bookmarkStart w:id="725" w:name="_Toc449108107"/>
      <w:bookmarkStart w:id="726" w:name="_Toc449432124"/>
      <w:bookmarkStart w:id="727" w:name="_Toc449438591"/>
      <w:bookmarkStart w:id="728" w:name="_Toc449620042"/>
      <w:bookmarkStart w:id="729" w:name="_Toc450310193"/>
      <w:r w:rsidRPr="00A1575E">
        <w:t>A regulator that has the confidence and trust of stakeholders</w:t>
      </w:r>
      <w:bookmarkEnd w:id="723"/>
      <w:bookmarkEnd w:id="724"/>
      <w:bookmarkEnd w:id="725"/>
      <w:bookmarkEnd w:id="726"/>
      <w:bookmarkEnd w:id="727"/>
      <w:bookmarkEnd w:id="728"/>
      <w:bookmarkEnd w:id="729"/>
    </w:p>
    <w:p w14:paraId="7DF8FA5E" w14:textId="77777777" w:rsidR="00EB2B81" w:rsidRDefault="00EB2B81" w:rsidP="00BF7B18">
      <w:pPr>
        <w:pStyle w:val="Heading5"/>
      </w:pPr>
      <w:r>
        <w:t>Desired Attributes</w:t>
      </w:r>
    </w:p>
    <w:p w14:paraId="53A9DE3C" w14:textId="77777777" w:rsidR="00EB2B81" w:rsidRDefault="00EB2B81" w:rsidP="00EB2B81">
      <w:r w:rsidRPr="002F6437">
        <w:t xml:space="preserve">A high-performance regulator recognises how a decision is considered, made and explained is often as important as the decision itself. </w:t>
      </w:r>
      <w:r>
        <w:t>The</w:t>
      </w:r>
      <w:r w:rsidRPr="002F6437">
        <w:t xml:space="preserve"> regulator </w:t>
      </w:r>
      <w:r>
        <w:t xml:space="preserve">should </w:t>
      </w:r>
      <w:r w:rsidRPr="002F6437">
        <w:t xml:space="preserve">have the respect of stakeholders even if they do not always agree with the decisions made. Transparency is central to achieving this aim. </w:t>
      </w:r>
      <w:r>
        <w:t>T</w:t>
      </w:r>
      <w:r>
        <w:rPr>
          <w:rFonts w:eastAsia="Times New Roman" w:cs="Arial"/>
          <w:color w:val="000000"/>
          <w:szCs w:val="24"/>
        </w:rPr>
        <w:t>he Review</w:t>
      </w:r>
      <w:r w:rsidDel="00742050">
        <w:rPr>
          <w:rFonts w:eastAsia="Times New Roman" w:cs="Arial"/>
          <w:color w:val="000000"/>
          <w:szCs w:val="24"/>
        </w:rPr>
        <w:t xml:space="preserve"> </w:t>
      </w:r>
      <w:r w:rsidRPr="002F6437">
        <w:t>aspire</w:t>
      </w:r>
      <w:r>
        <w:t>s</w:t>
      </w:r>
      <w:r w:rsidRPr="002F6437">
        <w:t xml:space="preserve"> for </w:t>
      </w:r>
      <w:r>
        <w:t xml:space="preserve">the ACMA </w:t>
      </w:r>
      <w:r w:rsidRPr="002F6437">
        <w:t>to be acknowledged by stakeholders as having a sincere and consistent commitment to transparency and engagement throughout the decision-making process, and its ability to communicate a clear link between objectives, process, analysis and reasons for decisions.</w:t>
      </w:r>
    </w:p>
    <w:p w14:paraId="36BF87D4" w14:textId="77777777" w:rsidR="00EB2B81" w:rsidRDefault="00EB2B81" w:rsidP="00BF7B18">
      <w:pPr>
        <w:pStyle w:val="Heading5"/>
      </w:pPr>
      <w:r>
        <w:t>Assessment of Current Performance</w:t>
      </w:r>
    </w:p>
    <w:p w14:paraId="6CCA964C" w14:textId="2EB536F5" w:rsidR="00EB2B81" w:rsidRDefault="00EB2B81" w:rsidP="00EB2B81">
      <w:r w:rsidRPr="0065101E">
        <w:t xml:space="preserve">Stakeholders have </w:t>
      </w:r>
      <w:r>
        <w:t xml:space="preserve">expressed a desire for </w:t>
      </w:r>
      <w:r w:rsidRPr="0065101E">
        <w:t xml:space="preserve">more direct engagement with the </w:t>
      </w:r>
      <w:r>
        <w:t>Authority</w:t>
      </w:r>
      <w:r w:rsidRPr="0065101E">
        <w:t xml:space="preserve">, particularly on substantial matters. </w:t>
      </w:r>
      <w:r>
        <w:t>During o</w:t>
      </w:r>
      <w:r w:rsidRPr="0065101E">
        <w:t xml:space="preserve">ur consultations </w:t>
      </w:r>
      <w:r>
        <w:t>stakeholders have expressed</w:t>
      </w:r>
      <w:r w:rsidRPr="0065101E">
        <w:t xml:space="preserve"> concern</w:t>
      </w:r>
      <w:r>
        <w:t>s</w:t>
      </w:r>
      <w:r w:rsidRPr="0065101E">
        <w:t xml:space="preserve"> that engagement with the ACMA can be </w:t>
      </w:r>
      <w:r>
        <w:t xml:space="preserve">overly </w:t>
      </w:r>
      <w:r w:rsidRPr="0065101E">
        <w:t xml:space="preserve">formal and </w:t>
      </w:r>
      <w:r>
        <w:t>dependent on</w:t>
      </w:r>
      <w:r w:rsidRPr="0065101E">
        <w:t xml:space="preserve"> writ</w:t>
      </w:r>
      <w:r>
        <w:t>ten exchanges</w:t>
      </w:r>
      <w:r w:rsidRPr="0065101E">
        <w:t xml:space="preserve">. </w:t>
      </w:r>
      <w:r>
        <w:rPr>
          <w:rFonts w:eastAsia="Times New Roman" w:cs="Arial"/>
          <w:color w:val="000000"/>
          <w:szCs w:val="24"/>
        </w:rPr>
        <w:t>The Review</w:t>
      </w:r>
      <w:r w:rsidDel="00742050">
        <w:rPr>
          <w:rFonts w:eastAsia="Times New Roman" w:cs="Arial"/>
          <w:color w:val="000000"/>
          <w:szCs w:val="24"/>
        </w:rPr>
        <w:t xml:space="preserve"> </w:t>
      </w:r>
      <w:r>
        <w:t xml:space="preserve">is not in a position to assess the extent of reliance on certain modes of engagement by the ACMA. However, </w:t>
      </w:r>
      <w:r>
        <w:rPr>
          <w:rFonts w:eastAsia="Times New Roman" w:cs="Arial"/>
          <w:color w:val="000000"/>
          <w:szCs w:val="24"/>
        </w:rPr>
        <w:t>the Review</w:t>
      </w:r>
      <w:r w:rsidDel="00742050">
        <w:rPr>
          <w:rFonts w:eastAsia="Times New Roman" w:cs="Arial"/>
          <w:color w:val="000000"/>
          <w:szCs w:val="24"/>
        </w:rPr>
        <w:t xml:space="preserve"> </w:t>
      </w:r>
      <w:r>
        <w:t xml:space="preserve">does consider that any over-reliance on formal, written interaction </w:t>
      </w:r>
      <w:r w:rsidRPr="0065101E">
        <w:t>present</w:t>
      </w:r>
      <w:r w:rsidR="000C2259">
        <w:t>s</w:t>
      </w:r>
      <w:r w:rsidRPr="0065101E">
        <w:t xml:space="preserve"> a risk of not fully capturing the more nuanced </w:t>
      </w:r>
      <w:r>
        <w:t>aspects of issues</w:t>
      </w:r>
      <w:r w:rsidRPr="0065101E">
        <w:t xml:space="preserve"> that</w:t>
      </w:r>
      <w:r>
        <w:t xml:space="preserve"> can be </w:t>
      </w:r>
      <w:r w:rsidRPr="0065101E">
        <w:t>gained through direct engagement.</w:t>
      </w:r>
    </w:p>
    <w:p w14:paraId="32F4C9FC" w14:textId="77777777" w:rsidR="00EB2B81" w:rsidRDefault="00EB2B81" w:rsidP="00EB2B81">
      <w:r w:rsidRPr="0065101E">
        <w:t xml:space="preserve">The ACMA has published a series of documents to explain its regulatory approach on various matters across its remit, including </w:t>
      </w:r>
      <w:r>
        <w:t xml:space="preserve">its </w:t>
      </w:r>
      <w:r w:rsidRPr="0065101E">
        <w:t>compliance and enforcement policy and a suite of regulatory guides to explain how the regulator will exercise its powers across its remit</w:t>
      </w:r>
      <w:r>
        <w:t>.</w:t>
      </w:r>
      <w:r>
        <w:rPr>
          <w:rStyle w:val="FootnoteReference"/>
        </w:rPr>
        <w:footnoteReference w:id="127"/>
      </w:r>
      <w:r w:rsidRPr="0065101E">
        <w:t xml:space="preserve"> The guides cover powers such as infringement notices, remedial directions and explain when it will accept an enforceable undertaking. </w:t>
      </w:r>
      <w:r>
        <w:t>T</w:t>
      </w:r>
      <w:r>
        <w:rPr>
          <w:rFonts w:eastAsia="Times New Roman" w:cs="Arial"/>
          <w:color w:val="000000"/>
          <w:szCs w:val="24"/>
        </w:rPr>
        <w:t>he Review</w:t>
      </w:r>
      <w:r w:rsidDel="00742050">
        <w:rPr>
          <w:rFonts w:eastAsia="Times New Roman" w:cs="Arial"/>
          <w:color w:val="000000"/>
          <w:szCs w:val="24"/>
        </w:rPr>
        <w:t xml:space="preserve"> </w:t>
      </w:r>
      <w:r>
        <w:t>also notes the</w:t>
      </w:r>
      <w:r w:rsidRPr="0065101E">
        <w:t xml:space="preserve"> ACMA publishes its decisions and reasons related to investigation and enforcement outcomes, which explain how it approaches broadcasting complaints. </w:t>
      </w:r>
      <w:r>
        <w:t xml:space="preserve">In addition to this, stakeholders may benefit from </w:t>
      </w:r>
      <w:r w:rsidRPr="0065101E">
        <w:t>the publication</w:t>
      </w:r>
      <w:r>
        <w:t xml:space="preserve"> of material to</w:t>
      </w:r>
      <w:r w:rsidRPr="0065101E">
        <w:t xml:space="preserve"> explain decision-making processes</w:t>
      </w:r>
      <w:r>
        <w:t xml:space="preserve"> of the decision-making body</w:t>
      </w:r>
      <w:r w:rsidRPr="0065101E">
        <w:t>.</w:t>
      </w:r>
    </w:p>
    <w:p w14:paraId="73F5A36F" w14:textId="5621BB9E" w:rsidR="00EB2B81" w:rsidRDefault="00EB2B81" w:rsidP="00EB2B81">
      <w:r w:rsidRPr="0065101E">
        <w:t>One of the key findings of the Spectrum Review was stakeholders want greater transparency and accountability in decision</w:t>
      </w:r>
      <w:r w:rsidR="00AB23B9">
        <w:t>-</w:t>
      </w:r>
      <w:r w:rsidRPr="0065101E">
        <w:t xml:space="preserve">making, and a clear distinction to be made between the responsibilities of the Minister/Government to set policy and the ACMA to implement policy. This </w:t>
      </w:r>
      <w:r>
        <w:t xml:space="preserve">also </w:t>
      </w:r>
      <w:r w:rsidRPr="0065101E">
        <w:t>includes transparent disclosure of decisions and the reasoning behind decisions, regular updates on processes and explanations when things change. Vodafone ha</w:t>
      </w:r>
      <w:r>
        <w:t>s</w:t>
      </w:r>
      <w:r w:rsidRPr="0065101E">
        <w:t xml:space="preserve"> also observed that decisions tend to be publically available and more readily accessible in other jurisdictions and proposed that legislation be amended to require the regulator to publish its reasons for a decision and publish them in a central repository.</w:t>
      </w:r>
      <w:r>
        <w:rPr>
          <w:rStyle w:val="FootnoteReference"/>
          <w:rFonts w:eastAsia="Times New Roman" w:cs="Arial"/>
          <w:color w:val="000000"/>
        </w:rPr>
        <w:footnoteReference w:id="128"/>
      </w:r>
      <w:r w:rsidRPr="0065101E">
        <w:t xml:space="preserve"> </w:t>
      </w:r>
      <w:r>
        <w:t>T</w:t>
      </w:r>
      <w:r>
        <w:rPr>
          <w:rFonts w:eastAsia="Times New Roman" w:cs="Arial"/>
          <w:color w:val="000000"/>
          <w:szCs w:val="24"/>
        </w:rPr>
        <w:t>he Review</w:t>
      </w:r>
      <w:r w:rsidDel="00742050">
        <w:rPr>
          <w:rFonts w:eastAsia="Times New Roman" w:cs="Arial"/>
          <w:color w:val="000000"/>
          <w:szCs w:val="24"/>
        </w:rPr>
        <w:t xml:space="preserve"> </w:t>
      </w:r>
      <w:r>
        <w:t>has explored this issue and, when adjusting for the ACMA’s remit, it is not clear that the current approach differs materially from international regulators, however there may be scope to improve the accessibility of its decisions through a centralised decisions register.</w:t>
      </w:r>
    </w:p>
    <w:p w14:paraId="318BBFD4" w14:textId="77777777" w:rsidR="00EB2B81" w:rsidRDefault="00EB2B81" w:rsidP="00576140">
      <w:r>
        <w:t>C</w:t>
      </w:r>
      <w:r w:rsidRPr="0065101E">
        <w:t xml:space="preserve">onsultation with stakeholders has identified a broad level of </w:t>
      </w:r>
      <w:r>
        <w:t>concern</w:t>
      </w:r>
      <w:r w:rsidRPr="0065101E">
        <w:t xml:space="preserve"> about </w:t>
      </w:r>
      <w:r>
        <w:t>a</w:t>
      </w:r>
      <w:r w:rsidRPr="0065101E">
        <w:t xml:space="preserve"> lack of consistency in process </w:t>
      </w:r>
      <w:r>
        <w:t>for significant spectrum and code registration activities. There is also concern about industry not understanding</w:t>
      </w:r>
      <w:r w:rsidRPr="0065101E">
        <w:t xml:space="preserve"> what information is presented to the decision maker</w:t>
      </w:r>
      <w:r>
        <w:t xml:space="preserve"> and how decisions are made</w:t>
      </w:r>
      <w:r w:rsidRPr="0065101E">
        <w:t>.</w:t>
      </w:r>
    </w:p>
    <w:p w14:paraId="594AEE13" w14:textId="16648C05" w:rsidR="00EB2B81" w:rsidRDefault="00EB2B81" w:rsidP="00EB2B81">
      <w:r w:rsidRPr="005E762E">
        <w:t>The ACMA currently has in place a range of program</w:t>
      </w:r>
      <w:r w:rsidR="00464D44">
        <w:t>me</w:t>
      </w:r>
      <w:r w:rsidRPr="005E762E">
        <w:t>s which use industry engagement and consumer information initiatives. The ACMA also notes that since 2013 it has used a Targeted Outreach Program</w:t>
      </w:r>
      <w:r w:rsidR="00464D44">
        <w:t>me</w:t>
      </w:r>
      <w:r w:rsidRPr="005E762E">
        <w:t xml:space="preserve"> (TOP) to send direct communications to stakeholder executives. From November 2014, ACMA Authority members sent 708 separate communications and received 58 feedback responses, including positive endorsement for TOP as a valued tool for keeping stakeholders informed about relevant issues and developments</w:t>
      </w:r>
      <w:r>
        <w:t>.</w:t>
      </w:r>
      <w:r w:rsidRPr="00455621">
        <w:rPr>
          <w:rStyle w:val="FootnoteReference"/>
          <w:rFonts w:eastAsia="Times New Roman" w:cs="Arial"/>
          <w:color w:val="000000"/>
        </w:rPr>
        <w:footnoteReference w:id="129"/>
      </w:r>
      <w:r w:rsidRPr="005E762E">
        <w:t xml:space="preserve"> The extent to which </w:t>
      </w:r>
      <w:r>
        <w:t xml:space="preserve">these </w:t>
      </w:r>
      <w:r w:rsidRPr="005E762E">
        <w:t>communications strategies have been effective in securing compliance or influencing behaviour is difficult to measure and remains unclear.</w:t>
      </w:r>
    </w:p>
    <w:p w14:paraId="2A9C2260" w14:textId="77777777" w:rsidR="00EB2B81" w:rsidRDefault="00EB2B81" w:rsidP="00EB2B81">
      <w:r w:rsidRPr="00D15FFB">
        <w:t>The ACMA currently has 55 Memorandums of Understanding (MOUs) in place with external entities and ot</w:t>
      </w:r>
      <w:r>
        <w:t>her Australian regulators. The R</w:t>
      </w:r>
      <w:r w:rsidRPr="00D15FFB">
        <w:t>eview considers the value of selected MOUs could be increased by making them public where there is perceived or actual overlap of regulatory functions (such as in privacy, consumer protection and security). This would provide stakeholders with greater confidence that efforts are being made to coordinate activities and minimise duplication.</w:t>
      </w:r>
    </w:p>
    <w:p w14:paraId="42DF7DB0" w14:textId="77777777" w:rsidR="00174EEE" w:rsidRPr="001A081B" w:rsidRDefault="00174EEE" w:rsidP="00174EEE">
      <w:pPr>
        <w:pStyle w:val="Definitionterm"/>
        <w:pBdr>
          <w:top w:val="single" w:sz="4" w:space="1" w:color="auto"/>
          <w:left w:val="single" w:sz="4" w:space="4" w:color="auto"/>
          <w:bottom w:val="single" w:sz="4" w:space="1" w:color="auto"/>
          <w:right w:val="single" w:sz="4" w:space="4" w:color="auto"/>
        </w:pBdr>
        <w:rPr>
          <w:b w:val="0"/>
        </w:rPr>
      </w:pPr>
      <w:r w:rsidRPr="001A081B">
        <w:rPr>
          <w:b w:val="0"/>
        </w:rPr>
        <w:t>Key findings:</w:t>
      </w:r>
    </w:p>
    <w:p w14:paraId="12E5A75A" w14:textId="67278B4A" w:rsidR="00174EEE" w:rsidRPr="001032EA" w:rsidRDefault="00174EEE" w:rsidP="00174EEE">
      <w:pPr>
        <w:pStyle w:val="Bulletlevel1"/>
        <w:pBdr>
          <w:top w:val="single" w:sz="4" w:space="1" w:color="auto"/>
          <w:left w:val="single" w:sz="4" w:space="4" w:color="auto"/>
          <w:bottom w:val="single" w:sz="4" w:space="1" w:color="auto"/>
          <w:right w:val="single" w:sz="4" w:space="4" w:color="auto"/>
        </w:pBdr>
      </w:pPr>
      <w:r w:rsidRPr="00762ECB">
        <w:t>The</w:t>
      </w:r>
      <w:r>
        <w:t>re is scope to strengthen the decision</w:t>
      </w:r>
      <w:r w:rsidR="00AB23B9">
        <w:t>-</w:t>
      </w:r>
      <w:r>
        <w:t>making transparency of the ACMA.</w:t>
      </w:r>
    </w:p>
    <w:p w14:paraId="0F51D614" w14:textId="77777777" w:rsidR="00174EEE" w:rsidRDefault="00174EEE" w:rsidP="00174EEE">
      <w:pPr>
        <w:pStyle w:val="Bulletlevel1"/>
        <w:pBdr>
          <w:top w:val="single" w:sz="4" w:space="1" w:color="auto"/>
          <w:left w:val="single" w:sz="4" w:space="4" w:color="auto"/>
          <w:bottom w:val="single" w:sz="4" w:space="1" w:color="auto"/>
          <w:right w:val="single" w:sz="4" w:space="4" w:color="auto"/>
        </w:pBdr>
      </w:pPr>
      <w:r>
        <w:t>There is a need for greater consistency in process that underpins significant rule-making and planning activities.</w:t>
      </w:r>
    </w:p>
    <w:p w14:paraId="518E8173" w14:textId="77777777" w:rsidR="00EB2B81" w:rsidRDefault="00EB2B81" w:rsidP="00BF7B18">
      <w:pPr>
        <w:pStyle w:val="Heading5"/>
      </w:pPr>
      <w:bookmarkStart w:id="730" w:name="_Toc436923334"/>
      <w:bookmarkStart w:id="731" w:name="_Toc437440635"/>
      <w:r>
        <w:t>Draft Proposals</w:t>
      </w:r>
    </w:p>
    <w:bookmarkEnd w:id="730"/>
    <w:bookmarkEnd w:id="731"/>
    <w:p w14:paraId="6308FDDB" w14:textId="69E8A70B" w:rsidR="00EB2B81" w:rsidRDefault="00EB2B81" w:rsidP="00113CF9">
      <w:r w:rsidRPr="00F37660">
        <w:t xml:space="preserve">The </w:t>
      </w:r>
      <w:r>
        <w:t>R</w:t>
      </w:r>
      <w:r w:rsidRPr="00F37660">
        <w:t>eview recognises the tension between the desire to achieve faster and more flexible decision</w:t>
      </w:r>
      <w:r w:rsidR="00AB23B9">
        <w:t>-</w:t>
      </w:r>
      <w:r w:rsidRPr="00F37660">
        <w:t>making</w:t>
      </w:r>
      <w:r>
        <w:t>,</w:t>
      </w:r>
      <w:r w:rsidRPr="00F37660">
        <w:t xml:space="preserve"> </w:t>
      </w:r>
      <w:r>
        <w:t xml:space="preserve">and trying </w:t>
      </w:r>
      <w:r w:rsidRPr="00F37660">
        <w:t xml:space="preserve">to improve transparency. </w:t>
      </w:r>
      <w:r>
        <w:t>Achieving a good balance between these outcomes is, more than anything else, an operational achievement of the regulator informed by good judgement.</w:t>
      </w:r>
      <w:r w:rsidRPr="00F37660">
        <w:t xml:space="preserve"> </w:t>
      </w:r>
      <w:r>
        <w:t>I</w:t>
      </w:r>
      <w:r w:rsidRPr="00F37660">
        <w:t xml:space="preserve">t is essential for regulators to </w:t>
      </w:r>
      <w:r>
        <w:t>ensure stakeholders have a clear understanding of the process that will guide decision</w:t>
      </w:r>
      <w:r w:rsidR="00AB23B9">
        <w:t>-</w:t>
      </w:r>
      <w:r>
        <w:t>making and an understanding after-the-fact about the reasons for the decision.</w:t>
      </w:r>
    </w:p>
    <w:p w14:paraId="6AFF95AB" w14:textId="47F201CC" w:rsidR="00EB2B81" w:rsidRDefault="00EB2B81" w:rsidP="002E15A7">
      <w:r>
        <w:t>A 2013 study of content and media regulators in the EU has identified seventeen countries whose regulators are required to publish all of their decisions. Another ten countries require their regulators only to publish certain decisions such as those to sanction or revoke a license. A further ten regulators do not have a legal obligation to publish any decisions, but nine out of ten choose to publish decisions regardless</w:t>
      </w:r>
      <w:r>
        <w:rPr>
          <w:rStyle w:val="FootnoteReference"/>
          <w:rFonts w:eastAsia="Times New Roman" w:cs="Arial"/>
          <w:color w:val="000000"/>
          <w:szCs w:val="24"/>
        </w:rPr>
        <w:footnoteReference w:id="130"/>
      </w:r>
      <w:r>
        <w:t>. The Review</w:t>
      </w:r>
      <w:r w:rsidDel="00742050">
        <w:t xml:space="preserve"> </w:t>
      </w:r>
      <w:r>
        <w:t>has considered whether it would be beneficial to require the ACMA to publish a statement of reasons for its regulatory decisions</w:t>
      </w:r>
      <w:r w:rsidR="003C6EEA">
        <w:t>,</w:t>
      </w:r>
      <w:r>
        <w:t xml:space="preserve"> however the Review</w:t>
      </w:r>
      <w:r w:rsidDel="00742050">
        <w:t xml:space="preserve"> </w:t>
      </w:r>
      <w:r>
        <w:t>does not consider a broad based requirement would be the most effective allocation of the regulator’s resources. This view is partly informed by stakeholder feedback which has been primarily concerned with improving process, and partly by the ACMA’s limited role in economic regulation (compared to economy-wide competition regulators) where the impact of such decisions typically warrants a more rigorous standard of transparency.</w:t>
      </w:r>
    </w:p>
    <w:p w14:paraId="6A1DBC87" w14:textId="1D5D3BEC" w:rsidR="00EB2B81" w:rsidRDefault="00EB2B81" w:rsidP="002E15A7">
      <w:r>
        <w:t>In this regard the Review</w:t>
      </w:r>
      <w:r w:rsidDel="00742050">
        <w:t xml:space="preserve"> </w:t>
      </w:r>
      <w:r>
        <w:t>considers resources in the short term are best directed towards improving process transparency and consistency. Nonetheless the ACMA should consider whether it would be useful to issue statements of reasons for decisions with precedence value, where it is efficient to do so. As noted earlier, communicating how</w:t>
      </w:r>
      <w:r w:rsidRPr="00F37660">
        <w:t xml:space="preserve"> a </w:t>
      </w:r>
      <w:r>
        <w:t>decision</w:t>
      </w:r>
      <w:r w:rsidR="00AB23B9">
        <w:t>-</w:t>
      </w:r>
      <w:r>
        <w:t>making body</w:t>
      </w:r>
      <w:r w:rsidRPr="00F37660">
        <w:t xml:space="preserve"> make</w:t>
      </w:r>
      <w:r>
        <w:t>s</w:t>
      </w:r>
      <w:r w:rsidRPr="00F37660">
        <w:t xml:space="preserve"> a decision is </w:t>
      </w:r>
      <w:r>
        <w:t xml:space="preserve">often </w:t>
      </w:r>
      <w:r w:rsidRPr="00F37660">
        <w:t>as important</w:t>
      </w:r>
      <w:r>
        <w:t xml:space="preserve"> for stakeholders</w:t>
      </w:r>
      <w:r w:rsidRPr="00F37660">
        <w:t xml:space="preserve"> as the decision. </w:t>
      </w:r>
      <w:r>
        <w:t>The Review</w:t>
      </w:r>
      <w:r w:rsidDel="00742050">
        <w:t xml:space="preserve"> </w:t>
      </w:r>
      <w:r>
        <w:t>considers</w:t>
      </w:r>
      <w:r w:rsidRPr="00F37660">
        <w:t xml:space="preserve"> it would be beneficial for the regulator to publish further guidance about its decision</w:t>
      </w:r>
      <w:r>
        <w:t>-</w:t>
      </w:r>
      <w:r w:rsidRPr="00F37660">
        <w:t>making processes once any new decision</w:t>
      </w:r>
      <w:r>
        <w:t>-</w:t>
      </w:r>
      <w:r w:rsidRPr="00F37660">
        <w:t>making or governance structure comes into effect.</w:t>
      </w:r>
      <w:r>
        <w:t xml:space="preserve"> Further, it may be worth testing stakeholder views on the ACMA publishing an agenda of each of its Authority meetings to enable industry and government stakeholders to stay abreast of matters under consideration. This approach is also adopted by Ofcom.</w:t>
      </w:r>
      <w:r>
        <w:rPr>
          <w:rStyle w:val="FootnoteReference"/>
          <w:rFonts w:eastAsia="Times New Roman" w:cs="Arial"/>
          <w:color w:val="000000"/>
          <w:szCs w:val="24"/>
        </w:rPr>
        <w:footnoteReference w:id="131"/>
      </w:r>
      <w:r>
        <w:t xml:space="preserve"> Given the market sensitive and confidential nature of some matters considered by the Authority it is anticipated, if the publications of agenda’s were adopted, that the ACMA would exercise its discretion to determine what matters are made public.</w:t>
      </w:r>
    </w:p>
    <w:p w14:paraId="11D6672E" w14:textId="1CD087EE" w:rsidR="00EB2B81" w:rsidRDefault="00EB2B81" w:rsidP="00113CF9">
      <w:r>
        <w:t>Further, establishing and publishing processes for functions of significant importance to industry (TCP code-registration for example) will ensure regulatory staff and the decision</w:t>
      </w:r>
      <w:r w:rsidR="00AB23B9">
        <w:t>-</w:t>
      </w:r>
      <w:r>
        <w:t>making body are more accountable and consistent in their approach. Ideally these processes will integrate regulatory impact assessment principles outlined by the Office of Best Practice Regulation into the early stages of regulatory processes.</w:t>
      </w:r>
    </w:p>
    <w:p w14:paraId="694104E8" w14:textId="77777777" w:rsidR="00174EEE" w:rsidRPr="00D54776" w:rsidRDefault="00174EEE" w:rsidP="00CB4DEF">
      <w:pPr>
        <w:pStyle w:val="Definitionterm"/>
        <w:pBdr>
          <w:top w:val="single" w:sz="4" w:space="1" w:color="auto"/>
          <w:left w:val="single" w:sz="4" w:space="4" w:color="auto"/>
          <w:bottom w:val="single" w:sz="4" w:space="1" w:color="auto"/>
          <w:right w:val="single" w:sz="4" w:space="4" w:color="auto"/>
        </w:pBdr>
        <w:shd w:val="clear" w:color="auto" w:fill="CCE0EC"/>
        <w:spacing w:before="0" w:after="240" w:line="360" w:lineRule="auto"/>
        <w:rPr>
          <w:b w:val="0"/>
        </w:rPr>
      </w:pPr>
      <w:r w:rsidRPr="00D54776">
        <w:rPr>
          <w:b w:val="0"/>
        </w:rPr>
        <w:t>Draft proposal</w:t>
      </w:r>
      <w:r>
        <w:rPr>
          <w:b w:val="0"/>
        </w:rPr>
        <w:t>:</w:t>
      </w:r>
    </w:p>
    <w:p w14:paraId="325E010C" w14:textId="06FB7BF9" w:rsidR="00174EEE" w:rsidRDefault="00174EEE" w:rsidP="00CB4DEF">
      <w:pPr>
        <w:pStyle w:val="Definitiontext"/>
        <w:pBdr>
          <w:top w:val="single" w:sz="4" w:space="1" w:color="auto"/>
          <w:left w:val="single" w:sz="4" w:space="4" w:color="auto"/>
          <w:bottom w:val="single" w:sz="4" w:space="1" w:color="auto"/>
          <w:right w:val="single" w:sz="4" w:space="4" w:color="auto"/>
        </w:pBdr>
        <w:shd w:val="clear" w:color="auto" w:fill="CCE0EC"/>
        <w:spacing w:before="0"/>
        <w:ind w:left="567" w:hanging="567"/>
      </w:pPr>
      <w:r>
        <w:t>2</w:t>
      </w:r>
      <w:r w:rsidR="002F0F26">
        <w:t>4</w:t>
      </w:r>
      <w:r>
        <w:t>.</w:t>
      </w:r>
      <w:r>
        <w:tab/>
        <w:t>That the ACMA produce a public report on steps taken to improve the transparency and consistency of its decision</w:t>
      </w:r>
      <w:r w:rsidR="00AB23B9">
        <w:t>-</w:t>
      </w:r>
      <w:r>
        <w:t>making processes, and that implementation and stakeholder satisfaction be independently assessed by the end of 2017.</w:t>
      </w:r>
    </w:p>
    <w:p w14:paraId="5B5B0033" w14:textId="77777777" w:rsidR="00EB2B81" w:rsidRDefault="00EB2B81" w:rsidP="00174EEE">
      <w:pPr>
        <w:pStyle w:val="Heading3"/>
      </w:pPr>
      <w:bookmarkStart w:id="732" w:name="_Appendix_C:_Review"/>
      <w:bookmarkEnd w:id="732"/>
      <w:r>
        <w:rPr>
          <w:rFonts w:eastAsia="Times New Roman"/>
        </w:rPr>
        <w:br w:type="page"/>
      </w:r>
      <w:bookmarkStart w:id="733" w:name="_Toc449432125"/>
      <w:bookmarkStart w:id="734" w:name="_Toc449438592"/>
      <w:bookmarkStart w:id="735" w:name="_Toc450310194"/>
      <w:r>
        <w:t>Appendix C: Review of resources and efficiency analysis</w:t>
      </w:r>
      <w:bookmarkEnd w:id="733"/>
      <w:bookmarkEnd w:id="734"/>
      <w:bookmarkEnd w:id="735"/>
    </w:p>
    <w:p w14:paraId="4D23925F" w14:textId="77777777" w:rsidR="00EB2B81" w:rsidRDefault="00EB2B81" w:rsidP="00BC43B3">
      <w:pPr>
        <w:rPr>
          <w:lang w:val="en-US" w:eastAsia="en-AU"/>
        </w:rPr>
      </w:pPr>
      <w:r w:rsidRPr="0046716B">
        <w:rPr>
          <w:lang w:val="en-US" w:eastAsia="en-AU"/>
        </w:rPr>
        <w:t xml:space="preserve">The </w:t>
      </w:r>
      <w:r>
        <w:rPr>
          <w:lang w:val="en-US" w:eastAsia="en-AU"/>
        </w:rPr>
        <w:t>t</w:t>
      </w:r>
      <w:r w:rsidRPr="0046716B">
        <w:rPr>
          <w:lang w:val="en-US" w:eastAsia="en-AU"/>
        </w:rPr>
        <w:t xml:space="preserve">erms of </w:t>
      </w:r>
      <w:r>
        <w:rPr>
          <w:lang w:val="en-US" w:eastAsia="en-AU"/>
        </w:rPr>
        <w:t>r</w:t>
      </w:r>
      <w:r w:rsidRPr="0046716B">
        <w:rPr>
          <w:lang w:val="en-US" w:eastAsia="en-AU"/>
        </w:rPr>
        <w:t xml:space="preserve">eference </w:t>
      </w:r>
      <w:r>
        <w:rPr>
          <w:lang w:val="en-US" w:eastAsia="en-AU"/>
        </w:rPr>
        <w:t xml:space="preserve">for this review </w:t>
      </w:r>
      <w:r w:rsidRPr="0046716B">
        <w:rPr>
          <w:lang w:val="en-US" w:eastAsia="en-AU"/>
        </w:rPr>
        <w:t xml:space="preserve">require </w:t>
      </w:r>
      <w:r>
        <w:rPr>
          <w:lang w:val="en-US" w:eastAsia="en-AU"/>
        </w:rPr>
        <w:t>that the Department</w:t>
      </w:r>
      <w:r w:rsidRPr="0046716B">
        <w:rPr>
          <w:lang w:val="en-US" w:eastAsia="en-AU"/>
        </w:rPr>
        <w:t xml:space="preserve"> consider the resource base of the ACMA, including the relative contributions from current sources, and to evaluate </w:t>
      </w:r>
      <w:r>
        <w:rPr>
          <w:lang w:val="en-US" w:eastAsia="en-AU"/>
        </w:rPr>
        <w:t>the ACMA’s</w:t>
      </w:r>
      <w:r w:rsidRPr="0046716B">
        <w:rPr>
          <w:lang w:val="en-US" w:eastAsia="en-AU"/>
        </w:rPr>
        <w:t xml:space="preserve"> efficiency</w:t>
      </w:r>
      <w:r>
        <w:rPr>
          <w:lang w:val="en-US" w:eastAsia="en-AU"/>
        </w:rPr>
        <w:t xml:space="preserve"> in delivering its functions consistent with the Government’s Contestability Programme.</w:t>
      </w:r>
    </w:p>
    <w:p w14:paraId="68B32B4A" w14:textId="77777777" w:rsidR="00EB2B81" w:rsidRDefault="00EB2B81" w:rsidP="00BC43B3">
      <w:pPr>
        <w:rPr>
          <w:lang w:val="en-US" w:eastAsia="en-AU"/>
        </w:rPr>
      </w:pPr>
      <w:r>
        <w:rPr>
          <w:color w:val="000000"/>
          <w:szCs w:val="24"/>
        </w:rPr>
        <w:t>The Review</w:t>
      </w:r>
      <w:r w:rsidDel="00742050">
        <w:rPr>
          <w:color w:val="000000"/>
          <w:szCs w:val="24"/>
        </w:rPr>
        <w:t xml:space="preserve"> </w:t>
      </w:r>
      <w:r>
        <w:rPr>
          <w:lang w:val="en-US" w:eastAsia="en-AU"/>
        </w:rPr>
        <w:t xml:space="preserve">has compared </w:t>
      </w:r>
      <w:r w:rsidRPr="0046716B">
        <w:rPr>
          <w:lang w:val="en-US" w:eastAsia="en-AU"/>
        </w:rPr>
        <w:t xml:space="preserve">the ACMA </w:t>
      </w:r>
      <w:r>
        <w:rPr>
          <w:lang w:val="en-US" w:eastAsia="en-AU"/>
        </w:rPr>
        <w:t>against a number of</w:t>
      </w:r>
      <w:r w:rsidRPr="0046716B">
        <w:rPr>
          <w:lang w:val="en-US" w:eastAsia="en-AU"/>
        </w:rPr>
        <w:t xml:space="preserve"> other regulators </w:t>
      </w:r>
      <w:r>
        <w:rPr>
          <w:lang w:val="en-US" w:eastAsia="en-AU"/>
        </w:rPr>
        <w:t>to</w:t>
      </w:r>
      <w:r w:rsidRPr="0046716B">
        <w:rPr>
          <w:lang w:val="en-US" w:eastAsia="en-AU"/>
        </w:rPr>
        <w:t xml:space="preserve"> provide a high level perspective on resource allocation. Across jurisdictions there are obvious differences between government policy, the nature of markets, and the interaction with its stakeholders</w:t>
      </w:r>
      <w:r>
        <w:rPr>
          <w:lang w:val="en-US" w:eastAsia="en-AU"/>
        </w:rPr>
        <w:t>,</w:t>
      </w:r>
      <w:r w:rsidRPr="0046716B">
        <w:rPr>
          <w:lang w:val="en-US" w:eastAsia="en-AU"/>
        </w:rPr>
        <w:t xml:space="preserve"> which should be taken into account when comparing results.</w:t>
      </w:r>
    </w:p>
    <w:p w14:paraId="3C909B7C" w14:textId="77777777" w:rsidR="00EB2B81" w:rsidRDefault="00EB2B81" w:rsidP="00BC43B3">
      <w:pPr>
        <w:rPr>
          <w:lang w:val="en-US" w:eastAsia="en-AU"/>
        </w:rPr>
      </w:pPr>
      <w:r>
        <w:rPr>
          <w:lang w:val="en-US" w:eastAsia="en-AU"/>
        </w:rPr>
        <w:t>In addition, s</w:t>
      </w:r>
      <w:r w:rsidRPr="0046716B">
        <w:rPr>
          <w:lang w:val="en-US" w:eastAsia="en-AU"/>
        </w:rPr>
        <w:t xml:space="preserve">everal specific activities carried out by the ACMA have been investigated in detail to </w:t>
      </w:r>
      <w:r>
        <w:rPr>
          <w:lang w:val="en-US" w:eastAsia="en-AU"/>
        </w:rPr>
        <w:t>gain</w:t>
      </w:r>
      <w:r w:rsidRPr="0046716B">
        <w:rPr>
          <w:lang w:val="en-US" w:eastAsia="en-AU"/>
        </w:rPr>
        <w:t xml:space="preserve"> insight into </w:t>
      </w:r>
      <w:r>
        <w:rPr>
          <w:lang w:val="en-US" w:eastAsia="en-AU"/>
        </w:rPr>
        <w:t xml:space="preserve">how </w:t>
      </w:r>
      <w:r w:rsidRPr="0046716B">
        <w:rPr>
          <w:lang w:val="en-US" w:eastAsia="en-AU"/>
        </w:rPr>
        <w:t>efficien</w:t>
      </w:r>
      <w:r>
        <w:rPr>
          <w:lang w:val="en-US" w:eastAsia="en-AU"/>
        </w:rPr>
        <w:t>tly</w:t>
      </w:r>
      <w:r w:rsidRPr="0046716B">
        <w:rPr>
          <w:lang w:val="en-US" w:eastAsia="en-AU"/>
        </w:rPr>
        <w:t xml:space="preserve"> those activities are carried out</w:t>
      </w:r>
      <w:r>
        <w:rPr>
          <w:lang w:val="en-US" w:eastAsia="en-AU"/>
        </w:rPr>
        <w:t>,</w:t>
      </w:r>
      <w:r w:rsidRPr="0046716B">
        <w:rPr>
          <w:lang w:val="en-US" w:eastAsia="en-AU"/>
        </w:rPr>
        <w:t xml:space="preserve"> and </w:t>
      </w:r>
      <w:r>
        <w:rPr>
          <w:lang w:val="en-US" w:eastAsia="en-AU"/>
        </w:rPr>
        <w:t>how</w:t>
      </w:r>
      <w:r w:rsidRPr="0046716B">
        <w:rPr>
          <w:lang w:val="en-US" w:eastAsia="en-AU"/>
        </w:rPr>
        <w:t xml:space="preserve"> </w:t>
      </w:r>
      <w:r>
        <w:rPr>
          <w:lang w:val="en-US" w:eastAsia="en-AU"/>
        </w:rPr>
        <w:t>the ACMA</w:t>
      </w:r>
      <w:r w:rsidRPr="0046716B">
        <w:rPr>
          <w:lang w:val="en-US" w:eastAsia="en-AU"/>
        </w:rPr>
        <w:t xml:space="preserve"> review</w:t>
      </w:r>
      <w:r>
        <w:rPr>
          <w:lang w:val="en-US" w:eastAsia="en-AU"/>
        </w:rPr>
        <w:t>s</w:t>
      </w:r>
      <w:r w:rsidRPr="0046716B">
        <w:rPr>
          <w:lang w:val="en-US" w:eastAsia="en-AU"/>
        </w:rPr>
        <w:t xml:space="preserve"> its processes </w:t>
      </w:r>
      <w:r>
        <w:rPr>
          <w:lang w:val="en-US" w:eastAsia="en-AU"/>
        </w:rPr>
        <w:t>and outputs in order to improve efficiency over time.</w:t>
      </w:r>
    </w:p>
    <w:p w14:paraId="12A9C994" w14:textId="77777777" w:rsidR="00EB2B81" w:rsidRDefault="00EB2B81" w:rsidP="00BC43B3">
      <w:pPr>
        <w:rPr>
          <w:lang w:val="en-US" w:eastAsia="en-AU"/>
        </w:rPr>
      </w:pPr>
      <w:r>
        <w:rPr>
          <w:lang w:val="en-US" w:eastAsia="en-AU"/>
        </w:rPr>
        <w:t>T</w:t>
      </w:r>
      <w:r w:rsidRPr="0046716B">
        <w:rPr>
          <w:lang w:val="en-US" w:eastAsia="en-AU"/>
        </w:rPr>
        <w:t xml:space="preserve">his </w:t>
      </w:r>
      <w:r>
        <w:rPr>
          <w:lang w:val="en-US" w:eastAsia="en-AU"/>
        </w:rPr>
        <w:t>section</w:t>
      </w:r>
      <w:r w:rsidRPr="0046716B">
        <w:rPr>
          <w:lang w:val="en-US" w:eastAsia="en-AU"/>
        </w:rPr>
        <w:t xml:space="preserve"> draws on factual information provided to </w:t>
      </w:r>
      <w:r>
        <w:rPr>
          <w:lang w:val="en-US" w:eastAsia="en-AU"/>
        </w:rPr>
        <w:t>the Department</w:t>
      </w:r>
      <w:r w:rsidRPr="0046716B">
        <w:rPr>
          <w:lang w:val="en-US" w:eastAsia="en-AU"/>
        </w:rPr>
        <w:t xml:space="preserve"> by the ACMA as part of its submission</w:t>
      </w:r>
      <w:r>
        <w:rPr>
          <w:lang w:val="en-US" w:eastAsia="en-AU"/>
        </w:rPr>
        <w:t>, and other directly-sourced data provided by the ACMA</w:t>
      </w:r>
      <w:r w:rsidRPr="0046716B">
        <w:rPr>
          <w:lang w:val="en-US" w:eastAsia="en-AU"/>
        </w:rPr>
        <w:t xml:space="preserve">. </w:t>
      </w:r>
      <w:r>
        <w:rPr>
          <w:lang w:val="en-US" w:eastAsia="en-AU"/>
        </w:rPr>
        <w:t>T</w:t>
      </w:r>
      <w:r>
        <w:rPr>
          <w:color w:val="000000"/>
          <w:szCs w:val="24"/>
        </w:rPr>
        <w:t>he Review</w:t>
      </w:r>
      <w:r w:rsidDel="00742050">
        <w:rPr>
          <w:color w:val="000000"/>
          <w:szCs w:val="24"/>
        </w:rPr>
        <w:t xml:space="preserve"> </w:t>
      </w:r>
      <w:r>
        <w:rPr>
          <w:lang w:val="en-US" w:eastAsia="en-AU"/>
        </w:rPr>
        <w:t>also</w:t>
      </w:r>
      <w:r w:rsidRPr="0046716B">
        <w:rPr>
          <w:lang w:val="en-US" w:eastAsia="en-AU"/>
        </w:rPr>
        <w:t xml:space="preserve"> note</w:t>
      </w:r>
      <w:r>
        <w:rPr>
          <w:lang w:val="en-US" w:eastAsia="en-AU"/>
        </w:rPr>
        <w:t>s</w:t>
      </w:r>
      <w:r w:rsidRPr="0046716B">
        <w:rPr>
          <w:lang w:val="en-US" w:eastAsia="en-AU"/>
        </w:rPr>
        <w:t xml:space="preserve"> other concurrent </w:t>
      </w:r>
      <w:r>
        <w:rPr>
          <w:lang w:val="en-US" w:eastAsia="en-AU"/>
        </w:rPr>
        <w:t>G</w:t>
      </w:r>
      <w:r w:rsidRPr="0046716B">
        <w:rPr>
          <w:lang w:val="en-US" w:eastAsia="en-AU"/>
        </w:rPr>
        <w:t xml:space="preserve">overnment processes that are </w:t>
      </w:r>
      <w:r>
        <w:rPr>
          <w:lang w:val="en-US" w:eastAsia="en-AU"/>
        </w:rPr>
        <w:t xml:space="preserve">currently </w:t>
      </w:r>
      <w:r w:rsidRPr="0046716B">
        <w:rPr>
          <w:lang w:val="en-US" w:eastAsia="en-AU"/>
        </w:rPr>
        <w:t>underway to improve the efficiency of government bodies.</w:t>
      </w:r>
    </w:p>
    <w:p w14:paraId="16A6EAF7" w14:textId="77777777" w:rsidR="00EB2B81" w:rsidRDefault="00EB2B81" w:rsidP="00174EEE">
      <w:pPr>
        <w:pStyle w:val="Heading4"/>
      </w:pPr>
      <w:bookmarkStart w:id="736" w:name="_Toc443307382"/>
      <w:bookmarkStart w:id="737" w:name="_Toc445810598"/>
      <w:bookmarkStart w:id="738" w:name="_Toc449108109"/>
      <w:bookmarkStart w:id="739" w:name="_Toc449432126"/>
      <w:bookmarkStart w:id="740" w:name="_Toc449438593"/>
      <w:bookmarkStart w:id="741" w:name="_Toc449620044"/>
      <w:bookmarkStart w:id="742" w:name="_Toc450310195"/>
      <w:r w:rsidRPr="00C94B3B">
        <w:t xml:space="preserve">Funding </w:t>
      </w:r>
      <w:r>
        <w:t>and Revenue Collection</w:t>
      </w:r>
      <w:bookmarkEnd w:id="736"/>
      <w:bookmarkEnd w:id="737"/>
      <w:bookmarkEnd w:id="738"/>
      <w:bookmarkEnd w:id="739"/>
      <w:bookmarkEnd w:id="740"/>
      <w:bookmarkEnd w:id="741"/>
      <w:bookmarkEnd w:id="742"/>
    </w:p>
    <w:p w14:paraId="1C90C20D" w14:textId="7FB85464" w:rsidR="00EB2B81" w:rsidRDefault="00EB2B81" w:rsidP="00BC43B3">
      <w:r w:rsidRPr="0046716B">
        <w:t xml:space="preserve">The ACMA receives the majority of its revenue through appropriations from the Australian </w:t>
      </w:r>
      <w:r w:rsidRPr="0079781B">
        <w:rPr>
          <w:rFonts w:eastAsia="Times New Roman" w:cs="Arial"/>
          <w:lang w:val="en-US" w:eastAsia="en-AU"/>
        </w:rPr>
        <w:t>Government</w:t>
      </w:r>
      <w:r w:rsidRPr="0046716B">
        <w:t xml:space="preserve">. In </w:t>
      </w:r>
      <w:r w:rsidR="00A1725C">
        <w:t>2015–16</w:t>
      </w:r>
      <w:r w:rsidRPr="0046716B">
        <w:t xml:space="preserve">, the ACMA </w:t>
      </w:r>
      <w:r>
        <w:t>has</w:t>
      </w:r>
      <w:r w:rsidRPr="0046716B">
        <w:t xml:space="preserve"> $71.8</w:t>
      </w:r>
      <w:r>
        <w:t>0</w:t>
      </w:r>
      <w:r w:rsidR="00E549A3">
        <w:t> million</w:t>
      </w:r>
      <w:r w:rsidRPr="0046716B">
        <w:t xml:space="preserve"> in funding</w:t>
      </w:r>
      <w:r>
        <w:t xml:space="preserve"> from </w:t>
      </w:r>
      <w:r w:rsidRPr="0046716B">
        <w:t>budget appropriations, (excluding funding of $11.05</w:t>
      </w:r>
      <w:r w:rsidR="00E549A3">
        <w:t> million</w:t>
      </w:r>
      <w:r w:rsidRPr="0046716B">
        <w:t xml:space="preserve"> designated for the Office of the Children’</w:t>
      </w:r>
      <w:r>
        <w:t xml:space="preserve">s </w:t>
      </w:r>
      <w:r w:rsidR="0032139B">
        <w:t>e</w:t>
      </w:r>
      <w:r>
        <w:t>Safety Commissioner (OCeSC)</w:t>
      </w:r>
      <w:r w:rsidRPr="0046716B">
        <w:t>.</w:t>
      </w:r>
    </w:p>
    <w:p w14:paraId="787128AA" w14:textId="77777777" w:rsidR="00EB2B81" w:rsidRDefault="00EB2B81" w:rsidP="00BC43B3">
      <w:r w:rsidRPr="0046716B">
        <w:t xml:space="preserve">In addition to </w:t>
      </w:r>
      <w:r w:rsidRPr="0079781B">
        <w:rPr>
          <w:rFonts w:eastAsia="Times New Roman" w:cs="Arial"/>
          <w:lang w:val="en-US" w:eastAsia="en-AU"/>
        </w:rPr>
        <w:t>these</w:t>
      </w:r>
      <w:r w:rsidRPr="0046716B">
        <w:t xml:space="preserve"> budget appropriation</w:t>
      </w:r>
      <w:r>
        <w:t>s</w:t>
      </w:r>
      <w:r w:rsidRPr="0046716B">
        <w:t xml:space="preserve">, the ACMA expects to secure own source revenue of </w:t>
      </w:r>
      <w:r>
        <w:br/>
      </w:r>
      <w:r w:rsidRPr="0046716B">
        <w:t>$0.9</w:t>
      </w:r>
      <w:r>
        <w:t>0</w:t>
      </w:r>
      <w:r w:rsidR="00E549A3">
        <w:t> million</w:t>
      </w:r>
      <w:r w:rsidRPr="0046716B">
        <w:t xml:space="preserve"> for the year as part of fee-for-service arrangements.</w:t>
      </w:r>
    </w:p>
    <w:p w14:paraId="2831E796" w14:textId="77777777" w:rsidR="00EB2B81" w:rsidRDefault="00EB2B81" w:rsidP="00BC43B3">
      <w:r>
        <w:t xml:space="preserve">Funding for the </w:t>
      </w:r>
      <w:r w:rsidRPr="0046716B">
        <w:t>ACMA peaked in 2009</w:t>
      </w:r>
      <w:r>
        <w:t>–</w:t>
      </w:r>
      <w:r w:rsidRPr="0046716B">
        <w:t>10 at $111.2</w:t>
      </w:r>
      <w:r w:rsidR="00E549A3">
        <w:t> million</w:t>
      </w:r>
      <w:r w:rsidRPr="0046716B">
        <w:t>, and has since fallen to $</w:t>
      </w:r>
      <w:r>
        <w:t>72.7</w:t>
      </w:r>
      <w:r w:rsidR="00E549A3">
        <w:t> million</w:t>
      </w:r>
      <w:r w:rsidRPr="0046716B">
        <w:t xml:space="preserve"> in </w:t>
      </w:r>
      <w:r w:rsidR="00A1725C">
        <w:t>2015–16</w:t>
      </w:r>
      <w:r>
        <w:t xml:space="preserve"> (excluding OCeSC)</w:t>
      </w:r>
      <w:r w:rsidRPr="0046716B">
        <w:t xml:space="preserve">. </w:t>
      </w:r>
      <w:r>
        <w:t>The peak of the ACMA’s activities coincided with the digital television switchover and restack programmes, which are now both completed.</w:t>
      </w:r>
      <w:r w:rsidRPr="0046716B">
        <w:t xml:space="preserve"> </w:t>
      </w:r>
      <w:r>
        <w:t>F</w:t>
      </w:r>
      <w:r w:rsidRPr="0046716B">
        <w:t xml:space="preserve">unding has declined steadily with employee expenses also starting to fall </w:t>
      </w:r>
      <w:r>
        <w:t>due to</w:t>
      </w:r>
      <w:r w:rsidRPr="0046716B">
        <w:t xml:space="preserve"> reduced overall staffing</w:t>
      </w:r>
      <w:r>
        <w:t xml:space="preserve"> levels</w:t>
      </w:r>
      <w:r w:rsidRPr="0046716B">
        <w:t xml:space="preserve">. Lower staff levels are projected to continue with </w:t>
      </w:r>
      <w:r>
        <w:t>average staffing levels</w:t>
      </w:r>
      <w:r w:rsidRPr="0046716B">
        <w:t xml:space="preserve"> falling from its peak in </w:t>
      </w:r>
      <w:r w:rsidR="00174EEE">
        <w:t>2010–11</w:t>
      </w:r>
      <w:r w:rsidRPr="0046716B">
        <w:t xml:space="preserve"> of 591</w:t>
      </w:r>
      <w:r>
        <w:t>,</w:t>
      </w:r>
      <w:r w:rsidRPr="0046716B">
        <w:t xml:space="preserve"> to 4</w:t>
      </w:r>
      <w:r>
        <w:t>09</w:t>
      </w:r>
      <w:r w:rsidRPr="0046716B">
        <w:t xml:space="preserve"> in </w:t>
      </w:r>
      <w:r w:rsidR="00A1725C">
        <w:t>2015–16</w:t>
      </w:r>
      <w:r>
        <w:t>.</w:t>
      </w:r>
    </w:p>
    <w:p w14:paraId="1D8E39A4" w14:textId="77777777" w:rsidR="00633D3B" w:rsidRDefault="00EB2B81" w:rsidP="00633D3B">
      <w:pPr>
        <w:pStyle w:val="Tablefigureheading"/>
      </w:pPr>
      <w:r w:rsidRPr="00B74305">
        <w:t xml:space="preserve">Figure </w:t>
      </w:r>
      <w:r>
        <w:t>C</w:t>
      </w:r>
      <w:r w:rsidRPr="00B74305">
        <w:t xml:space="preserve">1: </w:t>
      </w:r>
      <w:r w:rsidRPr="00B74305">
        <w:rPr>
          <w:rFonts w:cs="Arial"/>
        </w:rPr>
        <w:t>Funding</w:t>
      </w:r>
      <w:r w:rsidRPr="00B74305">
        <w:t xml:space="preserve"> for the ACMA 2005–15</w:t>
      </w:r>
    </w:p>
    <w:p w14:paraId="7445FB60" w14:textId="77777777" w:rsidR="00633D3B" w:rsidRDefault="00633D3B" w:rsidP="00633D3B">
      <w:r>
        <w:rPr>
          <w:noProof/>
          <w:lang w:eastAsia="en-AU"/>
        </w:rPr>
        <w:drawing>
          <wp:inline distT="0" distB="0" distL="0" distR="0" wp14:anchorId="0F1F235C" wp14:editId="28FA1F3A">
            <wp:extent cx="5926455" cy="1953260"/>
            <wp:effectExtent l="0" t="0" r="0" b="8890"/>
            <wp:docPr id="28" name="Picture 28" descr="Total Departmental Revenue&#10;2005-06: $76,828,000&#10;2006-07: $87,235,000&#10;2007-08: $99,138,000&#10;2008-09: $97,645,000&#10;2009-10: $111,200,000&#10;2010-11: $101,564,000&#10;2011-12: $105,107,000&#10;2012-13: $101,247,000&#10;2013-14: $95,303,000&#10;2014-15: $91,774,000&#10;&#10;Employee expenses&#10;2005-06: $41,670,000&#10;2006-07: $44,267,000&#10;2007-08: $54,650,000&#10;2008-09: $57,334,000&#10;2009-10: $62,570,000&#10;2010-11: $68,939,000&#10;2011-12: $71,270,000&#10;2012-13: $71,467,000&#10;2013-14: $65,263,000&#10;2014-15: $61,783,000&#10;&#10;Net Operating Surplus/Loss&#10;2005-06: $3,030,000&#10;2006-07: $652,000&#10;2007-08: $10,000&#10;2008-09: -$1,326,000&#10;2009-10: $2,163,000&#10;2010-11: -$2,650,000&#10;2011-12: -$1,318,000&#10;2012-13: -$2,617,000&#10;2013-14: $1,411,000&#10;2014-15: $698,000" title="Funding for the ACMA 20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5979"/>
                    <a:stretch/>
                  </pic:blipFill>
                  <pic:spPr bwMode="auto">
                    <a:xfrm>
                      <a:off x="0" y="0"/>
                      <a:ext cx="5926455" cy="1953260"/>
                    </a:xfrm>
                    <a:prstGeom prst="rect">
                      <a:avLst/>
                    </a:prstGeom>
                    <a:ln>
                      <a:noFill/>
                    </a:ln>
                    <a:extLst>
                      <a:ext uri="{53640926-AAD7-44D8-BBD7-CCE9431645EC}">
                        <a14:shadowObscured xmlns:a14="http://schemas.microsoft.com/office/drawing/2010/main"/>
                      </a:ext>
                    </a:extLst>
                  </pic:spPr>
                </pic:pic>
              </a:graphicData>
            </a:graphic>
          </wp:inline>
        </w:drawing>
      </w:r>
    </w:p>
    <w:p w14:paraId="3BC997EC" w14:textId="77777777" w:rsidR="00EB2B81" w:rsidRDefault="00EB2B81" w:rsidP="00EB2B81">
      <w:r w:rsidRPr="003D35A7">
        <w:t xml:space="preserve">The ACMA generates revenue for the Commonwealth through asset sales, cost recovery, taxes and levies. It collected annual </w:t>
      </w:r>
      <w:r w:rsidRPr="005B26CA">
        <w:rPr>
          <w:color w:val="000000" w:themeColor="text1"/>
        </w:rPr>
        <w:t>revenues (excluding sale of spectrum) ranging from approximately $580</w:t>
      </w:r>
      <w:r w:rsidR="00E549A3">
        <w:rPr>
          <w:color w:val="000000" w:themeColor="text1"/>
        </w:rPr>
        <w:t> million</w:t>
      </w:r>
      <w:r w:rsidRPr="005B26CA">
        <w:rPr>
          <w:color w:val="000000" w:themeColor="text1"/>
        </w:rPr>
        <w:t xml:space="preserve"> to $657</w:t>
      </w:r>
      <w:r w:rsidR="00E549A3">
        <w:rPr>
          <w:color w:val="000000" w:themeColor="text1"/>
        </w:rPr>
        <w:t> million</w:t>
      </w:r>
      <w:r w:rsidRPr="005B26CA">
        <w:rPr>
          <w:color w:val="000000" w:themeColor="text1"/>
        </w:rPr>
        <w:t xml:space="preserve"> between </w:t>
      </w:r>
      <w:r w:rsidR="00A1725C">
        <w:rPr>
          <w:color w:val="000000" w:themeColor="text1"/>
        </w:rPr>
        <w:t>2010–11</w:t>
      </w:r>
      <w:r w:rsidRPr="005B26CA">
        <w:rPr>
          <w:color w:val="000000" w:themeColor="text1"/>
        </w:rPr>
        <w:t xml:space="preserve"> to 2014</w:t>
      </w:r>
      <w:r w:rsidR="00A1725C">
        <w:rPr>
          <w:rFonts w:eastAsia="Times New Roman"/>
          <w:lang w:eastAsia="en-AU"/>
        </w:rPr>
        <w:t>–</w:t>
      </w:r>
      <w:r w:rsidRPr="005B26CA">
        <w:rPr>
          <w:color w:val="000000" w:themeColor="text1"/>
        </w:rPr>
        <w:t xml:space="preserve">15. </w:t>
      </w:r>
      <w:r w:rsidRPr="003D35A7">
        <w:t>With the exception of own source revenue, all of the revenue raised by the ACMA is returned to the Consolidated Revenue Fund and has no impact on the ACMA’s operational or capital funding.</w:t>
      </w:r>
    </w:p>
    <w:p w14:paraId="3FD610ED" w14:textId="77777777" w:rsidR="00F54131" w:rsidRPr="00F54131" w:rsidRDefault="00F54131" w:rsidP="00F54131">
      <w:pPr>
        <w:pStyle w:val="Tablefigureheading"/>
        <w:spacing w:before="0" w:after="120"/>
      </w:pPr>
      <w:r w:rsidRPr="005B26CA">
        <w:t xml:space="preserve">Table </w:t>
      </w:r>
      <w:r>
        <w:t>C1</w:t>
      </w:r>
      <w:r w:rsidRPr="005B26CA">
        <w:t>: Eleven-year funding profile for the ACMA, 2005</w:t>
      </w:r>
      <w:r>
        <w:rPr>
          <w:rFonts w:eastAsia="Times New Roman"/>
          <w:lang w:eastAsia="en-AU"/>
        </w:rPr>
        <w:t>–</w:t>
      </w:r>
      <w:r w:rsidRPr="005B26CA">
        <w:t>06 to 2015–16 ($m)</w:t>
      </w:r>
      <w:r>
        <w:rPr>
          <w:rStyle w:val="FootnoteReference"/>
          <w:rFonts w:cs="Arial"/>
        </w:rPr>
        <w:footnoteReference w:id="132"/>
      </w:r>
    </w:p>
    <w:tbl>
      <w:tblPr>
        <w:tblStyle w:val="PlainTable5"/>
        <w:tblW w:w="9493" w:type="dxa"/>
        <w:tblLayout w:type="fixed"/>
        <w:tblLook w:val="04A0" w:firstRow="1" w:lastRow="0" w:firstColumn="1" w:lastColumn="0" w:noHBand="0" w:noVBand="1"/>
        <w:tblCaption w:val="Eleven-year funding profile for the ACMA, 2005-06 to 2015-16"/>
        <w:tblDescription w:val="Figures are in units of millions of dollars&#10;Budget year 2005-06&#10;Appropriations (Base): 71.454&#10;Add NPPs: 1.403&#10;OCeSC: N/A&#10;Approved loss: N/A&#10;Total Appropriation: 72.857&#10;Other revenue: 3.971&#10;Minus OCeSC: N/A &#10;Total: 76.828&#10; &#10;Expenses: 73.798&#10;Employee expenses: 41.670&#10;Employee percentage of total expenses (excluding depreciation): 61%&#10;Supplier and other expenses: 26.426&#10;Depreciation: 5.702&#10; &#10;Surplus/(Loss): 3.030&#10;add depreciation loss: N/A &#10;OCeSC Unspent Rollover: N/A&#10;Net Surplus/Loss: 3.030&#10; &#10;Revenue Raised&#10;Total Administered Income: 751.247&#10;Other Revenue (BLF, TIL, ACLC, ANC, etc.): 751.247&#10;Sale of assets (Spectrum – Digital Dividend): N/A&#10; &#10;Return on Appropriation Ratio (Administered Income/Total Appropriation): 10.3&#10;&#10;Budget year 2006-07&#10;Appropriations (Base): 74.656&#10;Add NPPs: 7.433&#10;OCeSC: N/A&#10;Approved loss: 2.592&#10;Total Appropriation: 84.681&#10;Other revenue: 2.554&#10;Minus OCeSC: N/A &#10;Total: 87.235&#10; &#10;Expenses: 86.583&#10;Employee expenses: 44.267&#10;Employee percentage of total expenses (excluding depreciation): 54%&#10;Supplier and other expenses: 37.305&#10;Depreciation: 5.011&#10; &#10;Surplus/(Loss): 0.652&#10;add depreciation loss: N/A &#10;OCeSC Unspent Rollover: N/A&#10;Net Surplus/Loss: 0.652&#10; &#10;Revenue Raised&#10;Total Administered Income: 703.891&#10;Other Revenue (BLF, TIL, ACLC, ANC, etc.): 703.891&#10;Sale of assets (Spectrum – Digital Dividend): N/A&#10; &#10;Return on Appropriation Ratio (Administered Income/Total Appropriation): 8.3&#10;&#10;Budget year 2007-08&#10;Appropriations (Base): 72.208&#10;Add NPPs: 25.021&#10;OCeSC: N/A&#10;Approved loss: 0.049&#10;Total Appropriation: 97.278&#10;Other revenue: 1.860&#10;Minus OCeSC: N/A &#10;Total: 99.138&#10; &#10;Expenses: 99.128&#10;Employee expenses: 54.650&#10;Employee percentage of total expenses (excluding depreciation): 58%&#10;Supplier and other expenses: 40.287&#10;Depreciation: 4.191&#10; &#10;Surplus/(Loss): 0.010&#10;add depreciation loss: N/A &#10;OCeSC Unspent Rollover: N/A&#10;Net Surplus/Loss: 0.010&#10; &#10;Revenue Raised&#10;Total Administered Income: 708.454&#10;Other Revenue (BLF, TIL, ACLC, ANC, etc.): 708.454&#10;Sale of assets (Spectrum – Digital Dividend): N/A&#10; &#10;Return on Appropriation Ratio (Administered Income/Total Appropriation): 7.3&#10;&#10;Budget year 2008-09&#10;Appropriations (Base): 75.526&#10;Add NPPs: 19.790&#10;OCeSC: N/A&#10;Approved loss: N/A&#10;Total Appropriation: 95.316&#10;Other revenue: 2.329&#10;Minus OCeSC: N/A &#10;Total: 97.645&#10; &#10;Expenses: 98.971&#10;Employee expenses: 57.334&#10;Employee percentage of total expenses (excluding depreciation): 61%&#10;Supplier and other expenses: 37.416&#10;Depreciation: 4.221&#10; &#10;Surplus/(Loss): -1.326&#10;add depreciation loss: N/A &#10;OCeSC Unspent Rollover: N/A&#10;Net Surplus/Loss: -1.326&#10; &#10;Revenue Raised&#10;Total Administered Income: 757.142&#10;Other Revenue (BLF, TIL, ACLC, ANC, etc.): 757.142&#10;Sale of assets (Spectrum – Digital Dividend): N/A&#10; &#10;Return on Appropriation Ratio (Administered Income/Total Appropriation): 7.9&#10;&#10;&#10;Budget year 2009-10&#10;Appropriations (Base): 76.726&#10;Add NPPs: 31.497&#10;OCeSC: N/A&#10;Approved loss: N/A&#10;Total Appropriation: 108.223&#10;Other revenue: 2.977&#10;Minus OCeSC: N/A &#10;Total: 111.200&#10; &#10;Expenses: 109.037&#10;Employee expenses: 62.570&#10;Employee percentage of total expenses (excluding depreciation): 60%&#10;Supplier and other expenses: 41.441&#10;Depreciation: 5.026&#10; &#10;Surplus/(Loss): 2.163&#10;add depreciation loss: N/A &#10;OCeSC Unspent Rollover: N/A&#10;Net Surplus/Loss: 2.163&#10; &#10;Revenue Raised&#10;Total Administered Income: 687.683&#10;Other Revenue (BLF, TIL, ACLC, ANC, etc.): 687.683&#10;Sale of assets (Spectrum – Digital Dividend): N/A&#10; &#10;Return on Appropriation Ratio (Administered Income/Total Appropriation): 6.4&#10;&#10;&#10;Budget year 2010-11&#10;Appropriations (Base): 62.903&#10;Add NPPs: 36.032&#10;OCeSC: N/A&#10;Approved loss: 1.600&#10;Total Appropriation: 100.535&#10;Other revenue: 1.029&#10;Minus OCeSC: N/A &#10;Total: 101.564&#10; &#10;Expenses: 111.216&#10;Employee expenses: 68.939&#10;Employee percentage of total expenses (excluding depreciation): 66%&#10;Supplier and other expenses: 35.275&#10;Depreciation: 7.002&#10; &#10;Surplus/(Loss): -9.652&#10;add depreciation loss: 7.002 &#10;OCeSC Unspent Rollover: N/A&#10;Net Surplus/Loss: -2.650&#10; &#10;Revenue Raised&#10;Total Administered Income: 580.135&#10;Other Revenue (BLF, TIL, ACLC, ANC, etc.): 580.135&#10;Sale of assets (Spectrum – Digital Dividend): N/A&#10; &#10;Return on Appropriation Ratio (Administered Income/Total Appropriation): 5.8&#10;&#10;&#10;Budget year 2011/12&#10;Appropriations (Base): 67.609&#10;Add NPPs: 35.917&#10;OCeSC: N/A&#10;Approved loss: 0.531&#10;Total Appropriation: 104.057&#10;Other revenue: 1.050&#10;Minus OCeSC: N/A &#10;Total: 105.107&#10; &#10;Expenses: 112.769&#10;Employee expenses: 71.270&#10;Employee percentage of total expenses (excluding depreciation): 67%&#10;Supplier and other expenses: 35.155&#10;Depreciation: 6.344&#10; &#10;Surplus/(Loss): -7.662&#10;add depreciation loss: 6.344 &#10;OCeSC Unspent Rollover: N/A&#10;Net Surplus/Loss: -1.318&#10; &#10;Revenue Raised&#10;Total Administered Income: 646.375&#10;Other Revenue (BLF, TIL, ACLC, ANC, etc.): 646.375&#10;Sale of assets (Spectrum – Digital Dividend): N/A&#10; &#10;Return on Appropriation Ratio (Administered Income/Total Appropriation): 6.2&#10;&#10;&#10;Budget year 2012-13&#10;Appropriations (Base): 64.128&#10;Add NPPs: 35.143&#10;OCeSC: N/A&#10;Approved loss: N/A&#10;Total Appropriation: 99.271&#10;Other revenue: 1.976&#10;Minus OCeSC: N/A &#10;Total: 101.247&#10; &#10;Expenses: 111.252&#10;Employee expenses: 71.467&#10;Employee percentage of total expenses (excluding depreciation): 69%&#10;Supplier and other expenses: 32.397&#10;Depreciation: 7.388&#10; &#10;Surplus/(Loss): -10.005&#10;add depreciation loss: 7.388 &#10;OCeSC Unspent Rollover: N/A&#10;Net Surplus/Loss: -2.617&#10; &#10;Revenue Raised&#10;Total Administered Income: 2,022.046&#10;Other Revenue (BLF, TIL, ACLC, ANC, etc.): 538.669&#10;Sale of assets (Spectrum – Digital Dividend): 1,483.377&#10; &#10;Return on Appropriation Ratio (Administered Income/Total Appropriation): 20.4&#10;&#10;&#10;Budget year 2013-14&#10;Appropriations (Base): 63.911&#10;Add NPPs: 28.476&#10;OCeSC: N/A&#10;Approved loss: N/A&#10;Total Appropriation: 92.387&#10;Other revenue: 2.916&#10;Minus OCeSC: N/A &#10;Total: 95.303&#10; &#10;Expenses: 102.527&#10;Employee expenses: 65.263&#10;Employee percentage of total expenses (excluding depreciation): 70%&#10;Supplier and other expenses: 28.629&#10;Depreciation: 8.635&#10; &#10;Surplus/(Loss): -7.224&#10;add depreciation loss: 8.635 &#10;OCeSC Unspent Rollover: N/A&#10;Net Surplus/Loss: 1.411&#10; &#10;Revenue Raised&#10;Total Administered Income: 656.983&#10;Other Revenue (BLF, TIL, ACLC, ANC, etc.): 656.983&#10;Sale of assets (Spectrum – Digital Dividend): N/A&#10; &#10;Return on Appropriation Ratio (Administered Income/Total Appropriation): 7.1&#10;&#10;&#10;Budget year 2014-15&#10;Appropriations (Base): 63.161&#10;Add NPPs: 26.072&#10;OCeSC: N/A&#10;Approved loss: N/A&#10;Total Appropriation: 89.233&#10;Other revenue: 2.541&#10;Minus OCeSC: N/A &#10;Total: 91.774&#10; &#10;Expenses: 99.837&#10;Employee expenses: 61.783&#10;Employee percentage of total expenses (excluding depreciation): 69%&#10;Supplier and other expenses: 28.019&#10;Depreciation: 10.035&#10; &#10;Surplus/(Loss): -8.063&#10;add depreciation loss: 10.035&#10;OCeSC Unspent Rollover: -1.274&#10;Net Surplus/Loss: 0.698&#10; &#10;Revenue Raised&#10;Total Administered Income: 2,789.176&#10;Other Revenue (BLF, TIL, ACLC, ANC, etc.): 660.948&#10;Sale of assets (Spectrum – Digital Dividend): 2,128.228&#10; &#10;Return on Appropriation Ratio (Administered Income/Total Appropriation): 31.3&#10;&#10;&#10;Budget year 2015-16&#10;Appropriations (Base): 59.141&#10;Add NPPs: 12.675&#10;OCeSC: 11.051&#10;Approved loss: N/A&#10;Total Appropriation: 82.867&#10;Other revenue: 0.900&#10;Minus OCeSC: -11.051&#10;Total: 72.716&#10; &#10;Expenses: 81.744&#10;Employee expenses: 54.129&#10;Employee percentage of total expenses (excluding depreciation): 74%&#10;Supplier and other expenses: 18.587&#10;Depreciation: 9.028&#10; &#10;Surplus/(Loss): -9.028&#10;add depreciation loss: 9.028&#10;OCeSC Unspent Rollover: N/A&#10;Net Surplus/Loss: 0.000&#10; &#10;Revenue Raised&#10;Total Administered Income: 800.541&#10;Other Revenue (BLF, TIL, ACLC, ANC, etc.): 677.241&#10;Sale of assets (Spectrum – Digital Dividend): 123.300&#10; &#10;Return on Appropriation Ratio (Administered Income/Total Appropriation): 9.7&#10;&#10;Note: 2014-15 and 2015-16 budget figures are based on estimates and includes the Office of the Children's e-Safety Commissioner budget. The surplus excludes an estimated underspend in 2014-15 of $1.274m for the Office of the Children's e-Safety Commissioner to be rolled over as funding for 2015-16 (with an application to DoF for an approved loss to be prepared for 2015-16)."/>
      </w:tblPr>
      <w:tblGrid>
        <w:gridCol w:w="1696"/>
        <w:gridCol w:w="709"/>
        <w:gridCol w:w="709"/>
        <w:gridCol w:w="709"/>
        <w:gridCol w:w="708"/>
        <w:gridCol w:w="709"/>
        <w:gridCol w:w="709"/>
        <w:gridCol w:w="709"/>
        <w:gridCol w:w="708"/>
        <w:gridCol w:w="709"/>
        <w:gridCol w:w="709"/>
        <w:gridCol w:w="709"/>
      </w:tblGrid>
      <w:tr w:rsidR="00EB2B81" w:rsidRPr="00630AFE" w14:paraId="058B3402" w14:textId="77777777" w:rsidTr="00F54131">
        <w:trPr>
          <w:cnfStyle w:val="100000000000" w:firstRow="1" w:lastRow="0" w:firstColumn="0" w:lastColumn="0" w:oddVBand="0" w:evenVBand="0" w:oddHBand="0" w:evenHBand="0" w:firstRowFirstColumn="0" w:firstRowLastColumn="0" w:lastRowFirstColumn="0" w:lastRowLastColumn="0"/>
          <w:trHeight w:val="177"/>
          <w:tblHeader/>
        </w:trPr>
        <w:tc>
          <w:tcPr>
            <w:cnfStyle w:val="001000000100" w:firstRow="0" w:lastRow="0" w:firstColumn="1" w:lastColumn="0" w:oddVBand="0" w:evenVBand="0" w:oddHBand="0" w:evenHBand="0" w:firstRowFirstColumn="1" w:firstRowLastColumn="0" w:lastRowFirstColumn="0" w:lastRowLastColumn="0"/>
            <w:tcW w:w="1696" w:type="dxa"/>
          </w:tcPr>
          <w:p w14:paraId="125425EC" w14:textId="77777777" w:rsidR="00EB2B81" w:rsidRPr="00630AFE" w:rsidRDefault="00EB2B81" w:rsidP="00F54131">
            <w:pPr>
              <w:rPr>
                <w:sz w:val="12"/>
                <w:szCs w:val="12"/>
              </w:rPr>
            </w:pPr>
            <w:r w:rsidRPr="00630AFE">
              <w:rPr>
                <w:sz w:val="12"/>
                <w:szCs w:val="12"/>
              </w:rPr>
              <w:t>Budget Year&gt;</w:t>
            </w:r>
          </w:p>
        </w:tc>
        <w:tc>
          <w:tcPr>
            <w:tcW w:w="709" w:type="dxa"/>
          </w:tcPr>
          <w:p w14:paraId="413F8FB3" w14:textId="77777777" w:rsidR="00EB2B81" w:rsidRPr="00630AFE" w:rsidRDefault="00EB2B81" w:rsidP="00F54131">
            <w:pPr>
              <w:jc w:val="center"/>
              <w:cnfStyle w:val="100000000000" w:firstRow="1" w:lastRow="0" w:firstColumn="0" w:lastColumn="0" w:oddVBand="0" w:evenVBand="0" w:oddHBand="0" w:evenHBand="0" w:firstRowFirstColumn="0" w:firstRowLastColumn="0" w:lastRowFirstColumn="0" w:lastRowLastColumn="0"/>
              <w:rPr>
                <w:sz w:val="12"/>
                <w:szCs w:val="12"/>
              </w:rPr>
            </w:pPr>
            <w:r w:rsidRPr="00630AFE">
              <w:rPr>
                <w:sz w:val="12"/>
                <w:szCs w:val="12"/>
              </w:rPr>
              <w:t>2005</w:t>
            </w:r>
            <w:r w:rsidR="00A1725C">
              <w:rPr>
                <w:sz w:val="12"/>
                <w:szCs w:val="12"/>
              </w:rPr>
              <w:t>–</w:t>
            </w:r>
            <w:r w:rsidRPr="00630AFE">
              <w:rPr>
                <w:sz w:val="12"/>
                <w:szCs w:val="12"/>
              </w:rPr>
              <w:t>06</w:t>
            </w:r>
          </w:p>
        </w:tc>
        <w:tc>
          <w:tcPr>
            <w:tcW w:w="709" w:type="dxa"/>
          </w:tcPr>
          <w:p w14:paraId="3E788C03" w14:textId="77777777" w:rsidR="00EB2B81" w:rsidRPr="00630AFE" w:rsidRDefault="00EB2B81" w:rsidP="00F54131">
            <w:pPr>
              <w:jc w:val="center"/>
              <w:cnfStyle w:val="100000000000" w:firstRow="1" w:lastRow="0" w:firstColumn="0" w:lastColumn="0" w:oddVBand="0" w:evenVBand="0" w:oddHBand="0" w:evenHBand="0" w:firstRowFirstColumn="0" w:firstRowLastColumn="0" w:lastRowFirstColumn="0" w:lastRowLastColumn="0"/>
              <w:rPr>
                <w:sz w:val="12"/>
                <w:szCs w:val="12"/>
              </w:rPr>
            </w:pPr>
            <w:r w:rsidRPr="00630AFE">
              <w:rPr>
                <w:sz w:val="12"/>
                <w:szCs w:val="12"/>
              </w:rPr>
              <w:t>2006</w:t>
            </w:r>
            <w:r w:rsidR="00A1725C">
              <w:rPr>
                <w:sz w:val="12"/>
                <w:szCs w:val="12"/>
              </w:rPr>
              <w:t>–</w:t>
            </w:r>
            <w:r w:rsidRPr="00630AFE">
              <w:rPr>
                <w:sz w:val="12"/>
                <w:szCs w:val="12"/>
              </w:rPr>
              <w:t>07</w:t>
            </w:r>
          </w:p>
        </w:tc>
        <w:tc>
          <w:tcPr>
            <w:tcW w:w="709" w:type="dxa"/>
          </w:tcPr>
          <w:p w14:paraId="31A01B98" w14:textId="77777777" w:rsidR="00EB2B81" w:rsidRPr="00630AFE" w:rsidRDefault="00EB2B81" w:rsidP="00F54131">
            <w:pPr>
              <w:jc w:val="center"/>
              <w:cnfStyle w:val="100000000000" w:firstRow="1" w:lastRow="0" w:firstColumn="0" w:lastColumn="0" w:oddVBand="0" w:evenVBand="0" w:oddHBand="0" w:evenHBand="0" w:firstRowFirstColumn="0" w:firstRowLastColumn="0" w:lastRowFirstColumn="0" w:lastRowLastColumn="0"/>
              <w:rPr>
                <w:sz w:val="12"/>
                <w:szCs w:val="12"/>
              </w:rPr>
            </w:pPr>
            <w:r w:rsidRPr="00630AFE">
              <w:rPr>
                <w:sz w:val="12"/>
                <w:szCs w:val="12"/>
              </w:rPr>
              <w:t>2007</w:t>
            </w:r>
            <w:r w:rsidR="00A1725C">
              <w:rPr>
                <w:sz w:val="12"/>
                <w:szCs w:val="12"/>
              </w:rPr>
              <w:t>–</w:t>
            </w:r>
            <w:r w:rsidRPr="00630AFE">
              <w:rPr>
                <w:sz w:val="12"/>
                <w:szCs w:val="12"/>
              </w:rPr>
              <w:t>08</w:t>
            </w:r>
          </w:p>
        </w:tc>
        <w:tc>
          <w:tcPr>
            <w:tcW w:w="708" w:type="dxa"/>
          </w:tcPr>
          <w:p w14:paraId="664F5B27" w14:textId="77777777" w:rsidR="00EB2B81" w:rsidRPr="00630AFE" w:rsidRDefault="00EB2B81" w:rsidP="00F54131">
            <w:pPr>
              <w:jc w:val="center"/>
              <w:cnfStyle w:val="100000000000" w:firstRow="1" w:lastRow="0" w:firstColumn="0" w:lastColumn="0" w:oddVBand="0" w:evenVBand="0" w:oddHBand="0" w:evenHBand="0" w:firstRowFirstColumn="0" w:firstRowLastColumn="0" w:lastRowFirstColumn="0" w:lastRowLastColumn="0"/>
              <w:rPr>
                <w:sz w:val="12"/>
                <w:szCs w:val="12"/>
              </w:rPr>
            </w:pPr>
            <w:r w:rsidRPr="00630AFE">
              <w:rPr>
                <w:sz w:val="12"/>
                <w:szCs w:val="12"/>
              </w:rPr>
              <w:t>2008</w:t>
            </w:r>
            <w:r w:rsidR="00A1725C">
              <w:rPr>
                <w:sz w:val="12"/>
                <w:szCs w:val="12"/>
              </w:rPr>
              <w:t>–</w:t>
            </w:r>
            <w:r w:rsidRPr="00630AFE">
              <w:rPr>
                <w:sz w:val="12"/>
                <w:szCs w:val="12"/>
              </w:rPr>
              <w:t>09</w:t>
            </w:r>
          </w:p>
        </w:tc>
        <w:tc>
          <w:tcPr>
            <w:tcW w:w="709" w:type="dxa"/>
          </w:tcPr>
          <w:p w14:paraId="0D68C535" w14:textId="77777777" w:rsidR="00EB2B81" w:rsidRPr="00630AFE" w:rsidRDefault="00EB2B81" w:rsidP="00F54131">
            <w:pPr>
              <w:jc w:val="center"/>
              <w:cnfStyle w:val="100000000000" w:firstRow="1" w:lastRow="0" w:firstColumn="0" w:lastColumn="0" w:oddVBand="0" w:evenVBand="0" w:oddHBand="0" w:evenHBand="0" w:firstRowFirstColumn="0" w:firstRowLastColumn="0" w:lastRowFirstColumn="0" w:lastRowLastColumn="0"/>
              <w:rPr>
                <w:sz w:val="12"/>
                <w:szCs w:val="12"/>
              </w:rPr>
            </w:pPr>
            <w:r w:rsidRPr="00630AFE">
              <w:rPr>
                <w:sz w:val="12"/>
                <w:szCs w:val="12"/>
              </w:rPr>
              <w:t>2009</w:t>
            </w:r>
            <w:r w:rsidR="00A1725C">
              <w:rPr>
                <w:sz w:val="12"/>
                <w:szCs w:val="12"/>
              </w:rPr>
              <w:t>–</w:t>
            </w:r>
            <w:r w:rsidRPr="00630AFE">
              <w:rPr>
                <w:sz w:val="12"/>
                <w:szCs w:val="12"/>
              </w:rPr>
              <w:t>10</w:t>
            </w:r>
          </w:p>
        </w:tc>
        <w:tc>
          <w:tcPr>
            <w:tcW w:w="709" w:type="dxa"/>
          </w:tcPr>
          <w:p w14:paraId="07623429" w14:textId="77777777" w:rsidR="00EB2B81" w:rsidRPr="00630AFE" w:rsidRDefault="00EB2B81" w:rsidP="00F54131">
            <w:pPr>
              <w:jc w:val="center"/>
              <w:cnfStyle w:val="100000000000" w:firstRow="1" w:lastRow="0" w:firstColumn="0" w:lastColumn="0" w:oddVBand="0" w:evenVBand="0" w:oddHBand="0" w:evenHBand="0" w:firstRowFirstColumn="0" w:firstRowLastColumn="0" w:lastRowFirstColumn="0" w:lastRowLastColumn="0"/>
              <w:rPr>
                <w:sz w:val="12"/>
                <w:szCs w:val="12"/>
              </w:rPr>
            </w:pPr>
            <w:r w:rsidRPr="00630AFE">
              <w:rPr>
                <w:sz w:val="12"/>
                <w:szCs w:val="12"/>
              </w:rPr>
              <w:t>2010</w:t>
            </w:r>
            <w:r w:rsidR="00A1725C">
              <w:rPr>
                <w:sz w:val="12"/>
                <w:szCs w:val="12"/>
              </w:rPr>
              <w:t>–</w:t>
            </w:r>
            <w:r w:rsidRPr="00630AFE">
              <w:rPr>
                <w:sz w:val="12"/>
                <w:szCs w:val="12"/>
              </w:rPr>
              <w:t>11</w:t>
            </w:r>
          </w:p>
        </w:tc>
        <w:tc>
          <w:tcPr>
            <w:tcW w:w="709" w:type="dxa"/>
          </w:tcPr>
          <w:p w14:paraId="5D77BB52" w14:textId="77777777" w:rsidR="00EB2B81" w:rsidRPr="00630AFE" w:rsidRDefault="00EB2B81" w:rsidP="00F54131">
            <w:pPr>
              <w:jc w:val="center"/>
              <w:cnfStyle w:val="100000000000" w:firstRow="1" w:lastRow="0" w:firstColumn="0" w:lastColumn="0" w:oddVBand="0" w:evenVBand="0" w:oddHBand="0" w:evenHBand="0" w:firstRowFirstColumn="0" w:firstRowLastColumn="0" w:lastRowFirstColumn="0" w:lastRowLastColumn="0"/>
              <w:rPr>
                <w:sz w:val="12"/>
                <w:szCs w:val="12"/>
              </w:rPr>
            </w:pPr>
            <w:r w:rsidRPr="00630AFE">
              <w:rPr>
                <w:sz w:val="12"/>
                <w:szCs w:val="12"/>
              </w:rPr>
              <w:t>2011</w:t>
            </w:r>
            <w:r w:rsidR="00A1725C">
              <w:rPr>
                <w:sz w:val="12"/>
                <w:szCs w:val="12"/>
              </w:rPr>
              <w:t>–</w:t>
            </w:r>
            <w:r w:rsidRPr="00630AFE">
              <w:rPr>
                <w:sz w:val="12"/>
                <w:szCs w:val="12"/>
              </w:rPr>
              <w:t>12</w:t>
            </w:r>
          </w:p>
        </w:tc>
        <w:tc>
          <w:tcPr>
            <w:tcW w:w="708" w:type="dxa"/>
          </w:tcPr>
          <w:p w14:paraId="555A1BFE" w14:textId="77777777" w:rsidR="00EB2B81" w:rsidRPr="00630AFE" w:rsidRDefault="00EB2B81" w:rsidP="00F54131">
            <w:pPr>
              <w:jc w:val="center"/>
              <w:cnfStyle w:val="100000000000" w:firstRow="1" w:lastRow="0" w:firstColumn="0" w:lastColumn="0" w:oddVBand="0" w:evenVBand="0" w:oddHBand="0" w:evenHBand="0" w:firstRowFirstColumn="0" w:firstRowLastColumn="0" w:lastRowFirstColumn="0" w:lastRowLastColumn="0"/>
              <w:rPr>
                <w:sz w:val="12"/>
                <w:szCs w:val="12"/>
              </w:rPr>
            </w:pPr>
            <w:r w:rsidRPr="00630AFE">
              <w:rPr>
                <w:sz w:val="12"/>
                <w:szCs w:val="12"/>
              </w:rPr>
              <w:t>2012</w:t>
            </w:r>
            <w:r w:rsidR="00A1725C">
              <w:rPr>
                <w:sz w:val="12"/>
                <w:szCs w:val="12"/>
              </w:rPr>
              <w:t>–</w:t>
            </w:r>
            <w:r w:rsidRPr="00630AFE">
              <w:rPr>
                <w:sz w:val="12"/>
                <w:szCs w:val="12"/>
              </w:rPr>
              <w:t>13</w:t>
            </w:r>
          </w:p>
        </w:tc>
        <w:tc>
          <w:tcPr>
            <w:tcW w:w="709" w:type="dxa"/>
          </w:tcPr>
          <w:p w14:paraId="7CF0CBFE" w14:textId="77777777" w:rsidR="00EB2B81" w:rsidRPr="00630AFE" w:rsidRDefault="00EB2B81" w:rsidP="00F54131">
            <w:pPr>
              <w:jc w:val="center"/>
              <w:cnfStyle w:val="100000000000" w:firstRow="1" w:lastRow="0" w:firstColumn="0" w:lastColumn="0" w:oddVBand="0" w:evenVBand="0" w:oddHBand="0" w:evenHBand="0" w:firstRowFirstColumn="0" w:firstRowLastColumn="0" w:lastRowFirstColumn="0" w:lastRowLastColumn="0"/>
              <w:rPr>
                <w:sz w:val="12"/>
                <w:szCs w:val="12"/>
              </w:rPr>
            </w:pPr>
            <w:r w:rsidRPr="00630AFE">
              <w:rPr>
                <w:sz w:val="12"/>
                <w:szCs w:val="12"/>
              </w:rPr>
              <w:t>2013</w:t>
            </w:r>
            <w:r w:rsidR="00A1725C">
              <w:rPr>
                <w:sz w:val="12"/>
                <w:szCs w:val="12"/>
              </w:rPr>
              <w:t>–</w:t>
            </w:r>
            <w:r w:rsidRPr="00630AFE">
              <w:rPr>
                <w:sz w:val="12"/>
                <w:szCs w:val="12"/>
              </w:rPr>
              <w:t>14</w:t>
            </w:r>
          </w:p>
        </w:tc>
        <w:tc>
          <w:tcPr>
            <w:tcW w:w="709" w:type="dxa"/>
          </w:tcPr>
          <w:p w14:paraId="3CCEBE9E" w14:textId="77777777" w:rsidR="00EB2B81" w:rsidRPr="00630AFE" w:rsidRDefault="00A1725C" w:rsidP="00F54131">
            <w:pPr>
              <w:jc w:val="center"/>
              <w:cnfStyle w:val="100000000000" w:firstRow="1" w:lastRow="0" w:firstColumn="0" w:lastColumn="0" w:oddVBand="0" w:evenVBand="0" w:oddHBand="0" w:evenHBand="0" w:firstRowFirstColumn="0" w:firstRowLastColumn="0" w:lastRowFirstColumn="0" w:lastRowLastColumn="0"/>
              <w:rPr>
                <w:sz w:val="12"/>
                <w:szCs w:val="12"/>
              </w:rPr>
            </w:pPr>
            <w:r>
              <w:rPr>
                <w:sz w:val="12"/>
                <w:szCs w:val="12"/>
              </w:rPr>
              <w:t>2014–15</w:t>
            </w:r>
            <w:r w:rsidR="00EB2B81" w:rsidRPr="00630AFE">
              <w:rPr>
                <w:sz w:val="12"/>
                <w:szCs w:val="12"/>
              </w:rPr>
              <w:t>*</w:t>
            </w:r>
          </w:p>
        </w:tc>
        <w:tc>
          <w:tcPr>
            <w:tcW w:w="709" w:type="dxa"/>
          </w:tcPr>
          <w:p w14:paraId="62738A3D" w14:textId="77777777" w:rsidR="00EB2B81" w:rsidRPr="00630AFE" w:rsidRDefault="00A1725C" w:rsidP="00F54131">
            <w:pPr>
              <w:jc w:val="center"/>
              <w:cnfStyle w:val="100000000000" w:firstRow="1" w:lastRow="0" w:firstColumn="0" w:lastColumn="0" w:oddVBand="0" w:evenVBand="0" w:oddHBand="0" w:evenHBand="0" w:firstRowFirstColumn="0" w:firstRowLastColumn="0" w:lastRowFirstColumn="0" w:lastRowLastColumn="0"/>
              <w:rPr>
                <w:sz w:val="12"/>
                <w:szCs w:val="12"/>
              </w:rPr>
            </w:pPr>
            <w:r>
              <w:rPr>
                <w:sz w:val="12"/>
                <w:szCs w:val="12"/>
              </w:rPr>
              <w:t>2015–16</w:t>
            </w:r>
            <w:r w:rsidR="00EB2B81" w:rsidRPr="00630AFE">
              <w:rPr>
                <w:sz w:val="12"/>
                <w:szCs w:val="12"/>
              </w:rPr>
              <w:t>*</w:t>
            </w:r>
          </w:p>
        </w:tc>
      </w:tr>
      <w:tr w:rsidR="00EB2B81" w:rsidRPr="00630AFE" w14:paraId="4BA39608" w14:textId="77777777" w:rsidTr="00F54131">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696" w:type="dxa"/>
          </w:tcPr>
          <w:p w14:paraId="4856EF24" w14:textId="77777777" w:rsidR="00EB2B81" w:rsidRPr="00630AFE" w:rsidRDefault="00EB2B81" w:rsidP="00F54131">
            <w:pPr>
              <w:rPr>
                <w:sz w:val="12"/>
                <w:szCs w:val="12"/>
              </w:rPr>
            </w:pPr>
            <w:r w:rsidRPr="00630AFE">
              <w:rPr>
                <w:sz w:val="12"/>
                <w:szCs w:val="12"/>
              </w:rPr>
              <w:t>Appropriations (Base)</w:t>
            </w:r>
          </w:p>
        </w:tc>
        <w:tc>
          <w:tcPr>
            <w:tcW w:w="709" w:type="dxa"/>
          </w:tcPr>
          <w:p w14:paraId="4A211DAE"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r w:rsidRPr="00630AFE">
              <w:rPr>
                <w:sz w:val="12"/>
                <w:szCs w:val="12"/>
              </w:rPr>
              <w:t>71.454</w:t>
            </w:r>
          </w:p>
        </w:tc>
        <w:tc>
          <w:tcPr>
            <w:tcW w:w="709" w:type="dxa"/>
          </w:tcPr>
          <w:p w14:paraId="737C81BC"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r w:rsidRPr="00630AFE">
              <w:rPr>
                <w:sz w:val="12"/>
                <w:szCs w:val="12"/>
              </w:rPr>
              <w:t>74.656</w:t>
            </w:r>
          </w:p>
        </w:tc>
        <w:tc>
          <w:tcPr>
            <w:tcW w:w="709" w:type="dxa"/>
          </w:tcPr>
          <w:p w14:paraId="0A8A0E39"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r w:rsidRPr="00630AFE">
              <w:rPr>
                <w:sz w:val="12"/>
                <w:szCs w:val="12"/>
              </w:rPr>
              <w:t>72.208</w:t>
            </w:r>
          </w:p>
        </w:tc>
        <w:tc>
          <w:tcPr>
            <w:tcW w:w="708" w:type="dxa"/>
          </w:tcPr>
          <w:p w14:paraId="6D505D2C"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r w:rsidRPr="00630AFE">
              <w:rPr>
                <w:sz w:val="12"/>
                <w:szCs w:val="12"/>
              </w:rPr>
              <w:t>75.526</w:t>
            </w:r>
          </w:p>
        </w:tc>
        <w:tc>
          <w:tcPr>
            <w:tcW w:w="709" w:type="dxa"/>
          </w:tcPr>
          <w:p w14:paraId="3F13513A"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r w:rsidRPr="00630AFE">
              <w:rPr>
                <w:sz w:val="12"/>
                <w:szCs w:val="12"/>
              </w:rPr>
              <w:t>76.726</w:t>
            </w:r>
          </w:p>
        </w:tc>
        <w:tc>
          <w:tcPr>
            <w:tcW w:w="709" w:type="dxa"/>
          </w:tcPr>
          <w:p w14:paraId="631FFBCE"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r w:rsidRPr="00630AFE">
              <w:rPr>
                <w:sz w:val="12"/>
                <w:szCs w:val="12"/>
              </w:rPr>
              <w:t>62.903</w:t>
            </w:r>
          </w:p>
        </w:tc>
        <w:tc>
          <w:tcPr>
            <w:tcW w:w="709" w:type="dxa"/>
          </w:tcPr>
          <w:p w14:paraId="5D0BF097"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r w:rsidRPr="00630AFE">
              <w:rPr>
                <w:sz w:val="12"/>
                <w:szCs w:val="12"/>
              </w:rPr>
              <w:t>67.609</w:t>
            </w:r>
          </w:p>
        </w:tc>
        <w:tc>
          <w:tcPr>
            <w:tcW w:w="708" w:type="dxa"/>
          </w:tcPr>
          <w:p w14:paraId="2E19BA22"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r w:rsidRPr="00630AFE">
              <w:rPr>
                <w:sz w:val="12"/>
                <w:szCs w:val="12"/>
              </w:rPr>
              <w:t>64.128</w:t>
            </w:r>
          </w:p>
        </w:tc>
        <w:tc>
          <w:tcPr>
            <w:tcW w:w="709" w:type="dxa"/>
          </w:tcPr>
          <w:p w14:paraId="2C0665B2"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r w:rsidRPr="00630AFE">
              <w:rPr>
                <w:sz w:val="12"/>
                <w:szCs w:val="12"/>
              </w:rPr>
              <w:t>63.911</w:t>
            </w:r>
          </w:p>
        </w:tc>
        <w:tc>
          <w:tcPr>
            <w:tcW w:w="709" w:type="dxa"/>
          </w:tcPr>
          <w:p w14:paraId="0C78321D"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r w:rsidRPr="00630AFE">
              <w:rPr>
                <w:sz w:val="12"/>
                <w:szCs w:val="12"/>
              </w:rPr>
              <w:t>63.161</w:t>
            </w:r>
          </w:p>
        </w:tc>
        <w:tc>
          <w:tcPr>
            <w:tcW w:w="709" w:type="dxa"/>
          </w:tcPr>
          <w:p w14:paraId="7A272AD8"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r w:rsidRPr="00630AFE">
              <w:rPr>
                <w:sz w:val="12"/>
                <w:szCs w:val="12"/>
              </w:rPr>
              <w:t>59.141</w:t>
            </w:r>
          </w:p>
        </w:tc>
      </w:tr>
      <w:tr w:rsidR="00EB2B81" w:rsidRPr="00630AFE" w14:paraId="6FA53F3C" w14:textId="77777777" w:rsidTr="00F54131">
        <w:trPr>
          <w:trHeight w:val="136"/>
        </w:trPr>
        <w:tc>
          <w:tcPr>
            <w:cnfStyle w:val="001000000000" w:firstRow="0" w:lastRow="0" w:firstColumn="1" w:lastColumn="0" w:oddVBand="0" w:evenVBand="0" w:oddHBand="0" w:evenHBand="0" w:firstRowFirstColumn="0" w:firstRowLastColumn="0" w:lastRowFirstColumn="0" w:lastRowLastColumn="0"/>
            <w:tcW w:w="1696" w:type="dxa"/>
          </w:tcPr>
          <w:p w14:paraId="5DBF8A98" w14:textId="77777777" w:rsidR="00EB2B81" w:rsidRPr="00630AFE" w:rsidRDefault="00EB2B81" w:rsidP="00F54131">
            <w:pPr>
              <w:rPr>
                <w:sz w:val="12"/>
                <w:szCs w:val="12"/>
              </w:rPr>
            </w:pPr>
            <w:r w:rsidRPr="00630AFE">
              <w:rPr>
                <w:sz w:val="12"/>
                <w:szCs w:val="12"/>
              </w:rPr>
              <w:t>Add NPPs</w:t>
            </w:r>
          </w:p>
        </w:tc>
        <w:tc>
          <w:tcPr>
            <w:tcW w:w="709" w:type="dxa"/>
          </w:tcPr>
          <w:p w14:paraId="1834D352"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sz w:val="12"/>
                <w:szCs w:val="12"/>
              </w:rPr>
              <w:t>1.403</w:t>
            </w:r>
          </w:p>
        </w:tc>
        <w:tc>
          <w:tcPr>
            <w:tcW w:w="709" w:type="dxa"/>
          </w:tcPr>
          <w:p w14:paraId="3D9BAC0F"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sz w:val="12"/>
                <w:szCs w:val="12"/>
              </w:rPr>
              <w:t>7.433</w:t>
            </w:r>
          </w:p>
        </w:tc>
        <w:tc>
          <w:tcPr>
            <w:tcW w:w="709" w:type="dxa"/>
          </w:tcPr>
          <w:p w14:paraId="182488EE"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sz w:val="12"/>
                <w:szCs w:val="12"/>
              </w:rPr>
              <w:t>25.021</w:t>
            </w:r>
          </w:p>
        </w:tc>
        <w:tc>
          <w:tcPr>
            <w:tcW w:w="708" w:type="dxa"/>
          </w:tcPr>
          <w:p w14:paraId="4CA5BEE5"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sz w:val="12"/>
                <w:szCs w:val="12"/>
              </w:rPr>
              <w:t>19.790</w:t>
            </w:r>
          </w:p>
        </w:tc>
        <w:tc>
          <w:tcPr>
            <w:tcW w:w="709" w:type="dxa"/>
          </w:tcPr>
          <w:p w14:paraId="0D992605"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sz w:val="12"/>
                <w:szCs w:val="12"/>
              </w:rPr>
              <w:t>31.497</w:t>
            </w:r>
          </w:p>
        </w:tc>
        <w:tc>
          <w:tcPr>
            <w:tcW w:w="709" w:type="dxa"/>
          </w:tcPr>
          <w:p w14:paraId="47544497"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sz w:val="12"/>
                <w:szCs w:val="12"/>
              </w:rPr>
              <w:t>36.032</w:t>
            </w:r>
          </w:p>
        </w:tc>
        <w:tc>
          <w:tcPr>
            <w:tcW w:w="709" w:type="dxa"/>
          </w:tcPr>
          <w:p w14:paraId="06D8263B"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sz w:val="12"/>
                <w:szCs w:val="12"/>
              </w:rPr>
              <w:t>35.917</w:t>
            </w:r>
          </w:p>
        </w:tc>
        <w:tc>
          <w:tcPr>
            <w:tcW w:w="708" w:type="dxa"/>
          </w:tcPr>
          <w:p w14:paraId="2D3F62F4"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sz w:val="12"/>
                <w:szCs w:val="12"/>
              </w:rPr>
              <w:t>35.143</w:t>
            </w:r>
          </w:p>
        </w:tc>
        <w:tc>
          <w:tcPr>
            <w:tcW w:w="709" w:type="dxa"/>
          </w:tcPr>
          <w:p w14:paraId="73C3E2FC"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sz w:val="12"/>
                <w:szCs w:val="12"/>
              </w:rPr>
              <w:t>28.476</w:t>
            </w:r>
          </w:p>
        </w:tc>
        <w:tc>
          <w:tcPr>
            <w:tcW w:w="709" w:type="dxa"/>
          </w:tcPr>
          <w:p w14:paraId="3CE7CE2A"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sz w:val="12"/>
                <w:szCs w:val="12"/>
              </w:rPr>
              <w:t>26.072</w:t>
            </w:r>
          </w:p>
        </w:tc>
        <w:tc>
          <w:tcPr>
            <w:tcW w:w="709" w:type="dxa"/>
          </w:tcPr>
          <w:p w14:paraId="23DCFB66"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sz w:val="12"/>
                <w:szCs w:val="12"/>
              </w:rPr>
              <w:t>12.675</w:t>
            </w:r>
          </w:p>
        </w:tc>
      </w:tr>
      <w:tr w:rsidR="00EB2B81" w:rsidRPr="00630AFE" w14:paraId="6943DED5" w14:textId="77777777" w:rsidTr="00F54131">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696" w:type="dxa"/>
          </w:tcPr>
          <w:p w14:paraId="3177D011" w14:textId="77777777" w:rsidR="00EB2B81" w:rsidRPr="00630AFE" w:rsidRDefault="00EB2B81" w:rsidP="00F54131">
            <w:pPr>
              <w:rPr>
                <w:sz w:val="12"/>
                <w:szCs w:val="12"/>
              </w:rPr>
            </w:pPr>
            <w:r w:rsidRPr="00630AFE">
              <w:rPr>
                <w:sz w:val="12"/>
                <w:szCs w:val="12"/>
              </w:rPr>
              <w:t>OCeSC</w:t>
            </w:r>
          </w:p>
        </w:tc>
        <w:tc>
          <w:tcPr>
            <w:tcW w:w="709" w:type="dxa"/>
          </w:tcPr>
          <w:p w14:paraId="5C75EBF9"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p>
        </w:tc>
        <w:tc>
          <w:tcPr>
            <w:tcW w:w="709" w:type="dxa"/>
          </w:tcPr>
          <w:p w14:paraId="32EA9A75"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p>
        </w:tc>
        <w:tc>
          <w:tcPr>
            <w:tcW w:w="709" w:type="dxa"/>
          </w:tcPr>
          <w:p w14:paraId="6D343CAA"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p>
        </w:tc>
        <w:tc>
          <w:tcPr>
            <w:tcW w:w="708" w:type="dxa"/>
          </w:tcPr>
          <w:p w14:paraId="08082E83"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p>
        </w:tc>
        <w:tc>
          <w:tcPr>
            <w:tcW w:w="709" w:type="dxa"/>
          </w:tcPr>
          <w:p w14:paraId="3CED08AB"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p>
        </w:tc>
        <w:tc>
          <w:tcPr>
            <w:tcW w:w="709" w:type="dxa"/>
          </w:tcPr>
          <w:p w14:paraId="6C7260FC"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p>
        </w:tc>
        <w:tc>
          <w:tcPr>
            <w:tcW w:w="709" w:type="dxa"/>
          </w:tcPr>
          <w:p w14:paraId="7AFF8DB8"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p>
        </w:tc>
        <w:tc>
          <w:tcPr>
            <w:tcW w:w="708" w:type="dxa"/>
          </w:tcPr>
          <w:p w14:paraId="38ECB485"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p>
        </w:tc>
        <w:tc>
          <w:tcPr>
            <w:tcW w:w="709" w:type="dxa"/>
          </w:tcPr>
          <w:p w14:paraId="6BD622B6"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p>
        </w:tc>
        <w:tc>
          <w:tcPr>
            <w:tcW w:w="709" w:type="dxa"/>
          </w:tcPr>
          <w:p w14:paraId="10FE9C80"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p>
        </w:tc>
        <w:tc>
          <w:tcPr>
            <w:tcW w:w="709" w:type="dxa"/>
          </w:tcPr>
          <w:p w14:paraId="12C6A20F"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r w:rsidRPr="00630AFE">
              <w:rPr>
                <w:sz w:val="12"/>
                <w:szCs w:val="12"/>
              </w:rPr>
              <w:t>11.051</w:t>
            </w:r>
          </w:p>
        </w:tc>
      </w:tr>
      <w:tr w:rsidR="00EB2B81" w:rsidRPr="00630AFE" w14:paraId="29D5EF36" w14:textId="77777777" w:rsidTr="00F54131">
        <w:trPr>
          <w:trHeight w:val="137"/>
        </w:trPr>
        <w:tc>
          <w:tcPr>
            <w:cnfStyle w:val="001000000000" w:firstRow="0" w:lastRow="0" w:firstColumn="1" w:lastColumn="0" w:oddVBand="0" w:evenVBand="0" w:oddHBand="0" w:evenHBand="0" w:firstRowFirstColumn="0" w:firstRowLastColumn="0" w:lastRowFirstColumn="0" w:lastRowLastColumn="0"/>
            <w:tcW w:w="1696" w:type="dxa"/>
          </w:tcPr>
          <w:p w14:paraId="6BC872DC" w14:textId="77777777" w:rsidR="00EB2B81" w:rsidRPr="00630AFE" w:rsidRDefault="00EB2B81" w:rsidP="00F54131">
            <w:pPr>
              <w:rPr>
                <w:sz w:val="12"/>
                <w:szCs w:val="12"/>
              </w:rPr>
            </w:pPr>
            <w:r w:rsidRPr="00630AFE">
              <w:rPr>
                <w:sz w:val="12"/>
                <w:szCs w:val="12"/>
              </w:rPr>
              <w:t>Approved loss</w:t>
            </w:r>
          </w:p>
        </w:tc>
        <w:tc>
          <w:tcPr>
            <w:tcW w:w="709" w:type="dxa"/>
          </w:tcPr>
          <w:p w14:paraId="03EB47D4"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p>
        </w:tc>
        <w:tc>
          <w:tcPr>
            <w:tcW w:w="709" w:type="dxa"/>
          </w:tcPr>
          <w:p w14:paraId="742F44B0"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sz w:val="12"/>
                <w:szCs w:val="12"/>
              </w:rPr>
              <w:t>2.592</w:t>
            </w:r>
          </w:p>
        </w:tc>
        <w:tc>
          <w:tcPr>
            <w:tcW w:w="709" w:type="dxa"/>
          </w:tcPr>
          <w:p w14:paraId="546B0860"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sz w:val="12"/>
                <w:szCs w:val="12"/>
              </w:rPr>
              <w:t>0.049</w:t>
            </w:r>
          </w:p>
        </w:tc>
        <w:tc>
          <w:tcPr>
            <w:tcW w:w="708" w:type="dxa"/>
          </w:tcPr>
          <w:p w14:paraId="292D2F35"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p>
        </w:tc>
        <w:tc>
          <w:tcPr>
            <w:tcW w:w="709" w:type="dxa"/>
          </w:tcPr>
          <w:p w14:paraId="4578C00C"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p>
        </w:tc>
        <w:tc>
          <w:tcPr>
            <w:tcW w:w="709" w:type="dxa"/>
          </w:tcPr>
          <w:p w14:paraId="446C6440"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sz w:val="12"/>
                <w:szCs w:val="12"/>
              </w:rPr>
              <w:t>1.600</w:t>
            </w:r>
          </w:p>
        </w:tc>
        <w:tc>
          <w:tcPr>
            <w:tcW w:w="709" w:type="dxa"/>
          </w:tcPr>
          <w:p w14:paraId="0D4EC791"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sz w:val="12"/>
                <w:szCs w:val="12"/>
              </w:rPr>
              <w:t>0.531</w:t>
            </w:r>
          </w:p>
        </w:tc>
        <w:tc>
          <w:tcPr>
            <w:tcW w:w="708" w:type="dxa"/>
          </w:tcPr>
          <w:p w14:paraId="224AB0C3"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p>
        </w:tc>
        <w:tc>
          <w:tcPr>
            <w:tcW w:w="709" w:type="dxa"/>
          </w:tcPr>
          <w:p w14:paraId="266BED54"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p>
        </w:tc>
        <w:tc>
          <w:tcPr>
            <w:tcW w:w="709" w:type="dxa"/>
          </w:tcPr>
          <w:p w14:paraId="157C63BE"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p>
        </w:tc>
        <w:tc>
          <w:tcPr>
            <w:tcW w:w="709" w:type="dxa"/>
          </w:tcPr>
          <w:p w14:paraId="600B3AA6"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p>
        </w:tc>
      </w:tr>
      <w:tr w:rsidR="00EB2B81" w:rsidRPr="00630AFE" w14:paraId="34B0422D" w14:textId="77777777" w:rsidTr="00F54131">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696" w:type="dxa"/>
          </w:tcPr>
          <w:p w14:paraId="0F46BC98" w14:textId="77777777" w:rsidR="00EB2B81" w:rsidRPr="00630AFE" w:rsidRDefault="00EB2B81" w:rsidP="00F54131">
            <w:pPr>
              <w:rPr>
                <w:b/>
                <w:sz w:val="12"/>
                <w:szCs w:val="12"/>
              </w:rPr>
            </w:pPr>
            <w:r w:rsidRPr="00630AFE">
              <w:rPr>
                <w:b/>
                <w:sz w:val="12"/>
                <w:szCs w:val="12"/>
              </w:rPr>
              <w:t>Total Appropriation</w:t>
            </w:r>
          </w:p>
        </w:tc>
        <w:tc>
          <w:tcPr>
            <w:tcW w:w="709" w:type="dxa"/>
          </w:tcPr>
          <w:p w14:paraId="27BDBBC2"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b/>
                <w:sz w:val="12"/>
                <w:szCs w:val="12"/>
              </w:rPr>
              <w:t>72.857</w:t>
            </w:r>
          </w:p>
        </w:tc>
        <w:tc>
          <w:tcPr>
            <w:tcW w:w="709" w:type="dxa"/>
          </w:tcPr>
          <w:p w14:paraId="34D8BF38"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b/>
                <w:sz w:val="12"/>
                <w:szCs w:val="12"/>
              </w:rPr>
              <w:t>84.681</w:t>
            </w:r>
          </w:p>
        </w:tc>
        <w:tc>
          <w:tcPr>
            <w:tcW w:w="709" w:type="dxa"/>
          </w:tcPr>
          <w:p w14:paraId="7A2C9497"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b/>
                <w:sz w:val="12"/>
                <w:szCs w:val="12"/>
              </w:rPr>
              <w:t>97.278</w:t>
            </w:r>
          </w:p>
        </w:tc>
        <w:tc>
          <w:tcPr>
            <w:tcW w:w="708" w:type="dxa"/>
          </w:tcPr>
          <w:p w14:paraId="1B4D6F7A"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b/>
                <w:sz w:val="12"/>
                <w:szCs w:val="12"/>
              </w:rPr>
              <w:t>95.316</w:t>
            </w:r>
          </w:p>
        </w:tc>
        <w:tc>
          <w:tcPr>
            <w:tcW w:w="709" w:type="dxa"/>
          </w:tcPr>
          <w:p w14:paraId="04BA504C"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b/>
                <w:sz w:val="12"/>
                <w:szCs w:val="12"/>
              </w:rPr>
              <w:t>108.223</w:t>
            </w:r>
          </w:p>
        </w:tc>
        <w:tc>
          <w:tcPr>
            <w:tcW w:w="709" w:type="dxa"/>
          </w:tcPr>
          <w:p w14:paraId="7AA73731"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b/>
                <w:sz w:val="12"/>
                <w:szCs w:val="12"/>
              </w:rPr>
              <w:t>100.535</w:t>
            </w:r>
          </w:p>
        </w:tc>
        <w:tc>
          <w:tcPr>
            <w:tcW w:w="709" w:type="dxa"/>
          </w:tcPr>
          <w:p w14:paraId="7BFD4CDB"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b/>
                <w:sz w:val="12"/>
                <w:szCs w:val="12"/>
              </w:rPr>
              <w:t>104.057</w:t>
            </w:r>
          </w:p>
        </w:tc>
        <w:tc>
          <w:tcPr>
            <w:tcW w:w="708" w:type="dxa"/>
          </w:tcPr>
          <w:p w14:paraId="3F7A69B7"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b/>
                <w:sz w:val="12"/>
                <w:szCs w:val="12"/>
              </w:rPr>
              <w:t>99.271</w:t>
            </w:r>
          </w:p>
        </w:tc>
        <w:tc>
          <w:tcPr>
            <w:tcW w:w="709" w:type="dxa"/>
          </w:tcPr>
          <w:p w14:paraId="56366A92"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b/>
                <w:sz w:val="12"/>
                <w:szCs w:val="12"/>
              </w:rPr>
              <w:t>92.387</w:t>
            </w:r>
          </w:p>
        </w:tc>
        <w:tc>
          <w:tcPr>
            <w:tcW w:w="709" w:type="dxa"/>
          </w:tcPr>
          <w:p w14:paraId="00A33BC2"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b/>
                <w:sz w:val="12"/>
                <w:szCs w:val="12"/>
              </w:rPr>
              <w:t>89.233</w:t>
            </w:r>
          </w:p>
        </w:tc>
        <w:tc>
          <w:tcPr>
            <w:tcW w:w="709" w:type="dxa"/>
          </w:tcPr>
          <w:p w14:paraId="1138375A"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b/>
                <w:sz w:val="12"/>
                <w:szCs w:val="12"/>
              </w:rPr>
              <w:t>82.867</w:t>
            </w:r>
          </w:p>
        </w:tc>
      </w:tr>
      <w:tr w:rsidR="00EB2B81" w:rsidRPr="00630AFE" w14:paraId="576FB69B" w14:textId="77777777" w:rsidTr="00F54131">
        <w:trPr>
          <w:trHeight w:val="219"/>
        </w:trPr>
        <w:tc>
          <w:tcPr>
            <w:cnfStyle w:val="001000000000" w:firstRow="0" w:lastRow="0" w:firstColumn="1" w:lastColumn="0" w:oddVBand="0" w:evenVBand="0" w:oddHBand="0" w:evenHBand="0" w:firstRowFirstColumn="0" w:firstRowLastColumn="0" w:lastRowFirstColumn="0" w:lastRowLastColumn="0"/>
            <w:tcW w:w="1696" w:type="dxa"/>
          </w:tcPr>
          <w:p w14:paraId="68E78C74" w14:textId="77777777" w:rsidR="00EB2B81" w:rsidRPr="00630AFE" w:rsidRDefault="00EB2B81" w:rsidP="00F54131">
            <w:pPr>
              <w:rPr>
                <w:sz w:val="12"/>
                <w:szCs w:val="12"/>
              </w:rPr>
            </w:pPr>
            <w:r w:rsidRPr="00630AFE">
              <w:rPr>
                <w:sz w:val="12"/>
                <w:szCs w:val="12"/>
              </w:rPr>
              <w:t>Other revenue</w:t>
            </w:r>
          </w:p>
        </w:tc>
        <w:tc>
          <w:tcPr>
            <w:tcW w:w="709" w:type="dxa"/>
          </w:tcPr>
          <w:p w14:paraId="16042701"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sz w:val="12"/>
                <w:szCs w:val="12"/>
              </w:rPr>
              <w:t>3.971</w:t>
            </w:r>
          </w:p>
        </w:tc>
        <w:tc>
          <w:tcPr>
            <w:tcW w:w="709" w:type="dxa"/>
          </w:tcPr>
          <w:p w14:paraId="38591FE4"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sz w:val="12"/>
                <w:szCs w:val="12"/>
              </w:rPr>
              <w:t>2.554</w:t>
            </w:r>
          </w:p>
        </w:tc>
        <w:tc>
          <w:tcPr>
            <w:tcW w:w="709" w:type="dxa"/>
          </w:tcPr>
          <w:p w14:paraId="4E292F17"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sz w:val="12"/>
                <w:szCs w:val="12"/>
              </w:rPr>
              <w:t>1.860</w:t>
            </w:r>
          </w:p>
        </w:tc>
        <w:tc>
          <w:tcPr>
            <w:tcW w:w="708" w:type="dxa"/>
          </w:tcPr>
          <w:p w14:paraId="1D006737"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sz w:val="12"/>
                <w:szCs w:val="12"/>
              </w:rPr>
              <w:t>2.329</w:t>
            </w:r>
          </w:p>
        </w:tc>
        <w:tc>
          <w:tcPr>
            <w:tcW w:w="709" w:type="dxa"/>
          </w:tcPr>
          <w:p w14:paraId="33846500"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sz w:val="12"/>
                <w:szCs w:val="12"/>
              </w:rPr>
              <w:t>2.977</w:t>
            </w:r>
          </w:p>
        </w:tc>
        <w:tc>
          <w:tcPr>
            <w:tcW w:w="709" w:type="dxa"/>
          </w:tcPr>
          <w:p w14:paraId="7923776E"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sz w:val="12"/>
                <w:szCs w:val="12"/>
              </w:rPr>
              <w:t>1.029</w:t>
            </w:r>
          </w:p>
        </w:tc>
        <w:tc>
          <w:tcPr>
            <w:tcW w:w="709" w:type="dxa"/>
          </w:tcPr>
          <w:p w14:paraId="60A9AD45"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sz w:val="12"/>
                <w:szCs w:val="12"/>
              </w:rPr>
              <w:t>1.050</w:t>
            </w:r>
          </w:p>
        </w:tc>
        <w:tc>
          <w:tcPr>
            <w:tcW w:w="708" w:type="dxa"/>
          </w:tcPr>
          <w:p w14:paraId="68692913"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sz w:val="12"/>
                <w:szCs w:val="12"/>
              </w:rPr>
              <w:t>1.976</w:t>
            </w:r>
          </w:p>
        </w:tc>
        <w:tc>
          <w:tcPr>
            <w:tcW w:w="709" w:type="dxa"/>
          </w:tcPr>
          <w:p w14:paraId="2559A528"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sz w:val="12"/>
                <w:szCs w:val="12"/>
              </w:rPr>
              <w:t>2.916</w:t>
            </w:r>
          </w:p>
        </w:tc>
        <w:tc>
          <w:tcPr>
            <w:tcW w:w="709" w:type="dxa"/>
          </w:tcPr>
          <w:p w14:paraId="7B21AE8B"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sz w:val="12"/>
                <w:szCs w:val="12"/>
              </w:rPr>
              <w:t>2.541</w:t>
            </w:r>
          </w:p>
        </w:tc>
        <w:tc>
          <w:tcPr>
            <w:tcW w:w="709" w:type="dxa"/>
          </w:tcPr>
          <w:p w14:paraId="5632017B"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sz w:val="12"/>
                <w:szCs w:val="12"/>
              </w:rPr>
              <w:t>0.900</w:t>
            </w:r>
          </w:p>
        </w:tc>
      </w:tr>
      <w:tr w:rsidR="00EB2B81" w:rsidRPr="00630AFE" w14:paraId="6EECA070" w14:textId="77777777" w:rsidTr="00F54131">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96" w:type="dxa"/>
          </w:tcPr>
          <w:p w14:paraId="73BD39DD" w14:textId="77777777" w:rsidR="00EB2B81" w:rsidRPr="00630AFE" w:rsidRDefault="00EB2B81" w:rsidP="00F54131">
            <w:pPr>
              <w:rPr>
                <w:sz w:val="12"/>
                <w:szCs w:val="12"/>
              </w:rPr>
            </w:pPr>
            <w:r w:rsidRPr="00630AFE">
              <w:rPr>
                <w:sz w:val="12"/>
                <w:szCs w:val="12"/>
              </w:rPr>
              <w:t>Minus OCeSC</w:t>
            </w:r>
          </w:p>
        </w:tc>
        <w:tc>
          <w:tcPr>
            <w:tcW w:w="709" w:type="dxa"/>
          </w:tcPr>
          <w:p w14:paraId="3D61C028"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p>
        </w:tc>
        <w:tc>
          <w:tcPr>
            <w:tcW w:w="709" w:type="dxa"/>
          </w:tcPr>
          <w:p w14:paraId="6A159585"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p>
        </w:tc>
        <w:tc>
          <w:tcPr>
            <w:tcW w:w="709" w:type="dxa"/>
          </w:tcPr>
          <w:p w14:paraId="59160B19"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p>
        </w:tc>
        <w:tc>
          <w:tcPr>
            <w:tcW w:w="708" w:type="dxa"/>
          </w:tcPr>
          <w:p w14:paraId="3DB49A9E"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p>
        </w:tc>
        <w:tc>
          <w:tcPr>
            <w:tcW w:w="709" w:type="dxa"/>
          </w:tcPr>
          <w:p w14:paraId="549C85C0"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p>
        </w:tc>
        <w:tc>
          <w:tcPr>
            <w:tcW w:w="709" w:type="dxa"/>
          </w:tcPr>
          <w:p w14:paraId="13C3F53D"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p>
        </w:tc>
        <w:tc>
          <w:tcPr>
            <w:tcW w:w="709" w:type="dxa"/>
          </w:tcPr>
          <w:p w14:paraId="5FA3DA82"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p>
        </w:tc>
        <w:tc>
          <w:tcPr>
            <w:tcW w:w="708" w:type="dxa"/>
          </w:tcPr>
          <w:p w14:paraId="2C0293A8"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p>
        </w:tc>
        <w:tc>
          <w:tcPr>
            <w:tcW w:w="709" w:type="dxa"/>
          </w:tcPr>
          <w:p w14:paraId="79E7531E"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p>
        </w:tc>
        <w:tc>
          <w:tcPr>
            <w:tcW w:w="709" w:type="dxa"/>
          </w:tcPr>
          <w:p w14:paraId="3A6CA3DB"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p>
        </w:tc>
        <w:tc>
          <w:tcPr>
            <w:tcW w:w="709" w:type="dxa"/>
          </w:tcPr>
          <w:p w14:paraId="74D6C912"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r w:rsidRPr="00630AFE">
              <w:rPr>
                <w:color w:val="FF0000"/>
                <w:sz w:val="12"/>
                <w:szCs w:val="12"/>
              </w:rPr>
              <w:t>-11.051</w:t>
            </w:r>
          </w:p>
        </w:tc>
      </w:tr>
      <w:tr w:rsidR="00EB2B81" w:rsidRPr="00630AFE" w14:paraId="03D7592F" w14:textId="77777777" w:rsidTr="00F54131">
        <w:trPr>
          <w:trHeight w:val="113"/>
        </w:trPr>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auto"/>
            </w:tcBorders>
          </w:tcPr>
          <w:p w14:paraId="06D3CDEB" w14:textId="77777777" w:rsidR="00EB2B81" w:rsidRPr="00630AFE" w:rsidRDefault="00EB2B81" w:rsidP="00F54131">
            <w:pPr>
              <w:rPr>
                <w:b/>
                <w:sz w:val="12"/>
                <w:szCs w:val="12"/>
              </w:rPr>
            </w:pPr>
            <w:r w:rsidRPr="00630AFE">
              <w:rPr>
                <w:b/>
                <w:sz w:val="12"/>
                <w:szCs w:val="12"/>
              </w:rPr>
              <w:t>Total</w:t>
            </w:r>
          </w:p>
        </w:tc>
        <w:tc>
          <w:tcPr>
            <w:tcW w:w="709" w:type="dxa"/>
            <w:tcBorders>
              <w:bottom w:val="single" w:sz="4" w:space="0" w:color="auto"/>
            </w:tcBorders>
          </w:tcPr>
          <w:p w14:paraId="068F7323"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b/>
                <w:sz w:val="12"/>
                <w:szCs w:val="12"/>
              </w:rPr>
              <w:t>76.828</w:t>
            </w:r>
          </w:p>
        </w:tc>
        <w:tc>
          <w:tcPr>
            <w:tcW w:w="709" w:type="dxa"/>
            <w:tcBorders>
              <w:bottom w:val="single" w:sz="4" w:space="0" w:color="auto"/>
            </w:tcBorders>
          </w:tcPr>
          <w:p w14:paraId="4840B31F"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b/>
                <w:sz w:val="12"/>
                <w:szCs w:val="12"/>
              </w:rPr>
              <w:t>87.235</w:t>
            </w:r>
          </w:p>
        </w:tc>
        <w:tc>
          <w:tcPr>
            <w:tcW w:w="709" w:type="dxa"/>
            <w:tcBorders>
              <w:bottom w:val="single" w:sz="4" w:space="0" w:color="auto"/>
            </w:tcBorders>
          </w:tcPr>
          <w:p w14:paraId="752488F2"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b/>
                <w:sz w:val="12"/>
                <w:szCs w:val="12"/>
              </w:rPr>
              <w:t>99.138</w:t>
            </w:r>
          </w:p>
        </w:tc>
        <w:tc>
          <w:tcPr>
            <w:tcW w:w="708" w:type="dxa"/>
            <w:tcBorders>
              <w:bottom w:val="single" w:sz="4" w:space="0" w:color="auto"/>
            </w:tcBorders>
          </w:tcPr>
          <w:p w14:paraId="15A6A035"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b/>
                <w:sz w:val="12"/>
                <w:szCs w:val="12"/>
              </w:rPr>
              <w:t>97.645</w:t>
            </w:r>
          </w:p>
        </w:tc>
        <w:tc>
          <w:tcPr>
            <w:tcW w:w="709" w:type="dxa"/>
            <w:tcBorders>
              <w:bottom w:val="single" w:sz="4" w:space="0" w:color="auto"/>
            </w:tcBorders>
          </w:tcPr>
          <w:p w14:paraId="345CC122"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b/>
                <w:sz w:val="12"/>
                <w:szCs w:val="12"/>
              </w:rPr>
              <w:t>111.200</w:t>
            </w:r>
          </w:p>
        </w:tc>
        <w:tc>
          <w:tcPr>
            <w:tcW w:w="709" w:type="dxa"/>
            <w:tcBorders>
              <w:bottom w:val="single" w:sz="4" w:space="0" w:color="auto"/>
            </w:tcBorders>
          </w:tcPr>
          <w:p w14:paraId="656A11D0"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b/>
                <w:sz w:val="12"/>
                <w:szCs w:val="12"/>
              </w:rPr>
              <w:t>101.564</w:t>
            </w:r>
          </w:p>
        </w:tc>
        <w:tc>
          <w:tcPr>
            <w:tcW w:w="709" w:type="dxa"/>
            <w:tcBorders>
              <w:bottom w:val="single" w:sz="4" w:space="0" w:color="auto"/>
            </w:tcBorders>
          </w:tcPr>
          <w:p w14:paraId="313A37F3"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b/>
                <w:sz w:val="12"/>
                <w:szCs w:val="12"/>
              </w:rPr>
              <w:t>105.107</w:t>
            </w:r>
          </w:p>
        </w:tc>
        <w:tc>
          <w:tcPr>
            <w:tcW w:w="708" w:type="dxa"/>
            <w:tcBorders>
              <w:bottom w:val="single" w:sz="4" w:space="0" w:color="auto"/>
            </w:tcBorders>
          </w:tcPr>
          <w:p w14:paraId="21812186"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b/>
                <w:sz w:val="12"/>
                <w:szCs w:val="12"/>
              </w:rPr>
              <w:t>101.247</w:t>
            </w:r>
          </w:p>
        </w:tc>
        <w:tc>
          <w:tcPr>
            <w:tcW w:w="709" w:type="dxa"/>
            <w:tcBorders>
              <w:bottom w:val="single" w:sz="4" w:space="0" w:color="auto"/>
            </w:tcBorders>
          </w:tcPr>
          <w:p w14:paraId="71EFC6A7"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b/>
                <w:sz w:val="12"/>
                <w:szCs w:val="12"/>
              </w:rPr>
              <w:t>95.303</w:t>
            </w:r>
          </w:p>
        </w:tc>
        <w:tc>
          <w:tcPr>
            <w:tcW w:w="709" w:type="dxa"/>
            <w:tcBorders>
              <w:bottom w:val="single" w:sz="4" w:space="0" w:color="auto"/>
            </w:tcBorders>
          </w:tcPr>
          <w:p w14:paraId="16A4DE9F"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b/>
                <w:sz w:val="12"/>
                <w:szCs w:val="12"/>
              </w:rPr>
              <w:t>91.774</w:t>
            </w:r>
          </w:p>
        </w:tc>
        <w:tc>
          <w:tcPr>
            <w:tcW w:w="709" w:type="dxa"/>
            <w:tcBorders>
              <w:bottom w:val="single" w:sz="4" w:space="0" w:color="auto"/>
            </w:tcBorders>
          </w:tcPr>
          <w:p w14:paraId="4DFD273E"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b/>
                <w:sz w:val="12"/>
                <w:szCs w:val="12"/>
              </w:rPr>
              <w:t>72.716</w:t>
            </w:r>
          </w:p>
        </w:tc>
      </w:tr>
      <w:tr w:rsidR="00EB2B81" w:rsidRPr="00630AFE" w14:paraId="68A560EB" w14:textId="77777777" w:rsidTr="00F54131">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tcBorders>
          </w:tcPr>
          <w:p w14:paraId="77850383" w14:textId="77777777" w:rsidR="00EB2B81" w:rsidRPr="00630AFE" w:rsidRDefault="00EB2B81" w:rsidP="00F54131">
            <w:pPr>
              <w:rPr>
                <w:b/>
                <w:sz w:val="12"/>
                <w:szCs w:val="12"/>
              </w:rPr>
            </w:pPr>
            <w:r w:rsidRPr="00630AFE">
              <w:rPr>
                <w:b/>
                <w:sz w:val="12"/>
                <w:szCs w:val="12"/>
              </w:rPr>
              <w:t>Expenses</w:t>
            </w:r>
          </w:p>
        </w:tc>
        <w:tc>
          <w:tcPr>
            <w:tcW w:w="709" w:type="dxa"/>
            <w:tcBorders>
              <w:top w:val="single" w:sz="4" w:space="0" w:color="auto"/>
            </w:tcBorders>
          </w:tcPr>
          <w:p w14:paraId="44E4B592"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b/>
                <w:sz w:val="12"/>
                <w:szCs w:val="12"/>
              </w:rPr>
              <w:t>73.798</w:t>
            </w:r>
          </w:p>
        </w:tc>
        <w:tc>
          <w:tcPr>
            <w:tcW w:w="709" w:type="dxa"/>
            <w:tcBorders>
              <w:top w:val="single" w:sz="4" w:space="0" w:color="auto"/>
            </w:tcBorders>
          </w:tcPr>
          <w:p w14:paraId="15167AFB"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b/>
                <w:sz w:val="12"/>
                <w:szCs w:val="12"/>
              </w:rPr>
              <w:t>86.583</w:t>
            </w:r>
          </w:p>
        </w:tc>
        <w:tc>
          <w:tcPr>
            <w:tcW w:w="709" w:type="dxa"/>
            <w:tcBorders>
              <w:top w:val="single" w:sz="4" w:space="0" w:color="auto"/>
            </w:tcBorders>
          </w:tcPr>
          <w:p w14:paraId="1A78B9F7"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b/>
                <w:sz w:val="12"/>
                <w:szCs w:val="12"/>
              </w:rPr>
              <w:t>99.128</w:t>
            </w:r>
          </w:p>
        </w:tc>
        <w:tc>
          <w:tcPr>
            <w:tcW w:w="708" w:type="dxa"/>
            <w:tcBorders>
              <w:top w:val="single" w:sz="4" w:space="0" w:color="auto"/>
            </w:tcBorders>
          </w:tcPr>
          <w:p w14:paraId="2482F6D9"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b/>
                <w:sz w:val="12"/>
                <w:szCs w:val="12"/>
              </w:rPr>
              <w:t>98.971</w:t>
            </w:r>
          </w:p>
        </w:tc>
        <w:tc>
          <w:tcPr>
            <w:tcW w:w="709" w:type="dxa"/>
            <w:tcBorders>
              <w:top w:val="single" w:sz="4" w:space="0" w:color="auto"/>
            </w:tcBorders>
          </w:tcPr>
          <w:p w14:paraId="4F44AC90"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b/>
                <w:sz w:val="12"/>
                <w:szCs w:val="12"/>
              </w:rPr>
              <w:t>109.037</w:t>
            </w:r>
          </w:p>
        </w:tc>
        <w:tc>
          <w:tcPr>
            <w:tcW w:w="709" w:type="dxa"/>
            <w:tcBorders>
              <w:top w:val="single" w:sz="4" w:space="0" w:color="auto"/>
            </w:tcBorders>
          </w:tcPr>
          <w:p w14:paraId="189CDFF7"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b/>
                <w:sz w:val="12"/>
                <w:szCs w:val="12"/>
              </w:rPr>
              <w:t>111.216</w:t>
            </w:r>
          </w:p>
        </w:tc>
        <w:tc>
          <w:tcPr>
            <w:tcW w:w="709" w:type="dxa"/>
            <w:tcBorders>
              <w:top w:val="single" w:sz="4" w:space="0" w:color="auto"/>
            </w:tcBorders>
          </w:tcPr>
          <w:p w14:paraId="5548BD6D"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b/>
                <w:sz w:val="12"/>
                <w:szCs w:val="12"/>
              </w:rPr>
              <w:t>112.769</w:t>
            </w:r>
          </w:p>
        </w:tc>
        <w:tc>
          <w:tcPr>
            <w:tcW w:w="708" w:type="dxa"/>
            <w:tcBorders>
              <w:top w:val="single" w:sz="4" w:space="0" w:color="auto"/>
            </w:tcBorders>
          </w:tcPr>
          <w:p w14:paraId="6297EF5D"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b/>
                <w:sz w:val="12"/>
                <w:szCs w:val="12"/>
              </w:rPr>
              <w:t>111.252</w:t>
            </w:r>
          </w:p>
        </w:tc>
        <w:tc>
          <w:tcPr>
            <w:tcW w:w="709" w:type="dxa"/>
            <w:tcBorders>
              <w:top w:val="single" w:sz="4" w:space="0" w:color="auto"/>
            </w:tcBorders>
          </w:tcPr>
          <w:p w14:paraId="79C6AAC8"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b/>
                <w:sz w:val="12"/>
                <w:szCs w:val="12"/>
              </w:rPr>
              <w:t>102.527</w:t>
            </w:r>
          </w:p>
        </w:tc>
        <w:tc>
          <w:tcPr>
            <w:tcW w:w="709" w:type="dxa"/>
            <w:tcBorders>
              <w:top w:val="single" w:sz="4" w:space="0" w:color="auto"/>
            </w:tcBorders>
          </w:tcPr>
          <w:p w14:paraId="5592BF5A"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b/>
                <w:sz w:val="12"/>
                <w:szCs w:val="12"/>
              </w:rPr>
              <w:t>99.837</w:t>
            </w:r>
          </w:p>
        </w:tc>
        <w:tc>
          <w:tcPr>
            <w:tcW w:w="709" w:type="dxa"/>
            <w:tcBorders>
              <w:top w:val="single" w:sz="4" w:space="0" w:color="auto"/>
            </w:tcBorders>
          </w:tcPr>
          <w:p w14:paraId="79C3D3E8"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b/>
                <w:sz w:val="12"/>
                <w:szCs w:val="12"/>
              </w:rPr>
              <w:t>81.744</w:t>
            </w:r>
          </w:p>
        </w:tc>
      </w:tr>
      <w:tr w:rsidR="00EB2B81" w:rsidRPr="00630AFE" w14:paraId="522FAC8B" w14:textId="77777777" w:rsidTr="00F54131">
        <w:trPr>
          <w:trHeight w:val="113"/>
        </w:trPr>
        <w:tc>
          <w:tcPr>
            <w:cnfStyle w:val="001000000000" w:firstRow="0" w:lastRow="0" w:firstColumn="1" w:lastColumn="0" w:oddVBand="0" w:evenVBand="0" w:oddHBand="0" w:evenHBand="0" w:firstRowFirstColumn="0" w:firstRowLastColumn="0" w:lastRowFirstColumn="0" w:lastRowLastColumn="0"/>
            <w:tcW w:w="1696" w:type="dxa"/>
          </w:tcPr>
          <w:p w14:paraId="2B83F81B" w14:textId="77777777" w:rsidR="00EB2B81" w:rsidRPr="00630AFE" w:rsidRDefault="00EB2B81" w:rsidP="00F54131">
            <w:pPr>
              <w:rPr>
                <w:b/>
                <w:sz w:val="12"/>
                <w:szCs w:val="12"/>
              </w:rPr>
            </w:pPr>
            <w:r w:rsidRPr="00630AFE">
              <w:rPr>
                <w:sz w:val="12"/>
                <w:szCs w:val="12"/>
              </w:rPr>
              <w:t>Employee expenses</w:t>
            </w:r>
          </w:p>
        </w:tc>
        <w:tc>
          <w:tcPr>
            <w:tcW w:w="709" w:type="dxa"/>
          </w:tcPr>
          <w:p w14:paraId="00D1EA65"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sz w:val="12"/>
                <w:szCs w:val="12"/>
              </w:rPr>
              <w:t>41.670</w:t>
            </w:r>
          </w:p>
        </w:tc>
        <w:tc>
          <w:tcPr>
            <w:tcW w:w="709" w:type="dxa"/>
          </w:tcPr>
          <w:p w14:paraId="1019DC37"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sz w:val="12"/>
                <w:szCs w:val="12"/>
              </w:rPr>
              <w:t>44.267</w:t>
            </w:r>
          </w:p>
        </w:tc>
        <w:tc>
          <w:tcPr>
            <w:tcW w:w="709" w:type="dxa"/>
          </w:tcPr>
          <w:p w14:paraId="4B21F44F"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sz w:val="12"/>
                <w:szCs w:val="12"/>
              </w:rPr>
              <w:t>54.650</w:t>
            </w:r>
          </w:p>
        </w:tc>
        <w:tc>
          <w:tcPr>
            <w:tcW w:w="708" w:type="dxa"/>
          </w:tcPr>
          <w:p w14:paraId="70A6673B"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sz w:val="12"/>
                <w:szCs w:val="12"/>
              </w:rPr>
              <w:t>57.334</w:t>
            </w:r>
          </w:p>
        </w:tc>
        <w:tc>
          <w:tcPr>
            <w:tcW w:w="709" w:type="dxa"/>
          </w:tcPr>
          <w:p w14:paraId="3AD33393"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sz w:val="12"/>
                <w:szCs w:val="12"/>
              </w:rPr>
              <w:t>62.570</w:t>
            </w:r>
          </w:p>
        </w:tc>
        <w:tc>
          <w:tcPr>
            <w:tcW w:w="709" w:type="dxa"/>
          </w:tcPr>
          <w:p w14:paraId="536E7308"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sz w:val="12"/>
                <w:szCs w:val="12"/>
              </w:rPr>
              <w:t>68.939</w:t>
            </w:r>
          </w:p>
        </w:tc>
        <w:tc>
          <w:tcPr>
            <w:tcW w:w="709" w:type="dxa"/>
          </w:tcPr>
          <w:p w14:paraId="4F3FD192"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sz w:val="12"/>
                <w:szCs w:val="12"/>
              </w:rPr>
              <w:t>71.270</w:t>
            </w:r>
          </w:p>
        </w:tc>
        <w:tc>
          <w:tcPr>
            <w:tcW w:w="708" w:type="dxa"/>
          </w:tcPr>
          <w:p w14:paraId="5E57BBCF"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sz w:val="12"/>
                <w:szCs w:val="12"/>
              </w:rPr>
              <w:t>71.467</w:t>
            </w:r>
          </w:p>
        </w:tc>
        <w:tc>
          <w:tcPr>
            <w:tcW w:w="709" w:type="dxa"/>
          </w:tcPr>
          <w:p w14:paraId="66CCD202"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sz w:val="12"/>
                <w:szCs w:val="12"/>
              </w:rPr>
              <w:t>65.263</w:t>
            </w:r>
          </w:p>
        </w:tc>
        <w:tc>
          <w:tcPr>
            <w:tcW w:w="709" w:type="dxa"/>
          </w:tcPr>
          <w:p w14:paraId="5AA18073"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sz w:val="12"/>
                <w:szCs w:val="12"/>
              </w:rPr>
              <w:t>61.783</w:t>
            </w:r>
          </w:p>
        </w:tc>
        <w:tc>
          <w:tcPr>
            <w:tcW w:w="709" w:type="dxa"/>
          </w:tcPr>
          <w:p w14:paraId="00C9A0EF"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sz w:val="12"/>
                <w:szCs w:val="12"/>
              </w:rPr>
              <w:t>54.129</w:t>
            </w:r>
          </w:p>
        </w:tc>
      </w:tr>
      <w:tr w:rsidR="00EB2B81" w:rsidRPr="00630AFE" w14:paraId="516131DD" w14:textId="77777777" w:rsidTr="00F54131">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96" w:type="dxa"/>
          </w:tcPr>
          <w:p w14:paraId="09FB216C" w14:textId="77777777" w:rsidR="00EB2B81" w:rsidRPr="00630AFE" w:rsidRDefault="00EB2B81" w:rsidP="00F54131">
            <w:pPr>
              <w:rPr>
                <w:b/>
                <w:sz w:val="12"/>
                <w:szCs w:val="12"/>
              </w:rPr>
            </w:pPr>
            <w:r w:rsidRPr="00630AFE">
              <w:rPr>
                <w:sz w:val="12"/>
                <w:szCs w:val="12"/>
              </w:rPr>
              <w:t>Employee percentage of total expenses (excluding depreciation)</w:t>
            </w:r>
          </w:p>
        </w:tc>
        <w:tc>
          <w:tcPr>
            <w:tcW w:w="709" w:type="dxa"/>
          </w:tcPr>
          <w:p w14:paraId="023DF1C6"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sz w:val="12"/>
                <w:szCs w:val="12"/>
              </w:rPr>
              <w:t>61%</w:t>
            </w:r>
          </w:p>
        </w:tc>
        <w:tc>
          <w:tcPr>
            <w:tcW w:w="709" w:type="dxa"/>
          </w:tcPr>
          <w:p w14:paraId="1D70DBA0"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sz w:val="12"/>
                <w:szCs w:val="12"/>
              </w:rPr>
              <w:t>54%</w:t>
            </w:r>
          </w:p>
        </w:tc>
        <w:tc>
          <w:tcPr>
            <w:tcW w:w="709" w:type="dxa"/>
          </w:tcPr>
          <w:p w14:paraId="0DA6406E"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sz w:val="12"/>
                <w:szCs w:val="12"/>
              </w:rPr>
              <w:t>58%</w:t>
            </w:r>
          </w:p>
        </w:tc>
        <w:tc>
          <w:tcPr>
            <w:tcW w:w="708" w:type="dxa"/>
          </w:tcPr>
          <w:p w14:paraId="3E026206"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sz w:val="12"/>
                <w:szCs w:val="12"/>
              </w:rPr>
              <w:t>61%</w:t>
            </w:r>
          </w:p>
        </w:tc>
        <w:tc>
          <w:tcPr>
            <w:tcW w:w="709" w:type="dxa"/>
          </w:tcPr>
          <w:p w14:paraId="7C776481"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sz w:val="12"/>
                <w:szCs w:val="12"/>
              </w:rPr>
              <w:t>60%</w:t>
            </w:r>
          </w:p>
        </w:tc>
        <w:tc>
          <w:tcPr>
            <w:tcW w:w="709" w:type="dxa"/>
          </w:tcPr>
          <w:p w14:paraId="0B57B163"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sz w:val="12"/>
                <w:szCs w:val="12"/>
              </w:rPr>
              <w:t>66%</w:t>
            </w:r>
          </w:p>
        </w:tc>
        <w:tc>
          <w:tcPr>
            <w:tcW w:w="709" w:type="dxa"/>
          </w:tcPr>
          <w:p w14:paraId="3E3CD4A5"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sz w:val="12"/>
                <w:szCs w:val="12"/>
              </w:rPr>
              <w:t>67%</w:t>
            </w:r>
          </w:p>
        </w:tc>
        <w:tc>
          <w:tcPr>
            <w:tcW w:w="708" w:type="dxa"/>
          </w:tcPr>
          <w:p w14:paraId="3EB681D4"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sz w:val="12"/>
                <w:szCs w:val="12"/>
              </w:rPr>
              <w:t>69%</w:t>
            </w:r>
          </w:p>
        </w:tc>
        <w:tc>
          <w:tcPr>
            <w:tcW w:w="709" w:type="dxa"/>
          </w:tcPr>
          <w:p w14:paraId="7A9F6B38"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sz w:val="12"/>
                <w:szCs w:val="12"/>
              </w:rPr>
              <w:t>70%</w:t>
            </w:r>
          </w:p>
        </w:tc>
        <w:tc>
          <w:tcPr>
            <w:tcW w:w="709" w:type="dxa"/>
          </w:tcPr>
          <w:p w14:paraId="50E12EF1"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sz w:val="12"/>
                <w:szCs w:val="12"/>
              </w:rPr>
              <w:t>69%</w:t>
            </w:r>
          </w:p>
        </w:tc>
        <w:tc>
          <w:tcPr>
            <w:tcW w:w="709" w:type="dxa"/>
          </w:tcPr>
          <w:p w14:paraId="69D2A718"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sz w:val="12"/>
                <w:szCs w:val="12"/>
              </w:rPr>
              <w:t>74%</w:t>
            </w:r>
          </w:p>
        </w:tc>
      </w:tr>
      <w:tr w:rsidR="00EB2B81" w:rsidRPr="00630AFE" w14:paraId="5AC8E141" w14:textId="77777777" w:rsidTr="00F54131">
        <w:trPr>
          <w:trHeight w:val="113"/>
        </w:trPr>
        <w:tc>
          <w:tcPr>
            <w:cnfStyle w:val="001000000000" w:firstRow="0" w:lastRow="0" w:firstColumn="1" w:lastColumn="0" w:oddVBand="0" w:evenVBand="0" w:oddHBand="0" w:evenHBand="0" w:firstRowFirstColumn="0" w:firstRowLastColumn="0" w:lastRowFirstColumn="0" w:lastRowLastColumn="0"/>
            <w:tcW w:w="1696" w:type="dxa"/>
          </w:tcPr>
          <w:p w14:paraId="18C2C594" w14:textId="77777777" w:rsidR="00EB2B81" w:rsidRPr="00630AFE" w:rsidRDefault="00EB2B81" w:rsidP="00F54131">
            <w:pPr>
              <w:rPr>
                <w:b/>
                <w:sz w:val="12"/>
                <w:szCs w:val="12"/>
              </w:rPr>
            </w:pPr>
            <w:r w:rsidRPr="00630AFE">
              <w:rPr>
                <w:sz w:val="12"/>
                <w:szCs w:val="12"/>
              </w:rPr>
              <w:t>Supplier and other expenses</w:t>
            </w:r>
          </w:p>
        </w:tc>
        <w:tc>
          <w:tcPr>
            <w:tcW w:w="709" w:type="dxa"/>
          </w:tcPr>
          <w:p w14:paraId="03226D86"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sz w:val="12"/>
                <w:szCs w:val="12"/>
              </w:rPr>
              <w:t>26.426</w:t>
            </w:r>
          </w:p>
        </w:tc>
        <w:tc>
          <w:tcPr>
            <w:tcW w:w="709" w:type="dxa"/>
          </w:tcPr>
          <w:p w14:paraId="5AD06E57"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sz w:val="12"/>
                <w:szCs w:val="12"/>
              </w:rPr>
              <w:t>37.305</w:t>
            </w:r>
          </w:p>
        </w:tc>
        <w:tc>
          <w:tcPr>
            <w:tcW w:w="709" w:type="dxa"/>
          </w:tcPr>
          <w:p w14:paraId="0925F673"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sz w:val="12"/>
                <w:szCs w:val="12"/>
              </w:rPr>
              <w:t>40.287</w:t>
            </w:r>
          </w:p>
        </w:tc>
        <w:tc>
          <w:tcPr>
            <w:tcW w:w="708" w:type="dxa"/>
          </w:tcPr>
          <w:p w14:paraId="106C410B"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sz w:val="12"/>
                <w:szCs w:val="12"/>
              </w:rPr>
              <w:t>37.416</w:t>
            </w:r>
          </w:p>
        </w:tc>
        <w:tc>
          <w:tcPr>
            <w:tcW w:w="709" w:type="dxa"/>
          </w:tcPr>
          <w:p w14:paraId="2407FD5E"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sz w:val="12"/>
                <w:szCs w:val="12"/>
              </w:rPr>
              <w:t>41.441</w:t>
            </w:r>
          </w:p>
        </w:tc>
        <w:tc>
          <w:tcPr>
            <w:tcW w:w="709" w:type="dxa"/>
          </w:tcPr>
          <w:p w14:paraId="618FC5BB"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sz w:val="12"/>
                <w:szCs w:val="12"/>
              </w:rPr>
              <w:t>35.275</w:t>
            </w:r>
          </w:p>
        </w:tc>
        <w:tc>
          <w:tcPr>
            <w:tcW w:w="709" w:type="dxa"/>
          </w:tcPr>
          <w:p w14:paraId="63A174D1"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sz w:val="12"/>
                <w:szCs w:val="12"/>
              </w:rPr>
              <w:t>35.155</w:t>
            </w:r>
          </w:p>
        </w:tc>
        <w:tc>
          <w:tcPr>
            <w:tcW w:w="708" w:type="dxa"/>
          </w:tcPr>
          <w:p w14:paraId="440B669E"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sz w:val="12"/>
                <w:szCs w:val="12"/>
              </w:rPr>
              <w:t>32.397</w:t>
            </w:r>
          </w:p>
        </w:tc>
        <w:tc>
          <w:tcPr>
            <w:tcW w:w="709" w:type="dxa"/>
          </w:tcPr>
          <w:p w14:paraId="046C9C6F"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sz w:val="12"/>
                <w:szCs w:val="12"/>
              </w:rPr>
              <w:t>28.629</w:t>
            </w:r>
          </w:p>
        </w:tc>
        <w:tc>
          <w:tcPr>
            <w:tcW w:w="709" w:type="dxa"/>
          </w:tcPr>
          <w:p w14:paraId="55BA0A6A"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sz w:val="12"/>
                <w:szCs w:val="12"/>
              </w:rPr>
              <w:t>28.019</w:t>
            </w:r>
          </w:p>
        </w:tc>
        <w:tc>
          <w:tcPr>
            <w:tcW w:w="709" w:type="dxa"/>
          </w:tcPr>
          <w:p w14:paraId="5D2E7845"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sz w:val="12"/>
                <w:szCs w:val="12"/>
              </w:rPr>
              <w:t>18.587</w:t>
            </w:r>
          </w:p>
        </w:tc>
      </w:tr>
      <w:tr w:rsidR="00EB2B81" w:rsidRPr="00630AFE" w14:paraId="401F7AF8" w14:textId="77777777" w:rsidTr="00F54131">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auto"/>
            </w:tcBorders>
          </w:tcPr>
          <w:p w14:paraId="677673EC" w14:textId="77777777" w:rsidR="00EB2B81" w:rsidRPr="00630AFE" w:rsidRDefault="00EB2B81" w:rsidP="00F54131">
            <w:pPr>
              <w:rPr>
                <w:b/>
                <w:sz w:val="12"/>
                <w:szCs w:val="12"/>
              </w:rPr>
            </w:pPr>
            <w:r w:rsidRPr="00630AFE">
              <w:rPr>
                <w:sz w:val="12"/>
                <w:szCs w:val="12"/>
              </w:rPr>
              <w:t>Depreciation</w:t>
            </w:r>
          </w:p>
        </w:tc>
        <w:tc>
          <w:tcPr>
            <w:tcW w:w="709" w:type="dxa"/>
            <w:tcBorders>
              <w:bottom w:val="single" w:sz="4" w:space="0" w:color="auto"/>
            </w:tcBorders>
          </w:tcPr>
          <w:p w14:paraId="464A017F"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sz w:val="12"/>
                <w:szCs w:val="12"/>
              </w:rPr>
              <w:t>5.702</w:t>
            </w:r>
          </w:p>
        </w:tc>
        <w:tc>
          <w:tcPr>
            <w:tcW w:w="709" w:type="dxa"/>
            <w:tcBorders>
              <w:bottom w:val="single" w:sz="4" w:space="0" w:color="auto"/>
            </w:tcBorders>
          </w:tcPr>
          <w:p w14:paraId="20283A08"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sz w:val="12"/>
                <w:szCs w:val="12"/>
              </w:rPr>
              <w:t>5.011</w:t>
            </w:r>
          </w:p>
        </w:tc>
        <w:tc>
          <w:tcPr>
            <w:tcW w:w="709" w:type="dxa"/>
            <w:tcBorders>
              <w:bottom w:val="single" w:sz="4" w:space="0" w:color="auto"/>
            </w:tcBorders>
          </w:tcPr>
          <w:p w14:paraId="42471707"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sz w:val="12"/>
                <w:szCs w:val="12"/>
              </w:rPr>
              <w:t>4.191</w:t>
            </w:r>
          </w:p>
        </w:tc>
        <w:tc>
          <w:tcPr>
            <w:tcW w:w="708" w:type="dxa"/>
            <w:tcBorders>
              <w:bottom w:val="single" w:sz="4" w:space="0" w:color="auto"/>
            </w:tcBorders>
          </w:tcPr>
          <w:p w14:paraId="3C4B4461"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sz w:val="12"/>
                <w:szCs w:val="12"/>
              </w:rPr>
              <w:t>4.221</w:t>
            </w:r>
          </w:p>
        </w:tc>
        <w:tc>
          <w:tcPr>
            <w:tcW w:w="709" w:type="dxa"/>
            <w:tcBorders>
              <w:bottom w:val="single" w:sz="4" w:space="0" w:color="auto"/>
            </w:tcBorders>
          </w:tcPr>
          <w:p w14:paraId="2E8B191A"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sz w:val="12"/>
                <w:szCs w:val="12"/>
              </w:rPr>
              <w:t>5.026</w:t>
            </w:r>
          </w:p>
        </w:tc>
        <w:tc>
          <w:tcPr>
            <w:tcW w:w="709" w:type="dxa"/>
            <w:tcBorders>
              <w:bottom w:val="single" w:sz="4" w:space="0" w:color="auto"/>
            </w:tcBorders>
          </w:tcPr>
          <w:p w14:paraId="294EC873"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sz w:val="12"/>
                <w:szCs w:val="12"/>
              </w:rPr>
              <w:t>7.002</w:t>
            </w:r>
          </w:p>
        </w:tc>
        <w:tc>
          <w:tcPr>
            <w:tcW w:w="709" w:type="dxa"/>
            <w:tcBorders>
              <w:bottom w:val="single" w:sz="4" w:space="0" w:color="auto"/>
            </w:tcBorders>
          </w:tcPr>
          <w:p w14:paraId="4E6C9AA0"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sz w:val="12"/>
                <w:szCs w:val="12"/>
              </w:rPr>
              <w:t>6.344</w:t>
            </w:r>
          </w:p>
        </w:tc>
        <w:tc>
          <w:tcPr>
            <w:tcW w:w="708" w:type="dxa"/>
            <w:tcBorders>
              <w:bottom w:val="single" w:sz="4" w:space="0" w:color="auto"/>
            </w:tcBorders>
          </w:tcPr>
          <w:p w14:paraId="3774C477"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sz w:val="12"/>
                <w:szCs w:val="12"/>
              </w:rPr>
              <w:t>7.388</w:t>
            </w:r>
          </w:p>
        </w:tc>
        <w:tc>
          <w:tcPr>
            <w:tcW w:w="709" w:type="dxa"/>
            <w:tcBorders>
              <w:bottom w:val="single" w:sz="4" w:space="0" w:color="auto"/>
            </w:tcBorders>
          </w:tcPr>
          <w:p w14:paraId="15A1E8FE"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sz w:val="12"/>
                <w:szCs w:val="12"/>
              </w:rPr>
              <w:t>8.635</w:t>
            </w:r>
          </w:p>
        </w:tc>
        <w:tc>
          <w:tcPr>
            <w:tcW w:w="709" w:type="dxa"/>
            <w:tcBorders>
              <w:bottom w:val="single" w:sz="4" w:space="0" w:color="auto"/>
            </w:tcBorders>
          </w:tcPr>
          <w:p w14:paraId="7F7410FE"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sz w:val="12"/>
                <w:szCs w:val="12"/>
              </w:rPr>
              <w:t>10.035</w:t>
            </w:r>
          </w:p>
        </w:tc>
        <w:tc>
          <w:tcPr>
            <w:tcW w:w="709" w:type="dxa"/>
            <w:tcBorders>
              <w:bottom w:val="single" w:sz="4" w:space="0" w:color="auto"/>
            </w:tcBorders>
          </w:tcPr>
          <w:p w14:paraId="22BCCD5F"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sz w:val="12"/>
                <w:szCs w:val="12"/>
              </w:rPr>
              <w:t>9.028</w:t>
            </w:r>
          </w:p>
        </w:tc>
      </w:tr>
      <w:tr w:rsidR="00EB2B81" w:rsidRPr="00630AFE" w14:paraId="26CF577D" w14:textId="77777777" w:rsidTr="00F54131">
        <w:trPr>
          <w:trHeight w:val="113"/>
        </w:trPr>
        <w:tc>
          <w:tcPr>
            <w:cnfStyle w:val="001000000000" w:firstRow="0" w:lastRow="0" w:firstColumn="1" w:lastColumn="0" w:oddVBand="0" w:evenVBand="0" w:oddHBand="0" w:evenHBand="0" w:firstRowFirstColumn="0" w:firstRowLastColumn="0" w:lastRowFirstColumn="0" w:lastRowLastColumn="0"/>
            <w:tcW w:w="1696" w:type="dxa"/>
          </w:tcPr>
          <w:p w14:paraId="12BD648C" w14:textId="77777777" w:rsidR="00EB2B81" w:rsidRPr="00630AFE" w:rsidRDefault="00EB2B81" w:rsidP="00F54131">
            <w:pPr>
              <w:rPr>
                <w:sz w:val="12"/>
                <w:szCs w:val="12"/>
              </w:rPr>
            </w:pPr>
            <w:r w:rsidRPr="00630AFE">
              <w:rPr>
                <w:sz w:val="12"/>
                <w:szCs w:val="12"/>
              </w:rPr>
              <w:t>Surplus/(Loss)</w:t>
            </w:r>
          </w:p>
        </w:tc>
        <w:tc>
          <w:tcPr>
            <w:tcW w:w="709" w:type="dxa"/>
          </w:tcPr>
          <w:p w14:paraId="06C70A48"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sz w:val="12"/>
                <w:szCs w:val="12"/>
              </w:rPr>
              <w:t>3.030</w:t>
            </w:r>
          </w:p>
        </w:tc>
        <w:tc>
          <w:tcPr>
            <w:tcW w:w="709" w:type="dxa"/>
          </w:tcPr>
          <w:p w14:paraId="1CE22135"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sz w:val="12"/>
                <w:szCs w:val="12"/>
              </w:rPr>
              <w:t>0.652</w:t>
            </w:r>
          </w:p>
        </w:tc>
        <w:tc>
          <w:tcPr>
            <w:tcW w:w="709" w:type="dxa"/>
          </w:tcPr>
          <w:p w14:paraId="2A20B8CF"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sz w:val="12"/>
                <w:szCs w:val="12"/>
              </w:rPr>
              <w:t>0.010</w:t>
            </w:r>
          </w:p>
        </w:tc>
        <w:tc>
          <w:tcPr>
            <w:tcW w:w="708" w:type="dxa"/>
          </w:tcPr>
          <w:p w14:paraId="445EACC6"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color w:val="FF0000"/>
                <w:sz w:val="12"/>
                <w:szCs w:val="12"/>
              </w:rPr>
              <w:t>-1.326</w:t>
            </w:r>
          </w:p>
        </w:tc>
        <w:tc>
          <w:tcPr>
            <w:tcW w:w="709" w:type="dxa"/>
          </w:tcPr>
          <w:p w14:paraId="7F16FE05"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sz w:val="12"/>
                <w:szCs w:val="12"/>
              </w:rPr>
              <w:t>2.163</w:t>
            </w:r>
          </w:p>
        </w:tc>
        <w:tc>
          <w:tcPr>
            <w:tcW w:w="709" w:type="dxa"/>
          </w:tcPr>
          <w:p w14:paraId="301BFAB5"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color w:val="FF0000"/>
                <w:sz w:val="12"/>
                <w:szCs w:val="12"/>
              </w:rPr>
              <w:t>-9.652</w:t>
            </w:r>
          </w:p>
        </w:tc>
        <w:tc>
          <w:tcPr>
            <w:tcW w:w="709" w:type="dxa"/>
          </w:tcPr>
          <w:p w14:paraId="3C6DB304"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color w:val="FF0000"/>
                <w:sz w:val="12"/>
                <w:szCs w:val="12"/>
              </w:rPr>
              <w:t>-7.662</w:t>
            </w:r>
          </w:p>
        </w:tc>
        <w:tc>
          <w:tcPr>
            <w:tcW w:w="708" w:type="dxa"/>
          </w:tcPr>
          <w:p w14:paraId="5779824F"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color w:val="FF0000"/>
                <w:sz w:val="12"/>
                <w:szCs w:val="12"/>
              </w:rPr>
              <w:t>-10.005</w:t>
            </w:r>
          </w:p>
        </w:tc>
        <w:tc>
          <w:tcPr>
            <w:tcW w:w="709" w:type="dxa"/>
          </w:tcPr>
          <w:p w14:paraId="6B88F314"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color w:val="FF0000"/>
                <w:sz w:val="12"/>
                <w:szCs w:val="12"/>
              </w:rPr>
              <w:t>-7.224</w:t>
            </w:r>
          </w:p>
        </w:tc>
        <w:tc>
          <w:tcPr>
            <w:tcW w:w="709" w:type="dxa"/>
          </w:tcPr>
          <w:p w14:paraId="7FE2330F"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color w:val="FF0000"/>
                <w:sz w:val="12"/>
                <w:szCs w:val="12"/>
              </w:rPr>
              <w:t>-8.063</w:t>
            </w:r>
          </w:p>
        </w:tc>
        <w:tc>
          <w:tcPr>
            <w:tcW w:w="709" w:type="dxa"/>
          </w:tcPr>
          <w:p w14:paraId="23CDBCC3"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color w:val="FF0000"/>
                <w:sz w:val="12"/>
                <w:szCs w:val="12"/>
              </w:rPr>
              <w:t>-9.028</w:t>
            </w:r>
          </w:p>
        </w:tc>
      </w:tr>
      <w:tr w:rsidR="00EB2B81" w:rsidRPr="00630AFE" w14:paraId="0EA7491E" w14:textId="77777777" w:rsidTr="00F54131">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96" w:type="dxa"/>
          </w:tcPr>
          <w:p w14:paraId="7B5C174B" w14:textId="77777777" w:rsidR="00EB2B81" w:rsidRPr="00630AFE" w:rsidRDefault="00EB2B81" w:rsidP="00F54131">
            <w:pPr>
              <w:rPr>
                <w:sz w:val="12"/>
                <w:szCs w:val="12"/>
              </w:rPr>
            </w:pPr>
            <w:r w:rsidRPr="00630AFE">
              <w:rPr>
                <w:sz w:val="12"/>
                <w:szCs w:val="12"/>
              </w:rPr>
              <w:t>add depreciation loss</w:t>
            </w:r>
          </w:p>
        </w:tc>
        <w:tc>
          <w:tcPr>
            <w:tcW w:w="709" w:type="dxa"/>
          </w:tcPr>
          <w:p w14:paraId="16F6A3FD"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p>
        </w:tc>
        <w:tc>
          <w:tcPr>
            <w:tcW w:w="709" w:type="dxa"/>
          </w:tcPr>
          <w:p w14:paraId="0EFDF19C"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p>
        </w:tc>
        <w:tc>
          <w:tcPr>
            <w:tcW w:w="709" w:type="dxa"/>
          </w:tcPr>
          <w:p w14:paraId="3F2AB933"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p>
        </w:tc>
        <w:tc>
          <w:tcPr>
            <w:tcW w:w="708" w:type="dxa"/>
          </w:tcPr>
          <w:p w14:paraId="650FB6F6"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p>
        </w:tc>
        <w:tc>
          <w:tcPr>
            <w:tcW w:w="709" w:type="dxa"/>
          </w:tcPr>
          <w:p w14:paraId="26EAE89D"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p>
        </w:tc>
        <w:tc>
          <w:tcPr>
            <w:tcW w:w="709" w:type="dxa"/>
          </w:tcPr>
          <w:p w14:paraId="1CEAA26F"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r w:rsidRPr="00630AFE">
              <w:rPr>
                <w:sz w:val="12"/>
                <w:szCs w:val="12"/>
              </w:rPr>
              <w:t>7.002</w:t>
            </w:r>
          </w:p>
        </w:tc>
        <w:tc>
          <w:tcPr>
            <w:tcW w:w="709" w:type="dxa"/>
          </w:tcPr>
          <w:p w14:paraId="7066362B"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r w:rsidRPr="00630AFE">
              <w:rPr>
                <w:sz w:val="12"/>
                <w:szCs w:val="12"/>
              </w:rPr>
              <w:t>6.344</w:t>
            </w:r>
          </w:p>
        </w:tc>
        <w:tc>
          <w:tcPr>
            <w:tcW w:w="708" w:type="dxa"/>
          </w:tcPr>
          <w:p w14:paraId="1C38F228"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r w:rsidRPr="00630AFE">
              <w:rPr>
                <w:sz w:val="12"/>
                <w:szCs w:val="12"/>
              </w:rPr>
              <w:t>7.388</w:t>
            </w:r>
          </w:p>
        </w:tc>
        <w:tc>
          <w:tcPr>
            <w:tcW w:w="709" w:type="dxa"/>
          </w:tcPr>
          <w:p w14:paraId="4FAE969D"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r w:rsidRPr="00630AFE">
              <w:rPr>
                <w:sz w:val="12"/>
                <w:szCs w:val="12"/>
              </w:rPr>
              <w:t>8.635</w:t>
            </w:r>
          </w:p>
        </w:tc>
        <w:tc>
          <w:tcPr>
            <w:tcW w:w="709" w:type="dxa"/>
          </w:tcPr>
          <w:p w14:paraId="77D4D3B5"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r w:rsidRPr="00630AFE">
              <w:rPr>
                <w:sz w:val="12"/>
                <w:szCs w:val="12"/>
              </w:rPr>
              <w:t>10.035</w:t>
            </w:r>
          </w:p>
        </w:tc>
        <w:tc>
          <w:tcPr>
            <w:tcW w:w="709" w:type="dxa"/>
          </w:tcPr>
          <w:p w14:paraId="3ACABC51"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r w:rsidRPr="00630AFE">
              <w:rPr>
                <w:sz w:val="12"/>
                <w:szCs w:val="12"/>
              </w:rPr>
              <w:t>9.028</w:t>
            </w:r>
          </w:p>
        </w:tc>
      </w:tr>
      <w:tr w:rsidR="00EB2B81" w:rsidRPr="00630AFE" w14:paraId="6A1B8872" w14:textId="77777777" w:rsidTr="00F54131">
        <w:trPr>
          <w:trHeight w:val="113"/>
        </w:trPr>
        <w:tc>
          <w:tcPr>
            <w:cnfStyle w:val="001000000000" w:firstRow="0" w:lastRow="0" w:firstColumn="1" w:lastColumn="0" w:oddVBand="0" w:evenVBand="0" w:oddHBand="0" w:evenHBand="0" w:firstRowFirstColumn="0" w:firstRowLastColumn="0" w:lastRowFirstColumn="0" w:lastRowLastColumn="0"/>
            <w:tcW w:w="1696" w:type="dxa"/>
          </w:tcPr>
          <w:p w14:paraId="42ACC7A2" w14:textId="77777777" w:rsidR="00EB2B81" w:rsidRPr="00630AFE" w:rsidRDefault="00EB2B81" w:rsidP="00F54131">
            <w:pPr>
              <w:rPr>
                <w:sz w:val="12"/>
                <w:szCs w:val="12"/>
              </w:rPr>
            </w:pPr>
            <w:r w:rsidRPr="00630AFE">
              <w:rPr>
                <w:sz w:val="12"/>
                <w:szCs w:val="12"/>
              </w:rPr>
              <w:t>OCeSC Unspent Rollover</w:t>
            </w:r>
          </w:p>
        </w:tc>
        <w:tc>
          <w:tcPr>
            <w:tcW w:w="709" w:type="dxa"/>
          </w:tcPr>
          <w:p w14:paraId="7973737B"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p>
        </w:tc>
        <w:tc>
          <w:tcPr>
            <w:tcW w:w="709" w:type="dxa"/>
          </w:tcPr>
          <w:p w14:paraId="5D222985"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p>
        </w:tc>
        <w:tc>
          <w:tcPr>
            <w:tcW w:w="709" w:type="dxa"/>
          </w:tcPr>
          <w:p w14:paraId="029FCCA1"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p>
        </w:tc>
        <w:tc>
          <w:tcPr>
            <w:tcW w:w="708" w:type="dxa"/>
          </w:tcPr>
          <w:p w14:paraId="4779F2E3"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p>
        </w:tc>
        <w:tc>
          <w:tcPr>
            <w:tcW w:w="709" w:type="dxa"/>
          </w:tcPr>
          <w:p w14:paraId="2C67C35D"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p>
        </w:tc>
        <w:tc>
          <w:tcPr>
            <w:tcW w:w="709" w:type="dxa"/>
          </w:tcPr>
          <w:p w14:paraId="23BE898C"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p>
        </w:tc>
        <w:tc>
          <w:tcPr>
            <w:tcW w:w="709" w:type="dxa"/>
          </w:tcPr>
          <w:p w14:paraId="5FAF93A1"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p>
        </w:tc>
        <w:tc>
          <w:tcPr>
            <w:tcW w:w="708" w:type="dxa"/>
          </w:tcPr>
          <w:p w14:paraId="6DBF642C"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p>
        </w:tc>
        <w:tc>
          <w:tcPr>
            <w:tcW w:w="709" w:type="dxa"/>
          </w:tcPr>
          <w:p w14:paraId="6272E045"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p>
        </w:tc>
        <w:tc>
          <w:tcPr>
            <w:tcW w:w="709" w:type="dxa"/>
          </w:tcPr>
          <w:p w14:paraId="6C12B3AB"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color w:val="FF0000"/>
                <w:sz w:val="12"/>
                <w:szCs w:val="12"/>
              </w:rPr>
              <w:t>-1.274</w:t>
            </w:r>
          </w:p>
        </w:tc>
        <w:tc>
          <w:tcPr>
            <w:tcW w:w="709" w:type="dxa"/>
          </w:tcPr>
          <w:p w14:paraId="2483A9F3"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p>
        </w:tc>
      </w:tr>
      <w:tr w:rsidR="00EB2B81" w:rsidRPr="00630AFE" w14:paraId="53D2F16C" w14:textId="77777777" w:rsidTr="00F54131">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auto"/>
            </w:tcBorders>
          </w:tcPr>
          <w:p w14:paraId="3D4E6DF5" w14:textId="77777777" w:rsidR="00EB2B81" w:rsidRPr="00630AFE" w:rsidRDefault="00EB2B81" w:rsidP="00F54131">
            <w:pPr>
              <w:rPr>
                <w:sz w:val="12"/>
                <w:szCs w:val="12"/>
              </w:rPr>
            </w:pPr>
            <w:r w:rsidRPr="00630AFE">
              <w:rPr>
                <w:b/>
                <w:sz w:val="12"/>
                <w:szCs w:val="12"/>
              </w:rPr>
              <w:t>Net Surplus/Loss</w:t>
            </w:r>
          </w:p>
        </w:tc>
        <w:tc>
          <w:tcPr>
            <w:tcW w:w="709" w:type="dxa"/>
            <w:tcBorders>
              <w:bottom w:val="single" w:sz="4" w:space="0" w:color="auto"/>
            </w:tcBorders>
          </w:tcPr>
          <w:p w14:paraId="04DD231A"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r w:rsidRPr="00630AFE">
              <w:rPr>
                <w:b/>
                <w:sz w:val="12"/>
                <w:szCs w:val="12"/>
              </w:rPr>
              <w:t>3.030</w:t>
            </w:r>
          </w:p>
        </w:tc>
        <w:tc>
          <w:tcPr>
            <w:tcW w:w="709" w:type="dxa"/>
            <w:tcBorders>
              <w:bottom w:val="single" w:sz="4" w:space="0" w:color="auto"/>
            </w:tcBorders>
          </w:tcPr>
          <w:p w14:paraId="329860C8"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r w:rsidRPr="00630AFE">
              <w:rPr>
                <w:b/>
                <w:sz w:val="12"/>
                <w:szCs w:val="12"/>
              </w:rPr>
              <w:t>0.652</w:t>
            </w:r>
          </w:p>
        </w:tc>
        <w:tc>
          <w:tcPr>
            <w:tcW w:w="709" w:type="dxa"/>
            <w:tcBorders>
              <w:bottom w:val="single" w:sz="4" w:space="0" w:color="auto"/>
            </w:tcBorders>
          </w:tcPr>
          <w:p w14:paraId="1AC5A54F"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r w:rsidRPr="00630AFE">
              <w:rPr>
                <w:b/>
                <w:sz w:val="12"/>
                <w:szCs w:val="12"/>
              </w:rPr>
              <w:t>0.010</w:t>
            </w:r>
          </w:p>
        </w:tc>
        <w:tc>
          <w:tcPr>
            <w:tcW w:w="708" w:type="dxa"/>
            <w:tcBorders>
              <w:bottom w:val="single" w:sz="4" w:space="0" w:color="auto"/>
            </w:tcBorders>
          </w:tcPr>
          <w:p w14:paraId="2B639A92"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r w:rsidRPr="00630AFE">
              <w:rPr>
                <w:b/>
                <w:color w:val="FF0000"/>
                <w:sz w:val="12"/>
                <w:szCs w:val="12"/>
              </w:rPr>
              <w:t>-1.326</w:t>
            </w:r>
          </w:p>
        </w:tc>
        <w:tc>
          <w:tcPr>
            <w:tcW w:w="709" w:type="dxa"/>
            <w:tcBorders>
              <w:bottom w:val="single" w:sz="4" w:space="0" w:color="auto"/>
            </w:tcBorders>
          </w:tcPr>
          <w:p w14:paraId="272DA8D5"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r w:rsidRPr="00630AFE">
              <w:rPr>
                <w:b/>
                <w:sz w:val="12"/>
                <w:szCs w:val="12"/>
              </w:rPr>
              <w:t>2.163</w:t>
            </w:r>
          </w:p>
        </w:tc>
        <w:tc>
          <w:tcPr>
            <w:tcW w:w="709" w:type="dxa"/>
            <w:tcBorders>
              <w:bottom w:val="single" w:sz="4" w:space="0" w:color="auto"/>
            </w:tcBorders>
          </w:tcPr>
          <w:p w14:paraId="1DB2CC65"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r w:rsidRPr="00630AFE">
              <w:rPr>
                <w:b/>
                <w:color w:val="FF0000"/>
                <w:sz w:val="12"/>
                <w:szCs w:val="12"/>
              </w:rPr>
              <w:t>-2.650</w:t>
            </w:r>
          </w:p>
        </w:tc>
        <w:tc>
          <w:tcPr>
            <w:tcW w:w="709" w:type="dxa"/>
            <w:tcBorders>
              <w:bottom w:val="single" w:sz="4" w:space="0" w:color="auto"/>
            </w:tcBorders>
          </w:tcPr>
          <w:p w14:paraId="6F581070"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r w:rsidRPr="00630AFE">
              <w:rPr>
                <w:b/>
                <w:color w:val="FF0000"/>
                <w:sz w:val="12"/>
                <w:szCs w:val="12"/>
              </w:rPr>
              <w:t>-1.318</w:t>
            </w:r>
          </w:p>
        </w:tc>
        <w:tc>
          <w:tcPr>
            <w:tcW w:w="708" w:type="dxa"/>
            <w:tcBorders>
              <w:bottom w:val="single" w:sz="4" w:space="0" w:color="auto"/>
            </w:tcBorders>
          </w:tcPr>
          <w:p w14:paraId="207B790C"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r w:rsidRPr="00630AFE">
              <w:rPr>
                <w:b/>
                <w:color w:val="FF0000"/>
                <w:sz w:val="12"/>
                <w:szCs w:val="12"/>
              </w:rPr>
              <w:t>-2.617</w:t>
            </w:r>
          </w:p>
        </w:tc>
        <w:tc>
          <w:tcPr>
            <w:tcW w:w="709" w:type="dxa"/>
            <w:tcBorders>
              <w:bottom w:val="single" w:sz="4" w:space="0" w:color="auto"/>
            </w:tcBorders>
          </w:tcPr>
          <w:p w14:paraId="3BDF8B9D"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r w:rsidRPr="00630AFE">
              <w:rPr>
                <w:b/>
                <w:sz w:val="12"/>
                <w:szCs w:val="12"/>
              </w:rPr>
              <w:t>1.411</w:t>
            </w:r>
          </w:p>
        </w:tc>
        <w:tc>
          <w:tcPr>
            <w:tcW w:w="709" w:type="dxa"/>
            <w:tcBorders>
              <w:bottom w:val="single" w:sz="4" w:space="0" w:color="auto"/>
            </w:tcBorders>
          </w:tcPr>
          <w:p w14:paraId="09FBE01A"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r w:rsidRPr="00630AFE">
              <w:rPr>
                <w:b/>
                <w:sz w:val="12"/>
                <w:szCs w:val="12"/>
              </w:rPr>
              <w:t>0.698</w:t>
            </w:r>
          </w:p>
        </w:tc>
        <w:tc>
          <w:tcPr>
            <w:tcW w:w="709" w:type="dxa"/>
            <w:tcBorders>
              <w:bottom w:val="single" w:sz="4" w:space="0" w:color="auto"/>
            </w:tcBorders>
          </w:tcPr>
          <w:p w14:paraId="1ED105A9"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sz w:val="12"/>
                <w:szCs w:val="12"/>
              </w:rPr>
            </w:pPr>
            <w:r w:rsidRPr="00630AFE">
              <w:rPr>
                <w:b/>
                <w:sz w:val="12"/>
                <w:szCs w:val="12"/>
              </w:rPr>
              <w:t>0.000</w:t>
            </w:r>
          </w:p>
        </w:tc>
      </w:tr>
      <w:tr w:rsidR="00EB2B81" w:rsidRPr="00630AFE" w14:paraId="5B6BB687" w14:textId="77777777" w:rsidTr="00F54131">
        <w:trPr>
          <w:trHeight w:val="113"/>
        </w:trPr>
        <w:tc>
          <w:tcPr>
            <w:cnfStyle w:val="001000000000" w:firstRow="0" w:lastRow="0" w:firstColumn="1" w:lastColumn="0" w:oddVBand="0" w:evenVBand="0" w:oddHBand="0" w:evenHBand="0" w:firstRowFirstColumn="0" w:firstRowLastColumn="0" w:lastRowFirstColumn="0" w:lastRowLastColumn="0"/>
            <w:tcW w:w="1696" w:type="dxa"/>
          </w:tcPr>
          <w:p w14:paraId="5E848B95" w14:textId="77777777" w:rsidR="00EB2B81" w:rsidRPr="00630AFE" w:rsidRDefault="00EB2B81" w:rsidP="00F54131">
            <w:pPr>
              <w:rPr>
                <w:b/>
                <w:sz w:val="12"/>
                <w:szCs w:val="12"/>
              </w:rPr>
            </w:pPr>
            <w:r w:rsidRPr="00630AFE">
              <w:rPr>
                <w:b/>
                <w:sz w:val="12"/>
                <w:szCs w:val="12"/>
              </w:rPr>
              <w:t>Revenue Raised</w:t>
            </w:r>
          </w:p>
        </w:tc>
        <w:tc>
          <w:tcPr>
            <w:tcW w:w="709" w:type="dxa"/>
          </w:tcPr>
          <w:p w14:paraId="1DEBBAAF" w14:textId="77777777" w:rsidR="00EB2B81" w:rsidRPr="00630AFE" w:rsidRDefault="00174EEE"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Pr>
                <w:sz w:val="12"/>
                <w:szCs w:val="12"/>
              </w:rPr>
              <w:t>2005–06</w:t>
            </w:r>
          </w:p>
        </w:tc>
        <w:tc>
          <w:tcPr>
            <w:tcW w:w="709" w:type="dxa"/>
          </w:tcPr>
          <w:p w14:paraId="77658019" w14:textId="77777777" w:rsidR="00EB2B81" w:rsidRPr="00630AFE" w:rsidRDefault="00174EEE"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Pr>
                <w:sz w:val="12"/>
                <w:szCs w:val="12"/>
              </w:rPr>
              <w:t>2006–07</w:t>
            </w:r>
          </w:p>
        </w:tc>
        <w:tc>
          <w:tcPr>
            <w:tcW w:w="709" w:type="dxa"/>
          </w:tcPr>
          <w:p w14:paraId="0BF02596" w14:textId="77777777" w:rsidR="00EB2B81" w:rsidRPr="00630AFE" w:rsidRDefault="00174EEE"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Pr>
                <w:sz w:val="12"/>
                <w:szCs w:val="12"/>
              </w:rPr>
              <w:t>2007–08</w:t>
            </w:r>
          </w:p>
        </w:tc>
        <w:tc>
          <w:tcPr>
            <w:tcW w:w="708" w:type="dxa"/>
          </w:tcPr>
          <w:p w14:paraId="16DEB18E" w14:textId="77777777" w:rsidR="00EB2B81" w:rsidRPr="00630AFE" w:rsidRDefault="00174EEE" w:rsidP="00F54131">
            <w:pPr>
              <w:jc w:val="right"/>
              <w:cnfStyle w:val="000000000000" w:firstRow="0" w:lastRow="0" w:firstColumn="0" w:lastColumn="0" w:oddVBand="0" w:evenVBand="0" w:oddHBand="0" w:evenHBand="0" w:firstRowFirstColumn="0" w:firstRowLastColumn="0" w:lastRowFirstColumn="0" w:lastRowLastColumn="0"/>
              <w:rPr>
                <w:b/>
                <w:color w:val="FF0000"/>
                <w:sz w:val="12"/>
                <w:szCs w:val="12"/>
              </w:rPr>
            </w:pPr>
            <w:r>
              <w:rPr>
                <w:sz w:val="12"/>
                <w:szCs w:val="12"/>
              </w:rPr>
              <w:t>2008–09</w:t>
            </w:r>
          </w:p>
        </w:tc>
        <w:tc>
          <w:tcPr>
            <w:tcW w:w="709" w:type="dxa"/>
          </w:tcPr>
          <w:p w14:paraId="784E41B1" w14:textId="77777777" w:rsidR="00EB2B81" w:rsidRPr="00630AFE" w:rsidRDefault="00174EEE"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Pr>
                <w:sz w:val="12"/>
                <w:szCs w:val="12"/>
              </w:rPr>
              <w:t>2009–10</w:t>
            </w:r>
          </w:p>
        </w:tc>
        <w:tc>
          <w:tcPr>
            <w:tcW w:w="709" w:type="dxa"/>
          </w:tcPr>
          <w:p w14:paraId="6D3B0A7A" w14:textId="77777777" w:rsidR="00EB2B81" w:rsidRPr="00630AFE" w:rsidRDefault="00174EEE" w:rsidP="00F54131">
            <w:pPr>
              <w:jc w:val="right"/>
              <w:cnfStyle w:val="000000000000" w:firstRow="0" w:lastRow="0" w:firstColumn="0" w:lastColumn="0" w:oddVBand="0" w:evenVBand="0" w:oddHBand="0" w:evenHBand="0" w:firstRowFirstColumn="0" w:firstRowLastColumn="0" w:lastRowFirstColumn="0" w:lastRowLastColumn="0"/>
              <w:rPr>
                <w:b/>
                <w:color w:val="FF0000"/>
                <w:sz w:val="12"/>
                <w:szCs w:val="12"/>
              </w:rPr>
            </w:pPr>
            <w:r>
              <w:rPr>
                <w:sz w:val="12"/>
                <w:szCs w:val="12"/>
              </w:rPr>
              <w:t>2010–11</w:t>
            </w:r>
          </w:p>
        </w:tc>
        <w:tc>
          <w:tcPr>
            <w:tcW w:w="709" w:type="dxa"/>
          </w:tcPr>
          <w:p w14:paraId="0D0DC8CF" w14:textId="77777777" w:rsidR="00EB2B81" w:rsidRPr="00630AFE" w:rsidRDefault="00174EEE" w:rsidP="00F54131">
            <w:pPr>
              <w:jc w:val="right"/>
              <w:cnfStyle w:val="000000000000" w:firstRow="0" w:lastRow="0" w:firstColumn="0" w:lastColumn="0" w:oddVBand="0" w:evenVBand="0" w:oddHBand="0" w:evenHBand="0" w:firstRowFirstColumn="0" w:firstRowLastColumn="0" w:lastRowFirstColumn="0" w:lastRowLastColumn="0"/>
              <w:rPr>
                <w:b/>
                <w:color w:val="FF0000"/>
                <w:sz w:val="12"/>
                <w:szCs w:val="12"/>
              </w:rPr>
            </w:pPr>
            <w:r>
              <w:rPr>
                <w:sz w:val="12"/>
                <w:szCs w:val="12"/>
              </w:rPr>
              <w:t>2011–12</w:t>
            </w:r>
          </w:p>
        </w:tc>
        <w:tc>
          <w:tcPr>
            <w:tcW w:w="708" w:type="dxa"/>
          </w:tcPr>
          <w:p w14:paraId="64DD629F" w14:textId="77777777" w:rsidR="00EB2B81" w:rsidRPr="00630AFE" w:rsidRDefault="00174EEE" w:rsidP="00F54131">
            <w:pPr>
              <w:jc w:val="right"/>
              <w:cnfStyle w:val="000000000000" w:firstRow="0" w:lastRow="0" w:firstColumn="0" w:lastColumn="0" w:oddVBand="0" w:evenVBand="0" w:oddHBand="0" w:evenHBand="0" w:firstRowFirstColumn="0" w:firstRowLastColumn="0" w:lastRowFirstColumn="0" w:lastRowLastColumn="0"/>
              <w:rPr>
                <w:b/>
                <w:color w:val="FF0000"/>
                <w:sz w:val="12"/>
                <w:szCs w:val="12"/>
              </w:rPr>
            </w:pPr>
            <w:r>
              <w:rPr>
                <w:sz w:val="12"/>
                <w:szCs w:val="12"/>
              </w:rPr>
              <w:t>2012–13</w:t>
            </w:r>
          </w:p>
        </w:tc>
        <w:tc>
          <w:tcPr>
            <w:tcW w:w="709" w:type="dxa"/>
          </w:tcPr>
          <w:p w14:paraId="1C1D5B29" w14:textId="77777777" w:rsidR="00EB2B81" w:rsidRPr="00630AFE" w:rsidRDefault="00174EEE"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Pr>
                <w:sz w:val="12"/>
                <w:szCs w:val="12"/>
              </w:rPr>
              <w:t>2013–14</w:t>
            </w:r>
          </w:p>
        </w:tc>
        <w:tc>
          <w:tcPr>
            <w:tcW w:w="709" w:type="dxa"/>
          </w:tcPr>
          <w:p w14:paraId="2D3EEEDD" w14:textId="77777777" w:rsidR="00EB2B81" w:rsidRPr="00630AFE" w:rsidRDefault="00A1725C"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Pr>
                <w:sz w:val="12"/>
                <w:szCs w:val="12"/>
              </w:rPr>
              <w:t>2014–15</w:t>
            </w:r>
            <w:r w:rsidR="00EB2B81" w:rsidRPr="00630AFE">
              <w:rPr>
                <w:sz w:val="12"/>
                <w:szCs w:val="12"/>
              </w:rPr>
              <w:t>*</w:t>
            </w:r>
          </w:p>
        </w:tc>
        <w:tc>
          <w:tcPr>
            <w:tcW w:w="709" w:type="dxa"/>
          </w:tcPr>
          <w:p w14:paraId="625E6C40" w14:textId="77777777" w:rsidR="00EB2B81" w:rsidRPr="00630AFE" w:rsidRDefault="00A1725C"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Pr>
                <w:sz w:val="12"/>
                <w:szCs w:val="12"/>
              </w:rPr>
              <w:t>2015–16</w:t>
            </w:r>
            <w:r w:rsidR="00EB2B81" w:rsidRPr="00630AFE">
              <w:rPr>
                <w:sz w:val="12"/>
                <w:szCs w:val="12"/>
              </w:rPr>
              <w:t>*</w:t>
            </w:r>
          </w:p>
        </w:tc>
      </w:tr>
      <w:tr w:rsidR="00EB2B81" w:rsidRPr="00630AFE" w14:paraId="74515386" w14:textId="77777777" w:rsidTr="00F54131">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96" w:type="dxa"/>
          </w:tcPr>
          <w:p w14:paraId="4E464CBB" w14:textId="77777777" w:rsidR="00EB2B81" w:rsidRPr="00630AFE" w:rsidRDefault="00EB2B81" w:rsidP="00F54131">
            <w:pPr>
              <w:rPr>
                <w:b/>
                <w:sz w:val="12"/>
                <w:szCs w:val="12"/>
              </w:rPr>
            </w:pPr>
            <w:r w:rsidRPr="00630AFE">
              <w:rPr>
                <w:b/>
                <w:sz w:val="12"/>
                <w:szCs w:val="12"/>
              </w:rPr>
              <w:t>Total Administered Income</w:t>
            </w:r>
          </w:p>
        </w:tc>
        <w:tc>
          <w:tcPr>
            <w:tcW w:w="709" w:type="dxa"/>
          </w:tcPr>
          <w:p w14:paraId="79FA8D27"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b/>
                <w:sz w:val="12"/>
                <w:szCs w:val="12"/>
              </w:rPr>
              <w:t>751.247</w:t>
            </w:r>
          </w:p>
        </w:tc>
        <w:tc>
          <w:tcPr>
            <w:tcW w:w="709" w:type="dxa"/>
          </w:tcPr>
          <w:p w14:paraId="1C060E9A"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b/>
                <w:sz w:val="12"/>
                <w:szCs w:val="12"/>
              </w:rPr>
              <w:t>703.891</w:t>
            </w:r>
          </w:p>
        </w:tc>
        <w:tc>
          <w:tcPr>
            <w:tcW w:w="709" w:type="dxa"/>
          </w:tcPr>
          <w:p w14:paraId="2F6AE01F"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b/>
                <w:sz w:val="12"/>
                <w:szCs w:val="12"/>
              </w:rPr>
              <w:t>708.454</w:t>
            </w:r>
          </w:p>
        </w:tc>
        <w:tc>
          <w:tcPr>
            <w:tcW w:w="708" w:type="dxa"/>
          </w:tcPr>
          <w:p w14:paraId="3224C540"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color w:val="FF0000"/>
                <w:sz w:val="12"/>
                <w:szCs w:val="12"/>
              </w:rPr>
            </w:pPr>
            <w:r w:rsidRPr="00630AFE">
              <w:rPr>
                <w:b/>
                <w:sz w:val="12"/>
                <w:szCs w:val="12"/>
              </w:rPr>
              <w:t>757.142</w:t>
            </w:r>
          </w:p>
        </w:tc>
        <w:tc>
          <w:tcPr>
            <w:tcW w:w="709" w:type="dxa"/>
          </w:tcPr>
          <w:p w14:paraId="47B006BC"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b/>
                <w:sz w:val="12"/>
                <w:szCs w:val="12"/>
              </w:rPr>
              <w:t>687.683</w:t>
            </w:r>
          </w:p>
        </w:tc>
        <w:tc>
          <w:tcPr>
            <w:tcW w:w="709" w:type="dxa"/>
          </w:tcPr>
          <w:p w14:paraId="46FF3602"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color w:val="FF0000"/>
                <w:sz w:val="12"/>
                <w:szCs w:val="12"/>
              </w:rPr>
            </w:pPr>
            <w:r w:rsidRPr="00630AFE">
              <w:rPr>
                <w:b/>
                <w:sz w:val="12"/>
                <w:szCs w:val="12"/>
              </w:rPr>
              <w:t>580.135</w:t>
            </w:r>
          </w:p>
        </w:tc>
        <w:tc>
          <w:tcPr>
            <w:tcW w:w="709" w:type="dxa"/>
          </w:tcPr>
          <w:p w14:paraId="47C7D127"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color w:val="FF0000"/>
                <w:sz w:val="12"/>
                <w:szCs w:val="12"/>
              </w:rPr>
            </w:pPr>
            <w:r w:rsidRPr="00630AFE">
              <w:rPr>
                <w:b/>
                <w:sz w:val="12"/>
                <w:szCs w:val="12"/>
              </w:rPr>
              <w:t>646.375</w:t>
            </w:r>
          </w:p>
        </w:tc>
        <w:tc>
          <w:tcPr>
            <w:tcW w:w="708" w:type="dxa"/>
          </w:tcPr>
          <w:p w14:paraId="57AFAA9F"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color w:val="FF0000"/>
                <w:sz w:val="12"/>
                <w:szCs w:val="12"/>
              </w:rPr>
            </w:pPr>
            <w:r w:rsidRPr="00630AFE">
              <w:rPr>
                <w:b/>
                <w:sz w:val="12"/>
                <w:szCs w:val="12"/>
              </w:rPr>
              <w:t>2,022.046</w:t>
            </w:r>
          </w:p>
        </w:tc>
        <w:tc>
          <w:tcPr>
            <w:tcW w:w="709" w:type="dxa"/>
          </w:tcPr>
          <w:p w14:paraId="09316D5B"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b/>
                <w:sz w:val="12"/>
                <w:szCs w:val="12"/>
              </w:rPr>
              <w:t>656.983</w:t>
            </w:r>
          </w:p>
        </w:tc>
        <w:tc>
          <w:tcPr>
            <w:tcW w:w="709" w:type="dxa"/>
          </w:tcPr>
          <w:p w14:paraId="483CFC7F"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b/>
                <w:sz w:val="12"/>
                <w:szCs w:val="12"/>
              </w:rPr>
              <w:t>2,789.176</w:t>
            </w:r>
          </w:p>
        </w:tc>
        <w:tc>
          <w:tcPr>
            <w:tcW w:w="709" w:type="dxa"/>
          </w:tcPr>
          <w:p w14:paraId="66AF7611"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b/>
                <w:sz w:val="12"/>
                <w:szCs w:val="12"/>
              </w:rPr>
              <w:t>800.541</w:t>
            </w:r>
          </w:p>
        </w:tc>
      </w:tr>
      <w:tr w:rsidR="00EB2B81" w:rsidRPr="00630AFE" w14:paraId="42FAC703" w14:textId="77777777" w:rsidTr="00F54131">
        <w:trPr>
          <w:trHeight w:val="113"/>
        </w:trPr>
        <w:tc>
          <w:tcPr>
            <w:cnfStyle w:val="001000000000" w:firstRow="0" w:lastRow="0" w:firstColumn="1" w:lastColumn="0" w:oddVBand="0" w:evenVBand="0" w:oddHBand="0" w:evenHBand="0" w:firstRowFirstColumn="0" w:firstRowLastColumn="0" w:lastRowFirstColumn="0" w:lastRowLastColumn="0"/>
            <w:tcW w:w="1696" w:type="dxa"/>
          </w:tcPr>
          <w:p w14:paraId="6EFE245A" w14:textId="77777777" w:rsidR="00EB2B81" w:rsidRPr="00630AFE" w:rsidRDefault="00EB2B81" w:rsidP="00F54131">
            <w:pPr>
              <w:rPr>
                <w:b/>
                <w:sz w:val="12"/>
                <w:szCs w:val="12"/>
              </w:rPr>
            </w:pPr>
            <w:r w:rsidRPr="00630AFE">
              <w:rPr>
                <w:sz w:val="12"/>
                <w:szCs w:val="12"/>
              </w:rPr>
              <w:t>Other Revenue (BLF, TIL, ACLC, ANC, etc.)</w:t>
            </w:r>
          </w:p>
        </w:tc>
        <w:tc>
          <w:tcPr>
            <w:tcW w:w="709" w:type="dxa"/>
          </w:tcPr>
          <w:p w14:paraId="26C58775"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sz w:val="12"/>
                <w:szCs w:val="12"/>
              </w:rPr>
              <w:t>751.247</w:t>
            </w:r>
          </w:p>
        </w:tc>
        <w:tc>
          <w:tcPr>
            <w:tcW w:w="709" w:type="dxa"/>
          </w:tcPr>
          <w:p w14:paraId="02EA699A"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sz w:val="12"/>
                <w:szCs w:val="12"/>
              </w:rPr>
              <w:t>703.891</w:t>
            </w:r>
          </w:p>
        </w:tc>
        <w:tc>
          <w:tcPr>
            <w:tcW w:w="709" w:type="dxa"/>
          </w:tcPr>
          <w:p w14:paraId="75E1E11B"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sz w:val="12"/>
                <w:szCs w:val="12"/>
              </w:rPr>
              <w:t>708.454</w:t>
            </w:r>
          </w:p>
        </w:tc>
        <w:tc>
          <w:tcPr>
            <w:tcW w:w="708" w:type="dxa"/>
          </w:tcPr>
          <w:p w14:paraId="7585B06F"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color w:val="FF0000"/>
                <w:sz w:val="12"/>
                <w:szCs w:val="12"/>
              </w:rPr>
            </w:pPr>
            <w:r w:rsidRPr="00630AFE">
              <w:rPr>
                <w:sz w:val="12"/>
                <w:szCs w:val="12"/>
              </w:rPr>
              <w:t>757.142</w:t>
            </w:r>
          </w:p>
        </w:tc>
        <w:tc>
          <w:tcPr>
            <w:tcW w:w="709" w:type="dxa"/>
          </w:tcPr>
          <w:p w14:paraId="24CE8B2F"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sz w:val="12"/>
                <w:szCs w:val="12"/>
              </w:rPr>
              <w:t>687.683</w:t>
            </w:r>
          </w:p>
        </w:tc>
        <w:tc>
          <w:tcPr>
            <w:tcW w:w="709" w:type="dxa"/>
          </w:tcPr>
          <w:p w14:paraId="22BE6377"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color w:val="FF0000"/>
                <w:sz w:val="12"/>
                <w:szCs w:val="12"/>
              </w:rPr>
            </w:pPr>
            <w:r w:rsidRPr="00630AFE">
              <w:rPr>
                <w:sz w:val="12"/>
                <w:szCs w:val="12"/>
              </w:rPr>
              <w:t>580.135</w:t>
            </w:r>
          </w:p>
        </w:tc>
        <w:tc>
          <w:tcPr>
            <w:tcW w:w="709" w:type="dxa"/>
          </w:tcPr>
          <w:p w14:paraId="7CFA9A74"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color w:val="FF0000"/>
                <w:sz w:val="12"/>
                <w:szCs w:val="12"/>
              </w:rPr>
            </w:pPr>
            <w:r w:rsidRPr="00630AFE">
              <w:rPr>
                <w:sz w:val="12"/>
                <w:szCs w:val="12"/>
              </w:rPr>
              <w:t>646.375</w:t>
            </w:r>
          </w:p>
        </w:tc>
        <w:tc>
          <w:tcPr>
            <w:tcW w:w="708" w:type="dxa"/>
          </w:tcPr>
          <w:p w14:paraId="35044642"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color w:val="FF0000"/>
                <w:sz w:val="12"/>
                <w:szCs w:val="12"/>
              </w:rPr>
            </w:pPr>
            <w:r w:rsidRPr="00630AFE">
              <w:rPr>
                <w:sz w:val="12"/>
                <w:szCs w:val="12"/>
              </w:rPr>
              <w:t>538.669</w:t>
            </w:r>
          </w:p>
        </w:tc>
        <w:tc>
          <w:tcPr>
            <w:tcW w:w="709" w:type="dxa"/>
          </w:tcPr>
          <w:p w14:paraId="00081E08"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sz w:val="12"/>
                <w:szCs w:val="12"/>
              </w:rPr>
              <w:t>656.983</w:t>
            </w:r>
          </w:p>
        </w:tc>
        <w:tc>
          <w:tcPr>
            <w:tcW w:w="709" w:type="dxa"/>
          </w:tcPr>
          <w:p w14:paraId="5274DA65"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sz w:val="12"/>
                <w:szCs w:val="12"/>
              </w:rPr>
              <w:t>660.948</w:t>
            </w:r>
          </w:p>
        </w:tc>
        <w:tc>
          <w:tcPr>
            <w:tcW w:w="709" w:type="dxa"/>
          </w:tcPr>
          <w:p w14:paraId="67EB2517"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sz w:val="12"/>
                <w:szCs w:val="12"/>
              </w:rPr>
              <w:t>677.241</w:t>
            </w:r>
          </w:p>
        </w:tc>
      </w:tr>
      <w:tr w:rsidR="00EB2B81" w:rsidRPr="00630AFE" w14:paraId="5DB14C12" w14:textId="77777777" w:rsidTr="00F54131">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auto"/>
            </w:tcBorders>
          </w:tcPr>
          <w:p w14:paraId="29B187E5" w14:textId="77777777" w:rsidR="00EB2B81" w:rsidRPr="00630AFE" w:rsidRDefault="00EB2B81" w:rsidP="00F54131">
            <w:pPr>
              <w:rPr>
                <w:b/>
                <w:sz w:val="12"/>
                <w:szCs w:val="12"/>
              </w:rPr>
            </w:pPr>
            <w:r w:rsidRPr="00630AFE">
              <w:rPr>
                <w:sz w:val="12"/>
                <w:szCs w:val="12"/>
              </w:rPr>
              <w:t>Sale of assets (Spectrum</w:t>
            </w:r>
            <w:r w:rsidR="005F14ED">
              <w:rPr>
                <w:sz w:val="12"/>
                <w:szCs w:val="12"/>
              </w:rPr>
              <w:t>—</w:t>
            </w:r>
            <w:r w:rsidRPr="00630AFE">
              <w:rPr>
                <w:sz w:val="12"/>
                <w:szCs w:val="12"/>
              </w:rPr>
              <w:t>Digital Dividend)</w:t>
            </w:r>
          </w:p>
        </w:tc>
        <w:tc>
          <w:tcPr>
            <w:tcW w:w="709" w:type="dxa"/>
            <w:tcBorders>
              <w:bottom w:val="single" w:sz="4" w:space="0" w:color="auto"/>
            </w:tcBorders>
          </w:tcPr>
          <w:p w14:paraId="1AB732D0"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p>
        </w:tc>
        <w:tc>
          <w:tcPr>
            <w:tcW w:w="709" w:type="dxa"/>
            <w:tcBorders>
              <w:bottom w:val="single" w:sz="4" w:space="0" w:color="auto"/>
            </w:tcBorders>
          </w:tcPr>
          <w:p w14:paraId="01250825"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p>
        </w:tc>
        <w:tc>
          <w:tcPr>
            <w:tcW w:w="709" w:type="dxa"/>
            <w:tcBorders>
              <w:bottom w:val="single" w:sz="4" w:space="0" w:color="auto"/>
            </w:tcBorders>
          </w:tcPr>
          <w:p w14:paraId="04B617DC"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p>
        </w:tc>
        <w:tc>
          <w:tcPr>
            <w:tcW w:w="708" w:type="dxa"/>
            <w:tcBorders>
              <w:bottom w:val="single" w:sz="4" w:space="0" w:color="auto"/>
            </w:tcBorders>
          </w:tcPr>
          <w:p w14:paraId="58BE110A"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color w:val="FF0000"/>
                <w:sz w:val="12"/>
                <w:szCs w:val="12"/>
              </w:rPr>
            </w:pPr>
          </w:p>
        </w:tc>
        <w:tc>
          <w:tcPr>
            <w:tcW w:w="709" w:type="dxa"/>
            <w:tcBorders>
              <w:bottom w:val="single" w:sz="4" w:space="0" w:color="auto"/>
            </w:tcBorders>
          </w:tcPr>
          <w:p w14:paraId="0EA081DD"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p>
        </w:tc>
        <w:tc>
          <w:tcPr>
            <w:tcW w:w="709" w:type="dxa"/>
            <w:tcBorders>
              <w:bottom w:val="single" w:sz="4" w:space="0" w:color="auto"/>
            </w:tcBorders>
          </w:tcPr>
          <w:p w14:paraId="3EA2AB9D"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color w:val="FF0000"/>
                <w:sz w:val="12"/>
                <w:szCs w:val="12"/>
              </w:rPr>
            </w:pPr>
          </w:p>
        </w:tc>
        <w:tc>
          <w:tcPr>
            <w:tcW w:w="709" w:type="dxa"/>
            <w:tcBorders>
              <w:bottom w:val="single" w:sz="4" w:space="0" w:color="auto"/>
            </w:tcBorders>
          </w:tcPr>
          <w:p w14:paraId="019E85F3"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color w:val="FF0000"/>
                <w:sz w:val="12"/>
                <w:szCs w:val="12"/>
              </w:rPr>
            </w:pPr>
          </w:p>
        </w:tc>
        <w:tc>
          <w:tcPr>
            <w:tcW w:w="708" w:type="dxa"/>
            <w:tcBorders>
              <w:bottom w:val="single" w:sz="4" w:space="0" w:color="auto"/>
            </w:tcBorders>
          </w:tcPr>
          <w:p w14:paraId="39855B92"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color w:val="FF0000"/>
                <w:sz w:val="12"/>
                <w:szCs w:val="12"/>
              </w:rPr>
            </w:pPr>
            <w:r w:rsidRPr="00630AFE">
              <w:rPr>
                <w:sz w:val="12"/>
                <w:szCs w:val="12"/>
              </w:rPr>
              <w:t>1,483.377</w:t>
            </w:r>
          </w:p>
        </w:tc>
        <w:tc>
          <w:tcPr>
            <w:tcW w:w="709" w:type="dxa"/>
            <w:tcBorders>
              <w:bottom w:val="single" w:sz="4" w:space="0" w:color="auto"/>
            </w:tcBorders>
          </w:tcPr>
          <w:p w14:paraId="4C16D4E5"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p>
        </w:tc>
        <w:tc>
          <w:tcPr>
            <w:tcW w:w="709" w:type="dxa"/>
            <w:tcBorders>
              <w:bottom w:val="single" w:sz="4" w:space="0" w:color="auto"/>
            </w:tcBorders>
          </w:tcPr>
          <w:p w14:paraId="22F226DE"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sz w:val="12"/>
                <w:szCs w:val="12"/>
              </w:rPr>
              <w:t>2,128.228</w:t>
            </w:r>
          </w:p>
        </w:tc>
        <w:tc>
          <w:tcPr>
            <w:tcW w:w="709" w:type="dxa"/>
            <w:tcBorders>
              <w:bottom w:val="single" w:sz="4" w:space="0" w:color="auto"/>
            </w:tcBorders>
          </w:tcPr>
          <w:p w14:paraId="3EC9C5AD" w14:textId="77777777" w:rsidR="00EB2B81" w:rsidRPr="00630AFE" w:rsidRDefault="00EB2B81" w:rsidP="00F54131">
            <w:pPr>
              <w:jc w:val="right"/>
              <w:cnfStyle w:val="000000100000" w:firstRow="0" w:lastRow="0" w:firstColumn="0" w:lastColumn="0" w:oddVBand="0" w:evenVBand="0" w:oddHBand="1" w:evenHBand="0" w:firstRowFirstColumn="0" w:firstRowLastColumn="0" w:lastRowFirstColumn="0" w:lastRowLastColumn="0"/>
              <w:rPr>
                <w:b/>
                <w:sz w:val="12"/>
                <w:szCs w:val="12"/>
              </w:rPr>
            </w:pPr>
            <w:r w:rsidRPr="00630AFE">
              <w:rPr>
                <w:sz w:val="12"/>
                <w:szCs w:val="12"/>
              </w:rPr>
              <w:t>123.300</w:t>
            </w:r>
          </w:p>
        </w:tc>
      </w:tr>
      <w:tr w:rsidR="00EB2B81" w:rsidRPr="00630AFE" w14:paraId="65E39343" w14:textId="77777777" w:rsidTr="00F54131">
        <w:trPr>
          <w:trHeight w:val="113"/>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tcPr>
          <w:p w14:paraId="75C040A7" w14:textId="77777777" w:rsidR="00EB2B81" w:rsidRPr="00630AFE" w:rsidRDefault="00EB2B81" w:rsidP="00F54131">
            <w:pPr>
              <w:rPr>
                <w:sz w:val="12"/>
                <w:szCs w:val="12"/>
              </w:rPr>
            </w:pPr>
            <w:r w:rsidRPr="00630AFE">
              <w:rPr>
                <w:b/>
                <w:sz w:val="12"/>
                <w:szCs w:val="12"/>
              </w:rPr>
              <w:t>Return on Appropriation Ratio (Administered Income/Total Appropriation)</w:t>
            </w:r>
          </w:p>
        </w:tc>
        <w:tc>
          <w:tcPr>
            <w:tcW w:w="709" w:type="dxa"/>
            <w:tcBorders>
              <w:top w:val="single" w:sz="4" w:space="0" w:color="auto"/>
              <w:bottom w:val="single" w:sz="4" w:space="0" w:color="auto"/>
            </w:tcBorders>
          </w:tcPr>
          <w:p w14:paraId="6B7D3902"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b/>
                <w:sz w:val="12"/>
                <w:szCs w:val="12"/>
              </w:rPr>
              <w:t>10.3</w:t>
            </w:r>
          </w:p>
        </w:tc>
        <w:tc>
          <w:tcPr>
            <w:tcW w:w="709" w:type="dxa"/>
            <w:tcBorders>
              <w:top w:val="single" w:sz="4" w:space="0" w:color="auto"/>
              <w:bottom w:val="single" w:sz="4" w:space="0" w:color="auto"/>
            </w:tcBorders>
          </w:tcPr>
          <w:p w14:paraId="3E00E2C2"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b/>
                <w:sz w:val="12"/>
                <w:szCs w:val="12"/>
              </w:rPr>
              <w:t>8.3</w:t>
            </w:r>
          </w:p>
        </w:tc>
        <w:tc>
          <w:tcPr>
            <w:tcW w:w="709" w:type="dxa"/>
            <w:tcBorders>
              <w:top w:val="single" w:sz="4" w:space="0" w:color="auto"/>
              <w:bottom w:val="single" w:sz="4" w:space="0" w:color="auto"/>
            </w:tcBorders>
          </w:tcPr>
          <w:p w14:paraId="43080F02"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b/>
                <w:sz w:val="12"/>
                <w:szCs w:val="12"/>
              </w:rPr>
              <w:t>7.3</w:t>
            </w:r>
          </w:p>
        </w:tc>
        <w:tc>
          <w:tcPr>
            <w:tcW w:w="708" w:type="dxa"/>
            <w:tcBorders>
              <w:top w:val="single" w:sz="4" w:space="0" w:color="auto"/>
              <w:bottom w:val="single" w:sz="4" w:space="0" w:color="auto"/>
            </w:tcBorders>
          </w:tcPr>
          <w:p w14:paraId="27349419"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color w:val="FF0000"/>
                <w:sz w:val="12"/>
                <w:szCs w:val="12"/>
              </w:rPr>
            </w:pPr>
            <w:r w:rsidRPr="00630AFE">
              <w:rPr>
                <w:b/>
                <w:sz w:val="12"/>
                <w:szCs w:val="12"/>
              </w:rPr>
              <w:t>7.9</w:t>
            </w:r>
          </w:p>
        </w:tc>
        <w:tc>
          <w:tcPr>
            <w:tcW w:w="709" w:type="dxa"/>
            <w:tcBorders>
              <w:top w:val="single" w:sz="4" w:space="0" w:color="auto"/>
              <w:bottom w:val="single" w:sz="4" w:space="0" w:color="auto"/>
            </w:tcBorders>
          </w:tcPr>
          <w:p w14:paraId="27224ACA"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b/>
                <w:sz w:val="12"/>
                <w:szCs w:val="12"/>
              </w:rPr>
              <w:t>6.4</w:t>
            </w:r>
          </w:p>
        </w:tc>
        <w:tc>
          <w:tcPr>
            <w:tcW w:w="709" w:type="dxa"/>
            <w:tcBorders>
              <w:top w:val="single" w:sz="4" w:space="0" w:color="auto"/>
              <w:bottom w:val="single" w:sz="4" w:space="0" w:color="auto"/>
            </w:tcBorders>
          </w:tcPr>
          <w:p w14:paraId="699BFAB3"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color w:val="FF0000"/>
                <w:sz w:val="12"/>
                <w:szCs w:val="12"/>
              </w:rPr>
            </w:pPr>
            <w:r w:rsidRPr="00630AFE">
              <w:rPr>
                <w:b/>
                <w:sz w:val="12"/>
                <w:szCs w:val="12"/>
              </w:rPr>
              <w:t>5.8</w:t>
            </w:r>
          </w:p>
        </w:tc>
        <w:tc>
          <w:tcPr>
            <w:tcW w:w="709" w:type="dxa"/>
            <w:tcBorders>
              <w:top w:val="single" w:sz="4" w:space="0" w:color="auto"/>
              <w:bottom w:val="single" w:sz="4" w:space="0" w:color="auto"/>
            </w:tcBorders>
          </w:tcPr>
          <w:p w14:paraId="1FEDA4A2"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color w:val="FF0000"/>
                <w:sz w:val="12"/>
                <w:szCs w:val="12"/>
              </w:rPr>
            </w:pPr>
            <w:r w:rsidRPr="00630AFE">
              <w:rPr>
                <w:b/>
                <w:sz w:val="12"/>
                <w:szCs w:val="12"/>
              </w:rPr>
              <w:t>6.2</w:t>
            </w:r>
          </w:p>
        </w:tc>
        <w:tc>
          <w:tcPr>
            <w:tcW w:w="708" w:type="dxa"/>
            <w:tcBorders>
              <w:top w:val="single" w:sz="4" w:space="0" w:color="auto"/>
              <w:bottom w:val="single" w:sz="4" w:space="0" w:color="auto"/>
            </w:tcBorders>
          </w:tcPr>
          <w:p w14:paraId="7AD19B23"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b/>
                <w:sz w:val="12"/>
                <w:szCs w:val="12"/>
              </w:rPr>
              <w:t>20.4</w:t>
            </w:r>
          </w:p>
        </w:tc>
        <w:tc>
          <w:tcPr>
            <w:tcW w:w="709" w:type="dxa"/>
            <w:tcBorders>
              <w:top w:val="single" w:sz="4" w:space="0" w:color="auto"/>
              <w:bottom w:val="single" w:sz="4" w:space="0" w:color="auto"/>
            </w:tcBorders>
          </w:tcPr>
          <w:p w14:paraId="56398812"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b/>
                <w:sz w:val="12"/>
                <w:szCs w:val="12"/>
              </w:rPr>
            </w:pPr>
            <w:r w:rsidRPr="00630AFE">
              <w:rPr>
                <w:b/>
                <w:sz w:val="12"/>
                <w:szCs w:val="12"/>
              </w:rPr>
              <w:t>7.1</w:t>
            </w:r>
          </w:p>
        </w:tc>
        <w:tc>
          <w:tcPr>
            <w:tcW w:w="709" w:type="dxa"/>
            <w:tcBorders>
              <w:top w:val="single" w:sz="4" w:space="0" w:color="auto"/>
              <w:bottom w:val="single" w:sz="4" w:space="0" w:color="auto"/>
            </w:tcBorders>
          </w:tcPr>
          <w:p w14:paraId="78260C34"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b/>
                <w:sz w:val="12"/>
                <w:szCs w:val="12"/>
              </w:rPr>
              <w:t>31.3</w:t>
            </w:r>
          </w:p>
        </w:tc>
        <w:tc>
          <w:tcPr>
            <w:tcW w:w="709" w:type="dxa"/>
            <w:tcBorders>
              <w:top w:val="single" w:sz="4" w:space="0" w:color="auto"/>
              <w:bottom w:val="single" w:sz="4" w:space="0" w:color="auto"/>
            </w:tcBorders>
          </w:tcPr>
          <w:p w14:paraId="66AF15C8" w14:textId="77777777" w:rsidR="00EB2B81" w:rsidRPr="00630AFE" w:rsidRDefault="00EB2B81" w:rsidP="00F54131">
            <w:pPr>
              <w:jc w:val="right"/>
              <w:cnfStyle w:val="000000000000" w:firstRow="0" w:lastRow="0" w:firstColumn="0" w:lastColumn="0" w:oddVBand="0" w:evenVBand="0" w:oddHBand="0" w:evenHBand="0" w:firstRowFirstColumn="0" w:firstRowLastColumn="0" w:lastRowFirstColumn="0" w:lastRowLastColumn="0"/>
              <w:rPr>
                <w:sz w:val="12"/>
                <w:szCs w:val="12"/>
              </w:rPr>
            </w:pPr>
            <w:r w:rsidRPr="00630AFE">
              <w:rPr>
                <w:b/>
                <w:sz w:val="12"/>
                <w:szCs w:val="12"/>
              </w:rPr>
              <w:t>9.7</w:t>
            </w:r>
          </w:p>
        </w:tc>
      </w:tr>
    </w:tbl>
    <w:p w14:paraId="669569F9" w14:textId="77777777" w:rsidR="00F54131" w:rsidRDefault="00F54131" w:rsidP="00EB2B81">
      <w:pPr>
        <w:rPr>
          <w:i/>
          <w:iCs/>
          <w:sz w:val="12"/>
          <w:szCs w:val="12"/>
        </w:rPr>
      </w:pPr>
    </w:p>
    <w:p w14:paraId="0D0F603C" w14:textId="224717A0" w:rsidR="00EB2B81" w:rsidRDefault="00EB2B81" w:rsidP="00EB2B81">
      <w:pPr>
        <w:rPr>
          <w:sz w:val="12"/>
          <w:szCs w:val="12"/>
        </w:rPr>
      </w:pPr>
      <w:r w:rsidRPr="00630AFE">
        <w:rPr>
          <w:i/>
          <w:iCs/>
          <w:sz w:val="12"/>
          <w:szCs w:val="12"/>
        </w:rPr>
        <w:t>*Note: 2014</w:t>
      </w:r>
      <w:r w:rsidR="00A1725C">
        <w:rPr>
          <w:i/>
          <w:iCs/>
          <w:sz w:val="12"/>
          <w:szCs w:val="12"/>
        </w:rPr>
        <w:t>–</w:t>
      </w:r>
      <w:r w:rsidRPr="00630AFE">
        <w:rPr>
          <w:i/>
          <w:iCs/>
          <w:sz w:val="12"/>
          <w:szCs w:val="12"/>
        </w:rPr>
        <w:t xml:space="preserve">15 and </w:t>
      </w:r>
      <w:r w:rsidR="00A1725C">
        <w:rPr>
          <w:i/>
          <w:iCs/>
          <w:sz w:val="12"/>
          <w:szCs w:val="12"/>
        </w:rPr>
        <w:t>2015–16</w:t>
      </w:r>
      <w:r w:rsidRPr="00630AFE">
        <w:rPr>
          <w:i/>
          <w:iCs/>
          <w:sz w:val="12"/>
          <w:szCs w:val="12"/>
        </w:rPr>
        <w:t xml:space="preserve"> budget figures are based on estimates and includes the Office of the Children's eSafety Commissioner budget. The surplus excludes an estimated underspend in </w:t>
      </w:r>
      <w:r w:rsidR="00A1725C">
        <w:rPr>
          <w:i/>
          <w:iCs/>
          <w:sz w:val="12"/>
          <w:szCs w:val="12"/>
        </w:rPr>
        <w:t>2014–15</w:t>
      </w:r>
      <w:r w:rsidRPr="00630AFE">
        <w:rPr>
          <w:i/>
          <w:iCs/>
          <w:sz w:val="12"/>
          <w:szCs w:val="12"/>
        </w:rPr>
        <w:t xml:space="preserve"> of $1.274m for the Office of the Children's eSafety Commissioner to be rolled over as funding for </w:t>
      </w:r>
      <w:r w:rsidR="00A1725C">
        <w:rPr>
          <w:i/>
          <w:iCs/>
          <w:sz w:val="12"/>
          <w:szCs w:val="12"/>
        </w:rPr>
        <w:t>2015–16</w:t>
      </w:r>
      <w:r w:rsidRPr="00630AFE">
        <w:rPr>
          <w:i/>
          <w:iCs/>
          <w:sz w:val="12"/>
          <w:szCs w:val="12"/>
        </w:rPr>
        <w:t xml:space="preserve"> (with an application to DoF for an approved loss to be prepared for </w:t>
      </w:r>
      <w:r w:rsidR="00A1725C">
        <w:rPr>
          <w:i/>
          <w:iCs/>
          <w:sz w:val="12"/>
          <w:szCs w:val="12"/>
        </w:rPr>
        <w:t>2015–16</w:t>
      </w:r>
      <w:r w:rsidRPr="00630AFE">
        <w:rPr>
          <w:i/>
          <w:iCs/>
          <w:sz w:val="12"/>
          <w:szCs w:val="12"/>
        </w:rPr>
        <w:t>).</w:t>
      </w:r>
    </w:p>
    <w:p w14:paraId="21EB8B0E" w14:textId="19D744F2" w:rsidR="00EB2B81" w:rsidRDefault="00EB2B81" w:rsidP="00EB2B81">
      <w:r w:rsidRPr="009D3913">
        <w:t xml:space="preserve">Over 10 years, the ACMA has collected $10.33 billion in revenue for the Commonwealth, from asset sales such as spectrum auctions, but also from </w:t>
      </w:r>
      <w:r>
        <w:t xml:space="preserve">the </w:t>
      </w:r>
      <w:r w:rsidRPr="009D3913">
        <w:t xml:space="preserve">six industry </w:t>
      </w:r>
      <w:r>
        <w:t>mechanisms noted below in Figure</w:t>
      </w:r>
      <w:r w:rsidRPr="00610D95">
        <w:t xml:space="preserve"> </w:t>
      </w:r>
      <w:r w:rsidR="00822BD7">
        <w:t>C</w:t>
      </w:r>
      <w:r>
        <w:t>2</w:t>
      </w:r>
      <w:r w:rsidRPr="00B27B17">
        <w:t xml:space="preserve"> that comprise</w:t>
      </w:r>
      <w:r w:rsidRPr="00E06163">
        <w:t xml:space="preserve"> a mix of resource taxes, indirect cost recovery charges and revenue-based levies.</w:t>
      </w:r>
    </w:p>
    <w:p w14:paraId="644266D5" w14:textId="77777777" w:rsidR="00EB2B81" w:rsidRDefault="00EB2B81" w:rsidP="00174EEE">
      <w:pPr>
        <w:pStyle w:val="Heading5"/>
      </w:pPr>
      <w:r>
        <w:t>Industry-based revenue</w:t>
      </w:r>
    </w:p>
    <w:p w14:paraId="626FF5E8" w14:textId="77777777" w:rsidR="00EB2B81" w:rsidRDefault="00EB2B81" w:rsidP="00EB2B81">
      <w:pPr>
        <w:rPr>
          <w:rFonts w:cs="Calibri"/>
        </w:rPr>
      </w:pPr>
      <w:r w:rsidRPr="008B2E37">
        <w:rPr>
          <w:rFonts w:eastAsia="Times New Roman"/>
          <w:lang w:eastAsia="en-AU"/>
        </w:rPr>
        <w:t>In the context of the ACMA’s operating budge</w:t>
      </w:r>
      <w:r>
        <w:rPr>
          <w:rFonts w:eastAsia="Times New Roman"/>
          <w:lang w:eastAsia="en-AU"/>
        </w:rPr>
        <w:t>t,</w:t>
      </w:r>
      <w:r w:rsidRPr="008B2E37">
        <w:rPr>
          <w:rFonts w:eastAsia="Times New Roman"/>
          <w:lang w:eastAsia="en-AU"/>
        </w:rPr>
        <w:t xml:space="preserve"> it is important to </w:t>
      </w:r>
      <w:r>
        <w:rPr>
          <w:rFonts w:eastAsia="Times New Roman"/>
          <w:lang w:eastAsia="en-AU"/>
        </w:rPr>
        <w:t>put into</w:t>
      </w:r>
      <w:r w:rsidRPr="008B2E37">
        <w:rPr>
          <w:rFonts w:eastAsia="Times New Roman"/>
          <w:lang w:eastAsia="en-AU"/>
        </w:rPr>
        <w:t xml:space="preserve"> perspective its functions in </w:t>
      </w:r>
      <w:r w:rsidRPr="00E06163">
        <w:rPr>
          <w:rFonts w:eastAsia="Times New Roman"/>
          <w:lang w:eastAsia="en-AU"/>
        </w:rPr>
        <w:t>managing a range of industry fees, taxes and charges.</w:t>
      </w:r>
      <w:r>
        <w:rPr>
          <w:rFonts w:eastAsia="Times New Roman"/>
          <w:lang w:eastAsia="en-AU"/>
        </w:rPr>
        <w:t xml:space="preserve"> </w:t>
      </w:r>
      <w:r w:rsidRPr="00E06163">
        <w:rPr>
          <w:rFonts w:cs="Calibri"/>
        </w:rPr>
        <w:t xml:space="preserve">The </w:t>
      </w:r>
      <w:r w:rsidRPr="00E06163">
        <w:rPr>
          <w:rFonts w:cs="Arial"/>
        </w:rPr>
        <w:t>ACMA’s</w:t>
      </w:r>
      <w:r w:rsidRPr="00E06163">
        <w:rPr>
          <w:rFonts w:cs="Calibri"/>
        </w:rPr>
        <w:t xml:space="preserve"> revenue-collection and charging authority is contained in a range of legislation</w:t>
      </w:r>
      <w:r w:rsidRPr="001A69D0">
        <w:rPr>
          <w:rFonts w:cs="Calibri"/>
        </w:rPr>
        <w:t>.</w:t>
      </w:r>
    </w:p>
    <w:p w14:paraId="7C39C122" w14:textId="77777777" w:rsidR="00EB2B81" w:rsidRPr="00E06163" w:rsidRDefault="00EB2B81" w:rsidP="00EB2B81">
      <w:pPr>
        <w:rPr>
          <w:rFonts w:cs="Calibri"/>
        </w:rPr>
      </w:pPr>
      <w:r w:rsidRPr="00E06163">
        <w:rPr>
          <w:rFonts w:cs="Calibri"/>
        </w:rPr>
        <w:t xml:space="preserve">Apart from the specific provisions made in individual legislation for the application of fees, taxes and charges, Section 60 of the </w:t>
      </w:r>
      <w:r w:rsidRPr="00E06163">
        <w:rPr>
          <w:rFonts w:cs="Calibri"/>
          <w:i/>
        </w:rPr>
        <w:t>Australian Communications and Media Authority Act 2005</w:t>
      </w:r>
      <w:r w:rsidRPr="00E06163">
        <w:rPr>
          <w:rFonts w:cs="Calibri"/>
        </w:rPr>
        <w:t xml:space="preserve"> provides a general authority for the ACMA to make determinations fixing charges for services it provides.</w:t>
      </w:r>
    </w:p>
    <w:p w14:paraId="4EB33F38" w14:textId="77777777" w:rsidR="00EB2B81" w:rsidRDefault="00EB2B81" w:rsidP="00EB2B81">
      <w:pPr>
        <w:rPr>
          <w:rFonts w:ascii="HelveticaNeueLT Std" w:eastAsia="Times New Roman" w:hAnsi="HelveticaNeueLT Std"/>
          <w:b/>
          <w:bCs/>
          <w:sz w:val="20"/>
          <w:szCs w:val="20"/>
          <w:lang w:eastAsia="en-AU"/>
        </w:rPr>
      </w:pPr>
      <w:r w:rsidRPr="00E06163">
        <w:rPr>
          <w:rFonts w:eastAsia="Times New Roman"/>
          <w:lang w:eastAsia="en-AU"/>
        </w:rPr>
        <w:t>In 2014</w:t>
      </w:r>
      <w:r w:rsidR="00A1725C">
        <w:rPr>
          <w:rFonts w:eastAsia="Times New Roman"/>
          <w:lang w:eastAsia="en-AU"/>
        </w:rPr>
        <w:t>–</w:t>
      </w:r>
      <w:r>
        <w:rPr>
          <w:rFonts w:eastAsia="Times New Roman"/>
          <w:lang w:eastAsia="en-AU"/>
        </w:rPr>
        <w:t>15</w:t>
      </w:r>
      <w:r w:rsidRPr="00E06163">
        <w:rPr>
          <w:rFonts w:eastAsia="Times New Roman"/>
          <w:lang w:eastAsia="en-AU"/>
        </w:rPr>
        <w:t xml:space="preserve">, the ACMA collected </w:t>
      </w:r>
      <w:r>
        <w:rPr>
          <w:rFonts w:eastAsia="Times New Roman"/>
          <w:lang w:eastAsia="en-AU"/>
        </w:rPr>
        <w:t>ove</w:t>
      </w:r>
      <w:r w:rsidRPr="00D60583">
        <w:rPr>
          <w:rFonts w:eastAsia="Times New Roman"/>
          <w:lang w:eastAsia="en-AU"/>
        </w:rPr>
        <w:t>r</w:t>
      </w:r>
      <w:r w:rsidRPr="00E06163">
        <w:rPr>
          <w:rFonts w:eastAsia="Times New Roman"/>
          <w:lang w:eastAsia="en-AU"/>
        </w:rPr>
        <w:t xml:space="preserve"> $</w:t>
      </w:r>
      <w:r w:rsidRPr="00D60583">
        <w:rPr>
          <w:rFonts w:eastAsia="Times New Roman"/>
          <w:lang w:eastAsia="en-AU"/>
        </w:rPr>
        <w:t>650</w:t>
      </w:r>
      <w:r w:rsidR="00E549A3">
        <w:rPr>
          <w:rFonts w:eastAsia="Times New Roman"/>
          <w:lang w:eastAsia="en-AU"/>
        </w:rPr>
        <w:t> million</w:t>
      </w:r>
      <w:r w:rsidRPr="00E06163">
        <w:rPr>
          <w:rFonts w:eastAsia="Times New Roman"/>
          <w:lang w:eastAsia="en-AU"/>
        </w:rPr>
        <w:t xml:space="preserve"> from six industry-specific taxes, charges and </w:t>
      </w:r>
      <w:r w:rsidRPr="00B27B17">
        <w:rPr>
          <w:rFonts w:eastAsia="Times New Roman"/>
          <w:lang w:eastAsia="en-AU"/>
        </w:rPr>
        <w:t>levies</w:t>
      </w:r>
      <w:r>
        <w:rPr>
          <w:rFonts w:eastAsia="Times New Roman"/>
          <w:lang w:eastAsia="en-AU"/>
        </w:rPr>
        <w:t>.</w:t>
      </w:r>
    </w:p>
    <w:p w14:paraId="4D8D2993" w14:textId="77777777" w:rsidR="00EB2B81" w:rsidRDefault="00EB2B81" w:rsidP="00EB2B81">
      <w:pPr>
        <w:pStyle w:val="Tablefigureheading"/>
      </w:pPr>
      <w:r w:rsidRPr="00B74305">
        <w:t xml:space="preserve">Figure </w:t>
      </w:r>
      <w:r>
        <w:t>C</w:t>
      </w:r>
      <w:r w:rsidRPr="00B74305">
        <w:t xml:space="preserve">2: </w:t>
      </w:r>
      <w:r w:rsidR="00A1725C">
        <w:t>2014–15</w:t>
      </w:r>
      <w:r w:rsidRPr="00B74305">
        <w:t xml:space="preserve"> Breakdown of broadcasting, radiocommunications and telecommunications industry taxes, charges and levies revenues</w:t>
      </w:r>
      <w:r>
        <w:rPr>
          <w:rStyle w:val="FootnoteReference"/>
        </w:rPr>
        <w:footnoteReference w:id="133"/>
      </w:r>
    </w:p>
    <w:p w14:paraId="3B80CB43" w14:textId="77777777" w:rsidR="00633D3B" w:rsidRDefault="00633D3B" w:rsidP="00EB2B81">
      <w:pPr>
        <w:rPr>
          <w:noProof/>
          <w:lang w:eastAsia="en-AU"/>
        </w:rPr>
      </w:pPr>
      <w:r>
        <w:rPr>
          <w:noProof/>
          <w:lang w:eastAsia="en-AU"/>
        </w:rPr>
        <w:drawing>
          <wp:inline distT="0" distB="0" distL="0" distR="0" wp14:anchorId="5E2071F6" wp14:editId="1DC0E4E1">
            <wp:extent cx="5926455" cy="4070772"/>
            <wp:effectExtent l="0" t="0" r="0" b="6350"/>
            <wp:docPr id="230" name="Picture 230" descr="USER CHARGE/RESOURCE PRICING&#10;Annual numbering charge: $60,000,000&#10;Apparatus license tax: $171,000,000&#10;&#10;REVENUE BASED LEVY&#10;Broadcasting licence fees and datacasting charge: $157,000,000&#10;Telecommunications industry levy: $221,000,000&#10;&#10;COST RECOVERY&#10;Annual carrier licence charge: $38,000,000&#10;Spectrum licence tax: $324,000" title="2014-15 Breakdown of broadcasting, radiocommunications and telecommunications industry taxes, charges and levies reven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hall\AppData\Local\Temp\1\SNAGHTMLbc745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6455" cy="4070772"/>
                    </a:xfrm>
                    <a:prstGeom prst="rect">
                      <a:avLst/>
                    </a:prstGeom>
                    <a:noFill/>
                    <a:ln>
                      <a:noFill/>
                    </a:ln>
                  </pic:spPr>
                </pic:pic>
              </a:graphicData>
            </a:graphic>
          </wp:inline>
        </w:drawing>
      </w:r>
    </w:p>
    <w:p w14:paraId="5702A188" w14:textId="77777777" w:rsidR="00EB2B81" w:rsidRDefault="00EB2B81" w:rsidP="00EB2B81">
      <w:pPr>
        <w:rPr>
          <w:lang w:val="en-GB"/>
        </w:rPr>
      </w:pPr>
      <w:r>
        <w:rPr>
          <w:lang w:val="en-GB"/>
        </w:rPr>
        <w:t>The Review’s analysis of the ACMA’s revenue collection function has highlighted that t</w:t>
      </w:r>
      <w:r w:rsidRPr="0046716B">
        <w:rPr>
          <w:lang w:val="en-GB"/>
        </w:rPr>
        <w:t xml:space="preserve">he revenue accruing to Government from the </w:t>
      </w:r>
      <w:r>
        <w:rPr>
          <w:lang w:val="en-GB"/>
        </w:rPr>
        <w:t>c</w:t>
      </w:r>
      <w:r w:rsidRPr="0046716B">
        <w:rPr>
          <w:lang w:val="en-GB"/>
        </w:rPr>
        <w:t>ommunications industry under existing charging arrangements has declined significantly in both nominal and real terms over the last decade</w:t>
      </w:r>
      <w:r>
        <w:rPr>
          <w:lang w:val="en-GB"/>
        </w:rPr>
        <w:t xml:space="preserve">. The decline excludes </w:t>
      </w:r>
      <w:r w:rsidRPr="0046716B">
        <w:rPr>
          <w:lang w:val="en-GB"/>
        </w:rPr>
        <w:t>revenue raised from spectrum licence auctions</w:t>
      </w:r>
      <w:r>
        <w:rPr>
          <w:lang w:val="en-GB"/>
        </w:rPr>
        <w:t xml:space="preserve">, </w:t>
      </w:r>
      <w:r w:rsidRPr="0046716B">
        <w:rPr>
          <w:lang w:val="en-GB"/>
        </w:rPr>
        <w:t xml:space="preserve">which </w:t>
      </w:r>
      <w:r>
        <w:rPr>
          <w:lang w:val="en-GB"/>
        </w:rPr>
        <w:t xml:space="preserve">are </w:t>
      </w:r>
      <w:r w:rsidRPr="0046716B">
        <w:rPr>
          <w:lang w:val="en-GB"/>
        </w:rPr>
        <w:t xml:space="preserve">commercial transactions based on an assessment by purchasers of </w:t>
      </w:r>
      <w:r>
        <w:rPr>
          <w:lang w:val="en-GB"/>
        </w:rPr>
        <w:t>the value of the available spectrum and associated licencing arrangements.</w:t>
      </w:r>
    </w:p>
    <w:p w14:paraId="1AFBB03B" w14:textId="77777777" w:rsidR="00EB2B81" w:rsidRDefault="00EB2B81" w:rsidP="002E15A7">
      <w:pPr>
        <w:rPr>
          <w:lang w:eastAsia="en-AU"/>
        </w:rPr>
      </w:pPr>
      <w:r>
        <w:rPr>
          <w:lang w:eastAsia="en-AU"/>
        </w:rPr>
        <w:br w:type="page"/>
      </w:r>
    </w:p>
    <w:p w14:paraId="44A48865" w14:textId="77777777" w:rsidR="00EB2B81" w:rsidRDefault="00EB2B81" w:rsidP="00EB2B81">
      <w:pPr>
        <w:pStyle w:val="Tablefigureheading"/>
        <w:rPr>
          <w:lang w:eastAsia="en-AU"/>
        </w:rPr>
      </w:pPr>
      <w:r w:rsidRPr="00B74305">
        <w:rPr>
          <w:lang w:eastAsia="en-AU"/>
        </w:rPr>
        <w:t xml:space="preserve">Figure </w:t>
      </w:r>
      <w:r>
        <w:rPr>
          <w:lang w:eastAsia="en-AU"/>
        </w:rPr>
        <w:t>C</w:t>
      </w:r>
      <w:r w:rsidRPr="00B74305">
        <w:rPr>
          <w:lang w:eastAsia="en-AU"/>
        </w:rPr>
        <w:t>3:</w:t>
      </w:r>
      <w:r w:rsidR="00CF6194">
        <w:rPr>
          <w:lang w:eastAsia="en-AU"/>
        </w:rPr>
        <w:t xml:space="preserve"> </w:t>
      </w:r>
      <w:r w:rsidRPr="00B74305">
        <w:rPr>
          <w:lang w:eastAsia="en-AU"/>
        </w:rPr>
        <w:t>Trends for taxes, fees and levies</w:t>
      </w:r>
      <w:r>
        <w:rPr>
          <w:rStyle w:val="FootnoteReference"/>
          <w:rFonts w:eastAsia="Times New Roman"/>
          <w:lang w:eastAsia="en-AU"/>
        </w:rPr>
        <w:footnoteReference w:id="134"/>
      </w:r>
    </w:p>
    <w:p w14:paraId="74108722" w14:textId="04C0A8AB" w:rsidR="00EB2B81" w:rsidRDefault="000825DB" w:rsidP="00EB2B81">
      <w:r w:rsidRPr="00105A97">
        <w:rPr>
          <w:noProof/>
          <w:lang w:eastAsia="en-AU"/>
        </w:rPr>
        <w:drawing>
          <wp:inline distT="0" distB="0" distL="0" distR="0" wp14:anchorId="6E136A0E" wp14:editId="1E3548B0">
            <wp:extent cx="5926455" cy="3005627"/>
            <wp:effectExtent l="0" t="0" r="17145" b="4445"/>
            <wp:docPr id="3" name="Chart 3" descr="Annual numbering charge:&#10;2006-07: 60&#10;2007-08: 60&#10;2008-09: 59.9&#10;2009-10: 60&#10;2010-11: 60&#10;2011-12: 60&#10;2012-13: 60&#10;2013-14: 60&#10;2014-15: 60&#10;2015-16 (forecast): 60&#10;2016-17 (forecast): 60&#10;2017-18 (forecast): 60&#10;2018-19 (forecast): 60&#10;2019-20 (forecast): 60&#10;&#10;Apparatus licence tax&#10;2006-07: 129.9&#10;2007-08: 142.9&#10;2008-09: 150.3&#10;2009-10: 153.9&#10;2010-11: 161.9&#10;2011-12: 146&#10;2012-13: 119&#10;2013-14: 171&#10;2014-15: 149.1&#10;2015-16 (forecast): 153.7&#10;2016-17 (forecast): 158.4&#10;2017-18 (forecast): 163.1&#10;2018-19 (forecast): 168&#10;2019-20 (forecast): 173&#10;&#10;Spectrum licence tax&#10;2006-07: 0.3&#10;2007-08: 0.3&#10;2008-09: 0.5&#10;2009-10: 0.3&#10;2010-11: 0.4&#10;2011-12: 0.5&#10;2012-13: 0.3&#10;2013-14: 0.3&#10;2014-15: 0.4&#10;2015-16 (forecast): 0.4&#10;2016-17 (forecast): 0.4&#10;2017-18 (forecast): 0.4&#10;2018-19 (forecast): 0.4&#10;2019-20 (forecast): 0.4&#10;&#10;Broadcasting licence fees and datacasting charge&#10;2006-07: 275.7&#10;2007-08: 288.2&#10;2008-09: 341&#10;2009-10: 241.4&#10;2010-11: 150.4&#10;2011-12: 231.2&#10;2012-13: 167.4&#10;2013-14: 157.2&#10;2014-15: 185.4&#10;2015-16 (forecast): 170&#10;2016-17 (forecast): 170&#10;2017-18 (forecast): 170&#10;2018-19 (forecast): 170&#10;2019-20 (forecast): 170&#10;&#10;Annual carrier licence charge&#10;2006-07: 33.7&#10;2007-08: 37&#10;2008-09: 36.2&#10;2009-10: 39.5&#10;2010-11: 37.7&#10;2011-12: 38.1&#10;2012-13: 38.9&#10;2013-14: 38.3&#10;2014-15: 38.7&#10;2015-16 (forecast): 38&#10;2016-17 (forecast): 38&#10;2017-18 (forecast): 38&#10;2018-19 (forecast): 38&#10;2019-20 (forecast): 38&#10;&#10;Telco industry levy&#10;2006-07: 181.9&#10;2007-08: 170.2&#10;2008-09: 160.7&#10;2009-10: 160.7&#10;2010-11:160.7&#10;2011-12:160.9&#10;2012-13: 145.3&#10;2013-14: 220.8&#10;2014-15: 221&#10;2015-16 (forecast): 220.9&#10;2016-17 (forecast): 220.9&#10;2017-18 (forecast): 220.9&#10;2018-19 (forecast): 220.9&#10;2019-20 (forecast): 220.9" title="Trends and forecast for taxes fees and lev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EB2B81" w:rsidRPr="0046716B">
        <w:t xml:space="preserve">Revenue from a range of charges applied to the </w:t>
      </w:r>
      <w:r w:rsidR="00EB2B81" w:rsidRPr="0046716B" w:rsidDel="002D3785">
        <w:t>‘</w:t>
      </w:r>
      <w:r w:rsidR="00EB2B81" w:rsidRPr="0046716B">
        <w:t>traditional</w:t>
      </w:r>
      <w:r w:rsidR="00EB2B81" w:rsidRPr="0046716B" w:rsidDel="002D3785">
        <w:t>’</w:t>
      </w:r>
      <w:r w:rsidR="00EB2B81" w:rsidRPr="0046716B">
        <w:t xml:space="preserve"> elements of the communications sector—fixed</w:t>
      </w:r>
      <w:r w:rsidR="00EB2B81" w:rsidRPr="0046716B" w:rsidDel="002D3785">
        <w:t>-</w:t>
      </w:r>
      <w:r w:rsidR="00EB2B81" w:rsidRPr="0046716B">
        <w:t xml:space="preserve">line telephony and commercial free-to-air broadcasting—is likely to </w:t>
      </w:r>
      <w:r w:rsidR="00EB2B81">
        <w:t>remain under pressure. E</w:t>
      </w:r>
      <w:r w:rsidR="00EB2B81" w:rsidRPr="00732E5A">
        <w:t>xisting regulations</w:t>
      </w:r>
      <w:r w:rsidR="00EB2B81">
        <w:t>,</w:t>
      </w:r>
      <w:r w:rsidR="00EB2B81" w:rsidRPr="00732E5A">
        <w:t xml:space="preserve"> </w:t>
      </w:r>
      <w:r w:rsidR="00EB2B81">
        <w:t>revenue collection and cost recovery arrangements focus</w:t>
      </w:r>
      <w:r w:rsidR="00EB2B81" w:rsidRPr="00732E5A">
        <w:t xml:space="preserve"> on owners of infrastructure or broadcasting license</w:t>
      </w:r>
      <w:r w:rsidR="00EB2B81">
        <w:t>e</w:t>
      </w:r>
      <w:r w:rsidR="00EB2B81" w:rsidRPr="00732E5A">
        <w:t>s and impose obligations on those entities</w:t>
      </w:r>
      <w:r w:rsidR="00EB2B81">
        <w:t>.</w:t>
      </w:r>
      <w:r w:rsidR="00EB2B81" w:rsidDel="00C2568E">
        <w:t xml:space="preserve"> </w:t>
      </w:r>
      <w:r w:rsidR="00EB2B81">
        <w:t>These segments of the communications sector have experienced relatively static revenue growth, or in some cases, revenue declines as competition from subscription and OTT providers emerge.</w:t>
      </w:r>
    </w:p>
    <w:p w14:paraId="391D0EB9" w14:textId="77777777" w:rsidR="00EB2B81" w:rsidRDefault="00EB2B81" w:rsidP="00EB2B81">
      <w:r>
        <w:t>The Department found in its 2015 Portfolio Charging Review little rationale for additional charges being applied to the traditional sectors of the industry, and indeed that the free-to-air commercial broadcasting sector was likely to argue for further licence fee relief as it faces increased competition and costs.</w:t>
      </w:r>
    </w:p>
    <w:p w14:paraId="2ACAB449" w14:textId="77777777" w:rsidR="00EB2B81" w:rsidRDefault="00EB2B81" w:rsidP="00F652FB">
      <w:r w:rsidRPr="005830E8">
        <w:t xml:space="preserve">At the same time, there are new business models and services </w:t>
      </w:r>
      <w:r w:rsidRPr="00620D04">
        <w:t>that</w:t>
      </w:r>
      <w:r w:rsidRPr="00411BA1">
        <w:t xml:space="preserve"> earn revenue from activi</w:t>
      </w:r>
      <w:r w:rsidRPr="00DC6878">
        <w:t xml:space="preserve">ty in the communications sector that do not </w:t>
      </w:r>
      <w:r>
        <w:t>contribute to industry specific levies, cost recovery or taxation</w:t>
      </w:r>
      <w:r w:rsidRPr="0095760F">
        <w:t>.</w:t>
      </w:r>
    </w:p>
    <w:p w14:paraId="3D732FA2" w14:textId="77777777" w:rsidR="00174EEE" w:rsidRPr="00D54776" w:rsidRDefault="00174EEE" w:rsidP="00174EEE">
      <w:pPr>
        <w:pStyle w:val="Definitionterm"/>
        <w:pBdr>
          <w:top w:val="single" w:sz="4" w:space="1" w:color="auto"/>
          <w:left w:val="single" w:sz="4" w:space="4" w:color="auto"/>
          <w:bottom w:val="single" w:sz="4" w:space="1" w:color="auto"/>
          <w:right w:val="single" w:sz="4" w:space="4" w:color="auto"/>
        </w:pBdr>
        <w:shd w:val="clear" w:color="auto" w:fill="CCE0EC"/>
        <w:spacing w:before="0" w:line="360" w:lineRule="auto"/>
        <w:rPr>
          <w:b w:val="0"/>
        </w:rPr>
      </w:pPr>
      <w:r w:rsidRPr="00D54776">
        <w:rPr>
          <w:b w:val="0"/>
        </w:rPr>
        <w:t>Draft proposal</w:t>
      </w:r>
      <w:r>
        <w:rPr>
          <w:b w:val="0"/>
        </w:rPr>
        <w:t>:</w:t>
      </w:r>
    </w:p>
    <w:p w14:paraId="06F72EE6" w14:textId="5F8F4B37" w:rsidR="00174EEE" w:rsidRDefault="00174EEE" w:rsidP="00174EEE">
      <w:pPr>
        <w:pStyle w:val="Definitiontext"/>
        <w:pBdr>
          <w:top w:val="single" w:sz="4" w:space="1" w:color="auto"/>
          <w:left w:val="single" w:sz="4" w:space="4" w:color="auto"/>
          <w:bottom w:val="single" w:sz="4" w:space="1" w:color="auto"/>
          <w:right w:val="single" w:sz="4" w:space="4" w:color="auto"/>
        </w:pBdr>
        <w:shd w:val="clear" w:color="auto" w:fill="CCE0EC"/>
        <w:ind w:left="567" w:hanging="567"/>
        <w:rPr>
          <w:rFonts w:cs="Calibri"/>
        </w:rPr>
      </w:pPr>
      <w:r>
        <w:t>2</w:t>
      </w:r>
      <w:r w:rsidR="002F0F26">
        <w:t>5</w:t>
      </w:r>
      <w:r>
        <w:t>.</w:t>
      </w:r>
      <w:r>
        <w:tab/>
        <w:t xml:space="preserve">That </w:t>
      </w:r>
      <w:r w:rsidRPr="001D3229">
        <w:rPr>
          <w:rFonts w:cs="Calibri"/>
        </w:rPr>
        <w:t>it would be timely to review the policy objectives of revenue collection from the communications sector and evaluate whether new business models and OTT services are contributing appropriately.</w:t>
      </w:r>
    </w:p>
    <w:p w14:paraId="53CEE740" w14:textId="77777777" w:rsidR="00EB2B81" w:rsidRDefault="00EB2B81" w:rsidP="00174EEE">
      <w:pPr>
        <w:pStyle w:val="Heading4"/>
      </w:pPr>
      <w:bookmarkStart w:id="743" w:name="_Toc443307383"/>
      <w:bookmarkStart w:id="744" w:name="_Toc445810599"/>
      <w:bookmarkStart w:id="745" w:name="_Toc449108110"/>
      <w:bookmarkStart w:id="746" w:name="_Toc449432127"/>
      <w:bookmarkStart w:id="747" w:name="_Toc449438594"/>
      <w:bookmarkStart w:id="748" w:name="_Toc449620045"/>
      <w:bookmarkStart w:id="749" w:name="_Toc450310196"/>
      <w:r w:rsidRPr="00182DC1">
        <w:t>Financial performance</w:t>
      </w:r>
      <w:r>
        <w:t xml:space="preserve"> and organisational efficiency</w:t>
      </w:r>
      <w:bookmarkEnd w:id="743"/>
      <w:bookmarkEnd w:id="744"/>
      <w:bookmarkEnd w:id="745"/>
      <w:bookmarkEnd w:id="746"/>
      <w:bookmarkEnd w:id="747"/>
      <w:bookmarkEnd w:id="748"/>
      <w:bookmarkEnd w:id="749"/>
    </w:p>
    <w:p w14:paraId="438A56D8" w14:textId="77777777" w:rsidR="00EB2B81" w:rsidRDefault="00EB2B81" w:rsidP="00EB2B81">
      <w:pPr>
        <w:rPr>
          <w:lang w:eastAsia="en-AU"/>
        </w:rPr>
      </w:pPr>
      <w:r w:rsidRPr="006810B4">
        <w:rPr>
          <w:lang w:eastAsia="en-AU"/>
        </w:rPr>
        <w:t xml:space="preserve">The ACMA has delivered a small surplus or deficit in each of </w:t>
      </w:r>
      <w:r w:rsidRPr="00292390">
        <w:rPr>
          <w:color w:val="000000" w:themeColor="text1"/>
          <w:lang w:eastAsia="en-AU"/>
        </w:rPr>
        <w:t xml:space="preserve">the last 11 years, with a surplus of $0.053m over its life. The ACMA has generally taken the approach to review and reorganise its internal structure and resources to achieve its outcomes in line with </w:t>
      </w:r>
      <w:r w:rsidRPr="0046716B">
        <w:rPr>
          <w:lang w:eastAsia="en-AU"/>
        </w:rPr>
        <w:t>available resources.</w:t>
      </w:r>
    </w:p>
    <w:p w14:paraId="2D327915" w14:textId="77777777" w:rsidR="00EB2B81" w:rsidRDefault="00EB2B81" w:rsidP="00EB2B81">
      <w:pPr>
        <w:rPr>
          <w:lang w:eastAsia="en-AU"/>
        </w:rPr>
      </w:pPr>
      <w:r w:rsidRPr="00292390">
        <w:rPr>
          <w:lang w:eastAsia="en-AU"/>
        </w:rPr>
        <w:t>Net operating losses have been recorded four times since it was established.</w:t>
      </w:r>
      <w:r w:rsidRPr="0046716B">
        <w:rPr>
          <w:lang w:eastAsia="en-AU"/>
        </w:rPr>
        <w:t xml:space="preserve"> Losses have largely been driven by redundancy payments associated with the winding down of the significant digital dividend work program</w:t>
      </w:r>
      <w:r>
        <w:rPr>
          <w:lang w:eastAsia="en-AU"/>
        </w:rPr>
        <w:t xml:space="preserve">me </w:t>
      </w:r>
      <w:r w:rsidRPr="0046716B">
        <w:rPr>
          <w:lang w:eastAsia="en-AU"/>
        </w:rPr>
        <w:t>from its peak in 2011–12, asset write-offs and changes made by the Department of Finance to the valuation of employee leave provisions.</w:t>
      </w:r>
    </w:p>
    <w:p w14:paraId="045BE197" w14:textId="77777777" w:rsidR="00EB2B81" w:rsidRDefault="00EB2B81" w:rsidP="00EB2B81">
      <w:pPr>
        <w:rPr>
          <w:lang w:eastAsia="en-AU"/>
        </w:rPr>
      </w:pPr>
      <w:r w:rsidRPr="0046716B">
        <w:rPr>
          <w:lang w:eastAsia="en-AU"/>
        </w:rPr>
        <w:t xml:space="preserve">The ACMA’s funding has declined </w:t>
      </w:r>
      <w:r w:rsidRPr="00F628A9">
        <w:rPr>
          <w:lang w:eastAsia="en-AU"/>
        </w:rPr>
        <w:t>significantly</w:t>
      </w:r>
      <w:r w:rsidRPr="0046716B">
        <w:rPr>
          <w:lang w:eastAsia="en-AU"/>
        </w:rPr>
        <w:t xml:space="preserve"> comparing 2015–16 to 2005–06. Fluctuations in the funding profile have occurred from the new and terminating funding associated with specific initiatives such as the digital television </w:t>
      </w:r>
      <w:r>
        <w:rPr>
          <w:lang w:eastAsia="en-AU"/>
        </w:rPr>
        <w:t>s</w:t>
      </w:r>
      <w:r w:rsidRPr="0046716B">
        <w:rPr>
          <w:lang w:eastAsia="en-AU"/>
        </w:rPr>
        <w:t>witchover and digital dividend auction.</w:t>
      </w:r>
    </w:p>
    <w:p w14:paraId="53EA11DB" w14:textId="100E5B6E" w:rsidR="00EB2B81" w:rsidRDefault="00EB2B81" w:rsidP="00EB2B81">
      <w:r>
        <w:rPr>
          <w:lang w:eastAsia="en-AU"/>
        </w:rPr>
        <w:t>From time-to-</w:t>
      </w:r>
      <w:r w:rsidRPr="0046716B">
        <w:rPr>
          <w:lang w:eastAsia="en-AU"/>
        </w:rPr>
        <w:t>time</w:t>
      </w:r>
      <w:r>
        <w:rPr>
          <w:lang w:eastAsia="en-AU"/>
        </w:rPr>
        <w:t>,</w:t>
      </w:r>
      <w:r w:rsidRPr="0046716B">
        <w:rPr>
          <w:lang w:eastAsia="en-AU"/>
        </w:rPr>
        <w:t xml:space="preserve"> </w:t>
      </w:r>
      <w:r>
        <w:rPr>
          <w:lang w:eastAsia="en-AU"/>
        </w:rPr>
        <w:t>t</w:t>
      </w:r>
      <w:r w:rsidRPr="0046716B">
        <w:rPr>
          <w:lang w:eastAsia="en-AU"/>
        </w:rPr>
        <w:t xml:space="preserve">he ACMA has been required to absorb additional unfunded cost pressures arising from new initiatives or changes in priorities. An example of this is the absorption of </w:t>
      </w:r>
      <w:r>
        <w:rPr>
          <w:lang w:eastAsia="en-AU"/>
        </w:rPr>
        <w:t>additional efficiency dividends associated</w:t>
      </w:r>
      <w:r w:rsidRPr="0046716B">
        <w:rPr>
          <w:lang w:eastAsia="en-AU"/>
        </w:rPr>
        <w:t xml:space="preserve"> with the </w:t>
      </w:r>
      <w:r>
        <w:rPr>
          <w:lang w:eastAsia="en-AU"/>
        </w:rPr>
        <w:t xml:space="preserve">establishment of the </w:t>
      </w:r>
      <w:r w:rsidRPr="0046716B">
        <w:rPr>
          <w:lang w:eastAsia="en-AU"/>
        </w:rPr>
        <w:t>Office of the Children’s eSafety Commissioner, the establishment of the Digital Transformation Office</w:t>
      </w:r>
      <w:r>
        <w:rPr>
          <w:lang w:eastAsia="en-AU"/>
        </w:rPr>
        <w:t xml:space="preserve"> (DTO)</w:t>
      </w:r>
      <w:r w:rsidRPr="0046716B">
        <w:rPr>
          <w:lang w:eastAsia="en-AU"/>
        </w:rPr>
        <w:t xml:space="preserve"> and the ACMA’s reporting role in relation to telecommunications data retention.</w:t>
      </w:r>
      <w:r>
        <w:rPr>
          <w:lang w:eastAsia="en-AU"/>
        </w:rPr>
        <w:t xml:space="preserve"> The ACMA’s ongoing contribution to the DTO for the years </w:t>
      </w:r>
      <w:r w:rsidR="00A1725C">
        <w:rPr>
          <w:lang w:eastAsia="en-AU"/>
        </w:rPr>
        <w:t>2015–16</w:t>
      </w:r>
      <w:r>
        <w:rPr>
          <w:lang w:eastAsia="en-AU"/>
        </w:rPr>
        <w:t xml:space="preserve"> to 2018-19 will total $2.3</w:t>
      </w:r>
      <w:r w:rsidR="00E549A3">
        <w:rPr>
          <w:lang w:eastAsia="en-AU"/>
        </w:rPr>
        <w:t> million</w:t>
      </w:r>
      <w:r>
        <w:rPr>
          <w:lang w:eastAsia="en-AU"/>
        </w:rPr>
        <w:t>.</w:t>
      </w:r>
    </w:p>
    <w:p w14:paraId="55BBDAA5" w14:textId="77777777" w:rsidR="00EB2B81" w:rsidRDefault="00EB2B81" w:rsidP="00EB2B81">
      <w:pPr>
        <w:rPr>
          <w:lang w:eastAsia="en-AU"/>
        </w:rPr>
      </w:pPr>
      <w:r w:rsidRPr="0046716B">
        <w:rPr>
          <w:lang w:eastAsia="en-AU"/>
        </w:rPr>
        <w:t xml:space="preserve">The ACMA has </w:t>
      </w:r>
      <w:r>
        <w:rPr>
          <w:lang w:eastAsia="en-AU"/>
        </w:rPr>
        <w:t xml:space="preserve">been able to manage </w:t>
      </w:r>
      <w:r w:rsidRPr="0046716B">
        <w:rPr>
          <w:lang w:eastAsia="en-AU"/>
        </w:rPr>
        <w:t>unfore</w:t>
      </w:r>
      <w:r>
        <w:rPr>
          <w:lang w:eastAsia="en-AU"/>
        </w:rPr>
        <w:t>seen cost and priority changes within its existing appropriation</w:t>
      </w:r>
      <w:r w:rsidRPr="0046716B">
        <w:rPr>
          <w:lang w:eastAsia="en-AU"/>
        </w:rPr>
        <w:t xml:space="preserve">. It has a number of initiatives </w:t>
      </w:r>
      <w:r>
        <w:rPr>
          <w:lang w:eastAsia="en-AU"/>
        </w:rPr>
        <w:t xml:space="preserve">in place </w:t>
      </w:r>
      <w:r w:rsidRPr="0046716B">
        <w:rPr>
          <w:lang w:eastAsia="en-AU"/>
        </w:rPr>
        <w:t xml:space="preserve">including a rolling five-year analysis of affordable staffing profiles, continuous major restructuring to prioritise activities and rolling flexible recruitment to manage </w:t>
      </w:r>
      <w:r>
        <w:rPr>
          <w:lang w:eastAsia="en-AU"/>
        </w:rPr>
        <w:t>its</w:t>
      </w:r>
      <w:r w:rsidRPr="0046716B">
        <w:rPr>
          <w:lang w:eastAsia="en-AU"/>
        </w:rPr>
        <w:t xml:space="preserve"> staffing profile, address fluctuations in workload and provide surge capacity (wherever possible) to deliver outcomes to mitigate emerging harms.</w:t>
      </w:r>
    </w:p>
    <w:p w14:paraId="22BFCED9" w14:textId="77777777" w:rsidR="00EB2B81" w:rsidRDefault="00EB2B81" w:rsidP="00EB2B81">
      <w:r w:rsidRPr="0046716B">
        <w:rPr>
          <w:lang w:eastAsia="en-AU"/>
        </w:rPr>
        <w:t>Th</w:t>
      </w:r>
      <w:r>
        <w:rPr>
          <w:lang w:eastAsia="en-AU"/>
        </w:rPr>
        <w:t>ese initiatives</w:t>
      </w:r>
      <w:r w:rsidRPr="0046716B">
        <w:rPr>
          <w:lang w:eastAsia="en-AU"/>
        </w:rPr>
        <w:t xml:space="preserve"> ha</w:t>
      </w:r>
      <w:r>
        <w:rPr>
          <w:lang w:eastAsia="en-AU"/>
        </w:rPr>
        <w:t>ve</w:t>
      </w:r>
      <w:r w:rsidRPr="0046716B">
        <w:rPr>
          <w:lang w:eastAsia="en-AU"/>
        </w:rPr>
        <w:t xml:space="preserve"> allowed the </w:t>
      </w:r>
      <w:r>
        <w:rPr>
          <w:lang w:eastAsia="en-AU"/>
        </w:rPr>
        <w:t>agency</w:t>
      </w:r>
      <w:r w:rsidRPr="0046716B">
        <w:rPr>
          <w:lang w:eastAsia="en-AU"/>
        </w:rPr>
        <w:t xml:space="preserve"> to reduce its fixed-cost base, not only through staffing reductions, but </w:t>
      </w:r>
      <w:r>
        <w:rPr>
          <w:lang w:eastAsia="en-AU"/>
        </w:rPr>
        <w:t>by rationalising</w:t>
      </w:r>
      <w:r w:rsidRPr="0046716B">
        <w:rPr>
          <w:lang w:eastAsia="en-AU"/>
        </w:rPr>
        <w:t xml:space="preserve"> accommodation and other fixed costs. Fixed costs (such as accommodation lease costs) have reduced as a proportion of the ACMA’s total costs, from 10 per cent of total expenditure in 2005–06 to 7.8 per cent in </w:t>
      </w:r>
      <w:r w:rsidR="00A1725C">
        <w:rPr>
          <w:lang w:eastAsia="en-AU"/>
        </w:rPr>
        <w:t>2014–15</w:t>
      </w:r>
      <w:r w:rsidRPr="0046716B">
        <w:rPr>
          <w:lang w:eastAsia="en-AU"/>
        </w:rPr>
        <w:t>. This reduction has been achieved through long</w:t>
      </w:r>
      <w:r>
        <w:rPr>
          <w:lang w:eastAsia="en-AU"/>
        </w:rPr>
        <w:t>-</w:t>
      </w:r>
      <w:r w:rsidRPr="0046716B">
        <w:rPr>
          <w:lang w:eastAsia="en-AU"/>
        </w:rPr>
        <w:t>term management of leases, relocation of staff, renegotiation with property owners and appropriate closure of regional offices in line with more mobile field operations made possible with new digital equipment and evolving field operations models.</w:t>
      </w:r>
    </w:p>
    <w:p w14:paraId="336F2BAE" w14:textId="77777777" w:rsidR="00EB2B81" w:rsidRDefault="00EB2B81" w:rsidP="00174EEE">
      <w:pPr>
        <w:pStyle w:val="Heading4"/>
      </w:pPr>
      <w:bookmarkStart w:id="750" w:name="_Toc435112170"/>
      <w:bookmarkStart w:id="751" w:name="_Toc436923361"/>
      <w:bookmarkStart w:id="752" w:name="_Toc437440663"/>
      <w:bookmarkStart w:id="753" w:name="_Toc437528418"/>
      <w:bookmarkStart w:id="754" w:name="_Toc437594289"/>
      <w:bookmarkStart w:id="755" w:name="_Toc437598698"/>
      <w:bookmarkStart w:id="756" w:name="_Toc437599302"/>
      <w:bookmarkStart w:id="757" w:name="_Toc437600405"/>
      <w:bookmarkStart w:id="758" w:name="_Toc440536946"/>
      <w:bookmarkStart w:id="759" w:name="_Toc441743842"/>
      <w:bookmarkStart w:id="760" w:name="_Toc441744284"/>
      <w:bookmarkStart w:id="761" w:name="_Toc441845104"/>
      <w:bookmarkStart w:id="762" w:name="_Toc441847357"/>
      <w:bookmarkStart w:id="763" w:name="_Toc441848289"/>
      <w:bookmarkStart w:id="764" w:name="_Toc442107131"/>
      <w:bookmarkStart w:id="765" w:name="_Toc442108783"/>
      <w:bookmarkStart w:id="766" w:name="_Toc443038181"/>
      <w:bookmarkStart w:id="767" w:name="_Toc443043899"/>
      <w:bookmarkStart w:id="768" w:name="_Toc443052589"/>
      <w:bookmarkStart w:id="769" w:name="_Toc443054878"/>
      <w:bookmarkStart w:id="770" w:name="_Toc443307384"/>
      <w:bookmarkStart w:id="771" w:name="_Toc445810600"/>
      <w:bookmarkStart w:id="772" w:name="_Toc449108111"/>
      <w:bookmarkStart w:id="773" w:name="_Toc449432128"/>
      <w:bookmarkStart w:id="774" w:name="_Toc449438595"/>
      <w:bookmarkStart w:id="775" w:name="_Toc449620046"/>
      <w:bookmarkStart w:id="776" w:name="_Toc450310197"/>
      <w:r w:rsidRPr="0070758E">
        <w:t>Changes in organisation profile to meet priorities</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14:paraId="4AEB8BAD" w14:textId="77777777" w:rsidR="00EB2B81" w:rsidRDefault="00EB2B81" w:rsidP="00EB2B81">
      <w:pPr>
        <w:rPr>
          <w:lang w:eastAsia="en-AU"/>
        </w:rPr>
      </w:pPr>
      <w:r w:rsidRPr="00C83C2C">
        <w:rPr>
          <w:lang w:eastAsia="en-AU"/>
        </w:rPr>
        <w:t>Since its establishment</w:t>
      </w:r>
      <w:r>
        <w:rPr>
          <w:lang w:eastAsia="en-AU"/>
        </w:rPr>
        <w:t>,</w:t>
      </w:r>
      <w:r w:rsidRPr="00C83C2C">
        <w:rPr>
          <w:lang w:eastAsia="en-AU"/>
        </w:rPr>
        <w:t xml:space="preserve"> the ACMA has endeavoured to structure itself to effectively balance its expectations to perform and achieve its objectives with available staff and resources. This has seen an overall decline in the number of divisions, branches and section</w:t>
      </w:r>
      <w:r>
        <w:rPr>
          <w:lang w:eastAsia="en-AU"/>
        </w:rPr>
        <w:t>s</w:t>
      </w:r>
      <w:r w:rsidRPr="00C83C2C">
        <w:rPr>
          <w:lang w:eastAsia="en-AU"/>
        </w:rPr>
        <w:t xml:space="preserve"> within the </w:t>
      </w:r>
      <w:r>
        <w:rPr>
          <w:lang w:eastAsia="en-AU"/>
        </w:rPr>
        <w:t>agency</w:t>
      </w:r>
      <w:r w:rsidRPr="00C83C2C">
        <w:rPr>
          <w:lang w:eastAsia="en-AU"/>
        </w:rPr>
        <w:t xml:space="preserve"> over the last </w:t>
      </w:r>
      <w:r w:rsidRPr="00F651B3">
        <w:rPr>
          <w:lang w:eastAsia="en-AU"/>
        </w:rPr>
        <w:t>10 years, providing the opportunity for more streamlined management of decisions and procedures at the operational level.</w:t>
      </w:r>
    </w:p>
    <w:p w14:paraId="495A410A" w14:textId="77777777" w:rsidR="00EB2B81" w:rsidRDefault="00EB2B81" w:rsidP="002E15A7">
      <w:pPr>
        <w:rPr>
          <w:highlight w:val="yellow"/>
          <w:lang w:eastAsia="en-AU"/>
        </w:rPr>
      </w:pPr>
      <w:r w:rsidRPr="00292390">
        <w:rPr>
          <w:lang w:eastAsia="en-AU"/>
        </w:rPr>
        <w:t xml:space="preserve">The current structure comprises four divisions, ten branches and 64 sections. Changes since 2005–06 are shown </w:t>
      </w:r>
      <w:r>
        <w:rPr>
          <w:lang w:eastAsia="en-AU"/>
        </w:rPr>
        <w:t>below</w:t>
      </w:r>
      <w:r w:rsidRPr="00292390">
        <w:rPr>
          <w:lang w:eastAsia="en-AU"/>
        </w:rPr>
        <w:t>.</w:t>
      </w:r>
    </w:p>
    <w:p w14:paraId="267E0AA1" w14:textId="77777777" w:rsidR="00EB2B81" w:rsidRDefault="00EB2B81" w:rsidP="00174EEE">
      <w:pPr>
        <w:pStyle w:val="Tablefigureheading"/>
        <w:rPr>
          <w:lang w:eastAsia="en-AU"/>
        </w:rPr>
      </w:pPr>
      <w:r w:rsidRPr="002E3AA0">
        <w:rPr>
          <w:lang w:eastAsia="en-AU"/>
        </w:rPr>
        <w:t xml:space="preserve">Table </w:t>
      </w:r>
      <w:r>
        <w:rPr>
          <w:lang w:eastAsia="en-AU"/>
        </w:rPr>
        <w:t>C</w:t>
      </w:r>
      <w:r w:rsidRPr="002E3AA0">
        <w:rPr>
          <w:lang w:eastAsia="en-AU"/>
        </w:rPr>
        <w:t>2: The ACMA 10-year organisational profile</w:t>
      </w:r>
      <w:r>
        <w:rPr>
          <w:rStyle w:val="FootnoteReference"/>
          <w:lang w:eastAsia="en-AU"/>
        </w:rPr>
        <w:footnoteReference w:id="135"/>
      </w:r>
      <w:r>
        <w:rPr>
          <w:lang w:eastAsia="en-AU"/>
        </w:rPr>
        <w:t xml:space="preserve"> </w:t>
      </w:r>
    </w:p>
    <w:tbl>
      <w:tblPr>
        <w:tblStyle w:val="TableGrid"/>
        <w:tblW w:w="8847" w:type="dxa"/>
        <w:tblLook w:val="04A0" w:firstRow="1" w:lastRow="0" w:firstColumn="1" w:lastColumn="0" w:noHBand="0" w:noVBand="1"/>
        <w:tblCaption w:val="The ACMA 10-year organisational profile"/>
        <w:tblDescription w:val="2005-06&#10;Divisions: 5&#10;Branches: 18&#10;Sections: 83&#10;Average staffing levels: 477&#10;&#10;2006-07&#10;Divisions: 6&#10;Branches:18&#10;Sections: 84&#10;Average staffing levels: 501&#10;&#10;2007-08&#10;Divisions: 6&#10;Branches: 18&#10;Sections: 84&#10;Average staffing levels: 554&#10;&#10;2008-09&#10;Divisions: 6&#10;Branches: 14&#10;Sections: 95&#10;Average staffing levels: 554&#10;&#10;2009-10&#10;Divisions: 6&#10;Branches: 15&#10;Sections: 96&#10;Average staffing levels: 591&#10;&#10;2010-11&#10;Divisions: 6&#10;Branches: 16&#10;Sections: 92&#10;Average staffing levels: 591&#10;&#10;2011-12&#10;Divisions: 6&#10;Branches: 15&#10;Sections: 86&#10;Average staffing levels: 575&#10;&#10;2012-13&#10;Divisions: 6&#10;Branches: 15&#10;Sections: 84&#10;Average staffing levels: 559&#10;&#10;2013-14&#10;Divisions: 5&#10;Branches: 14&#10;Sections: 76&#10;Average staffing levels: 488&#10;&#10;2014-15&#10;Divisions: 4&#10;Branches: 10&#10;Sections: 64&#10;Average staffing levels: 450&#10;&#10;2015-16&#10;Divisions: 4&#10;Branches: 10&#10;Sections: 64&#10;Average staffing levels: 409"/>
      </w:tblPr>
      <w:tblGrid>
        <w:gridCol w:w="1331"/>
        <w:gridCol w:w="681"/>
        <w:gridCol w:w="681"/>
        <w:gridCol w:w="682"/>
        <w:gridCol w:w="684"/>
        <w:gridCol w:w="684"/>
        <w:gridCol w:w="684"/>
        <w:gridCol w:w="684"/>
        <w:gridCol w:w="684"/>
        <w:gridCol w:w="684"/>
        <w:gridCol w:w="684"/>
        <w:gridCol w:w="684"/>
      </w:tblGrid>
      <w:tr w:rsidR="00EB2B81" w:rsidRPr="00633D3B" w14:paraId="6C0A9D3D" w14:textId="77777777" w:rsidTr="00EB2B81">
        <w:trPr>
          <w:trHeight w:val="222"/>
          <w:tblHeader/>
        </w:trPr>
        <w:tc>
          <w:tcPr>
            <w:tcW w:w="1331" w:type="dxa"/>
            <w:shd w:val="clear" w:color="auto" w:fill="222A35" w:themeFill="text2" w:themeFillShade="80"/>
          </w:tcPr>
          <w:p w14:paraId="4C6A8ED7" w14:textId="77777777" w:rsidR="00EB2B81" w:rsidRPr="00633D3B" w:rsidRDefault="00EB2B81" w:rsidP="00EB2B81">
            <w:pPr>
              <w:rPr>
                <w:sz w:val="18"/>
                <w:szCs w:val="20"/>
                <w:lang w:eastAsia="en-AU"/>
              </w:rPr>
            </w:pPr>
          </w:p>
        </w:tc>
        <w:tc>
          <w:tcPr>
            <w:tcW w:w="681" w:type="dxa"/>
            <w:shd w:val="clear" w:color="auto" w:fill="222A35" w:themeFill="text2" w:themeFillShade="80"/>
          </w:tcPr>
          <w:p w14:paraId="2EF6AB78" w14:textId="77777777" w:rsidR="00EB2B81" w:rsidRPr="00633D3B" w:rsidRDefault="00174EEE" w:rsidP="00EB2B81">
            <w:pPr>
              <w:rPr>
                <w:sz w:val="18"/>
                <w:szCs w:val="20"/>
                <w:lang w:eastAsia="en-AU"/>
              </w:rPr>
            </w:pPr>
            <w:r w:rsidRPr="00633D3B">
              <w:rPr>
                <w:sz w:val="18"/>
                <w:szCs w:val="20"/>
                <w:lang w:eastAsia="en-AU"/>
              </w:rPr>
              <w:t>2005–06</w:t>
            </w:r>
          </w:p>
        </w:tc>
        <w:tc>
          <w:tcPr>
            <w:tcW w:w="681" w:type="dxa"/>
            <w:shd w:val="clear" w:color="auto" w:fill="222A35" w:themeFill="text2" w:themeFillShade="80"/>
          </w:tcPr>
          <w:p w14:paraId="481CDA82" w14:textId="77777777" w:rsidR="00EB2B81" w:rsidRPr="00633D3B" w:rsidRDefault="00174EEE" w:rsidP="00EB2B81">
            <w:pPr>
              <w:rPr>
                <w:sz w:val="18"/>
                <w:szCs w:val="20"/>
                <w:lang w:eastAsia="en-AU"/>
              </w:rPr>
            </w:pPr>
            <w:r w:rsidRPr="00633D3B">
              <w:rPr>
                <w:sz w:val="18"/>
                <w:szCs w:val="20"/>
                <w:lang w:eastAsia="en-AU"/>
              </w:rPr>
              <w:t>2006–07</w:t>
            </w:r>
          </w:p>
        </w:tc>
        <w:tc>
          <w:tcPr>
            <w:tcW w:w="682" w:type="dxa"/>
            <w:shd w:val="clear" w:color="auto" w:fill="222A35" w:themeFill="text2" w:themeFillShade="80"/>
          </w:tcPr>
          <w:p w14:paraId="15F784BF" w14:textId="77777777" w:rsidR="00EB2B81" w:rsidRPr="00633D3B" w:rsidRDefault="00174EEE" w:rsidP="00EB2B81">
            <w:pPr>
              <w:rPr>
                <w:sz w:val="18"/>
                <w:szCs w:val="20"/>
                <w:lang w:eastAsia="en-AU"/>
              </w:rPr>
            </w:pPr>
            <w:r w:rsidRPr="00633D3B">
              <w:rPr>
                <w:sz w:val="18"/>
                <w:szCs w:val="20"/>
                <w:lang w:eastAsia="en-AU"/>
              </w:rPr>
              <w:t>2007–08</w:t>
            </w:r>
          </w:p>
        </w:tc>
        <w:tc>
          <w:tcPr>
            <w:tcW w:w="684" w:type="dxa"/>
            <w:shd w:val="clear" w:color="auto" w:fill="222A35" w:themeFill="text2" w:themeFillShade="80"/>
          </w:tcPr>
          <w:p w14:paraId="53AC4CDB" w14:textId="77777777" w:rsidR="00EB2B81" w:rsidRPr="00633D3B" w:rsidRDefault="00174EEE" w:rsidP="00EB2B81">
            <w:pPr>
              <w:rPr>
                <w:sz w:val="18"/>
                <w:szCs w:val="20"/>
                <w:lang w:eastAsia="en-AU"/>
              </w:rPr>
            </w:pPr>
            <w:r w:rsidRPr="00633D3B">
              <w:rPr>
                <w:sz w:val="18"/>
                <w:szCs w:val="20"/>
                <w:lang w:eastAsia="en-AU"/>
              </w:rPr>
              <w:t>2008–09</w:t>
            </w:r>
          </w:p>
        </w:tc>
        <w:tc>
          <w:tcPr>
            <w:tcW w:w="684" w:type="dxa"/>
            <w:shd w:val="clear" w:color="auto" w:fill="222A35" w:themeFill="text2" w:themeFillShade="80"/>
          </w:tcPr>
          <w:p w14:paraId="140D539D" w14:textId="77777777" w:rsidR="00EB2B81" w:rsidRPr="00633D3B" w:rsidRDefault="00174EEE" w:rsidP="00EB2B81">
            <w:pPr>
              <w:rPr>
                <w:sz w:val="18"/>
                <w:szCs w:val="20"/>
                <w:lang w:eastAsia="en-AU"/>
              </w:rPr>
            </w:pPr>
            <w:r w:rsidRPr="00633D3B">
              <w:rPr>
                <w:sz w:val="18"/>
                <w:szCs w:val="20"/>
                <w:lang w:eastAsia="en-AU"/>
              </w:rPr>
              <w:t>2009–10</w:t>
            </w:r>
          </w:p>
        </w:tc>
        <w:tc>
          <w:tcPr>
            <w:tcW w:w="684" w:type="dxa"/>
            <w:shd w:val="clear" w:color="auto" w:fill="222A35" w:themeFill="text2" w:themeFillShade="80"/>
          </w:tcPr>
          <w:p w14:paraId="5E4D70A5" w14:textId="77777777" w:rsidR="00EB2B81" w:rsidRPr="00633D3B" w:rsidRDefault="00174EEE" w:rsidP="00EB2B81">
            <w:pPr>
              <w:rPr>
                <w:sz w:val="18"/>
                <w:szCs w:val="20"/>
                <w:lang w:eastAsia="en-AU"/>
              </w:rPr>
            </w:pPr>
            <w:r w:rsidRPr="00633D3B">
              <w:rPr>
                <w:sz w:val="18"/>
                <w:szCs w:val="20"/>
                <w:lang w:eastAsia="en-AU"/>
              </w:rPr>
              <w:t>2010–11</w:t>
            </w:r>
          </w:p>
        </w:tc>
        <w:tc>
          <w:tcPr>
            <w:tcW w:w="684" w:type="dxa"/>
            <w:shd w:val="clear" w:color="auto" w:fill="222A35" w:themeFill="text2" w:themeFillShade="80"/>
          </w:tcPr>
          <w:p w14:paraId="5BE75623" w14:textId="77777777" w:rsidR="00EB2B81" w:rsidRPr="00633D3B" w:rsidRDefault="00174EEE" w:rsidP="00EB2B81">
            <w:pPr>
              <w:rPr>
                <w:sz w:val="18"/>
                <w:szCs w:val="20"/>
                <w:lang w:eastAsia="en-AU"/>
              </w:rPr>
            </w:pPr>
            <w:r w:rsidRPr="00633D3B">
              <w:rPr>
                <w:sz w:val="18"/>
                <w:szCs w:val="20"/>
                <w:lang w:eastAsia="en-AU"/>
              </w:rPr>
              <w:t>2011–12</w:t>
            </w:r>
          </w:p>
        </w:tc>
        <w:tc>
          <w:tcPr>
            <w:tcW w:w="684" w:type="dxa"/>
            <w:shd w:val="clear" w:color="auto" w:fill="222A35" w:themeFill="text2" w:themeFillShade="80"/>
          </w:tcPr>
          <w:p w14:paraId="54E061A4" w14:textId="77777777" w:rsidR="00EB2B81" w:rsidRPr="00633D3B" w:rsidRDefault="00174EEE" w:rsidP="00EB2B81">
            <w:pPr>
              <w:rPr>
                <w:sz w:val="18"/>
                <w:szCs w:val="20"/>
                <w:lang w:eastAsia="en-AU"/>
              </w:rPr>
            </w:pPr>
            <w:r w:rsidRPr="00633D3B">
              <w:rPr>
                <w:sz w:val="18"/>
                <w:szCs w:val="20"/>
                <w:lang w:eastAsia="en-AU"/>
              </w:rPr>
              <w:t>2012–13</w:t>
            </w:r>
          </w:p>
        </w:tc>
        <w:tc>
          <w:tcPr>
            <w:tcW w:w="684" w:type="dxa"/>
            <w:shd w:val="clear" w:color="auto" w:fill="222A35" w:themeFill="text2" w:themeFillShade="80"/>
          </w:tcPr>
          <w:p w14:paraId="3F0EC41E" w14:textId="77777777" w:rsidR="00EB2B81" w:rsidRPr="00633D3B" w:rsidRDefault="00174EEE" w:rsidP="00EB2B81">
            <w:pPr>
              <w:rPr>
                <w:sz w:val="18"/>
                <w:szCs w:val="20"/>
                <w:lang w:eastAsia="en-AU"/>
              </w:rPr>
            </w:pPr>
            <w:r w:rsidRPr="00633D3B">
              <w:rPr>
                <w:sz w:val="18"/>
                <w:szCs w:val="20"/>
                <w:lang w:eastAsia="en-AU"/>
              </w:rPr>
              <w:t>2013–14</w:t>
            </w:r>
          </w:p>
        </w:tc>
        <w:tc>
          <w:tcPr>
            <w:tcW w:w="684" w:type="dxa"/>
            <w:shd w:val="clear" w:color="auto" w:fill="222A35" w:themeFill="text2" w:themeFillShade="80"/>
          </w:tcPr>
          <w:p w14:paraId="3486902F" w14:textId="77777777" w:rsidR="00EB2B81" w:rsidRPr="00633D3B" w:rsidRDefault="00A1725C" w:rsidP="00EB2B81">
            <w:pPr>
              <w:rPr>
                <w:sz w:val="18"/>
                <w:szCs w:val="20"/>
                <w:lang w:eastAsia="en-AU"/>
              </w:rPr>
            </w:pPr>
            <w:r w:rsidRPr="00633D3B">
              <w:rPr>
                <w:sz w:val="18"/>
                <w:szCs w:val="20"/>
                <w:lang w:eastAsia="en-AU"/>
              </w:rPr>
              <w:t>2014–15</w:t>
            </w:r>
          </w:p>
        </w:tc>
        <w:tc>
          <w:tcPr>
            <w:tcW w:w="684" w:type="dxa"/>
            <w:shd w:val="clear" w:color="auto" w:fill="222A35" w:themeFill="text2" w:themeFillShade="80"/>
          </w:tcPr>
          <w:p w14:paraId="29563A62" w14:textId="77777777" w:rsidR="00EB2B81" w:rsidRPr="00633D3B" w:rsidRDefault="00A1725C" w:rsidP="00EB2B81">
            <w:pPr>
              <w:rPr>
                <w:sz w:val="18"/>
                <w:szCs w:val="20"/>
                <w:lang w:eastAsia="en-AU"/>
              </w:rPr>
            </w:pPr>
            <w:r w:rsidRPr="00633D3B">
              <w:rPr>
                <w:sz w:val="18"/>
                <w:szCs w:val="20"/>
                <w:lang w:eastAsia="en-AU"/>
              </w:rPr>
              <w:t>2015–16</w:t>
            </w:r>
          </w:p>
        </w:tc>
      </w:tr>
      <w:tr w:rsidR="00EB2B81" w:rsidRPr="005A618B" w14:paraId="1697DE08" w14:textId="77777777" w:rsidTr="00EB2B81">
        <w:trPr>
          <w:trHeight w:val="204"/>
        </w:trPr>
        <w:tc>
          <w:tcPr>
            <w:tcW w:w="1331" w:type="dxa"/>
          </w:tcPr>
          <w:p w14:paraId="6E3F0C9E" w14:textId="77777777" w:rsidR="00EB2B81" w:rsidRPr="005A618B" w:rsidRDefault="00EB2B81" w:rsidP="00EB2B81">
            <w:pPr>
              <w:rPr>
                <w:sz w:val="20"/>
                <w:szCs w:val="20"/>
                <w:lang w:eastAsia="en-AU"/>
              </w:rPr>
            </w:pPr>
            <w:r w:rsidRPr="005A618B">
              <w:rPr>
                <w:sz w:val="20"/>
                <w:szCs w:val="20"/>
                <w:lang w:eastAsia="en-AU"/>
              </w:rPr>
              <w:t>Divisions</w:t>
            </w:r>
          </w:p>
        </w:tc>
        <w:tc>
          <w:tcPr>
            <w:tcW w:w="681" w:type="dxa"/>
          </w:tcPr>
          <w:p w14:paraId="03D3F320" w14:textId="77777777" w:rsidR="00EB2B81" w:rsidRPr="005A618B" w:rsidRDefault="00EB2B81" w:rsidP="00EB2B81">
            <w:pPr>
              <w:rPr>
                <w:sz w:val="20"/>
                <w:szCs w:val="20"/>
                <w:lang w:eastAsia="en-AU"/>
              </w:rPr>
            </w:pPr>
            <w:r>
              <w:rPr>
                <w:sz w:val="20"/>
                <w:szCs w:val="20"/>
                <w:lang w:eastAsia="en-AU"/>
              </w:rPr>
              <w:t>5</w:t>
            </w:r>
          </w:p>
        </w:tc>
        <w:tc>
          <w:tcPr>
            <w:tcW w:w="681" w:type="dxa"/>
          </w:tcPr>
          <w:p w14:paraId="7522D17D" w14:textId="77777777" w:rsidR="00EB2B81" w:rsidRPr="005A618B" w:rsidRDefault="00EB2B81" w:rsidP="00EB2B81">
            <w:pPr>
              <w:rPr>
                <w:sz w:val="20"/>
                <w:szCs w:val="20"/>
                <w:lang w:eastAsia="en-AU"/>
              </w:rPr>
            </w:pPr>
            <w:r>
              <w:rPr>
                <w:sz w:val="20"/>
                <w:szCs w:val="20"/>
                <w:lang w:eastAsia="en-AU"/>
              </w:rPr>
              <w:t>6</w:t>
            </w:r>
          </w:p>
        </w:tc>
        <w:tc>
          <w:tcPr>
            <w:tcW w:w="682" w:type="dxa"/>
          </w:tcPr>
          <w:p w14:paraId="53CB9175" w14:textId="77777777" w:rsidR="00EB2B81" w:rsidRPr="005A618B" w:rsidRDefault="00EB2B81" w:rsidP="00EB2B81">
            <w:pPr>
              <w:rPr>
                <w:sz w:val="20"/>
                <w:szCs w:val="20"/>
                <w:lang w:eastAsia="en-AU"/>
              </w:rPr>
            </w:pPr>
            <w:r>
              <w:rPr>
                <w:sz w:val="20"/>
                <w:szCs w:val="20"/>
                <w:lang w:eastAsia="en-AU"/>
              </w:rPr>
              <w:t>6</w:t>
            </w:r>
          </w:p>
        </w:tc>
        <w:tc>
          <w:tcPr>
            <w:tcW w:w="684" w:type="dxa"/>
          </w:tcPr>
          <w:p w14:paraId="439828D2" w14:textId="77777777" w:rsidR="00EB2B81" w:rsidRPr="005A618B" w:rsidRDefault="00EB2B81" w:rsidP="00EB2B81">
            <w:pPr>
              <w:rPr>
                <w:sz w:val="20"/>
                <w:szCs w:val="20"/>
                <w:lang w:eastAsia="en-AU"/>
              </w:rPr>
            </w:pPr>
            <w:r>
              <w:rPr>
                <w:sz w:val="20"/>
                <w:szCs w:val="20"/>
                <w:lang w:eastAsia="en-AU"/>
              </w:rPr>
              <w:t>6</w:t>
            </w:r>
          </w:p>
        </w:tc>
        <w:tc>
          <w:tcPr>
            <w:tcW w:w="684" w:type="dxa"/>
          </w:tcPr>
          <w:p w14:paraId="3F62C8AC" w14:textId="77777777" w:rsidR="00EB2B81" w:rsidRPr="005A618B" w:rsidRDefault="00EB2B81" w:rsidP="00EB2B81">
            <w:pPr>
              <w:rPr>
                <w:sz w:val="20"/>
                <w:szCs w:val="20"/>
                <w:lang w:eastAsia="en-AU"/>
              </w:rPr>
            </w:pPr>
            <w:r>
              <w:rPr>
                <w:sz w:val="20"/>
                <w:szCs w:val="20"/>
                <w:lang w:eastAsia="en-AU"/>
              </w:rPr>
              <w:t>6</w:t>
            </w:r>
          </w:p>
        </w:tc>
        <w:tc>
          <w:tcPr>
            <w:tcW w:w="684" w:type="dxa"/>
          </w:tcPr>
          <w:p w14:paraId="4BB933CB" w14:textId="77777777" w:rsidR="00EB2B81" w:rsidRPr="005A618B" w:rsidRDefault="00EB2B81" w:rsidP="00EB2B81">
            <w:pPr>
              <w:rPr>
                <w:sz w:val="20"/>
                <w:szCs w:val="20"/>
                <w:lang w:eastAsia="en-AU"/>
              </w:rPr>
            </w:pPr>
            <w:r>
              <w:rPr>
                <w:sz w:val="20"/>
                <w:szCs w:val="20"/>
                <w:lang w:eastAsia="en-AU"/>
              </w:rPr>
              <w:t>6</w:t>
            </w:r>
          </w:p>
        </w:tc>
        <w:tc>
          <w:tcPr>
            <w:tcW w:w="684" w:type="dxa"/>
          </w:tcPr>
          <w:p w14:paraId="1B04CD43" w14:textId="77777777" w:rsidR="00EB2B81" w:rsidRPr="005A618B" w:rsidRDefault="00EB2B81" w:rsidP="00EB2B81">
            <w:pPr>
              <w:rPr>
                <w:sz w:val="20"/>
                <w:szCs w:val="20"/>
                <w:lang w:eastAsia="en-AU"/>
              </w:rPr>
            </w:pPr>
            <w:r>
              <w:rPr>
                <w:sz w:val="20"/>
                <w:szCs w:val="20"/>
                <w:lang w:eastAsia="en-AU"/>
              </w:rPr>
              <w:t>6</w:t>
            </w:r>
          </w:p>
        </w:tc>
        <w:tc>
          <w:tcPr>
            <w:tcW w:w="684" w:type="dxa"/>
          </w:tcPr>
          <w:p w14:paraId="22434701" w14:textId="77777777" w:rsidR="00EB2B81" w:rsidRPr="005A618B" w:rsidRDefault="00EB2B81" w:rsidP="00EB2B81">
            <w:pPr>
              <w:rPr>
                <w:sz w:val="20"/>
                <w:szCs w:val="20"/>
                <w:lang w:eastAsia="en-AU"/>
              </w:rPr>
            </w:pPr>
            <w:r>
              <w:rPr>
                <w:sz w:val="20"/>
                <w:szCs w:val="20"/>
                <w:lang w:eastAsia="en-AU"/>
              </w:rPr>
              <w:t>6</w:t>
            </w:r>
          </w:p>
        </w:tc>
        <w:tc>
          <w:tcPr>
            <w:tcW w:w="684" w:type="dxa"/>
          </w:tcPr>
          <w:p w14:paraId="0A07A5AB" w14:textId="77777777" w:rsidR="00EB2B81" w:rsidRPr="005A618B" w:rsidRDefault="00EB2B81" w:rsidP="00EB2B81">
            <w:pPr>
              <w:rPr>
                <w:sz w:val="20"/>
                <w:szCs w:val="20"/>
                <w:lang w:eastAsia="en-AU"/>
              </w:rPr>
            </w:pPr>
            <w:r>
              <w:rPr>
                <w:sz w:val="20"/>
                <w:szCs w:val="20"/>
                <w:lang w:eastAsia="en-AU"/>
              </w:rPr>
              <w:t>5</w:t>
            </w:r>
          </w:p>
        </w:tc>
        <w:tc>
          <w:tcPr>
            <w:tcW w:w="684" w:type="dxa"/>
          </w:tcPr>
          <w:p w14:paraId="626B3C5A" w14:textId="77777777" w:rsidR="00EB2B81" w:rsidRPr="005A618B" w:rsidRDefault="00EB2B81" w:rsidP="00EB2B81">
            <w:pPr>
              <w:rPr>
                <w:sz w:val="20"/>
                <w:szCs w:val="20"/>
                <w:lang w:eastAsia="en-AU"/>
              </w:rPr>
            </w:pPr>
            <w:r>
              <w:rPr>
                <w:sz w:val="20"/>
                <w:szCs w:val="20"/>
                <w:lang w:eastAsia="en-AU"/>
              </w:rPr>
              <w:t>4</w:t>
            </w:r>
          </w:p>
        </w:tc>
        <w:tc>
          <w:tcPr>
            <w:tcW w:w="684" w:type="dxa"/>
          </w:tcPr>
          <w:p w14:paraId="46F7417B" w14:textId="77777777" w:rsidR="00EB2B81" w:rsidRPr="005A618B" w:rsidRDefault="00EB2B81" w:rsidP="00EB2B81">
            <w:pPr>
              <w:rPr>
                <w:sz w:val="20"/>
                <w:szCs w:val="20"/>
                <w:lang w:eastAsia="en-AU"/>
              </w:rPr>
            </w:pPr>
            <w:r>
              <w:rPr>
                <w:sz w:val="20"/>
                <w:szCs w:val="20"/>
                <w:lang w:eastAsia="en-AU"/>
              </w:rPr>
              <w:t>4</w:t>
            </w:r>
          </w:p>
        </w:tc>
      </w:tr>
      <w:tr w:rsidR="00EB2B81" w:rsidRPr="005A618B" w14:paraId="5E3FDD60" w14:textId="77777777" w:rsidTr="00EB2B81">
        <w:trPr>
          <w:trHeight w:val="222"/>
        </w:trPr>
        <w:tc>
          <w:tcPr>
            <w:tcW w:w="1331" w:type="dxa"/>
          </w:tcPr>
          <w:p w14:paraId="5B2DA448" w14:textId="77777777" w:rsidR="00EB2B81" w:rsidRPr="005A618B" w:rsidRDefault="00EB2B81" w:rsidP="00EB2B81">
            <w:pPr>
              <w:rPr>
                <w:sz w:val="20"/>
                <w:szCs w:val="20"/>
                <w:lang w:eastAsia="en-AU"/>
              </w:rPr>
            </w:pPr>
            <w:r w:rsidRPr="005A618B">
              <w:rPr>
                <w:sz w:val="20"/>
                <w:szCs w:val="20"/>
                <w:lang w:eastAsia="en-AU"/>
              </w:rPr>
              <w:t>Branches</w:t>
            </w:r>
          </w:p>
        </w:tc>
        <w:tc>
          <w:tcPr>
            <w:tcW w:w="681" w:type="dxa"/>
          </w:tcPr>
          <w:p w14:paraId="01045406" w14:textId="77777777" w:rsidR="00EB2B81" w:rsidRPr="005A618B" w:rsidRDefault="00EB2B81" w:rsidP="00EB2B81">
            <w:pPr>
              <w:rPr>
                <w:sz w:val="20"/>
                <w:szCs w:val="20"/>
                <w:lang w:eastAsia="en-AU"/>
              </w:rPr>
            </w:pPr>
            <w:r>
              <w:rPr>
                <w:sz w:val="20"/>
                <w:szCs w:val="20"/>
                <w:lang w:eastAsia="en-AU"/>
              </w:rPr>
              <w:t>18</w:t>
            </w:r>
          </w:p>
        </w:tc>
        <w:tc>
          <w:tcPr>
            <w:tcW w:w="681" w:type="dxa"/>
          </w:tcPr>
          <w:p w14:paraId="1E1812F1" w14:textId="77777777" w:rsidR="00EB2B81" w:rsidRPr="005A618B" w:rsidRDefault="00EB2B81" w:rsidP="00EB2B81">
            <w:pPr>
              <w:rPr>
                <w:sz w:val="20"/>
                <w:szCs w:val="20"/>
                <w:lang w:eastAsia="en-AU"/>
              </w:rPr>
            </w:pPr>
            <w:r>
              <w:rPr>
                <w:sz w:val="20"/>
                <w:szCs w:val="20"/>
                <w:lang w:eastAsia="en-AU"/>
              </w:rPr>
              <w:t>18</w:t>
            </w:r>
          </w:p>
        </w:tc>
        <w:tc>
          <w:tcPr>
            <w:tcW w:w="682" w:type="dxa"/>
          </w:tcPr>
          <w:p w14:paraId="1C9B7A33" w14:textId="77777777" w:rsidR="00EB2B81" w:rsidRPr="005A618B" w:rsidRDefault="00EB2B81" w:rsidP="00EB2B81">
            <w:pPr>
              <w:rPr>
                <w:sz w:val="20"/>
                <w:szCs w:val="20"/>
                <w:lang w:eastAsia="en-AU"/>
              </w:rPr>
            </w:pPr>
            <w:r>
              <w:rPr>
                <w:sz w:val="20"/>
                <w:szCs w:val="20"/>
                <w:lang w:eastAsia="en-AU"/>
              </w:rPr>
              <w:t>18</w:t>
            </w:r>
          </w:p>
        </w:tc>
        <w:tc>
          <w:tcPr>
            <w:tcW w:w="684" w:type="dxa"/>
          </w:tcPr>
          <w:p w14:paraId="13ABC2EB" w14:textId="77777777" w:rsidR="00EB2B81" w:rsidRPr="005A618B" w:rsidRDefault="00EB2B81" w:rsidP="00EB2B81">
            <w:pPr>
              <w:rPr>
                <w:sz w:val="20"/>
                <w:szCs w:val="20"/>
                <w:lang w:eastAsia="en-AU"/>
              </w:rPr>
            </w:pPr>
            <w:r>
              <w:rPr>
                <w:sz w:val="20"/>
                <w:szCs w:val="20"/>
                <w:lang w:eastAsia="en-AU"/>
              </w:rPr>
              <w:t>14</w:t>
            </w:r>
          </w:p>
        </w:tc>
        <w:tc>
          <w:tcPr>
            <w:tcW w:w="684" w:type="dxa"/>
          </w:tcPr>
          <w:p w14:paraId="3F617F09" w14:textId="77777777" w:rsidR="00EB2B81" w:rsidRPr="005A618B" w:rsidRDefault="00EB2B81" w:rsidP="00EB2B81">
            <w:pPr>
              <w:rPr>
                <w:sz w:val="20"/>
                <w:szCs w:val="20"/>
                <w:lang w:eastAsia="en-AU"/>
              </w:rPr>
            </w:pPr>
            <w:r>
              <w:rPr>
                <w:sz w:val="20"/>
                <w:szCs w:val="20"/>
                <w:lang w:eastAsia="en-AU"/>
              </w:rPr>
              <w:t>15</w:t>
            </w:r>
          </w:p>
        </w:tc>
        <w:tc>
          <w:tcPr>
            <w:tcW w:w="684" w:type="dxa"/>
          </w:tcPr>
          <w:p w14:paraId="1A534D4F" w14:textId="77777777" w:rsidR="00EB2B81" w:rsidRPr="005A618B" w:rsidRDefault="00EB2B81" w:rsidP="00EB2B81">
            <w:pPr>
              <w:rPr>
                <w:sz w:val="20"/>
                <w:szCs w:val="20"/>
                <w:lang w:eastAsia="en-AU"/>
              </w:rPr>
            </w:pPr>
            <w:r>
              <w:rPr>
                <w:sz w:val="20"/>
                <w:szCs w:val="20"/>
                <w:lang w:eastAsia="en-AU"/>
              </w:rPr>
              <w:t>16</w:t>
            </w:r>
          </w:p>
        </w:tc>
        <w:tc>
          <w:tcPr>
            <w:tcW w:w="684" w:type="dxa"/>
          </w:tcPr>
          <w:p w14:paraId="08C98101" w14:textId="77777777" w:rsidR="00EB2B81" w:rsidRPr="005A618B" w:rsidRDefault="00EB2B81" w:rsidP="00EB2B81">
            <w:pPr>
              <w:rPr>
                <w:sz w:val="20"/>
                <w:szCs w:val="20"/>
                <w:lang w:eastAsia="en-AU"/>
              </w:rPr>
            </w:pPr>
            <w:r>
              <w:rPr>
                <w:sz w:val="20"/>
                <w:szCs w:val="20"/>
                <w:lang w:eastAsia="en-AU"/>
              </w:rPr>
              <w:t>15</w:t>
            </w:r>
          </w:p>
        </w:tc>
        <w:tc>
          <w:tcPr>
            <w:tcW w:w="684" w:type="dxa"/>
          </w:tcPr>
          <w:p w14:paraId="3566CAC5" w14:textId="77777777" w:rsidR="00EB2B81" w:rsidRPr="005A618B" w:rsidRDefault="00EB2B81" w:rsidP="00EB2B81">
            <w:pPr>
              <w:rPr>
                <w:sz w:val="20"/>
                <w:szCs w:val="20"/>
                <w:lang w:eastAsia="en-AU"/>
              </w:rPr>
            </w:pPr>
            <w:r>
              <w:rPr>
                <w:sz w:val="20"/>
                <w:szCs w:val="20"/>
                <w:lang w:eastAsia="en-AU"/>
              </w:rPr>
              <w:t>15</w:t>
            </w:r>
          </w:p>
        </w:tc>
        <w:tc>
          <w:tcPr>
            <w:tcW w:w="684" w:type="dxa"/>
          </w:tcPr>
          <w:p w14:paraId="437DC560" w14:textId="77777777" w:rsidR="00EB2B81" w:rsidRPr="005A618B" w:rsidRDefault="00EB2B81" w:rsidP="00EB2B81">
            <w:pPr>
              <w:rPr>
                <w:sz w:val="20"/>
                <w:szCs w:val="20"/>
                <w:lang w:eastAsia="en-AU"/>
              </w:rPr>
            </w:pPr>
            <w:r>
              <w:rPr>
                <w:sz w:val="20"/>
                <w:szCs w:val="20"/>
                <w:lang w:eastAsia="en-AU"/>
              </w:rPr>
              <w:t>14</w:t>
            </w:r>
          </w:p>
        </w:tc>
        <w:tc>
          <w:tcPr>
            <w:tcW w:w="684" w:type="dxa"/>
          </w:tcPr>
          <w:p w14:paraId="4B09DD99" w14:textId="77777777" w:rsidR="00EB2B81" w:rsidRPr="005A618B" w:rsidRDefault="00EB2B81" w:rsidP="00EB2B81">
            <w:pPr>
              <w:rPr>
                <w:sz w:val="20"/>
                <w:szCs w:val="20"/>
                <w:lang w:eastAsia="en-AU"/>
              </w:rPr>
            </w:pPr>
            <w:r>
              <w:rPr>
                <w:sz w:val="20"/>
                <w:szCs w:val="20"/>
                <w:lang w:eastAsia="en-AU"/>
              </w:rPr>
              <w:t>10</w:t>
            </w:r>
          </w:p>
        </w:tc>
        <w:tc>
          <w:tcPr>
            <w:tcW w:w="684" w:type="dxa"/>
          </w:tcPr>
          <w:p w14:paraId="54871BBC" w14:textId="77777777" w:rsidR="00EB2B81" w:rsidRPr="005A618B" w:rsidRDefault="00EB2B81" w:rsidP="00EB2B81">
            <w:pPr>
              <w:rPr>
                <w:sz w:val="20"/>
                <w:szCs w:val="20"/>
                <w:lang w:eastAsia="en-AU"/>
              </w:rPr>
            </w:pPr>
            <w:r>
              <w:rPr>
                <w:sz w:val="20"/>
                <w:szCs w:val="20"/>
                <w:lang w:eastAsia="en-AU"/>
              </w:rPr>
              <w:t>10</w:t>
            </w:r>
          </w:p>
        </w:tc>
      </w:tr>
      <w:tr w:rsidR="00EB2B81" w:rsidRPr="005A618B" w14:paraId="09E1BF72" w14:textId="77777777" w:rsidTr="00EB2B81">
        <w:trPr>
          <w:trHeight w:val="204"/>
        </w:trPr>
        <w:tc>
          <w:tcPr>
            <w:tcW w:w="1331" w:type="dxa"/>
          </w:tcPr>
          <w:p w14:paraId="531CA329" w14:textId="77777777" w:rsidR="00EB2B81" w:rsidRPr="005A618B" w:rsidRDefault="00EB2B81" w:rsidP="00EB2B81">
            <w:pPr>
              <w:rPr>
                <w:sz w:val="20"/>
                <w:szCs w:val="20"/>
                <w:lang w:eastAsia="en-AU"/>
              </w:rPr>
            </w:pPr>
            <w:r w:rsidRPr="005A618B">
              <w:rPr>
                <w:sz w:val="20"/>
                <w:szCs w:val="20"/>
                <w:lang w:eastAsia="en-AU"/>
              </w:rPr>
              <w:t>Sections</w:t>
            </w:r>
          </w:p>
        </w:tc>
        <w:tc>
          <w:tcPr>
            <w:tcW w:w="681" w:type="dxa"/>
          </w:tcPr>
          <w:p w14:paraId="0CAC3C55" w14:textId="77777777" w:rsidR="00EB2B81" w:rsidRPr="005A618B" w:rsidRDefault="00EB2B81" w:rsidP="00EB2B81">
            <w:pPr>
              <w:rPr>
                <w:sz w:val="20"/>
                <w:szCs w:val="20"/>
                <w:lang w:eastAsia="en-AU"/>
              </w:rPr>
            </w:pPr>
            <w:r>
              <w:rPr>
                <w:sz w:val="20"/>
                <w:szCs w:val="20"/>
                <w:lang w:eastAsia="en-AU"/>
              </w:rPr>
              <w:t>83</w:t>
            </w:r>
          </w:p>
        </w:tc>
        <w:tc>
          <w:tcPr>
            <w:tcW w:w="681" w:type="dxa"/>
          </w:tcPr>
          <w:p w14:paraId="46933397" w14:textId="77777777" w:rsidR="00EB2B81" w:rsidRPr="005A618B" w:rsidRDefault="00EB2B81" w:rsidP="00EB2B81">
            <w:pPr>
              <w:rPr>
                <w:sz w:val="20"/>
                <w:szCs w:val="20"/>
                <w:lang w:eastAsia="en-AU"/>
              </w:rPr>
            </w:pPr>
            <w:r>
              <w:rPr>
                <w:sz w:val="20"/>
                <w:szCs w:val="20"/>
                <w:lang w:eastAsia="en-AU"/>
              </w:rPr>
              <w:t>84</w:t>
            </w:r>
          </w:p>
        </w:tc>
        <w:tc>
          <w:tcPr>
            <w:tcW w:w="682" w:type="dxa"/>
          </w:tcPr>
          <w:p w14:paraId="182EEFDD" w14:textId="77777777" w:rsidR="00EB2B81" w:rsidRPr="005A618B" w:rsidRDefault="00EB2B81" w:rsidP="00EB2B81">
            <w:pPr>
              <w:rPr>
                <w:sz w:val="20"/>
                <w:szCs w:val="20"/>
                <w:lang w:eastAsia="en-AU"/>
              </w:rPr>
            </w:pPr>
            <w:r>
              <w:rPr>
                <w:sz w:val="20"/>
                <w:szCs w:val="20"/>
                <w:lang w:eastAsia="en-AU"/>
              </w:rPr>
              <w:t>95</w:t>
            </w:r>
          </w:p>
        </w:tc>
        <w:tc>
          <w:tcPr>
            <w:tcW w:w="684" w:type="dxa"/>
          </w:tcPr>
          <w:p w14:paraId="5BB4BA1D" w14:textId="77777777" w:rsidR="00EB2B81" w:rsidRPr="005A618B" w:rsidRDefault="00EB2B81" w:rsidP="00EB2B81">
            <w:pPr>
              <w:rPr>
                <w:sz w:val="20"/>
                <w:szCs w:val="20"/>
                <w:lang w:eastAsia="en-AU"/>
              </w:rPr>
            </w:pPr>
            <w:r>
              <w:rPr>
                <w:sz w:val="20"/>
                <w:szCs w:val="20"/>
                <w:lang w:eastAsia="en-AU"/>
              </w:rPr>
              <w:t>95</w:t>
            </w:r>
          </w:p>
        </w:tc>
        <w:tc>
          <w:tcPr>
            <w:tcW w:w="684" w:type="dxa"/>
          </w:tcPr>
          <w:p w14:paraId="3F54D9A7" w14:textId="77777777" w:rsidR="00EB2B81" w:rsidRPr="005A618B" w:rsidRDefault="00EB2B81" w:rsidP="00EB2B81">
            <w:pPr>
              <w:rPr>
                <w:sz w:val="20"/>
                <w:szCs w:val="20"/>
                <w:lang w:eastAsia="en-AU"/>
              </w:rPr>
            </w:pPr>
            <w:r>
              <w:rPr>
                <w:sz w:val="20"/>
                <w:szCs w:val="20"/>
                <w:lang w:eastAsia="en-AU"/>
              </w:rPr>
              <w:t>96</w:t>
            </w:r>
          </w:p>
        </w:tc>
        <w:tc>
          <w:tcPr>
            <w:tcW w:w="684" w:type="dxa"/>
          </w:tcPr>
          <w:p w14:paraId="352EC3D2" w14:textId="77777777" w:rsidR="00EB2B81" w:rsidRPr="005A618B" w:rsidRDefault="00EB2B81" w:rsidP="00EB2B81">
            <w:pPr>
              <w:rPr>
                <w:sz w:val="20"/>
                <w:szCs w:val="20"/>
                <w:lang w:eastAsia="en-AU"/>
              </w:rPr>
            </w:pPr>
            <w:r>
              <w:rPr>
                <w:sz w:val="20"/>
                <w:szCs w:val="20"/>
                <w:lang w:eastAsia="en-AU"/>
              </w:rPr>
              <w:t>92</w:t>
            </w:r>
          </w:p>
        </w:tc>
        <w:tc>
          <w:tcPr>
            <w:tcW w:w="684" w:type="dxa"/>
          </w:tcPr>
          <w:p w14:paraId="5E1B1532" w14:textId="77777777" w:rsidR="00EB2B81" w:rsidRPr="005A618B" w:rsidRDefault="00EB2B81" w:rsidP="00EB2B81">
            <w:pPr>
              <w:rPr>
                <w:sz w:val="20"/>
                <w:szCs w:val="20"/>
                <w:lang w:eastAsia="en-AU"/>
              </w:rPr>
            </w:pPr>
            <w:r>
              <w:rPr>
                <w:sz w:val="20"/>
                <w:szCs w:val="20"/>
                <w:lang w:eastAsia="en-AU"/>
              </w:rPr>
              <w:t>86</w:t>
            </w:r>
          </w:p>
        </w:tc>
        <w:tc>
          <w:tcPr>
            <w:tcW w:w="684" w:type="dxa"/>
          </w:tcPr>
          <w:p w14:paraId="50090B0F" w14:textId="77777777" w:rsidR="00EB2B81" w:rsidRPr="005A618B" w:rsidRDefault="00EB2B81" w:rsidP="00EB2B81">
            <w:pPr>
              <w:rPr>
                <w:sz w:val="20"/>
                <w:szCs w:val="20"/>
                <w:lang w:eastAsia="en-AU"/>
              </w:rPr>
            </w:pPr>
            <w:r>
              <w:rPr>
                <w:sz w:val="20"/>
                <w:szCs w:val="20"/>
                <w:lang w:eastAsia="en-AU"/>
              </w:rPr>
              <w:t>84</w:t>
            </w:r>
          </w:p>
        </w:tc>
        <w:tc>
          <w:tcPr>
            <w:tcW w:w="684" w:type="dxa"/>
          </w:tcPr>
          <w:p w14:paraId="05FA2DDF" w14:textId="77777777" w:rsidR="00EB2B81" w:rsidRPr="005A618B" w:rsidRDefault="00EB2B81" w:rsidP="00EB2B81">
            <w:pPr>
              <w:rPr>
                <w:sz w:val="20"/>
                <w:szCs w:val="20"/>
                <w:lang w:eastAsia="en-AU"/>
              </w:rPr>
            </w:pPr>
            <w:r>
              <w:rPr>
                <w:sz w:val="20"/>
                <w:szCs w:val="20"/>
                <w:lang w:eastAsia="en-AU"/>
              </w:rPr>
              <w:t>76</w:t>
            </w:r>
          </w:p>
        </w:tc>
        <w:tc>
          <w:tcPr>
            <w:tcW w:w="684" w:type="dxa"/>
          </w:tcPr>
          <w:p w14:paraId="69BE7B4E" w14:textId="77777777" w:rsidR="00EB2B81" w:rsidRPr="005A618B" w:rsidRDefault="00EB2B81" w:rsidP="00EB2B81">
            <w:pPr>
              <w:rPr>
                <w:sz w:val="20"/>
                <w:szCs w:val="20"/>
                <w:lang w:eastAsia="en-AU"/>
              </w:rPr>
            </w:pPr>
            <w:r>
              <w:rPr>
                <w:sz w:val="20"/>
                <w:szCs w:val="20"/>
                <w:lang w:eastAsia="en-AU"/>
              </w:rPr>
              <w:t>64</w:t>
            </w:r>
          </w:p>
        </w:tc>
        <w:tc>
          <w:tcPr>
            <w:tcW w:w="684" w:type="dxa"/>
          </w:tcPr>
          <w:p w14:paraId="4B8D617C" w14:textId="77777777" w:rsidR="00EB2B81" w:rsidRPr="005A618B" w:rsidRDefault="00EB2B81" w:rsidP="00EB2B81">
            <w:pPr>
              <w:rPr>
                <w:sz w:val="20"/>
                <w:szCs w:val="20"/>
                <w:lang w:eastAsia="en-AU"/>
              </w:rPr>
            </w:pPr>
            <w:r>
              <w:rPr>
                <w:sz w:val="20"/>
                <w:szCs w:val="20"/>
                <w:lang w:eastAsia="en-AU"/>
              </w:rPr>
              <w:t>64</w:t>
            </w:r>
          </w:p>
        </w:tc>
      </w:tr>
      <w:tr w:rsidR="00EB2B81" w:rsidRPr="005A618B" w14:paraId="0A03B526" w14:textId="77777777" w:rsidTr="00EB2B81">
        <w:trPr>
          <w:trHeight w:val="444"/>
        </w:trPr>
        <w:tc>
          <w:tcPr>
            <w:tcW w:w="1331" w:type="dxa"/>
          </w:tcPr>
          <w:p w14:paraId="347A3362" w14:textId="77777777" w:rsidR="00EB2B81" w:rsidRPr="005A618B" w:rsidRDefault="00EB2B81" w:rsidP="00EB2B81">
            <w:pPr>
              <w:rPr>
                <w:sz w:val="20"/>
                <w:szCs w:val="20"/>
                <w:lang w:eastAsia="en-AU"/>
              </w:rPr>
            </w:pPr>
            <w:r w:rsidRPr="005A618B">
              <w:rPr>
                <w:sz w:val="20"/>
                <w:szCs w:val="20"/>
                <w:lang w:eastAsia="en-AU"/>
              </w:rPr>
              <w:t>Average staffing levels</w:t>
            </w:r>
          </w:p>
        </w:tc>
        <w:tc>
          <w:tcPr>
            <w:tcW w:w="681" w:type="dxa"/>
          </w:tcPr>
          <w:p w14:paraId="4F120E91" w14:textId="77777777" w:rsidR="00EB2B81" w:rsidRPr="005A618B" w:rsidRDefault="00EB2B81" w:rsidP="00EB2B81">
            <w:pPr>
              <w:rPr>
                <w:sz w:val="20"/>
                <w:szCs w:val="20"/>
                <w:lang w:eastAsia="en-AU"/>
              </w:rPr>
            </w:pPr>
            <w:r>
              <w:rPr>
                <w:sz w:val="20"/>
                <w:szCs w:val="20"/>
                <w:lang w:eastAsia="en-AU"/>
              </w:rPr>
              <w:t>477</w:t>
            </w:r>
          </w:p>
        </w:tc>
        <w:tc>
          <w:tcPr>
            <w:tcW w:w="681" w:type="dxa"/>
          </w:tcPr>
          <w:p w14:paraId="02C5B3F6" w14:textId="77777777" w:rsidR="00EB2B81" w:rsidRPr="005A618B" w:rsidRDefault="00EB2B81" w:rsidP="00EB2B81">
            <w:pPr>
              <w:rPr>
                <w:sz w:val="20"/>
                <w:szCs w:val="20"/>
                <w:lang w:eastAsia="en-AU"/>
              </w:rPr>
            </w:pPr>
            <w:r>
              <w:rPr>
                <w:sz w:val="20"/>
                <w:szCs w:val="20"/>
                <w:lang w:eastAsia="en-AU"/>
              </w:rPr>
              <w:t>501</w:t>
            </w:r>
          </w:p>
        </w:tc>
        <w:tc>
          <w:tcPr>
            <w:tcW w:w="682" w:type="dxa"/>
          </w:tcPr>
          <w:p w14:paraId="75958B54" w14:textId="77777777" w:rsidR="00EB2B81" w:rsidRPr="005A618B" w:rsidRDefault="00EB2B81" w:rsidP="00EB2B81">
            <w:pPr>
              <w:rPr>
                <w:sz w:val="20"/>
                <w:szCs w:val="20"/>
                <w:lang w:eastAsia="en-AU"/>
              </w:rPr>
            </w:pPr>
            <w:r>
              <w:rPr>
                <w:sz w:val="20"/>
                <w:szCs w:val="20"/>
                <w:lang w:eastAsia="en-AU"/>
              </w:rPr>
              <w:t>554</w:t>
            </w:r>
          </w:p>
        </w:tc>
        <w:tc>
          <w:tcPr>
            <w:tcW w:w="684" w:type="dxa"/>
          </w:tcPr>
          <w:p w14:paraId="050F00BF" w14:textId="77777777" w:rsidR="00EB2B81" w:rsidRPr="005A618B" w:rsidRDefault="00EB2B81" w:rsidP="00EB2B81">
            <w:pPr>
              <w:rPr>
                <w:sz w:val="20"/>
                <w:szCs w:val="20"/>
                <w:lang w:eastAsia="en-AU"/>
              </w:rPr>
            </w:pPr>
            <w:r>
              <w:rPr>
                <w:sz w:val="20"/>
                <w:szCs w:val="20"/>
                <w:lang w:eastAsia="en-AU"/>
              </w:rPr>
              <w:t>554</w:t>
            </w:r>
          </w:p>
        </w:tc>
        <w:tc>
          <w:tcPr>
            <w:tcW w:w="684" w:type="dxa"/>
          </w:tcPr>
          <w:p w14:paraId="2B9C40BB" w14:textId="77777777" w:rsidR="00EB2B81" w:rsidRPr="005A618B" w:rsidRDefault="00EB2B81" w:rsidP="00EB2B81">
            <w:pPr>
              <w:rPr>
                <w:sz w:val="20"/>
                <w:szCs w:val="20"/>
                <w:lang w:eastAsia="en-AU"/>
              </w:rPr>
            </w:pPr>
            <w:r>
              <w:rPr>
                <w:sz w:val="20"/>
                <w:szCs w:val="20"/>
                <w:lang w:eastAsia="en-AU"/>
              </w:rPr>
              <w:t>591</w:t>
            </w:r>
          </w:p>
        </w:tc>
        <w:tc>
          <w:tcPr>
            <w:tcW w:w="684" w:type="dxa"/>
          </w:tcPr>
          <w:p w14:paraId="246C1942" w14:textId="77777777" w:rsidR="00EB2B81" w:rsidRPr="005A618B" w:rsidRDefault="00EB2B81" w:rsidP="00EB2B81">
            <w:pPr>
              <w:rPr>
                <w:sz w:val="20"/>
                <w:szCs w:val="20"/>
                <w:lang w:eastAsia="en-AU"/>
              </w:rPr>
            </w:pPr>
            <w:r>
              <w:rPr>
                <w:sz w:val="20"/>
                <w:szCs w:val="20"/>
                <w:lang w:eastAsia="en-AU"/>
              </w:rPr>
              <w:t>591</w:t>
            </w:r>
          </w:p>
        </w:tc>
        <w:tc>
          <w:tcPr>
            <w:tcW w:w="684" w:type="dxa"/>
          </w:tcPr>
          <w:p w14:paraId="6211ABDA" w14:textId="77777777" w:rsidR="00EB2B81" w:rsidRPr="005A618B" w:rsidRDefault="00EB2B81" w:rsidP="00EB2B81">
            <w:pPr>
              <w:rPr>
                <w:sz w:val="20"/>
                <w:szCs w:val="20"/>
                <w:lang w:eastAsia="en-AU"/>
              </w:rPr>
            </w:pPr>
            <w:r>
              <w:rPr>
                <w:sz w:val="20"/>
                <w:szCs w:val="20"/>
                <w:lang w:eastAsia="en-AU"/>
              </w:rPr>
              <w:t>575</w:t>
            </w:r>
          </w:p>
        </w:tc>
        <w:tc>
          <w:tcPr>
            <w:tcW w:w="684" w:type="dxa"/>
          </w:tcPr>
          <w:p w14:paraId="5AFAB0D9" w14:textId="77777777" w:rsidR="00EB2B81" w:rsidRPr="005A618B" w:rsidRDefault="00EB2B81" w:rsidP="00EB2B81">
            <w:pPr>
              <w:rPr>
                <w:sz w:val="20"/>
                <w:szCs w:val="20"/>
                <w:lang w:eastAsia="en-AU"/>
              </w:rPr>
            </w:pPr>
            <w:r>
              <w:rPr>
                <w:sz w:val="20"/>
                <w:szCs w:val="20"/>
                <w:lang w:eastAsia="en-AU"/>
              </w:rPr>
              <w:t>559</w:t>
            </w:r>
          </w:p>
        </w:tc>
        <w:tc>
          <w:tcPr>
            <w:tcW w:w="684" w:type="dxa"/>
          </w:tcPr>
          <w:p w14:paraId="5E5F48D3" w14:textId="77777777" w:rsidR="00EB2B81" w:rsidRPr="005A618B" w:rsidRDefault="00EB2B81" w:rsidP="00EB2B81">
            <w:pPr>
              <w:rPr>
                <w:sz w:val="20"/>
                <w:szCs w:val="20"/>
                <w:lang w:eastAsia="en-AU"/>
              </w:rPr>
            </w:pPr>
            <w:r>
              <w:rPr>
                <w:sz w:val="20"/>
                <w:szCs w:val="20"/>
                <w:lang w:eastAsia="en-AU"/>
              </w:rPr>
              <w:t>488</w:t>
            </w:r>
          </w:p>
        </w:tc>
        <w:tc>
          <w:tcPr>
            <w:tcW w:w="684" w:type="dxa"/>
          </w:tcPr>
          <w:p w14:paraId="0879B83F" w14:textId="77777777" w:rsidR="00EB2B81" w:rsidRPr="005A618B" w:rsidRDefault="00EB2B81" w:rsidP="00EB2B81">
            <w:pPr>
              <w:rPr>
                <w:sz w:val="20"/>
                <w:szCs w:val="20"/>
                <w:lang w:eastAsia="en-AU"/>
              </w:rPr>
            </w:pPr>
            <w:r>
              <w:rPr>
                <w:sz w:val="20"/>
                <w:szCs w:val="20"/>
                <w:lang w:eastAsia="en-AU"/>
              </w:rPr>
              <w:t>450</w:t>
            </w:r>
          </w:p>
        </w:tc>
        <w:tc>
          <w:tcPr>
            <w:tcW w:w="684" w:type="dxa"/>
          </w:tcPr>
          <w:p w14:paraId="409E0A73" w14:textId="77777777" w:rsidR="00EB2B81" w:rsidRPr="005A618B" w:rsidRDefault="00EB2B81" w:rsidP="00EB2B81">
            <w:pPr>
              <w:rPr>
                <w:sz w:val="20"/>
                <w:szCs w:val="20"/>
                <w:lang w:eastAsia="en-AU"/>
              </w:rPr>
            </w:pPr>
            <w:r>
              <w:rPr>
                <w:sz w:val="20"/>
                <w:szCs w:val="20"/>
                <w:lang w:eastAsia="en-AU"/>
              </w:rPr>
              <w:t>409</w:t>
            </w:r>
          </w:p>
        </w:tc>
      </w:tr>
    </w:tbl>
    <w:p w14:paraId="4B491E56" w14:textId="77777777" w:rsidR="00EB2B81" w:rsidRDefault="00EB2B81" w:rsidP="00BF7B18">
      <w:pPr>
        <w:pStyle w:val="Heading4"/>
      </w:pPr>
      <w:bookmarkStart w:id="777" w:name="_Toc442107132"/>
      <w:bookmarkStart w:id="778" w:name="_Toc442108784"/>
      <w:bookmarkStart w:id="779" w:name="_Toc443038182"/>
      <w:bookmarkStart w:id="780" w:name="_Toc443043900"/>
      <w:bookmarkStart w:id="781" w:name="_Toc443052590"/>
      <w:bookmarkStart w:id="782" w:name="_Toc443054879"/>
      <w:bookmarkStart w:id="783" w:name="_Toc443307385"/>
      <w:bookmarkStart w:id="784" w:name="_Toc445810601"/>
      <w:bookmarkStart w:id="785" w:name="_Toc449108112"/>
      <w:bookmarkStart w:id="786" w:name="_Toc449432129"/>
      <w:bookmarkStart w:id="787" w:name="_Toc449438596"/>
      <w:bookmarkStart w:id="788" w:name="_Toc449620047"/>
      <w:bookmarkStart w:id="789" w:name="_Toc450310198"/>
      <w:r w:rsidRPr="002B56B8">
        <w:t>Corporate services</w:t>
      </w:r>
      <w:bookmarkEnd w:id="777"/>
      <w:bookmarkEnd w:id="778"/>
      <w:bookmarkEnd w:id="779"/>
      <w:bookmarkEnd w:id="780"/>
      <w:bookmarkEnd w:id="781"/>
      <w:bookmarkEnd w:id="782"/>
      <w:bookmarkEnd w:id="783"/>
      <w:bookmarkEnd w:id="784"/>
      <w:bookmarkEnd w:id="785"/>
      <w:bookmarkEnd w:id="786"/>
      <w:bookmarkEnd w:id="787"/>
      <w:bookmarkEnd w:id="788"/>
      <w:bookmarkEnd w:id="789"/>
    </w:p>
    <w:p w14:paraId="4F1DB789" w14:textId="77777777" w:rsidR="00EB2B81" w:rsidRDefault="00EB2B81" w:rsidP="00EB2B81">
      <w:pPr>
        <w:rPr>
          <w:lang w:val="en-US"/>
        </w:rPr>
      </w:pPr>
      <w:r w:rsidRPr="00C83C2C">
        <w:rPr>
          <w:lang w:val="en-US"/>
        </w:rPr>
        <w:t xml:space="preserve">The </w:t>
      </w:r>
      <w:r>
        <w:rPr>
          <w:lang w:val="en-US"/>
        </w:rPr>
        <w:t>G</w:t>
      </w:r>
      <w:r w:rsidRPr="00C83C2C" w:rsidDel="008E001F">
        <w:rPr>
          <w:lang w:val="en-US"/>
        </w:rPr>
        <w:t>o</w:t>
      </w:r>
      <w:r w:rsidRPr="00C83C2C">
        <w:rPr>
          <w:lang w:val="en-US"/>
        </w:rPr>
        <w:t xml:space="preserve">vernment is currently </w:t>
      </w:r>
      <w:r>
        <w:rPr>
          <w:lang w:val="en-US"/>
        </w:rPr>
        <w:t>carrying out</w:t>
      </w:r>
      <w:r w:rsidRPr="00C83C2C">
        <w:rPr>
          <w:lang w:val="en-US"/>
        </w:rPr>
        <w:t xml:space="preserve"> a broad review into shared and common services across all non-corporate Commonwealth entities under the Shared and Common Services Program</w:t>
      </w:r>
      <w:r>
        <w:rPr>
          <w:lang w:val="en-US"/>
        </w:rPr>
        <w:t>me</w:t>
      </w:r>
      <w:r w:rsidRPr="00C83C2C">
        <w:rPr>
          <w:lang w:val="en-US"/>
        </w:rPr>
        <w:t xml:space="preserve">. </w:t>
      </w:r>
      <w:r w:rsidRPr="00C83C2C" w:rsidDel="008E001F">
        <w:rPr>
          <w:lang w:val="en-US"/>
        </w:rPr>
        <w:t xml:space="preserve">The </w:t>
      </w:r>
      <w:r>
        <w:rPr>
          <w:lang w:val="en-US"/>
        </w:rPr>
        <w:t>Programme aims to</w:t>
      </w:r>
      <w:r w:rsidRPr="00C83C2C">
        <w:rPr>
          <w:lang w:val="en-US"/>
        </w:rPr>
        <w:t xml:space="preserve"> drive efficiencies through a focused and planned consolidation of transactional and other common, non-core activities.</w:t>
      </w:r>
    </w:p>
    <w:p w14:paraId="4216EAFF" w14:textId="26D2FA39" w:rsidR="00EB2B81" w:rsidRDefault="00EB2B81" w:rsidP="00EB2B81">
      <w:pPr>
        <w:rPr>
          <w:lang w:eastAsia="en-AU"/>
        </w:rPr>
      </w:pPr>
      <w:r w:rsidRPr="00C83C2C">
        <w:rPr>
          <w:lang w:val="en-US"/>
        </w:rPr>
        <w:t>The Program</w:t>
      </w:r>
      <w:r>
        <w:rPr>
          <w:lang w:val="en-US"/>
        </w:rPr>
        <w:t>me</w:t>
      </w:r>
      <w:r w:rsidRPr="00C83C2C">
        <w:rPr>
          <w:lang w:val="en-US"/>
        </w:rPr>
        <w:t xml:space="preserve"> is guided by the findings of the National Commission of Audit and the </w:t>
      </w:r>
      <w:r w:rsidR="00822BD7">
        <w:rPr>
          <w:lang w:val="en-US"/>
        </w:rPr>
        <w:t>‘</w:t>
      </w:r>
      <w:r w:rsidRPr="00C83C2C">
        <w:rPr>
          <w:lang w:val="en-US"/>
        </w:rPr>
        <w:t>Investigation into</w:t>
      </w:r>
      <w:r w:rsidRPr="00706D59">
        <w:t xml:space="preserve"> Optimising</w:t>
      </w:r>
      <w:r w:rsidRPr="00C83C2C">
        <w:rPr>
          <w:lang w:val="en-US"/>
        </w:rPr>
        <w:t xml:space="preserve"> Enterprise Resource Planning </w:t>
      </w:r>
      <w:r>
        <w:rPr>
          <w:lang w:val="en-US"/>
        </w:rPr>
        <w:t>S</w:t>
      </w:r>
      <w:r w:rsidRPr="00C83C2C">
        <w:rPr>
          <w:lang w:val="en-US"/>
        </w:rPr>
        <w:t>ystems across the Public Sector</w:t>
      </w:r>
      <w:r w:rsidR="00822BD7">
        <w:rPr>
          <w:lang w:val="en-US"/>
        </w:rPr>
        <w:t>’</w:t>
      </w:r>
      <w:r w:rsidRPr="00C83C2C">
        <w:rPr>
          <w:lang w:val="en-US"/>
        </w:rPr>
        <w:t xml:space="preserve">. The areas included are Human Resources, Finance and any other </w:t>
      </w:r>
      <w:r>
        <w:rPr>
          <w:lang w:val="en-US"/>
        </w:rPr>
        <w:t>c</w:t>
      </w:r>
      <w:r w:rsidRPr="00C83C2C">
        <w:rPr>
          <w:lang w:val="en-US"/>
        </w:rPr>
        <w:t xml:space="preserve">orporate </w:t>
      </w:r>
      <w:r>
        <w:rPr>
          <w:lang w:val="en-US"/>
        </w:rPr>
        <w:t>s</w:t>
      </w:r>
      <w:r w:rsidRPr="00C83C2C">
        <w:rPr>
          <w:lang w:val="en-US"/>
        </w:rPr>
        <w:t>ervice</w:t>
      </w:r>
      <w:r>
        <w:rPr>
          <w:lang w:val="en-US"/>
        </w:rPr>
        <w:t>.</w:t>
      </w:r>
    </w:p>
    <w:p w14:paraId="04420584" w14:textId="77777777" w:rsidR="00EB2B81" w:rsidRDefault="00EB2B81" w:rsidP="00EB2B81">
      <w:pPr>
        <w:rPr>
          <w:lang w:val="en-US"/>
        </w:rPr>
      </w:pPr>
      <w:r w:rsidRPr="00246B06">
        <w:rPr>
          <w:lang w:val="en-US"/>
        </w:rPr>
        <w:t xml:space="preserve">In order to avoid duplication, </w:t>
      </w:r>
      <w:r>
        <w:rPr>
          <w:rFonts w:eastAsia="Times New Roman" w:cs="Arial"/>
          <w:color w:val="000000"/>
          <w:szCs w:val="24"/>
        </w:rPr>
        <w:t>the Review</w:t>
      </w:r>
      <w:r w:rsidDel="00742050">
        <w:rPr>
          <w:rFonts w:eastAsia="Times New Roman" w:cs="Arial"/>
          <w:color w:val="000000"/>
          <w:szCs w:val="24"/>
        </w:rPr>
        <w:t xml:space="preserve"> </w:t>
      </w:r>
      <w:r w:rsidRPr="00246B06">
        <w:rPr>
          <w:lang w:val="en-US"/>
        </w:rPr>
        <w:t>ha</w:t>
      </w:r>
      <w:r>
        <w:rPr>
          <w:lang w:val="en-US"/>
        </w:rPr>
        <w:t>s</w:t>
      </w:r>
      <w:r w:rsidRPr="00246B06">
        <w:rPr>
          <w:lang w:val="en-US"/>
        </w:rPr>
        <w:t xml:space="preserve"> not examined the range of matters within the scope of the Shared and Common Services Programme in this review of the ACMA, as they will be reported on separately under that process. However, </w:t>
      </w:r>
      <w:r>
        <w:rPr>
          <w:rFonts w:eastAsia="Times New Roman" w:cs="Arial"/>
          <w:color w:val="000000"/>
          <w:szCs w:val="24"/>
        </w:rPr>
        <w:t>the Review</w:t>
      </w:r>
      <w:r w:rsidDel="00742050">
        <w:rPr>
          <w:rFonts w:eastAsia="Times New Roman" w:cs="Arial"/>
          <w:color w:val="000000"/>
          <w:szCs w:val="24"/>
        </w:rPr>
        <w:t xml:space="preserve"> </w:t>
      </w:r>
      <w:r w:rsidRPr="00246B06">
        <w:rPr>
          <w:lang w:val="en-US"/>
        </w:rPr>
        <w:t>note</w:t>
      </w:r>
      <w:r>
        <w:rPr>
          <w:lang w:val="en-US"/>
        </w:rPr>
        <w:t>s</w:t>
      </w:r>
      <w:r w:rsidRPr="00246B06">
        <w:rPr>
          <w:lang w:val="en-US"/>
        </w:rPr>
        <w:t xml:space="preserve"> that the ACMA has been taking a strategic approach to considering these issues. The ACMA has been working closely with the Australian Financial Security Authority, Murray Darling Basin Authority, Clean Energy Regulator, Australian Competition &amp; Consumer Commission and Austrade to provide a business case for Medium Agency Corporate Shared Service (MACSS).</w:t>
      </w:r>
    </w:p>
    <w:p w14:paraId="73DA5A5D" w14:textId="33F30B10" w:rsidR="00EB2B81" w:rsidRDefault="00EB2B81" w:rsidP="00EB2B81">
      <w:pPr>
        <w:rPr>
          <w:lang w:val="en-US"/>
        </w:rPr>
      </w:pPr>
      <w:r>
        <w:rPr>
          <w:lang w:val="en-US"/>
        </w:rPr>
        <w:t>The ACMA has been working closely with the MACSS consortium to develop a shared services offering that is fit</w:t>
      </w:r>
      <w:r w:rsidR="00822BD7">
        <w:rPr>
          <w:lang w:val="en-US"/>
        </w:rPr>
        <w:t>-</w:t>
      </w:r>
      <w:r>
        <w:rPr>
          <w:lang w:val="en-US"/>
        </w:rPr>
        <w:t>for</w:t>
      </w:r>
      <w:r w:rsidR="00822BD7">
        <w:rPr>
          <w:lang w:val="en-US"/>
        </w:rPr>
        <w:t>-</w:t>
      </w:r>
      <w:r>
        <w:rPr>
          <w:lang w:val="en-US"/>
        </w:rPr>
        <w:t>purpose across the consortium agencies with a focus on being a provider for other medium sized agencies. The MACSS consortium has proposed a hybrid shared services model including internal Commonwealth resources and outsourced services where appropriate. The ACMA is liaising with the Department of Finance regarding the feasibility and potential implementation of these arrangements.</w:t>
      </w:r>
    </w:p>
    <w:p w14:paraId="1AC99195" w14:textId="77777777" w:rsidR="00EB2B81" w:rsidRDefault="00EB2B81" w:rsidP="00BF7B18">
      <w:pPr>
        <w:pStyle w:val="Heading4"/>
      </w:pPr>
      <w:bookmarkStart w:id="790" w:name="_Toc435112172"/>
      <w:bookmarkStart w:id="791" w:name="_Toc436923363"/>
      <w:bookmarkStart w:id="792" w:name="_Toc437440665"/>
      <w:bookmarkStart w:id="793" w:name="_Toc437528420"/>
      <w:bookmarkStart w:id="794" w:name="_Toc437594291"/>
      <w:bookmarkStart w:id="795" w:name="_Toc437598700"/>
      <w:bookmarkStart w:id="796" w:name="_Toc437599304"/>
      <w:bookmarkStart w:id="797" w:name="_Toc437600407"/>
      <w:bookmarkStart w:id="798" w:name="_Toc440536948"/>
      <w:bookmarkStart w:id="799" w:name="_Toc441743844"/>
      <w:bookmarkStart w:id="800" w:name="_Toc441744286"/>
      <w:bookmarkStart w:id="801" w:name="_Toc441845106"/>
      <w:bookmarkStart w:id="802" w:name="_Toc441847359"/>
      <w:bookmarkStart w:id="803" w:name="_Toc441848291"/>
      <w:bookmarkStart w:id="804" w:name="_Toc442107133"/>
      <w:bookmarkStart w:id="805" w:name="_Toc442108785"/>
      <w:bookmarkStart w:id="806" w:name="_Toc443038183"/>
      <w:bookmarkStart w:id="807" w:name="_Toc443043901"/>
      <w:bookmarkStart w:id="808" w:name="_Toc443052591"/>
      <w:bookmarkStart w:id="809" w:name="_Toc443054880"/>
      <w:bookmarkStart w:id="810" w:name="_Toc443307386"/>
      <w:bookmarkStart w:id="811" w:name="_Toc445810602"/>
      <w:bookmarkStart w:id="812" w:name="_Toc449108113"/>
      <w:bookmarkStart w:id="813" w:name="_Toc449432130"/>
      <w:bookmarkStart w:id="814" w:name="_Toc449438597"/>
      <w:bookmarkStart w:id="815" w:name="_Toc449620048"/>
      <w:bookmarkStart w:id="816" w:name="_Toc450310199"/>
      <w:r w:rsidRPr="002B56B8">
        <w:t>Information and communications technology</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14:paraId="41E2B4E8" w14:textId="77777777" w:rsidR="00EB2B81" w:rsidRDefault="00EB2B81" w:rsidP="00EB2B81">
      <w:pPr>
        <w:rPr>
          <w:lang w:val="en-US"/>
        </w:rPr>
      </w:pPr>
      <w:r>
        <w:rPr>
          <w:lang w:val="en-US"/>
        </w:rPr>
        <w:t>Australian</w:t>
      </w:r>
      <w:r w:rsidRPr="00C83C2C">
        <w:rPr>
          <w:lang w:val="en-US"/>
        </w:rPr>
        <w:t xml:space="preserve"> Government entities subject to the </w:t>
      </w:r>
      <w:r w:rsidRPr="00C83C2C">
        <w:rPr>
          <w:i/>
          <w:lang w:val="en-US"/>
        </w:rPr>
        <w:t>Public Governance, Performance and Accountability Act 2013</w:t>
      </w:r>
      <w:r w:rsidRPr="00C83C2C">
        <w:rPr>
          <w:lang w:val="en-US"/>
        </w:rPr>
        <w:t xml:space="preserve"> </w:t>
      </w:r>
      <w:r>
        <w:rPr>
          <w:lang w:val="en-US"/>
        </w:rPr>
        <w:t>take part</w:t>
      </w:r>
      <w:r w:rsidRPr="00C83C2C">
        <w:rPr>
          <w:lang w:val="en-US"/>
        </w:rPr>
        <w:t xml:space="preserve"> in annual benchmarking of their Information and Communications Technology (ICT) activities. </w:t>
      </w:r>
      <w:r>
        <w:rPr>
          <w:lang w:val="en-US"/>
        </w:rPr>
        <w:t>To</w:t>
      </w:r>
      <w:r w:rsidRPr="00C83C2C">
        <w:rPr>
          <w:lang w:val="en-US"/>
        </w:rPr>
        <w:t xml:space="preserve"> avoid duplication, the ACMA’s ICT activities were not examined as part of this </w:t>
      </w:r>
      <w:r>
        <w:rPr>
          <w:lang w:val="en-US"/>
        </w:rPr>
        <w:t>r</w:t>
      </w:r>
      <w:r w:rsidRPr="00C83C2C">
        <w:rPr>
          <w:lang w:val="en-US"/>
        </w:rPr>
        <w:t xml:space="preserve">eview. Further information about ICT benchmarking can be found on the </w:t>
      </w:r>
      <w:hyperlink r:id="rId33" w:history="1">
        <w:r w:rsidRPr="00F125D8">
          <w:rPr>
            <w:rStyle w:val="Hyperlink"/>
            <w:lang w:val="en-US"/>
          </w:rPr>
          <w:t>Department of Finance website</w:t>
        </w:r>
      </w:hyperlink>
      <w:r>
        <w:rPr>
          <w:lang w:val="en-US"/>
        </w:rPr>
        <w:t>.</w:t>
      </w:r>
    </w:p>
    <w:p w14:paraId="3142EF77" w14:textId="77777777" w:rsidR="00EB2B81" w:rsidRDefault="00EB2B81" w:rsidP="00BF7B18">
      <w:pPr>
        <w:pStyle w:val="Heading5"/>
      </w:pPr>
      <w:r w:rsidRPr="002B56B8">
        <w:t>International benchmarking</w:t>
      </w:r>
    </w:p>
    <w:p w14:paraId="6FE97122" w14:textId="3A48733E" w:rsidR="00EB2B81" w:rsidRDefault="00EB2B81" w:rsidP="00EB2B81">
      <w:r>
        <w:t xml:space="preserve">A broad comparison of the ACMA to </w:t>
      </w:r>
      <w:r w:rsidRPr="00C83C2C">
        <w:t xml:space="preserve">international </w:t>
      </w:r>
      <w:r>
        <w:t xml:space="preserve">communications </w:t>
      </w:r>
      <w:r w:rsidRPr="00C83C2C">
        <w:t>regulators</w:t>
      </w:r>
      <w:r>
        <w:t xml:space="preserve"> provides a high</w:t>
      </w:r>
      <w:r w:rsidR="003C6EEA">
        <w:t xml:space="preserve"> </w:t>
      </w:r>
      <w:r>
        <w:t>level snapshot of comparable operational costs. Recognising there is a wide variation in the remit of regulators, this broad comparison provides a perspective on the resource allocation and relative efficiency each jurisdiction achieves in the number of staff needed to fulfil regulatory functions</w:t>
      </w:r>
      <w:r w:rsidRPr="00C83C2C">
        <w:t>.</w:t>
      </w:r>
    </w:p>
    <w:p w14:paraId="69A61B70" w14:textId="0879F40F" w:rsidR="00EB2B81" w:rsidRDefault="00EB2B81" w:rsidP="00EB2B81">
      <w:r>
        <w:t>The graphs below provide some broad comparisons with the Federal Communications Commission (FCC) in the US, Ofcom in the UK, Canadian Radio-Television and Telecommunications Commission (CRTC) in Canada, B</w:t>
      </w:r>
      <w:r w:rsidRPr="00897671">
        <w:t>undesnetzagentur</w:t>
      </w:r>
      <w:r>
        <w:t xml:space="preserve"> (BNA) in Germany and the Commerce Commission in New Zealand (ComCom). T</w:t>
      </w:r>
      <w:r>
        <w:rPr>
          <w:rFonts w:eastAsia="Times New Roman" w:cs="Arial"/>
          <w:color w:val="000000"/>
          <w:szCs w:val="24"/>
        </w:rPr>
        <w:t>he Review</w:t>
      </w:r>
      <w:r w:rsidDel="00742050">
        <w:rPr>
          <w:rFonts w:eastAsia="Times New Roman" w:cs="Arial"/>
          <w:color w:val="000000"/>
          <w:szCs w:val="24"/>
        </w:rPr>
        <w:t xml:space="preserve"> </w:t>
      </w:r>
      <w:r>
        <w:t>acknowledges that there are similar functions carried out by these regulators, and that there are also numerous differences. The size of the industries regulated, overall population size and differences in government priorities and agency resourcing vary across each jurisdiction. However, as a general guide, the comparisons provide some insight into the overall balance of resources dedicated to agency deliverables compared to agency size, the complexity of issues dealt with, and potential consumer base (using population size as a proxy for the latter). It should be noted that Com</w:t>
      </w:r>
      <w:r w:rsidR="009E2A80">
        <w:t>c</w:t>
      </w:r>
      <w:r>
        <w:t>om is responsible for regulatory matters beyond just the communications sector in New Zealand. It is included below as a comparison due to the nature of its regulatory activities, rather than just as a communications specific comparison.</w:t>
      </w:r>
    </w:p>
    <w:p w14:paraId="24777BB8" w14:textId="77777777" w:rsidR="00EB2B81" w:rsidRDefault="00EB2B81" w:rsidP="00EB2B81">
      <w:r>
        <w:t>The figures below have been derived from data sourced from public information and financial statements and have been verified with individual agencies where possible. Across jurisdictions fiscal years begin and end at different times and have been aligned as closely as possible for the comparisons below, with the trends over several years being shown to provide context of likely variations. Agency costs have sought to include permanent and contract staff. Data was converted to Australian dollars for these comparisons using an annual average exchange rate for each financial year.</w:t>
      </w:r>
    </w:p>
    <w:p w14:paraId="16D20821" w14:textId="0DFC26D4" w:rsidR="00EB2B81" w:rsidRDefault="00EB2B81" w:rsidP="00EB2B81">
      <w:r>
        <w:t>As can be seen in F</w:t>
      </w:r>
      <w:r w:rsidRPr="003E7F94">
        <w:t xml:space="preserve">igure </w:t>
      </w:r>
      <w:r w:rsidR="00822BD7">
        <w:t>C</w:t>
      </w:r>
      <w:r>
        <w:t>4</w:t>
      </w:r>
      <w:r w:rsidRPr="003E7F94">
        <w:t xml:space="preserve"> below</w:t>
      </w:r>
      <w:r w:rsidRPr="00F651B3">
        <w:t xml:space="preserve">, the ACMA compares favourably in comparisons of total agency expenditure to total staffing. The graph indicates that </w:t>
      </w:r>
      <w:r>
        <w:t>t</w:t>
      </w:r>
      <w:r w:rsidRPr="00F651B3">
        <w:t>he ACMA is able to manage a much higher proportion of agency costs per staff member than other regulators, indicating possible greater efficiency in the utilisation of staff to manage and fulfil the range of agency functions.</w:t>
      </w:r>
    </w:p>
    <w:p w14:paraId="128E9C01" w14:textId="77777777" w:rsidR="00EB2B81" w:rsidRPr="00B74305" w:rsidRDefault="00EB2B81" w:rsidP="00EB2B81">
      <w:pPr>
        <w:pStyle w:val="Tablefigureheading"/>
      </w:pPr>
      <w:r w:rsidRPr="00B74305">
        <w:t xml:space="preserve">Figure </w:t>
      </w:r>
      <w:r>
        <w:t>C</w:t>
      </w:r>
      <w:r w:rsidRPr="00B74305">
        <w:t>4: Average operating expenses per staff member for international communications regulators (approximate conversions to AUD)</w:t>
      </w:r>
    </w:p>
    <w:p w14:paraId="040386D1" w14:textId="77777777" w:rsidR="00633D3B" w:rsidRDefault="00633D3B" w:rsidP="00633D3B">
      <w:r>
        <w:rPr>
          <w:noProof/>
          <w:lang w:eastAsia="en-AU"/>
        </w:rPr>
        <w:drawing>
          <wp:inline distT="0" distB="0" distL="0" distR="0" wp14:anchorId="55E2110A" wp14:editId="5CB49DD9">
            <wp:extent cx="5926455" cy="2914015"/>
            <wp:effectExtent l="0" t="0" r="0" b="635"/>
            <wp:docPr id="237" name="Picture 237" descr="All values are in Australian dollars&#10;ACMA&#10;2011-12: $199,000&#10;2012-13: $206,000&#10;2013-14: $202,000&#10;2014-15: $228,000&#10;&#10;ACCC&#10;2011-12: $215,000&#10;2012-13: $208,000&#10;2013-14: $234,000&#10;2014-15: $245,000&#10;&#10;Ofcom&#10;2011-12: $322,000&#10;2012-13: $300,000&#10;2013-14: $240,000&#10;2014-15: $269,000&#10;&#10;FCC&#10;2011-12: $238&#10;2012-13: $235&#10;2013-14: $261&#10;2014-15: $294&#10;&#10;CRTC&#10;2011-12: $142&#10;2012-13: $143&#10;2013-14: $141&#10;2014-15: $149&#10;&#10;Comcom&#10;2011-12: $161,000&#10;2012-13: $154,000&#10;2013-14: $154,000&#10;2014-15: N/A&#10;&#10;BNA:&#10;2011-12: $86,000&#10;2012-13: $ 81,000&#10;2013-14: $84,000&#10;2014-15: $92,000&#10;&#10;Calculated from agencies' annual expenses divided by staff numbers. All figures were converted to $AUD based on the average annual exchange rates." title="Average operating expenses per staff member for international communications regul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26455" cy="2914015"/>
                    </a:xfrm>
                    <a:prstGeom prst="rect">
                      <a:avLst/>
                    </a:prstGeom>
                  </pic:spPr>
                </pic:pic>
              </a:graphicData>
            </a:graphic>
          </wp:inline>
        </w:drawing>
      </w:r>
    </w:p>
    <w:p w14:paraId="1657B919" w14:textId="77777777" w:rsidR="00EB2B81" w:rsidRDefault="00EB2B81" w:rsidP="00EB2B81">
      <w:pPr>
        <w:pStyle w:val="Tablefigureheading"/>
      </w:pPr>
      <w:r w:rsidRPr="00B74305">
        <w:t xml:space="preserve">Figure </w:t>
      </w:r>
      <w:r>
        <w:t>C</w:t>
      </w:r>
      <w:r w:rsidRPr="00B74305">
        <w:t>5: Regulators’ expenditure (approximate conversions to AUD)</w:t>
      </w:r>
    </w:p>
    <w:p w14:paraId="3E64BE43" w14:textId="77777777" w:rsidR="00633D3B" w:rsidRDefault="00633D3B" w:rsidP="00633D3B">
      <w:r>
        <w:rPr>
          <w:noProof/>
          <w:lang w:eastAsia="en-AU"/>
        </w:rPr>
        <w:drawing>
          <wp:inline distT="0" distB="0" distL="0" distR="0" wp14:anchorId="18187948" wp14:editId="7DF184C3">
            <wp:extent cx="5926455" cy="2702560"/>
            <wp:effectExtent l="0" t="0" r="0" b="2540"/>
            <wp:docPr id="234" name="Picture 234" descr="ACMA&#10;2011-12: $4.96&#10;2012-13: $4.75&#10;2013-14: $4.47&#10;2014-15: $4.32&#10;&#10;Ofcom&#10;2011-12: $3.70&#10;2012-13: $3.66&#10;2013-14: $2.94&#10;2014-15: $3.31&#10;&#10;CRTC&#10;2011-12: $2.41&#10;2012-13: $2.22&#10;2013-14: $2.38&#10;2014-15: $2.72&#10;&#10;BNA&#10;2011-12: $2.70&#10;2012-13: $2.77&#10;2013-14: $3.00&#10;2014-15: $3.35&#10;&#10;FCC&#10;2011-12: $1.30&#10;2012-13: $1.28&#10;2013-14: 1.42&#10;2014-15: $1.56" title="Regulators' expenditure per countries' 1000 head of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26455" cy="2702560"/>
                    </a:xfrm>
                    <a:prstGeom prst="rect">
                      <a:avLst/>
                    </a:prstGeom>
                  </pic:spPr>
                </pic:pic>
              </a:graphicData>
            </a:graphic>
          </wp:inline>
        </w:drawing>
      </w:r>
    </w:p>
    <w:p w14:paraId="39E3E370" w14:textId="77777777" w:rsidR="00EB2B81" w:rsidRDefault="00EB2B81" w:rsidP="00EB2B81">
      <w:r w:rsidRPr="00B812E2">
        <w:t>In comparing regulator expenditure to total population size consideration must be given to potential economies of scale achieved for those regulators operating in larger economies and markets, and with a larger affected consumer base. This graph excludes Comcom, recognising that it regulates a broader range of issues beyond just communications, and therefore is a less useful comparison.</w:t>
      </w:r>
    </w:p>
    <w:p w14:paraId="76990405" w14:textId="11D63945" w:rsidR="00EB2B81" w:rsidRDefault="00350808" w:rsidP="00EB2B81">
      <w:r>
        <w:t>As illiustrated in Figure C5, d</w:t>
      </w:r>
      <w:r w:rsidR="00EB2B81" w:rsidRPr="00B812E2">
        <w:t>espite broad variations in population size, Ofcom, CRTC and the BNA show a similar level of expenditure per 1000 population. While this graph represents government commitments to resourcing of these regulators, and does not directly demonstrate operational efficiency, it shows that there may be scope for further examination and comparison with the ACMA to the broad range of functions carried out by overseas regulators. This would examine possible approaches to more effective delivery of similar functions within Australia without reducing the quality of services and functions provided.</w:t>
      </w:r>
    </w:p>
    <w:p w14:paraId="673C26D4" w14:textId="77777777" w:rsidR="00EB2B81" w:rsidRPr="002A44AA" w:rsidRDefault="00EB2B81" w:rsidP="00BF7B18">
      <w:pPr>
        <w:pStyle w:val="Heading5"/>
      </w:pPr>
      <w:bookmarkStart w:id="817" w:name="_Toc436923364"/>
      <w:bookmarkStart w:id="818" w:name="_Toc437440666"/>
      <w:bookmarkStart w:id="819" w:name="_Toc437528421"/>
      <w:bookmarkStart w:id="820" w:name="_Toc437594292"/>
      <w:bookmarkStart w:id="821" w:name="_Toc437598701"/>
      <w:bookmarkStart w:id="822" w:name="_Toc437599305"/>
      <w:bookmarkStart w:id="823" w:name="_Toc437600408"/>
      <w:bookmarkStart w:id="824" w:name="_Toc440536949"/>
      <w:bookmarkStart w:id="825" w:name="_Toc441743845"/>
      <w:bookmarkStart w:id="826" w:name="_Toc441744287"/>
      <w:bookmarkStart w:id="827" w:name="_Toc441845107"/>
      <w:bookmarkStart w:id="828" w:name="_Toc441847360"/>
      <w:bookmarkStart w:id="829" w:name="_Toc441848292"/>
      <w:bookmarkStart w:id="830" w:name="_Toc442107134"/>
      <w:bookmarkStart w:id="831" w:name="_Toc442108786"/>
      <w:bookmarkStart w:id="832" w:name="_Toc443038184"/>
      <w:bookmarkStart w:id="833" w:name="_Toc443043902"/>
      <w:bookmarkStart w:id="834" w:name="_Toc443052592"/>
      <w:bookmarkStart w:id="835" w:name="_Toc443054881"/>
      <w:bookmarkStart w:id="836" w:name="_Toc443307387"/>
      <w:bookmarkStart w:id="837" w:name="_Toc445810603"/>
      <w:bookmarkStart w:id="838" w:name="_Toc449108114"/>
      <w:bookmarkStart w:id="839" w:name="_Toc449432131"/>
      <w:bookmarkStart w:id="840" w:name="_Toc449438598"/>
      <w:r w:rsidRPr="002A44AA">
        <w:rPr>
          <w:rStyle w:val="CommentReference"/>
          <w:sz w:val="22"/>
          <w:szCs w:val="22"/>
        </w:rPr>
        <w:t>Domestic benchmarking</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09AA8C54" w14:textId="77777777" w:rsidR="00EB2B81" w:rsidRDefault="00EB2B81" w:rsidP="00EB2B81">
      <w:r w:rsidRPr="009C478E">
        <w:t xml:space="preserve">The </w:t>
      </w:r>
      <w:r w:rsidRPr="00583828">
        <w:t>A</w:t>
      </w:r>
      <w:r w:rsidRPr="00C83C2C">
        <w:t xml:space="preserve">CMA was also benchmarked against domestic regulators who have comparable regulatory functions when considering </w:t>
      </w:r>
      <w:r>
        <w:t xml:space="preserve">the </w:t>
      </w:r>
      <w:r w:rsidRPr="00C83C2C">
        <w:t xml:space="preserve">combined roles </w:t>
      </w:r>
      <w:r>
        <w:t>and</w:t>
      </w:r>
      <w:r w:rsidRPr="00C83C2C">
        <w:t xml:space="preserve"> complexity of the industry regulated, size and scope of regulatory reach</w:t>
      </w:r>
      <w:r>
        <w:t>,</w:t>
      </w:r>
      <w:r w:rsidRPr="00C83C2C">
        <w:t xml:space="preserve"> </w:t>
      </w:r>
      <w:r>
        <w:t>as well as</w:t>
      </w:r>
      <w:r w:rsidRPr="00C83C2C">
        <w:t xml:space="preserve"> influence and role of stakeholders. </w:t>
      </w:r>
      <w:r>
        <w:t>They included the:</w:t>
      </w:r>
    </w:p>
    <w:p w14:paraId="6ED628E9" w14:textId="77777777" w:rsidR="00EB2B81" w:rsidRPr="00C83C2C" w:rsidRDefault="00EB2B81" w:rsidP="00EB2B81">
      <w:pPr>
        <w:pStyle w:val="Bulletlevel1"/>
      </w:pPr>
      <w:r w:rsidRPr="00C83C2C">
        <w:t>Clean Energy Regulator</w:t>
      </w:r>
    </w:p>
    <w:p w14:paraId="28EC6DE7" w14:textId="77777777" w:rsidR="00EB2B81" w:rsidRPr="00C83C2C" w:rsidRDefault="00EB2B81" w:rsidP="00EB2B81">
      <w:pPr>
        <w:pStyle w:val="Bulletlevel1"/>
      </w:pPr>
      <w:r w:rsidRPr="00C83C2C">
        <w:t>Australian Competition and Consumer Commission</w:t>
      </w:r>
    </w:p>
    <w:p w14:paraId="1141091E" w14:textId="77777777" w:rsidR="00EB2B81" w:rsidRPr="00C83C2C" w:rsidRDefault="00EB2B81" w:rsidP="00EB2B81">
      <w:pPr>
        <w:pStyle w:val="Bulletlevel1"/>
      </w:pPr>
      <w:r w:rsidRPr="00C83C2C">
        <w:t>Australian Energy Regulator</w:t>
      </w:r>
    </w:p>
    <w:p w14:paraId="07078158" w14:textId="77777777" w:rsidR="00EB2B81" w:rsidRPr="00C83C2C" w:rsidRDefault="00EB2B81" w:rsidP="00EB2B81">
      <w:pPr>
        <w:pStyle w:val="Bulletlevel1"/>
      </w:pPr>
      <w:r w:rsidRPr="00C83C2C">
        <w:t>Australian Securities and Investments Commission</w:t>
      </w:r>
    </w:p>
    <w:p w14:paraId="45F9BE59" w14:textId="77777777" w:rsidR="00EB2B81" w:rsidRPr="00C83C2C" w:rsidRDefault="00EB2B81" w:rsidP="00EB2B81">
      <w:pPr>
        <w:pStyle w:val="Bulletlevel1"/>
      </w:pPr>
      <w:r w:rsidRPr="00C83C2C">
        <w:t>Australian Prudential Regulation Authority</w:t>
      </w:r>
      <w:r>
        <w:t>.</w:t>
      </w:r>
    </w:p>
    <w:p w14:paraId="19082AB6" w14:textId="22067BCB" w:rsidR="00EB2B81" w:rsidRDefault="00EB2B81" w:rsidP="00EB2B81">
      <w:r>
        <w:t>Comparing</w:t>
      </w:r>
      <w:r w:rsidRPr="00C83C2C">
        <w:t xml:space="preserve"> average operating expense per average staffing level </w:t>
      </w:r>
      <w:r w:rsidR="00822BD7">
        <w:t xml:space="preserve">(ASL) </w:t>
      </w:r>
      <w:r>
        <w:t>indicates the</w:t>
      </w:r>
      <w:r w:rsidRPr="00C83C2C">
        <w:t xml:space="preserve"> overall resource allocation </w:t>
      </w:r>
      <w:r>
        <w:t>needed</w:t>
      </w:r>
      <w:r w:rsidRPr="00C83C2C">
        <w:t xml:space="preserve"> to deliver the objectives of each regulator</w:t>
      </w:r>
      <w:r>
        <w:rPr>
          <w:rStyle w:val="FootnoteReference"/>
        </w:rPr>
        <w:footnoteReference w:id="136"/>
      </w:r>
      <w:r w:rsidRPr="00C83C2C">
        <w:t>.</w:t>
      </w:r>
    </w:p>
    <w:p w14:paraId="695B3B71" w14:textId="77777777" w:rsidR="00EB2B81" w:rsidRDefault="00EB2B81" w:rsidP="00EB2B81">
      <w:r>
        <w:t>C</w:t>
      </w:r>
      <w:r w:rsidRPr="00C83C2C">
        <w:t>ompared to these other regulators</w:t>
      </w:r>
      <w:r>
        <w:t>, t</w:t>
      </w:r>
      <w:r w:rsidRPr="00C83C2C">
        <w:t xml:space="preserve">he ACMA </w:t>
      </w:r>
      <w:r>
        <w:t xml:space="preserve">has </w:t>
      </w:r>
      <w:r w:rsidRPr="00C83C2C">
        <w:t>a relatively low average cost per ASL</w:t>
      </w:r>
      <w:r>
        <w:t>.</w:t>
      </w:r>
      <w:r w:rsidRPr="00C83C2C">
        <w:t xml:space="preserve"> </w:t>
      </w:r>
      <w:r>
        <w:t xml:space="preserve">Over the three years to </w:t>
      </w:r>
      <w:r w:rsidR="00A1725C">
        <w:t>2014–15</w:t>
      </w:r>
      <w:r>
        <w:t>, i</w:t>
      </w:r>
      <w:r w:rsidRPr="00C83C2C">
        <w:t xml:space="preserve">t was found to have an average operating expense per average staffing level of </w:t>
      </w:r>
      <w:r>
        <w:t xml:space="preserve">approximately </w:t>
      </w:r>
      <w:r w:rsidRPr="00C83C2C">
        <w:t xml:space="preserve">$202,000. </w:t>
      </w:r>
      <w:r>
        <w:t>T</w:t>
      </w:r>
      <w:r w:rsidRPr="00C83C2C">
        <w:t>he other domestic regulators considered range</w:t>
      </w:r>
      <w:r>
        <w:t>d</w:t>
      </w:r>
      <w:r w:rsidRPr="00C83C2C">
        <w:t xml:space="preserve"> between $195,000 and $310,000. The </w:t>
      </w:r>
      <w:r w:rsidRPr="00F651B3">
        <w:t>ACMA’s average operating expense per ASL is about four per cent above the lowest comparable benchmark.</w:t>
      </w:r>
    </w:p>
    <w:p w14:paraId="6C044826" w14:textId="77777777" w:rsidR="00EB2B81" w:rsidRPr="00B74305" w:rsidRDefault="00EB2B81" w:rsidP="00EB2B81">
      <w:pPr>
        <w:pStyle w:val="Tablefigureheading"/>
      </w:pPr>
      <w:r w:rsidRPr="00B74305">
        <w:t xml:space="preserve">Figure </w:t>
      </w:r>
      <w:r>
        <w:t>C</w:t>
      </w:r>
      <w:r w:rsidRPr="00B74305">
        <w:t>6: Approximate 3 year average operating cost per ASL ($’000)</w:t>
      </w:r>
    </w:p>
    <w:p w14:paraId="7B50BB6F" w14:textId="77777777" w:rsidR="00633D3B" w:rsidRDefault="00633D3B" w:rsidP="00633D3B">
      <w:r>
        <w:rPr>
          <w:noProof/>
          <w:lang w:eastAsia="en-AU"/>
        </w:rPr>
        <w:drawing>
          <wp:inline distT="0" distB="0" distL="0" distR="0" wp14:anchorId="357F233A" wp14:editId="6977419B">
            <wp:extent cx="5926455" cy="2672080"/>
            <wp:effectExtent l="0" t="0" r="0" b="0"/>
            <wp:docPr id="239" name="Picture 239" descr="Clean Energy Regulator: $310,000&#10;Australian Competition and Consumer Commission and the Australian Energy Regulator: $225,000&#10;Australian Securities and Investments Commission: $224,000&#10;Australian Prudential Regulation Authority: $195,000&#10;Austraian Communications and Media Authority: $202,000" title="Approximate 3 year average operating cost per ASL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26455" cy="2672080"/>
                    </a:xfrm>
                    <a:prstGeom prst="rect">
                      <a:avLst/>
                    </a:prstGeom>
                  </pic:spPr>
                </pic:pic>
              </a:graphicData>
            </a:graphic>
          </wp:inline>
        </w:drawing>
      </w:r>
    </w:p>
    <w:p w14:paraId="6333853D" w14:textId="77777777" w:rsidR="00EB2B81" w:rsidRDefault="00EB2B81" w:rsidP="00BF7B18">
      <w:pPr>
        <w:pStyle w:val="Heading4"/>
      </w:pPr>
      <w:bookmarkStart w:id="841" w:name="_Toc435112173"/>
      <w:bookmarkStart w:id="842" w:name="_Toc436923365"/>
      <w:bookmarkStart w:id="843" w:name="_Toc437440667"/>
      <w:bookmarkStart w:id="844" w:name="_Toc437528422"/>
      <w:bookmarkStart w:id="845" w:name="_Toc437594293"/>
      <w:bookmarkStart w:id="846" w:name="_Toc437598702"/>
      <w:bookmarkStart w:id="847" w:name="_Toc437599306"/>
      <w:bookmarkStart w:id="848" w:name="_Toc437600409"/>
      <w:bookmarkStart w:id="849" w:name="_Toc440536950"/>
      <w:bookmarkStart w:id="850" w:name="_Toc441743846"/>
      <w:bookmarkStart w:id="851" w:name="_Toc441744288"/>
      <w:bookmarkStart w:id="852" w:name="_Toc441845108"/>
      <w:bookmarkStart w:id="853" w:name="_Toc441847361"/>
      <w:bookmarkStart w:id="854" w:name="_Toc441848293"/>
      <w:bookmarkStart w:id="855" w:name="_Toc442107135"/>
      <w:bookmarkStart w:id="856" w:name="_Toc442108787"/>
      <w:bookmarkStart w:id="857" w:name="_Toc443038185"/>
      <w:bookmarkStart w:id="858" w:name="_Toc443043903"/>
      <w:bookmarkStart w:id="859" w:name="_Toc443052593"/>
      <w:bookmarkStart w:id="860" w:name="_Toc443054882"/>
      <w:bookmarkStart w:id="861" w:name="_Toc443307388"/>
      <w:bookmarkStart w:id="862" w:name="_Toc445810604"/>
      <w:bookmarkStart w:id="863" w:name="_Toc449108115"/>
      <w:bookmarkStart w:id="864" w:name="_Toc449432132"/>
      <w:bookmarkStart w:id="865" w:name="_Toc449438599"/>
      <w:bookmarkStart w:id="866" w:name="_Toc449620049"/>
      <w:bookmarkStart w:id="867" w:name="_Toc450310200"/>
      <w:r w:rsidRPr="00E87F2E">
        <w:rPr>
          <w:rStyle w:val="CommentReference"/>
          <w:sz w:val="22"/>
          <w:szCs w:val="22"/>
        </w:rPr>
        <w:t>Digital transformation and efficiencies in managing high transactional volumes</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4A8B4F00" w14:textId="77777777" w:rsidR="00EB2B81" w:rsidRDefault="00EB2B81" w:rsidP="00EB2B81">
      <w:r w:rsidRPr="00543614">
        <w:t xml:space="preserve">During </w:t>
      </w:r>
      <w:r w:rsidR="00A1725C">
        <w:t>2014–15</w:t>
      </w:r>
      <w:r>
        <w:t>,</w:t>
      </w:r>
      <w:r w:rsidRPr="00543614">
        <w:t xml:space="preserve"> the ACMA processed </w:t>
      </w:r>
      <w:r>
        <w:t>10.3</w:t>
      </w:r>
      <w:r w:rsidR="00E549A3">
        <w:t> million</w:t>
      </w:r>
      <w:r w:rsidRPr="00543614">
        <w:t xml:space="preserve"> transactions, excluding Do Not Call Register operations. Approximately </w:t>
      </w:r>
      <w:r>
        <w:t>174</w:t>
      </w:r>
      <w:r w:rsidRPr="00543614">
        <w:t xml:space="preserve">,000 transactions were not automated and involved staff analysis and </w:t>
      </w:r>
      <w:r w:rsidRPr="00F651B3">
        <w:t>processing. In broad terms, the types of interactions the ACMA dealt with varied across:</w:t>
      </w:r>
    </w:p>
    <w:p w14:paraId="5D6284AC" w14:textId="77777777" w:rsidR="00EB2B81" w:rsidRDefault="00EB2B81" w:rsidP="00EB2B81">
      <w:pPr>
        <w:pStyle w:val="Bulletlevel1"/>
      </w:pPr>
      <w:r>
        <w:t>S</w:t>
      </w:r>
      <w:r w:rsidRPr="00543614">
        <w:t>imple transactions such as information provision and some registrations that are able to be automated</w:t>
      </w:r>
      <w:r>
        <w:t>.</w:t>
      </w:r>
    </w:p>
    <w:p w14:paraId="278893E0" w14:textId="77777777" w:rsidR="00EB2B81" w:rsidRDefault="00EB2B81" w:rsidP="00EB2B81">
      <w:pPr>
        <w:pStyle w:val="Bulletlevel1"/>
      </w:pPr>
      <w:r>
        <w:t>M</w:t>
      </w:r>
      <w:r w:rsidRPr="00543614">
        <w:t>ore complex interactions between staff and regulated entities and citizens that involve complaint taking, information-gathering and investigation resolution where these activities are able to be delegated under legislation</w:t>
      </w:r>
      <w:r>
        <w:t>.</w:t>
      </w:r>
    </w:p>
    <w:p w14:paraId="3D9DC69A" w14:textId="77777777" w:rsidR="00EB2B81" w:rsidRDefault="00EB2B81" w:rsidP="00EB2B81">
      <w:pPr>
        <w:pStyle w:val="Bulletlevel1"/>
      </w:pPr>
      <w:r>
        <w:t>M</w:t>
      </w:r>
      <w:r w:rsidRPr="00543614">
        <w:t xml:space="preserve">atters that require Authority decision, because of complexity, the level of public interest or where the matter is not able to </w:t>
      </w:r>
      <w:r>
        <w:t xml:space="preserve">be </w:t>
      </w:r>
      <w:r w:rsidRPr="00543614">
        <w:t>delegated.</w:t>
      </w:r>
      <w:r w:rsidR="00CF6194">
        <w:t xml:space="preserve"> </w:t>
      </w:r>
      <w:r w:rsidRPr="00543614">
        <w:t xml:space="preserve">In the </w:t>
      </w:r>
      <w:r>
        <w:t>2015</w:t>
      </w:r>
      <w:r w:rsidRPr="00543614">
        <w:t xml:space="preserve"> calendar year, the Authority made </w:t>
      </w:r>
      <w:r>
        <w:t>281</w:t>
      </w:r>
      <w:r w:rsidRPr="00543614">
        <w:t xml:space="preserve"> non-delegated decisions.</w:t>
      </w:r>
    </w:p>
    <w:p w14:paraId="68D8CDB2" w14:textId="77777777" w:rsidR="00EB2B81" w:rsidRDefault="00EB2B81" w:rsidP="00EB2B81">
      <w:r w:rsidRPr="00543614">
        <w:t xml:space="preserve">The ACMA has been active in investing in ICT systems to manage and automate transactions and </w:t>
      </w:r>
      <w:r>
        <w:t>allow</w:t>
      </w:r>
      <w:r w:rsidRPr="00543614">
        <w:t xml:space="preserve"> greater online interaction with stakeholders. The centralisation of contact points through the ACMA Customer Service Centre </w:t>
      </w:r>
      <w:r>
        <w:t xml:space="preserve">(CSC) </w:t>
      </w:r>
      <w:r w:rsidRPr="00543614">
        <w:t xml:space="preserve">is an example of this, with the centre responding to over 30,000 enquiries in </w:t>
      </w:r>
      <w:r w:rsidR="00A1725C">
        <w:t>2014–15</w:t>
      </w:r>
      <w:r w:rsidRPr="00543614">
        <w:t xml:space="preserve">. </w:t>
      </w:r>
      <w:r>
        <w:t xml:space="preserve">Before </w:t>
      </w:r>
      <w:r w:rsidRPr="00543614">
        <w:t xml:space="preserve">the CSC initiative, the ACMA had upwards of 100 different entry points into the </w:t>
      </w:r>
      <w:r>
        <w:t>agency</w:t>
      </w:r>
      <w:r w:rsidRPr="00543614">
        <w:t>.</w:t>
      </w:r>
      <w:r>
        <w:rPr>
          <w:rStyle w:val="FootnoteReference"/>
        </w:rPr>
        <w:footnoteReference w:id="137"/>
      </w:r>
    </w:p>
    <w:p w14:paraId="60581801" w14:textId="1D6A4778" w:rsidR="00EB2B81" w:rsidRDefault="00EB2B81" w:rsidP="00EB2B81">
      <w:pPr>
        <w:rPr>
          <w:rStyle w:val="CommentReference"/>
          <w:rFonts w:ascii="Calibri" w:hAnsi="Calibri" w:cs="Times New Roman"/>
        </w:rPr>
      </w:pPr>
      <w:r w:rsidRPr="00543614">
        <w:t xml:space="preserve">The ACMA is adopting </w:t>
      </w:r>
      <w:r>
        <w:t xml:space="preserve">more </w:t>
      </w:r>
      <w:r w:rsidRPr="00543614">
        <w:t xml:space="preserve">opportunities to improve digital service channels through the </w:t>
      </w:r>
      <w:r>
        <w:t>G</w:t>
      </w:r>
      <w:r w:rsidRPr="00543614">
        <w:t xml:space="preserve">overnment’s Digital Transformation Agenda, which is led by the </w:t>
      </w:r>
      <w:r w:rsidR="00822BD7">
        <w:t>DTO</w:t>
      </w:r>
      <w:r w:rsidRPr="00543614">
        <w:t>. Under this program</w:t>
      </w:r>
      <w:r>
        <w:t>me</w:t>
      </w:r>
      <w:r w:rsidRPr="00543614">
        <w:t xml:space="preserve"> of work, the ACMA will be required to consider which of its services</w:t>
      </w:r>
      <w:r>
        <w:t xml:space="preserve"> are not yet</w:t>
      </w:r>
      <w:r w:rsidRPr="00543614">
        <w:t xml:space="preserve"> fully digital end</w:t>
      </w:r>
      <w:r>
        <w:t>-</w:t>
      </w:r>
      <w:r w:rsidRPr="00543614">
        <w:t>to</w:t>
      </w:r>
      <w:r>
        <w:t>-</w:t>
      </w:r>
      <w:r w:rsidRPr="00543614">
        <w:t xml:space="preserve">end, and develop a Digital Transformation </w:t>
      </w:r>
      <w:r w:rsidRPr="00F651B3">
        <w:t>Plan to improve</w:t>
      </w:r>
      <w:r>
        <w:t xml:space="preserve"> </w:t>
      </w:r>
      <w:r w:rsidRPr="00F651B3">
        <w:t>digital service delivery and engagement channels with stakeholders.</w:t>
      </w:r>
      <w:bookmarkStart w:id="868" w:name="_Toc435112174"/>
      <w:bookmarkStart w:id="869" w:name="_Toc436923366"/>
      <w:bookmarkStart w:id="870" w:name="_Toc437440668"/>
    </w:p>
    <w:p w14:paraId="2E9DBF3F" w14:textId="77777777" w:rsidR="00EB2B81" w:rsidRDefault="00EB2B81" w:rsidP="00BF7B18">
      <w:pPr>
        <w:pStyle w:val="Heading4"/>
      </w:pPr>
      <w:bookmarkStart w:id="871" w:name="_Toc437528423"/>
      <w:bookmarkStart w:id="872" w:name="_Toc437594294"/>
      <w:bookmarkStart w:id="873" w:name="_Toc437598703"/>
      <w:bookmarkStart w:id="874" w:name="_Toc437599307"/>
      <w:bookmarkStart w:id="875" w:name="_Toc437600410"/>
      <w:bookmarkStart w:id="876" w:name="_Toc440536951"/>
      <w:bookmarkStart w:id="877" w:name="_Toc441743847"/>
      <w:bookmarkStart w:id="878" w:name="_Toc441744289"/>
      <w:bookmarkStart w:id="879" w:name="_Toc441845109"/>
      <w:bookmarkStart w:id="880" w:name="_Toc441847362"/>
      <w:bookmarkStart w:id="881" w:name="_Toc441848294"/>
      <w:bookmarkStart w:id="882" w:name="_Toc442107136"/>
      <w:bookmarkStart w:id="883" w:name="_Toc442108788"/>
      <w:bookmarkStart w:id="884" w:name="_Toc443038186"/>
      <w:bookmarkStart w:id="885" w:name="_Toc443043904"/>
      <w:bookmarkStart w:id="886" w:name="_Toc443052594"/>
      <w:bookmarkStart w:id="887" w:name="_Toc443054883"/>
      <w:bookmarkStart w:id="888" w:name="_Toc443307389"/>
      <w:bookmarkStart w:id="889" w:name="_Toc445810605"/>
      <w:bookmarkStart w:id="890" w:name="_Toc449108116"/>
      <w:bookmarkStart w:id="891" w:name="_Toc449432133"/>
      <w:bookmarkStart w:id="892" w:name="_Toc449438600"/>
      <w:bookmarkStart w:id="893" w:name="_Toc449620050"/>
      <w:bookmarkStart w:id="894" w:name="_Toc450310201"/>
      <w:r w:rsidRPr="002A44AA">
        <w:rPr>
          <w:rStyle w:val="CommentReference"/>
          <w:sz w:val="22"/>
          <w:szCs w:val="22"/>
        </w:rPr>
        <w:t>Functional efficiencies and the role of regulatory review</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14:paraId="74BEA867" w14:textId="77777777" w:rsidR="00EB2B81" w:rsidRDefault="00EB2B81" w:rsidP="00EB2B81">
      <w:r>
        <w:t>When considering how the ACMA carries out its functions, it is also useful to look at the regulatory requirements it must follow, and the potential for changes to this regulation and related processes, to create efficiencies that would benefit its operations and stakeholders.</w:t>
      </w:r>
    </w:p>
    <w:p w14:paraId="514F736C" w14:textId="77777777" w:rsidR="00EB2B81" w:rsidRDefault="00EB2B81" w:rsidP="00EB2B81">
      <w:r>
        <w:rPr>
          <w:rFonts w:eastAsia="Times New Roman" w:cs="Arial"/>
          <w:color w:val="000000"/>
          <w:szCs w:val="24"/>
        </w:rPr>
        <w:t>The Review</w:t>
      </w:r>
      <w:r w:rsidDel="00742050">
        <w:rPr>
          <w:rFonts w:eastAsia="Times New Roman" w:cs="Arial"/>
          <w:color w:val="000000"/>
          <w:szCs w:val="24"/>
        </w:rPr>
        <w:t xml:space="preserve"> </w:t>
      </w:r>
      <w:r>
        <w:t>has examined the current framework governing broadcasting licences.</w:t>
      </w:r>
    </w:p>
    <w:p w14:paraId="700BE7C0" w14:textId="77777777" w:rsidR="00EB2B81" w:rsidRDefault="00EB2B81" w:rsidP="00EB2B81">
      <w:r w:rsidRPr="004939BB">
        <w:t xml:space="preserve">The </w:t>
      </w:r>
      <w:r>
        <w:t>ACMA is responsible for establishing</w:t>
      </w:r>
      <w:r w:rsidRPr="004939BB">
        <w:t xml:space="preserve"> radio and </w:t>
      </w:r>
      <w:r>
        <w:t>television licence area plans (</w:t>
      </w:r>
      <w:r w:rsidRPr="004939BB">
        <w:t>LAPs)</w:t>
      </w:r>
      <w:r w:rsidRPr="001D54F1">
        <w:t xml:space="preserve"> </w:t>
      </w:r>
      <w:r>
        <w:t xml:space="preserve">that </w:t>
      </w:r>
      <w:r w:rsidRPr="004939BB">
        <w:t>determine the number, category and characteristics of broadcasting services to be available in particular areas of Australia that use broadcasting services bands.</w:t>
      </w:r>
    </w:p>
    <w:p w14:paraId="13C691B6" w14:textId="77777777" w:rsidR="00EB2B81" w:rsidRDefault="00EB2B81" w:rsidP="00EB2B81">
      <w:r>
        <w:t>The ACMA has a thorough process in place to manage changes to plans that comply with its regulatory responsibilities. However, the existing process is lengthy and it can take over eight months to make decisions for changes to LAPs.</w:t>
      </w:r>
    </w:p>
    <w:p w14:paraId="43D0A864" w14:textId="77777777" w:rsidR="00EB2B81" w:rsidRDefault="00EB2B81" w:rsidP="002E15A7">
      <w:r>
        <w:t>General functions carried out by the ACMA throughout the process include:</w:t>
      </w:r>
    </w:p>
    <w:p w14:paraId="36D8E3CA" w14:textId="77777777" w:rsidR="00EB2B81" w:rsidRDefault="00EB2B81" w:rsidP="00EB2B81">
      <w:pPr>
        <w:pStyle w:val="Bulletlevel1"/>
      </w:pPr>
      <w:r>
        <w:t>Policy assessment against legislative and planning criteria;</w:t>
      </w:r>
    </w:p>
    <w:p w14:paraId="39A77F98" w14:textId="77777777" w:rsidR="00EB2B81" w:rsidRDefault="00EB2B81" w:rsidP="00EB2B81">
      <w:pPr>
        <w:pStyle w:val="Bulletlevel1"/>
      </w:pPr>
      <w:r>
        <w:t>Engineering assessment to determine compliance with planning guidelines;</w:t>
      </w:r>
    </w:p>
    <w:p w14:paraId="69D6C16F" w14:textId="77777777" w:rsidR="00EB2B81" w:rsidRDefault="00EB2B81" w:rsidP="00EB2B81">
      <w:pPr>
        <w:pStyle w:val="Bulletlevel1"/>
      </w:pPr>
      <w:r>
        <w:t>Briefing Authority members on variation proposals;</w:t>
      </w:r>
    </w:p>
    <w:p w14:paraId="6EC7A9A5" w14:textId="77777777" w:rsidR="00EB2B81" w:rsidRDefault="00EB2B81" w:rsidP="00EB2B81">
      <w:pPr>
        <w:pStyle w:val="Bulletlevel1"/>
      </w:pPr>
      <w:r>
        <w:t>Drafting licence area plan and discussion paper for public consultation;</w:t>
      </w:r>
    </w:p>
    <w:p w14:paraId="7CC41579" w14:textId="77777777" w:rsidR="00EB2B81" w:rsidRDefault="00EB2B81" w:rsidP="00EB2B81">
      <w:pPr>
        <w:pStyle w:val="Bulletlevel1"/>
      </w:pPr>
      <w:r>
        <w:t>Brief the Authority members on any submissions received from public consultation;</w:t>
      </w:r>
    </w:p>
    <w:p w14:paraId="0978D0F3" w14:textId="77777777" w:rsidR="00EB2B81" w:rsidRDefault="00EB2B81" w:rsidP="00EB2B81">
      <w:pPr>
        <w:pStyle w:val="Bulletlevel1"/>
      </w:pPr>
      <w:r>
        <w:t>Finalise licence area plan instrument, explanatory statement, licence area designation; and</w:t>
      </w:r>
    </w:p>
    <w:p w14:paraId="7AF4B5D8" w14:textId="77777777" w:rsidR="00EB2B81" w:rsidRDefault="00EB2B81" w:rsidP="00EB2B81">
      <w:pPr>
        <w:pStyle w:val="Bulletlevel1"/>
      </w:pPr>
      <w:r>
        <w:t>Incorporate the variation within the existing registered LAPs.</w:t>
      </w:r>
    </w:p>
    <w:p w14:paraId="18F108D2" w14:textId="77777777" w:rsidR="00EB2B81" w:rsidRDefault="00EB2B81" w:rsidP="00174EEE">
      <w:r>
        <w:t>The process above can be extended depending on specific scenarios. For example, additional consultation that may be carried out for LAPs that affect numerous stakeholders, or which for other reasons are contentious.</w:t>
      </w:r>
    </w:p>
    <w:p w14:paraId="71EC22BF" w14:textId="77777777" w:rsidR="00EB2B81" w:rsidRDefault="00EB2B81" w:rsidP="00174EEE">
      <w:r>
        <w:t>As an example of where changes to regulation may benefit both the ACMA and stakeholders, and achieve greater efficiencies in fulfilling its functions, there is potential to streamline the processes above by</w:t>
      </w:r>
      <w:r w:rsidRPr="0091378C">
        <w:t xml:space="preserve"> building greater flexibility into the </w:t>
      </w:r>
      <w:r>
        <w:t>LAP</w:t>
      </w:r>
      <w:r w:rsidRPr="0091378C">
        <w:t xml:space="preserve"> framework</w:t>
      </w:r>
      <w:r>
        <w:t>. For example, these could</w:t>
      </w:r>
      <w:r w:rsidRPr="0091378C">
        <w:t xml:space="preserve"> provide licensees with more scope to make minor changes to technical specifications of their services without the need to vary a LAP.</w:t>
      </w:r>
    </w:p>
    <w:p w14:paraId="0AFDFE03" w14:textId="77777777" w:rsidR="00EB2B81" w:rsidRPr="00231102" w:rsidRDefault="00EB2B81" w:rsidP="00174EEE">
      <w:r w:rsidRPr="00231102">
        <w:t xml:space="preserve">For example, a set of nominal technical specifications in LAPs </w:t>
      </w:r>
      <w:r>
        <w:t xml:space="preserve">could be developed </w:t>
      </w:r>
      <w:r w:rsidRPr="00231102">
        <w:t>that allow a certain level of tolerance for change. These nominal</w:t>
      </w:r>
      <w:r>
        <w:t xml:space="preserve"> </w:t>
      </w:r>
      <w:r w:rsidRPr="00231102">
        <w:t>technical specifications would allow for minor deviations from the absolute specifications in LAPs based on an ‘envelope’ of permitted deviations specified in technical planning guidelines.</w:t>
      </w:r>
    </w:p>
    <w:p w14:paraId="4D06800C" w14:textId="77777777" w:rsidR="00EB2B81" w:rsidRDefault="00EB2B81" w:rsidP="00EB2B81">
      <w:r>
        <w:t xml:space="preserve">Consistent with our observations that the ACMA is taking a pro-active approach to finding efficiencies within the organisation, the ACMA has in a place a group of staff from the policy, engineering and legal branches to investigate options for improving the processing currently employed for managing the LAP process, with their focus being on </w:t>
      </w:r>
      <w:r w:rsidRPr="009E5530">
        <w:t>ways to reduce the cost and time to industry in complying with technical regulation of broadcasting.</w:t>
      </w:r>
    </w:p>
    <w:p w14:paraId="0D6B26BA" w14:textId="77777777" w:rsidR="00EB2B81" w:rsidRDefault="00EB2B81" w:rsidP="00BF7B18">
      <w:pPr>
        <w:pStyle w:val="Heading4"/>
        <w:rPr>
          <w:rStyle w:val="CommentReference"/>
          <w:rFonts w:ascii="Calibri" w:eastAsiaTheme="minorHAnsi" w:hAnsi="Calibri" w:cs="Times New Roman"/>
          <w:color w:val="auto"/>
          <w:sz w:val="22"/>
          <w:szCs w:val="22"/>
        </w:rPr>
      </w:pPr>
      <w:bookmarkStart w:id="895" w:name="_Toc435112175"/>
      <w:bookmarkStart w:id="896" w:name="_Toc436923367"/>
      <w:bookmarkStart w:id="897" w:name="_Toc437440669"/>
      <w:bookmarkStart w:id="898" w:name="_Toc437528424"/>
      <w:bookmarkStart w:id="899" w:name="_Toc437594295"/>
      <w:bookmarkStart w:id="900" w:name="_Toc437598704"/>
      <w:bookmarkStart w:id="901" w:name="_Toc437599308"/>
      <w:bookmarkStart w:id="902" w:name="_Toc437600411"/>
      <w:bookmarkStart w:id="903" w:name="_Toc440536952"/>
      <w:bookmarkStart w:id="904" w:name="_Toc441743848"/>
      <w:bookmarkStart w:id="905" w:name="_Toc441744290"/>
      <w:bookmarkStart w:id="906" w:name="_Toc441845110"/>
      <w:bookmarkStart w:id="907" w:name="_Toc441847363"/>
      <w:bookmarkStart w:id="908" w:name="_Toc441848295"/>
      <w:bookmarkStart w:id="909" w:name="_Toc442107137"/>
      <w:bookmarkStart w:id="910" w:name="_Toc442108789"/>
      <w:bookmarkStart w:id="911" w:name="_Toc443038187"/>
      <w:bookmarkStart w:id="912" w:name="_Toc443043905"/>
      <w:bookmarkStart w:id="913" w:name="_Toc443052595"/>
      <w:bookmarkStart w:id="914" w:name="_Toc443054884"/>
      <w:bookmarkStart w:id="915" w:name="_Toc443307390"/>
      <w:bookmarkStart w:id="916" w:name="_Toc445810606"/>
      <w:bookmarkStart w:id="917" w:name="_Toc449108117"/>
      <w:bookmarkStart w:id="918" w:name="_Toc449432134"/>
      <w:bookmarkStart w:id="919" w:name="_Toc449438601"/>
      <w:bookmarkStart w:id="920" w:name="_Toc449620051"/>
      <w:bookmarkStart w:id="921" w:name="_Toc450310202"/>
      <w:r w:rsidRPr="002A44AA">
        <w:rPr>
          <w:rStyle w:val="CommentReference"/>
          <w:sz w:val="22"/>
          <w:szCs w:val="22"/>
        </w:rPr>
        <w:t>Conclusion</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r>
        <w:rPr>
          <w:rStyle w:val="CommentReference"/>
          <w:sz w:val="22"/>
          <w:szCs w:val="22"/>
        </w:rPr>
        <w:t xml:space="preserve"> on financial </w:t>
      </w:r>
      <w:bookmarkEnd w:id="909"/>
      <w:bookmarkEnd w:id="910"/>
      <w:bookmarkEnd w:id="911"/>
      <w:bookmarkEnd w:id="912"/>
      <w:bookmarkEnd w:id="913"/>
      <w:bookmarkEnd w:id="914"/>
      <w:r>
        <w:rPr>
          <w:rStyle w:val="CommentReference"/>
          <w:sz w:val="22"/>
          <w:szCs w:val="22"/>
        </w:rPr>
        <w:t>performance and organisational efficiency</w:t>
      </w:r>
      <w:bookmarkEnd w:id="915"/>
      <w:bookmarkEnd w:id="916"/>
      <w:bookmarkEnd w:id="917"/>
      <w:bookmarkEnd w:id="918"/>
      <w:bookmarkEnd w:id="919"/>
      <w:bookmarkEnd w:id="920"/>
      <w:bookmarkEnd w:id="921"/>
    </w:p>
    <w:p w14:paraId="62B9634B" w14:textId="77777777" w:rsidR="00EB2B81" w:rsidRPr="00D97EF2" w:rsidRDefault="00EB2B81" w:rsidP="00EB2B81">
      <w:pPr>
        <w:rPr>
          <w:lang w:val="en-US" w:eastAsia="en-AU"/>
        </w:rPr>
      </w:pPr>
      <w:r w:rsidRPr="00D97EF2">
        <w:rPr>
          <w:lang w:val="en-US" w:eastAsia="en-AU"/>
        </w:rPr>
        <w:t xml:space="preserve">Overall the Review found </w:t>
      </w:r>
      <w:r w:rsidRPr="00D97EF2" w:rsidDel="00585015">
        <w:rPr>
          <w:lang w:val="en-US" w:eastAsia="en-AU"/>
        </w:rPr>
        <w:t xml:space="preserve">that </w:t>
      </w:r>
      <w:r w:rsidRPr="00D97EF2">
        <w:rPr>
          <w:lang w:val="en-US" w:eastAsia="en-AU"/>
        </w:rPr>
        <w:t xml:space="preserve">the ACMA pursues efficiency as a part of its ordinary functions, </w:t>
      </w:r>
      <w:r w:rsidRPr="00D97EF2" w:rsidDel="00900C2C">
        <w:rPr>
          <w:lang w:val="en-US" w:eastAsia="en-AU"/>
        </w:rPr>
        <w:t xml:space="preserve">and that this comes </w:t>
      </w:r>
      <w:r w:rsidRPr="00D97EF2">
        <w:rPr>
          <w:lang w:val="en-US" w:eastAsia="en-AU"/>
        </w:rPr>
        <w:t>from a focus on</w:t>
      </w:r>
      <w:r w:rsidRPr="00D97EF2" w:rsidDel="00900C2C">
        <w:rPr>
          <w:lang w:val="en-US" w:eastAsia="en-AU"/>
        </w:rPr>
        <w:t xml:space="preserve"> </w:t>
      </w:r>
      <w:r>
        <w:rPr>
          <w:lang w:val="en-US" w:eastAsia="en-AU"/>
        </w:rPr>
        <w:t>evaluation</w:t>
      </w:r>
      <w:r w:rsidRPr="00D97EF2">
        <w:rPr>
          <w:lang w:val="en-US" w:eastAsia="en-AU"/>
        </w:rPr>
        <w:t xml:space="preserve"> </w:t>
      </w:r>
      <w:r w:rsidRPr="00D97EF2" w:rsidDel="00900C2C">
        <w:rPr>
          <w:lang w:val="en-US" w:eastAsia="en-AU"/>
        </w:rPr>
        <w:t xml:space="preserve">of </w:t>
      </w:r>
      <w:r w:rsidRPr="00D97EF2">
        <w:rPr>
          <w:lang w:val="en-US" w:eastAsia="en-AU"/>
        </w:rPr>
        <w:t xml:space="preserve">functions to ensure quality services and outputs, and </w:t>
      </w:r>
      <w:r w:rsidRPr="00D97EF2" w:rsidDel="00900C2C">
        <w:rPr>
          <w:lang w:val="en-US" w:eastAsia="en-AU"/>
        </w:rPr>
        <w:t xml:space="preserve">also from </w:t>
      </w:r>
      <w:r w:rsidRPr="00D97EF2">
        <w:rPr>
          <w:lang w:val="en-US" w:eastAsia="en-AU"/>
        </w:rPr>
        <w:t>necessity in the face of diminishing staff numbers and pressures on overall funding.</w:t>
      </w:r>
    </w:p>
    <w:p w14:paraId="7D231726" w14:textId="0BE64C63" w:rsidR="00EB2B81" w:rsidRPr="00543614" w:rsidRDefault="00EB2B81" w:rsidP="00EB2B81">
      <w:pPr>
        <w:rPr>
          <w:rFonts w:eastAsia="Times New Roman" w:cs="Arial"/>
          <w:color w:val="555555"/>
          <w:lang w:val="en-US" w:eastAsia="en-AU"/>
        </w:rPr>
      </w:pPr>
      <w:r w:rsidRPr="00543614">
        <w:t>The ACMA has experienced a reduction to funding due to whole</w:t>
      </w:r>
      <w:r>
        <w:t>-</w:t>
      </w:r>
      <w:r w:rsidRPr="00543614">
        <w:t>of</w:t>
      </w:r>
      <w:r>
        <w:t>-</w:t>
      </w:r>
      <w:r w:rsidRPr="00543614">
        <w:t xml:space="preserve">government </w:t>
      </w:r>
      <w:r>
        <w:t xml:space="preserve">targeted </w:t>
      </w:r>
      <w:r w:rsidRPr="00543614">
        <w:t xml:space="preserve">saving measures, efficiency dividends and creation of new entities such as the </w:t>
      </w:r>
      <w:r w:rsidR="00822BD7">
        <w:t>DTO</w:t>
      </w:r>
      <w:r w:rsidRPr="00543614">
        <w:t xml:space="preserve">. This has been achieved with review and </w:t>
      </w:r>
      <w:r>
        <w:t>re</w:t>
      </w:r>
      <w:r w:rsidRPr="00543614">
        <w:t xml:space="preserve">structuring of the organisation efficiently to meet the outcomes required by </w:t>
      </w:r>
      <w:r>
        <w:t>g</w:t>
      </w:r>
      <w:r w:rsidRPr="00543614">
        <w:t>overnment.</w:t>
      </w:r>
    </w:p>
    <w:p w14:paraId="463C0404" w14:textId="77777777" w:rsidR="00EB2B81" w:rsidRDefault="00EB2B81" w:rsidP="00EB2B81">
      <w:pPr>
        <w:rPr>
          <w:lang w:val="en-US" w:eastAsia="en-AU"/>
        </w:rPr>
      </w:pPr>
      <w:r w:rsidRPr="001032EA">
        <w:rPr>
          <w:lang w:val="en-US" w:eastAsia="en-AU"/>
        </w:rPr>
        <w:t xml:space="preserve">In comparisons with domestic regulators, and overseas communications regulators, the data indicates that the ACMA is managing its </w:t>
      </w:r>
      <w:r>
        <w:rPr>
          <w:lang w:val="en-US" w:eastAsia="en-AU"/>
        </w:rPr>
        <w:t xml:space="preserve">overall </w:t>
      </w:r>
      <w:r w:rsidRPr="001032EA">
        <w:rPr>
          <w:lang w:val="en-US" w:eastAsia="en-AU"/>
        </w:rPr>
        <w:t>resources effectively when comparing total staff available to administer agency functions. Total expenditure compared to population size is relatively higher in Australia than the UK, Germany and Canada, but this could represent current government priorities and investments in regulating these sectors. Nonetheless, further examination to compare agency functions with overseas regulators in the context of overall resourcing, industry needs and consumer expectations would be a useful area of focus for the ACMA.</w:t>
      </w:r>
    </w:p>
    <w:p w14:paraId="0772E6FF" w14:textId="77777777" w:rsidR="00174EEE" w:rsidRPr="00312EC0" w:rsidRDefault="00174EEE" w:rsidP="00113CF9">
      <w:pPr>
        <w:pStyle w:val="Definitionterm"/>
        <w:pBdr>
          <w:top w:val="single" w:sz="4" w:space="1" w:color="auto"/>
          <w:left w:val="single" w:sz="4" w:space="1" w:color="auto"/>
          <w:bottom w:val="single" w:sz="4" w:space="1" w:color="auto"/>
          <w:right w:val="single" w:sz="4" w:space="1" w:color="auto"/>
        </w:pBdr>
        <w:shd w:val="clear" w:color="auto" w:fill="CCE0EC"/>
        <w:spacing w:before="0" w:line="360" w:lineRule="auto"/>
        <w:rPr>
          <w:b w:val="0"/>
        </w:rPr>
      </w:pPr>
      <w:r w:rsidRPr="00D54776">
        <w:rPr>
          <w:b w:val="0"/>
        </w:rPr>
        <w:t>Draft proposal</w:t>
      </w:r>
      <w:r>
        <w:rPr>
          <w:b w:val="0"/>
        </w:rPr>
        <w:t>:</w:t>
      </w:r>
    </w:p>
    <w:p w14:paraId="5E147A6F" w14:textId="174567D5" w:rsidR="00174EEE" w:rsidRDefault="00113CF9" w:rsidP="00113CF9">
      <w:pPr>
        <w:pBdr>
          <w:top w:val="single" w:sz="4" w:space="1" w:color="auto"/>
          <w:left w:val="single" w:sz="4" w:space="1" w:color="auto"/>
          <w:bottom w:val="single" w:sz="4" w:space="1" w:color="auto"/>
          <w:right w:val="single" w:sz="4" w:space="1" w:color="auto"/>
        </w:pBdr>
        <w:shd w:val="clear" w:color="auto" w:fill="CCE0EC"/>
        <w:ind w:left="567" w:hanging="567"/>
      </w:pPr>
      <w:r>
        <w:t>2</w:t>
      </w:r>
      <w:r w:rsidR="002F0F26">
        <w:t>6</w:t>
      </w:r>
      <w:r>
        <w:t>.</w:t>
      </w:r>
      <w:r>
        <w:tab/>
      </w:r>
      <w:r w:rsidR="00174EEE">
        <w:t>That the ACMA should further analyse its cost base, in light of the proposed function changes, to ensure it is efficiently delivering on its responsibilities and minimising costs to industry.</w:t>
      </w:r>
    </w:p>
    <w:p w14:paraId="52A9DE32" w14:textId="77777777" w:rsidR="00EB2B81" w:rsidRDefault="00EB2B81" w:rsidP="00EB2B81">
      <w:r>
        <w:br w:type="page"/>
      </w:r>
    </w:p>
    <w:p w14:paraId="59BE1741" w14:textId="77777777" w:rsidR="00EB2B81" w:rsidRDefault="00EB2B81" w:rsidP="001054D7">
      <w:pPr>
        <w:pStyle w:val="Heading3"/>
      </w:pPr>
      <w:bookmarkStart w:id="922" w:name="_Toc449432135"/>
      <w:bookmarkStart w:id="923" w:name="_Toc449438602"/>
      <w:bookmarkStart w:id="924" w:name="_Toc450310203"/>
      <w:r>
        <w:t>Appendix D: Terms of Reference</w:t>
      </w:r>
      <w:bookmarkEnd w:id="922"/>
      <w:bookmarkEnd w:id="923"/>
      <w:bookmarkEnd w:id="924"/>
    </w:p>
    <w:p w14:paraId="6C8EF273" w14:textId="77777777" w:rsidR="00EB2B81" w:rsidRPr="002E3C4D" w:rsidRDefault="00EB2B81" w:rsidP="00EB2B81">
      <w:r>
        <w:t>The Terms of Reference directed the Review to</w:t>
      </w:r>
      <w:r w:rsidRPr="002E3C4D">
        <w:t xml:space="preserve"> examine and provide a report to the Minister for Communications</w:t>
      </w:r>
      <w:r>
        <w:t xml:space="preserve"> and the Arts</w:t>
      </w:r>
      <w:r w:rsidRPr="002E3C4D">
        <w:t xml:space="preserve"> on:</w:t>
      </w:r>
    </w:p>
    <w:p w14:paraId="42F81DD0" w14:textId="77777777" w:rsidR="00EB2B81" w:rsidRDefault="00EB2B81" w:rsidP="00EB2B81">
      <w:pPr>
        <w:pStyle w:val="Bulletlevel1"/>
      </w:pPr>
      <w:r w:rsidRPr="002E3C4D">
        <w:t>The current objectives of the entity as determined by the Government’s forward priorities, other reviews and contemporary pressures of the broadening ‘digital’ character of the sector;</w:t>
      </w:r>
    </w:p>
    <w:p w14:paraId="439C8E1A" w14:textId="77777777" w:rsidR="00EB2B81" w:rsidRDefault="00EB2B81" w:rsidP="00EB2B81">
      <w:pPr>
        <w:pStyle w:val="Bulletlevel1"/>
      </w:pPr>
      <w:r w:rsidRPr="002E3C4D">
        <w:t>The efficiency of the ACMA in delivering its functions to support these</w:t>
      </w:r>
      <w:r>
        <w:t xml:space="preserve"> </w:t>
      </w:r>
      <w:r w:rsidRPr="002E3C4D">
        <w:t>priorities, any areas requiring improvement, and potential alternative arrangements (including costs/benefit analysis and implementation actions required) that could improve efficiency, where required;</w:t>
      </w:r>
    </w:p>
    <w:p w14:paraId="6804579B" w14:textId="77777777" w:rsidR="00EB2B81" w:rsidRDefault="00EB2B81" w:rsidP="00EB2B81">
      <w:pPr>
        <w:pStyle w:val="Bulletlevel1"/>
      </w:pPr>
      <w:r w:rsidRPr="002E3C4D">
        <w:t xml:space="preserve">The recent performance of the ACMA set broadly against the Government’s </w:t>
      </w:r>
      <w:r w:rsidRPr="0022201C">
        <w:rPr>
          <w:i/>
        </w:rPr>
        <w:t>Regulator Performance Framework</w:t>
      </w:r>
      <w:r w:rsidRPr="002E3C4D">
        <w:t xml:space="preserve"> and any areas for improvement;</w:t>
      </w:r>
      <w:r>
        <w:t xml:space="preserve"> and</w:t>
      </w:r>
    </w:p>
    <w:p w14:paraId="09A1BF30" w14:textId="77777777" w:rsidR="00EB2B81" w:rsidRPr="002E3C4D" w:rsidRDefault="00EB2B81" w:rsidP="00EB2B81">
      <w:pPr>
        <w:pStyle w:val="Bulletlevel1"/>
      </w:pPr>
      <w:r w:rsidRPr="002E3C4D">
        <w:t>The current resource base of the organisation and relative contributions from current sources—i.e. government funding, industry cost recovery and/or levy arrangements and funding from other sources.</w:t>
      </w:r>
    </w:p>
    <w:p w14:paraId="1D303ACE" w14:textId="77777777" w:rsidR="00EB2B81" w:rsidRPr="002E3C4D" w:rsidRDefault="00EB2B81" w:rsidP="00EB2B81">
      <w:r w:rsidRPr="002E3C4D">
        <w:t xml:space="preserve">The </w:t>
      </w:r>
      <w:r>
        <w:t>Review was</w:t>
      </w:r>
      <w:r w:rsidRPr="002E3C4D">
        <w:t xml:space="preserve"> also </w:t>
      </w:r>
      <w:r>
        <w:t>directed to</w:t>
      </w:r>
      <w:r w:rsidRPr="002E3C4D">
        <w:t xml:space="preserve"> provide recommendations to the Minister for Communications and the Arts on options for reform in relation to:</w:t>
      </w:r>
    </w:p>
    <w:p w14:paraId="5E4CA44F" w14:textId="77777777" w:rsidR="00EB2B81" w:rsidRDefault="00EB2B81" w:rsidP="00EB2B81">
      <w:pPr>
        <w:pStyle w:val="Bulletlevel1"/>
      </w:pPr>
      <w:r w:rsidRPr="002E3C4D">
        <w:t>The future objectives and functions of the regulator;</w:t>
      </w:r>
    </w:p>
    <w:p w14:paraId="3D4862BC" w14:textId="77777777" w:rsidR="00EB2B81" w:rsidRDefault="00EB2B81" w:rsidP="00EB2B81">
      <w:pPr>
        <w:pStyle w:val="Bulletlevel1"/>
      </w:pPr>
      <w:r w:rsidRPr="002E3C4D">
        <w:t>Design settings to enhance performance and the achievement of good regulatory outcomes</w:t>
      </w:r>
      <w:r>
        <w:t>;</w:t>
      </w:r>
    </w:p>
    <w:p w14:paraId="1D009FB0" w14:textId="77777777" w:rsidR="00EB2B81" w:rsidRDefault="00EB2B81" w:rsidP="00EB2B81">
      <w:pPr>
        <w:pStyle w:val="Bulletlevel1"/>
      </w:pPr>
      <w:r w:rsidRPr="002E3C4D">
        <w:t>The appropriate structure, governance and accountability arrangements of the regulator;</w:t>
      </w:r>
    </w:p>
    <w:p w14:paraId="3BFAF12A" w14:textId="77777777" w:rsidR="00EB2B81" w:rsidRDefault="00EB2B81" w:rsidP="00EB2B81">
      <w:pPr>
        <w:pStyle w:val="Bulletlevel1"/>
      </w:pPr>
      <w:r w:rsidRPr="002E3C4D">
        <w:t>An appropriate resource base for the regulator and the expected relative contribution from government, industry and other sources; and</w:t>
      </w:r>
    </w:p>
    <w:p w14:paraId="2502A403" w14:textId="77777777" w:rsidR="00EB2B81" w:rsidRPr="002E3C4D" w:rsidRDefault="00EB2B81" w:rsidP="00EB2B81">
      <w:pPr>
        <w:pStyle w:val="Bulletlevel1"/>
      </w:pPr>
      <w:r w:rsidRPr="002E3C4D">
        <w:t>A proposed transition path to implement preferred alternatives to enable proposed changes (if any) to be put in place by 2016</w:t>
      </w:r>
      <w:r w:rsidR="00797065">
        <w:t>–</w:t>
      </w:r>
      <w:r w:rsidRPr="002E3C4D">
        <w:t>17.</w:t>
      </w:r>
    </w:p>
    <w:p w14:paraId="715AD310" w14:textId="77777777" w:rsidR="00EB2B81" w:rsidRPr="002E3C4D" w:rsidRDefault="00EB2B81" w:rsidP="00EB2B81">
      <w:r w:rsidRPr="002E3C4D">
        <w:t xml:space="preserve">The </w:t>
      </w:r>
      <w:r>
        <w:t>R</w:t>
      </w:r>
      <w:r w:rsidRPr="002E3C4D">
        <w:t xml:space="preserve">eview </w:t>
      </w:r>
      <w:r>
        <w:t>was directed to</w:t>
      </w:r>
      <w:r w:rsidRPr="002E3C4D">
        <w:t xml:space="preserve"> have regard to:</w:t>
      </w:r>
    </w:p>
    <w:p w14:paraId="4460140F" w14:textId="77777777" w:rsidR="00EB2B81" w:rsidRDefault="00EB2B81" w:rsidP="00EB2B81">
      <w:pPr>
        <w:pStyle w:val="Bulletlevel1"/>
      </w:pPr>
      <w:r w:rsidRPr="002E3C4D">
        <w:t>The market structure of the communications sector in Australia and relevant changes since 2005;</w:t>
      </w:r>
    </w:p>
    <w:p w14:paraId="34EE580B" w14:textId="77777777" w:rsidR="00EB2B81" w:rsidRDefault="00EB2B81" w:rsidP="00EB2B81">
      <w:pPr>
        <w:pStyle w:val="Bulletlevel1"/>
      </w:pPr>
      <w:r w:rsidRPr="002E3C4D">
        <w:t>The impact of digital network technologies changing media forms and communications platforms;</w:t>
      </w:r>
    </w:p>
    <w:p w14:paraId="36B47A9C" w14:textId="77777777" w:rsidR="00EB2B81" w:rsidRDefault="00EB2B81" w:rsidP="00EB2B81">
      <w:pPr>
        <w:pStyle w:val="Bulletlevel1"/>
      </w:pPr>
      <w:r w:rsidRPr="002E3C4D">
        <w:t>Enduring public interest objectives relevant to citizens and consumers as well as industry</w:t>
      </w:r>
      <w:r>
        <w:t>;</w:t>
      </w:r>
    </w:p>
    <w:p w14:paraId="44D079A1" w14:textId="77777777" w:rsidR="00EB2B81" w:rsidRDefault="00EB2B81" w:rsidP="00EB2B81">
      <w:pPr>
        <w:pStyle w:val="Bulletlevel1"/>
      </w:pPr>
      <w:r w:rsidRPr="002E3C4D">
        <w:t>National and international best practice models of sectoral regulation and regulator governance structures;</w:t>
      </w:r>
    </w:p>
    <w:p w14:paraId="0CD6EFDB" w14:textId="77777777" w:rsidR="00EB2B81" w:rsidRDefault="00EB2B81" w:rsidP="00EB2B81">
      <w:pPr>
        <w:pStyle w:val="Bulletlevel1"/>
      </w:pPr>
      <w:r w:rsidRPr="002E3C4D">
        <w:t>Any announced deregulatory proposals, recognising that these are subject to agreement by the Parliament;</w:t>
      </w:r>
    </w:p>
    <w:p w14:paraId="2CBC5A49" w14:textId="77777777" w:rsidR="00EB2B81" w:rsidRDefault="00EB2B81" w:rsidP="00EB2B81">
      <w:pPr>
        <w:pStyle w:val="Bulletlevel1"/>
      </w:pPr>
      <w:r w:rsidRPr="002E3C4D">
        <w:t>Evidence and views of the ACMA and its stakeholders in relation to its performance;</w:t>
      </w:r>
    </w:p>
    <w:p w14:paraId="50E05F10" w14:textId="77777777" w:rsidR="00EB2B81" w:rsidRDefault="00EB2B81" w:rsidP="00EB2B81">
      <w:pPr>
        <w:pStyle w:val="Bulletlevel1"/>
      </w:pPr>
      <w:r w:rsidRPr="002E3C4D">
        <w:t xml:space="preserve">Future spectrum policy and management arrangements under the </w:t>
      </w:r>
      <w:r w:rsidRPr="00787A98">
        <w:t>Spectrum Review</w:t>
      </w:r>
      <w:r w:rsidRPr="002E3C4D">
        <w:t xml:space="preserve"> being undertaken by the Department;</w:t>
      </w:r>
    </w:p>
    <w:p w14:paraId="4AABB9A9" w14:textId="77777777" w:rsidR="00EB2B81" w:rsidRDefault="00EB2B81" w:rsidP="00EB2B81">
      <w:pPr>
        <w:pStyle w:val="Bulletlevel1"/>
      </w:pPr>
      <w:r w:rsidRPr="002E3C4D">
        <w:t>Any changes to the regulation of infrastructure access arrangements proposed or agreed by Government under the Competition Policy Review; and</w:t>
      </w:r>
    </w:p>
    <w:p w14:paraId="38FE61DC" w14:textId="77777777" w:rsidR="00EB2B81" w:rsidRPr="002E3C4D" w:rsidRDefault="00EB2B81" w:rsidP="00EB2B81">
      <w:pPr>
        <w:pStyle w:val="Bulletlevel1"/>
      </w:pPr>
      <w:r w:rsidRPr="002E3C4D">
        <w:t>Other relevant government policies or matters identified through consultation or research.</w:t>
      </w:r>
    </w:p>
    <w:p w14:paraId="11FD0A1E" w14:textId="77777777" w:rsidR="00EB2B81" w:rsidRDefault="00EB2B81" w:rsidP="00EB2B81">
      <w:r w:rsidRPr="002E3C4D">
        <w:t xml:space="preserve">The </w:t>
      </w:r>
      <w:r>
        <w:t>R</w:t>
      </w:r>
      <w:r w:rsidRPr="002E3C4D">
        <w:t xml:space="preserve">eview does not consider any changes to current conditions for ACMA staff as set out in Part 5 of </w:t>
      </w:r>
      <w:r w:rsidRPr="00E804CB">
        <w:t xml:space="preserve">the </w:t>
      </w:r>
      <w:r>
        <w:rPr>
          <w:i/>
        </w:rPr>
        <w:t>Australian Communications and Media Authority Act (2005)</w:t>
      </w:r>
      <w:r>
        <w:t xml:space="preserve"> (the </w:t>
      </w:r>
      <w:r w:rsidRPr="00E804CB">
        <w:t>ACMA Act</w:t>
      </w:r>
      <w:r>
        <w:t>)</w:t>
      </w:r>
      <w:r w:rsidRPr="00E804CB">
        <w:t>.</w:t>
      </w:r>
    </w:p>
    <w:p w14:paraId="3379E888" w14:textId="77777777" w:rsidR="00EB2B81" w:rsidRDefault="00EB2B81" w:rsidP="003764A2"/>
    <w:sectPr w:rsidR="00EB2B81" w:rsidSect="0084603E">
      <w:headerReference w:type="default" r:id="rId37"/>
      <w:footerReference w:type="default" r:id="rId38"/>
      <w:type w:val="continuous"/>
      <w:pgSz w:w="11906" w:h="16838"/>
      <w:pgMar w:top="1702" w:right="1133" w:bottom="1276" w:left="1440"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314950" w14:textId="77777777" w:rsidR="00D7354F" w:rsidRDefault="00D7354F" w:rsidP="003F0A2D">
      <w:pPr>
        <w:spacing w:after="0"/>
      </w:pPr>
      <w:r>
        <w:separator/>
      </w:r>
    </w:p>
  </w:endnote>
  <w:endnote w:type="continuationSeparator" w:id="0">
    <w:p w14:paraId="3A2E6C0B" w14:textId="77777777" w:rsidR="00D7354F" w:rsidRDefault="00D7354F" w:rsidP="003F0A2D">
      <w:pPr>
        <w:spacing w:after="0"/>
      </w:pPr>
      <w:r>
        <w:continuationSeparator/>
      </w:r>
    </w:p>
  </w:endnote>
  <w:endnote w:type="continuationNotice" w:id="1">
    <w:p w14:paraId="1CC20634" w14:textId="77777777" w:rsidR="00D7354F" w:rsidRDefault="00D7354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swiss"/>
    <w:notTrueType/>
    <w:pitch w:val="default"/>
    <w:sig w:usb0="00000003" w:usb1="00000000" w:usb2="00000000" w:usb3="00000000" w:csb0="00000001" w:csb1="00000000"/>
  </w:font>
  <w:font w:name="TimesNewRoman,Italic">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FA98C" w14:textId="625FC948" w:rsidR="00D7354F" w:rsidRDefault="00D7354F" w:rsidP="00297528">
    <w:pPr>
      <w:pStyle w:val="Footer"/>
      <w:ind w:left="-14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2C699" w14:textId="77777777" w:rsidR="00D7354F" w:rsidRPr="000249BC" w:rsidRDefault="00D7354F" w:rsidP="00EE55BE">
    <w:pPr>
      <w:pStyle w:val="Footer"/>
      <w:tabs>
        <w:tab w:val="clear" w:pos="4513"/>
        <w:tab w:val="clear" w:pos="9026"/>
        <w:tab w:val="center" w:pos="6237"/>
        <w:tab w:val="right" w:pos="9333"/>
      </w:tabs>
      <w:ind w:left="-567"/>
      <w:jc w:val="right"/>
      <w:rPr>
        <w:sz w:val="18"/>
        <w:szCs w:val="18"/>
      </w:rPr>
    </w:pPr>
    <w:r w:rsidRPr="00667D06">
      <w:rPr>
        <w:sz w:val="18"/>
        <w:szCs w:val="18"/>
      </w:rPr>
      <w:t>Review of the Australian Communications and Media Authority</w:t>
    </w:r>
    <w:r>
      <w:rPr>
        <w:sz w:val="18"/>
        <w:szCs w:val="18"/>
      </w:rPr>
      <w:tab/>
    </w:r>
    <w:r w:rsidRPr="009A56D0">
      <w:rPr>
        <w:color w:val="07478C"/>
        <w:sz w:val="18"/>
        <w:szCs w:val="18"/>
      </w:rPr>
      <w:t>www.communications.gov.au</w:t>
    </w:r>
    <w:r>
      <w:rPr>
        <w:sz w:val="18"/>
        <w:szCs w:val="18"/>
      </w:rPr>
      <w:tab/>
    </w:r>
    <w:sdt>
      <w:sdtPr>
        <w:rPr>
          <w:sz w:val="18"/>
          <w:szCs w:val="18"/>
        </w:rPr>
        <w:id w:val="-984167973"/>
        <w:docPartObj>
          <w:docPartGallery w:val="Page Numbers (Top of Page)"/>
          <w:docPartUnique/>
        </w:docPartObj>
      </w:sdtPr>
      <w:sdtEndPr/>
      <w:sdtContent>
        <w:r w:rsidRPr="000249BC">
          <w:rPr>
            <w:sz w:val="18"/>
            <w:szCs w:val="18"/>
          </w:rPr>
          <w:t xml:space="preserve">Page </w:t>
        </w:r>
        <w:r w:rsidRPr="000249BC">
          <w:rPr>
            <w:bCs/>
            <w:sz w:val="18"/>
            <w:szCs w:val="18"/>
          </w:rPr>
          <w:fldChar w:fldCharType="begin"/>
        </w:r>
        <w:r w:rsidRPr="000249BC">
          <w:rPr>
            <w:bCs/>
            <w:sz w:val="18"/>
            <w:szCs w:val="18"/>
          </w:rPr>
          <w:instrText xml:space="preserve"> PAGE </w:instrText>
        </w:r>
        <w:r w:rsidRPr="000249BC">
          <w:rPr>
            <w:bCs/>
            <w:sz w:val="18"/>
            <w:szCs w:val="18"/>
          </w:rPr>
          <w:fldChar w:fldCharType="separate"/>
        </w:r>
        <w:r w:rsidR="00217586">
          <w:rPr>
            <w:bCs/>
            <w:noProof/>
            <w:sz w:val="18"/>
            <w:szCs w:val="18"/>
          </w:rPr>
          <w:t>2</w:t>
        </w:r>
        <w:r w:rsidRPr="000249BC">
          <w:rPr>
            <w:bCs/>
            <w:sz w:val="18"/>
            <w:szCs w:val="18"/>
          </w:rPr>
          <w:fldChar w:fldCharType="end"/>
        </w:r>
        <w:r w:rsidRPr="000249BC">
          <w:rPr>
            <w:sz w:val="18"/>
            <w:szCs w:val="18"/>
          </w:rPr>
          <w:t xml:space="preserve"> of </w:t>
        </w:r>
        <w:r w:rsidRPr="000249BC">
          <w:rPr>
            <w:bCs/>
            <w:sz w:val="18"/>
            <w:szCs w:val="18"/>
          </w:rPr>
          <w:fldChar w:fldCharType="begin"/>
        </w:r>
        <w:r w:rsidRPr="000249BC">
          <w:rPr>
            <w:bCs/>
            <w:sz w:val="18"/>
            <w:szCs w:val="18"/>
          </w:rPr>
          <w:instrText xml:space="preserve"> NUMPAGES  </w:instrText>
        </w:r>
        <w:r w:rsidRPr="000249BC">
          <w:rPr>
            <w:bCs/>
            <w:sz w:val="18"/>
            <w:szCs w:val="18"/>
          </w:rPr>
          <w:fldChar w:fldCharType="separate"/>
        </w:r>
        <w:r w:rsidR="00217586">
          <w:rPr>
            <w:bCs/>
            <w:noProof/>
            <w:sz w:val="18"/>
            <w:szCs w:val="18"/>
          </w:rPr>
          <w:t>97</w:t>
        </w:r>
        <w:r w:rsidRPr="000249BC">
          <w:rPr>
            <w:bCs/>
            <w:sz w:val="18"/>
            <w:szCs w:val="18"/>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3CE31E" w14:textId="77777777" w:rsidR="00D7354F" w:rsidRDefault="00D7354F" w:rsidP="003F0A2D">
      <w:pPr>
        <w:spacing w:after="0"/>
      </w:pPr>
      <w:r>
        <w:separator/>
      </w:r>
    </w:p>
  </w:footnote>
  <w:footnote w:type="continuationSeparator" w:id="0">
    <w:p w14:paraId="1F9546B9" w14:textId="77777777" w:rsidR="00D7354F" w:rsidRDefault="00D7354F" w:rsidP="003F0A2D">
      <w:pPr>
        <w:spacing w:after="0"/>
      </w:pPr>
      <w:r>
        <w:continuationSeparator/>
      </w:r>
    </w:p>
  </w:footnote>
  <w:footnote w:type="continuationNotice" w:id="1">
    <w:p w14:paraId="38328A09" w14:textId="77777777" w:rsidR="00D7354F" w:rsidRDefault="00D7354F">
      <w:pPr>
        <w:spacing w:after="0"/>
      </w:pPr>
    </w:p>
  </w:footnote>
  <w:footnote w:id="2">
    <w:p w14:paraId="1D26FC9B" w14:textId="77777777" w:rsidR="00D7354F" w:rsidRPr="0083747D" w:rsidRDefault="00D7354F" w:rsidP="00911774">
      <w:pPr>
        <w:pStyle w:val="FootnoteText"/>
        <w:rPr>
          <w:sz w:val="18"/>
          <w:szCs w:val="18"/>
        </w:rPr>
      </w:pPr>
      <w:r w:rsidRPr="0083747D">
        <w:rPr>
          <w:rStyle w:val="FootnoteReference"/>
          <w:sz w:val="18"/>
          <w:szCs w:val="18"/>
        </w:rPr>
        <w:footnoteRef/>
      </w:r>
      <w:r w:rsidRPr="0083747D">
        <w:rPr>
          <w:sz w:val="18"/>
          <w:szCs w:val="18"/>
        </w:rPr>
        <w:t xml:space="preserve"> </w:t>
      </w:r>
      <w:hyperlink r:id="rId1" w:history="1">
        <w:r w:rsidRPr="0083747D">
          <w:rPr>
            <w:rStyle w:val="Hyperlink"/>
            <w:sz w:val="18"/>
            <w:szCs w:val="18"/>
          </w:rPr>
          <w:t>Explanatory Memorandum</w:t>
        </w:r>
      </w:hyperlink>
      <w:r w:rsidRPr="0083747D">
        <w:rPr>
          <w:sz w:val="18"/>
          <w:szCs w:val="18"/>
        </w:rPr>
        <w:t xml:space="preserve"> (2004), Australian Communications and Media Authority Bill 2004 (Cth), Outline.</w:t>
      </w:r>
    </w:p>
  </w:footnote>
  <w:footnote w:id="3">
    <w:p w14:paraId="7BB58DB6" w14:textId="77777777" w:rsidR="00D7354F" w:rsidRPr="0083747D" w:rsidRDefault="00D7354F" w:rsidP="00911774">
      <w:pPr>
        <w:pStyle w:val="FootnoteText"/>
        <w:keepNext/>
        <w:rPr>
          <w:sz w:val="18"/>
          <w:szCs w:val="18"/>
        </w:rPr>
      </w:pPr>
      <w:r w:rsidRPr="0083747D">
        <w:rPr>
          <w:rStyle w:val="FootnoteReference"/>
          <w:sz w:val="18"/>
          <w:szCs w:val="18"/>
        </w:rPr>
        <w:footnoteRef/>
      </w:r>
      <w:r w:rsidRPr="0083747D">
        <w:rPr>
          <w:sz w:val="18"/>
          <w:szCs w:val="18"/>
        </w:rPr>
        <w:t xml:space="preserve"> Key pieces of legislation which the ACMA is responsible for administering include the:</w:t>
      </w:r>
    </w:p>
    <w:p w14:paraId="7F0A834A" w14:textId="77777777" w:rsidR="00D7354F" w:rsidRPr="0083747D" w:rsidRDefault="00D7354F" w:rsidP="00A27DC5">
      <w:pPr>
        <w:keepNext/>
        <w:numPr>
          <w:ilvl w:val="0"/>
          <w:numId w:val="9"/>
        </w:numPr>
        <w:spacing w:after="0"/>
        <w:ind w:left="714" w:hanging="357"/>
        <w:contextualSpacing/>
        <w:rPr>
          <w:rFonts w:eastAsia="Times New Roman"/>
          <w:i/>
          <w:iCs/>
          <w:sz w:val="18"/>
          <w:szCs w:val="18"/>
        </w:rPr>
      </w:pPr>
      <w:r w:rsidRPr="0083747D">
        <w:rPr>
          <w:rFonts w:eastAsia="Times New Roman"/>
          <w:i/>
          <w:iCs/>
          <w:sz w:val="18"/>
          <w:szCs w:val="18"/>
        </w:rPr>
        <w:t>Australian Communications and Media Authority Act 2005;</w:t>
      </w:r>
    </w:p>
    <w:p w14:paraId="515B979B" w14:textId="77777777" w:rsidR="00D7354F" w:rsidRPr="0083747D" w:rsidRDefault="00D7354F" w:rsidP="00A27DC5">
      <w:pPr>
        <w:keepNext/>
        <w:numPr>
          <w:ilvl w:val="0"/>
          <w:numId w:val="9"/>
        </w:numPr>
        <w:spacing w:before="120" w:after="0"/>
        <w:contextualSpacing/>
        <w:rPr>
          <w:rFonts w:eastAsia="Times New Roman"/>
          <w:i/>
          <w:iCs/>
          <w:sz w:val="18"/>
          <w:szCs w:val="18"/>
        </w:rPr>
      </w:pPr>
      <w:r w:rsidRPr="0083747D">
        <w:rPr>
          <w:rFonts w:eastAsia="Times New Roman"/>
          <w:i/>
          <w:iCs/>
          <w:sz w:val="18"/>
          <w:szCs w:val="18"/>
        </w:rPr>
        <w:t>Broadcasting Services Act 1992;</w:t>
      </w:r>
    </w:p>
    <w:p w14:paraId="41D3FA89" w14:textId="77777777" w:rsidR="00D7354F" w:rsidRPr="0083747D" w:rsidRDefault="00D7354F" w:rsidP="00A27DC5">
      <w:pPr>
        <w:keepNext/>
        <w:numPr>
          <w:ilvl w:val="0"/>
          <w:numId w:val="9"/>
        </w:numPr>
        <w:spacing w:before="120" w:after="0"/>
        <w:contextualSpacing/>
        <w:rPr>
          <w:rFonts w:eastAsia="Times New Roman"/>
          <w:sz w:val="18"/>
          <w:szCs w:val="18"/>
        </w:rPr>
      </w:pPr>
      <w:r w:rsidRPr="0083747D">
        <w:rPr>
          <w:rFonts w:eastAsia="Times New Roman"/>
          <w:i/>
          <w:iCs/>
          <w:sz w:val="18"/>
          <w:szCs w:val="18"/>
        </w:rPr>
        <w:t>Do Not Call Register Act 2006;</w:t>
      </w:r>
    </w:p>
    <w:p w14:paraId="7C3F42D1" w14:textId="77777777" w:rsidR="00D7354F" w:rsidRPr="0083747D" w:rsidRDefault="00D7354F" w:rsidP="00A27DC5">
      <w:pPr>
        <w:keepNext/>
        <w:numPr>
          <w:ilvl w:val="0"/>
          <w:numId w:val="9"/>
        </w:numPr>
        <w:spacing w:before="120" w:after="0"/>
        <w:contextualSpacing/>
        <w:rPr>
          <w:rFonts w:eastAsia="Times New Roman"/>
          <w:i/>
          <w:iCs/>
          <w:sz w:val="18"/>
          <w:szCs w:val="18"/>
        </w:rPr>
      </w:pPr>
      <w:r w:rsidRPr="0083747D">
        <w:rPr>
          <w:rFonts w:eastAsia="Times New Roman"/>
          <w:i/>
          <w:iCs/>
          <w:sz w:val="18"/>
          <w:szCs w:val="18"/>
        </w:rPr>
        <w:t>Interactive Gambling Act 2001;</w:t>
      </w:r>
    </w:p>
    <w:p w14:paraId="21F33F18" w14:textId="77777777" w:rsidR="00D7354F" w:rsidRDefault="00D7354F" w:rsidP="00A27DC5">
      <w:pPr>
        <w:keepNext/>
        <w:numPr>
          <w:ilvl w:val="0"/>
          <w:numId w:val="9"/>
        </w:numPr>
        <w:spacing w:before="120" w:after="0"/>
        <w:contextualSpacing/>
        <w:rPr>
          <w:rFonts w:eastAsia="Times New Roman"/>
          <w:i/>
          <w:iCs/>
          <w:sz w:val="18"/>
          <w:szCs w:val="18"/>
        </w:rPr>
      </w:pPr>
      <w:r w:rsidRPr="0083747D">
        <w:rPr>
          <w:rFonts w:eastAsia="Times New Roman"/>
          <w:i/>
          <w:iCs/>
          <w:sz w:val="18"/>
          <w:szCs w:val="18"/>
        </w:rPr>
        <w:t>Radiocommunications Act 1992;</w:t>
      </w:r>
    </w:p>
    <w:p w14:paraId="0BC8363E" w14:textId="77777777" w:rsidR="00D7354F" w:rsidRPr="0083747D" w:rsidRDefault="00D7354F" w:rsidP="00A27DC5">
      <w:pPr>
        <w:keepNext/>
        <w:numPr>
          <w:ilvl w:val="0"/>
          <w:numId w:val="9"/>
        </w:numPr>
        <w:spacing w:before="120" w:after="0"/>
        <w:contextualSpacing/>
        <w:rPr>
          <w:rFonts w:eastAsia="Times New Roman"/>
          <w:i/>
          <w:iCs/>
          <w:sz w:val="18"/>
          <w:szCs w:val="18"/>
        </w:rPr>
      </w:pPr>
      <w:r w:rsidRPr="0083747D">
        <w:rPr>
          <w:rFonts w:eastAsia="Times New Roman"/>
          <w:i/>
          <w:iCs/>
          <w:sz w:val="18"/>
          <w:szCs w:val="18"/>
        </w:rPr>
        <w:t>Spam Act 2003;</w:t>
      </w:r>
    </w:p>
    <w:p w14:paraId="1AD596AF" w14:textId="77777777" w:rsidR="00D7354F" w:rsidRPr="0083747D" w:rsidRDefault="00D7354F" w:rsidP="00A27DC5">
      <w:pPr>
        <w:keepNext/>
        <w:numPr>
          <w:ilvl w:val="0"/>
          <w:numId w:val="9"/>
        </w:numPr>
        <w:spacing w:before="120" w:after="0"/>
        <w:contextualSpacing/>
        <w:rPr>
          <w:rFonts w:eastAsia="Times New Roman"/>
          <w:i/>
          <w:iCs/>
          <w:sz w:val="18"/>
          <w:szCs w:val="18"/>
        </w:rPr>
      </w:pPr>
      <w:r w:rsidRPr="0083747D">
        <w:rPr>
          <w:rFonts w:eastAsia="Times New Roman"/>
          <w:i/>
          <w:iCs/>
          <w:sz w:val="18"/>
          <w:szCs w:val="18"/>
        </w:rPr>
        <w:t xml:space="preserve">Telecommunications Act 1997; </w:t>
      </w:r>
      <w:r w:rsidRPr="00CB4DEF">
        <w:rPr>
          <w:rFonts w:eastAsia="Times New Roman"/>
          <w:iCs/>
          <w:sz w:val="18"/>
          <w:szCs w:val="18"/>
        </w:rPr>
        <w:t>and</w:t>
      </w:r>
    </w:p>
    <w:p w14:paraId="0F0266DB" w14:textId="77777777" w:rsidR="00D7354F" w:rsidRPr="004E33ED" w:rsidRDefault="00D7354F" w:rsidP="00A27DC5">
      <w:pPr>
        <w:pStyle w:val="FootnoteText"/>
        <w:keepNext/>
        <w:numPr>
          <w:ilvl w:val="0"/>
          <w:numId w:val="9"/>
        </w:numPr>
      </w:pPr>
      <w:r w:rsidRPr="0083747D">
        <w:rPr>
          <w:rFonts w:eastAsia="Times New Roman"/>
          <w:i/>
          <w:iCs/>
          <w:sz w:val="18"/>
          <w:szCs w:val="18"/>
        </w:rPr>
        <w:t>Telecommunications (Consumer Protection and Service Standards) Act 1999.</w:t>
      </w:r>
    </w:p>
  </w:footnote>
  <w:footnote w:id="4">
    <w:p w14:paraId="6A30AAA2" w14:textId="77777777" w:rsidR="00D7354F" w:rsidRPr="008A078D" w:rsidRDefault="00D7354F" w:rsidP="00911774">
      <w:pPr>
        <w:pStyle w:val="FootnoteText"/>
        <w:rPr>
          <w:sz w:val="18"/>
          <w:szCs w:val="18"/>
        </w:rPr>
      </w:pPr>
      <w:r w:rsidRPr="008A078D">
        <w:rPr>
          <w:rStyle w:val="FootnoteReference"/>
          <w:sz w:val="18"/>
          <w:szCs w:val="18"/>
        </w:rPr>
        <w:footnoteRef/>
      </w:r>
      <w:r w:rsidRPr="008A078D">
        <w:rPr>
          <w:sz w:val="18"/>
          <w:szCs w:val="18"/>
        </w:rPr>
        <w:t xml:space="preserve"> Information on the Contestability Framework is available on the </w:t>
      </w:r>
      <w:hyperlink r:id="rId2" w:history="1">
        <w:r w:rsidRPr="008A078D">
          <w:rPr>
            <w:rStyle w:val="Hyperlink"/>
            <w:sz w:val="18"/>
            <w:szCs w:val="18"/>
          </w:rPr>
          <w:t>Department of Finance website</w:t>
        </w:r>
      </w:hyperlink>
      <w:r w:rsidRPr="008A078D">
        <w:rPr>
          <w:sz w:val="18"/>
          <w:szCs w:val="18"/>
        </w:rPr>
        <w:t>.</w:t>
      </w:r>
    </w:p>
  </w:footnote>
  <w:footnote w:id="5">
    <w:p w14:paraId="680F0934" w14:textId="1D0D1EB3" w:rsidR="00D7354F" w:rsidRDefault="00D7354F" w:rsidP="00911774">
      <w:pPr>
        <w:pStyle w:val="FootnoteText"/>
      </w:pPr>
      <w:r w:rsidRPr="008A078D">
        <w:rPr>
          <w:rStyle w:val="FootnoteReference"/>
          <w:sz w:val="18"/>
          <w:szCs w:val="18"/>
        </w:rPr>
        <w:footnoteRef/>
      </w:r>
      <w:r w:rsidRPr="008A078D">
        <w:rPr>
          <w:sz w:val="18"/>
          <w:szCs w:val="18"/>
        </w:rPr>
        <w:t xml:space="preserve"> A list of the principal activities performed by the ACMA is </w:t>
      </w:r>
      <w:r>
        <w:rPr>
          <w:sz w:val="18"/>
          <w:szCs w:val="18"/>
        </w:rPr>
        <w:t>provided in the Remit section of Part Two</w:t>
      </w:r>
      <w:r w:rsidRPr="008A078D">
        <w:rPr>
          <w:sz w:val="18"/>
          <w:szCs w:val="18"/>
        </w:rPr>
        <w:t>.</w:t>
      </w:r>
    </w:p>
  </w:footnote>
  <w:footnote w:id="6">
    <w:p w14:paraId="7A791047" w14:textId="50322823" w:rsidR="00D7354F" w:rsidRPr="008D03E8" w:rsidRDefault="00D7354F">
      <w:pPr>
        <w:pStyle w:val="FootnoteText"/>
      </w:pPr>
      <w:r>
        <w:rPr>
          <w:rStyle w:val="FootnoteReference"/>
        </w:rPr>
        <w:footnoteRef/>
      </w:r>
      <w:r>
        <w:t xml:space="preserve"> </w:t>
      </w:r>
      <w:r>
        <w:rPr>
          <w:i/>
        </w:rPr>
        <w:t>Australian Government response to the</w:t>
      </w:r>
      <w:r w:rsidRPr="008D03E8">
        <w:rPr>
          <w:i/>
        </w:rPr>
        <w:t xml:space="preserve"> </w:t>
      </w:r>
      <w:r w:rsidRPr="00C46989">
        <w:rPr>
          <w:rFonts w:cs="Times New Roman"/>
          <w:i/>
        </w:rPr>
        <w:t>Regional Telecommunications Independent Review Committee report</w:t>
      </w:r>
      <w:r>
        <w:rPr>
          <w:rFonts w:cs="Times New Roman"/>
        </w:rPr>
        <w:t>: February 2016, p.10</w:t>
      </w:r>
    </w:p>
  </w:footnote>
  <w:footnote w:id="7">
    <w:p w14:paraId="23E0EF80" w14:textId="77777777" w:rsidR="00D7354F" w:rsidRPr="008A078D" w:rsidRDefault="00D7354F" w:rsidP="00911774">
      <w:pPr>
        <w:pStyle w:val="FootnoteText"/>
        <w:rPr>
          <w:sz w:val="18"/>
          <w:szCs w:val="18"/>
        </w:rPr>
      </w:pPr>
      <w:r w:rsidRPr="008A078D">
        <w:rPr>
          <w:rStyle w:val="FootnoteReference"/>
          <w:sz w:val="18"/>
          <w:szCs w:val="18"/>
        </w:rPr>
        <w:footnoteRef/>
      </w:r>
      <w:r w:rsidRPr="008A078D">
        <w:rPr>
          <w:sz w:val="18"/>
          <w:szCs w:val="18"/>
        </w:rPr>
        <w:t xml:space="preserve"> Department of Communications and the Arts (2013), </w:t>
      </w:r>
      <w:r>
        <w:rPr>
          <w:sz w:val="18"/>
          <w:szCs w:val="18"/>
        </w:rPr>
        <w:t>‘</w:t>
      </w:r>
      <w:hyperlink r:id="rId3" w:history="1">
        <w:r>
          <w:rPr>
            <w:rStyle w:val="Hyperlink"/>
            <w:sz w:val="18"/>
            <w:szCs w:val="18"/>
          </w:rPr>
          <w:t>Deregulation in the Communications Portfolio’</w:t>
        </w:r>
      </w:hyperlink>
      <w:r>
        <w:rPr>
          <w:sz w:val="18"/>
          <w:szCs w:val="18"/>
        </w:rPr>
        <w:t xml:space="preserve"> </w:t>
      </w:r>
      <w:r w:rsidRPr="008A078D">
        <w:rPr>
          <w:sz w:val="18"/>
          <w:szCs w:val="18"/>
        </w:rPr>
        <w:t>Policy Background Paper No 1</w:t>
      </w:r>
      <w:r>
        <w:rPr>
          <w:sz w:val="18"/>
          <w:szCs w:val="18"/>
        </w:rPr>
        <w:t>,</w:t>
      </w:r>
      <w:r w:rsidRPr="008A078D">
        <w:rPr>
          <w:sz w:val="18"/>
          <w:szCs w:val="18"/>
        </w:rPr>
        <w:t xml:space="preserve"> p.6</w:t>
      </w:r>
      <w:r>
        <w:rPr>
          <w:sz w:val="18"/>
          <w:szCs w:val="18"/>
        </w:rPr>
        <w:t>.</w:t>
      </w:r>
    </w:p>
  </w:footnote>
  <w:footnote w:id="8">
    <w:p w14:paraId="0750D2A7" w14:textId="77777777" w:rsidR="00D7354F" w:rsidRPr="001447A0" w:rsidRDefault="00D7354F" w:rsidP="005E6B84">
      <w:pPr>
        <w:pStyle w:val="FootnoteText"/>
        <w:rPr>
          <w:sz w:val="18"/>
          <w:szCs w:val="18"/>
        </w:rPr>
      </w:pPr>
      <w:r w:rsidRPr="001447A0">
        <w:rPr>
          <w:rStyle w:val="FootnoteReference"/>
          <w:sz w:val="18"/>
          <w:szCs w:val="18"/>
        </w:rPr>
        <w:footnoteRef/>
      </w:r>
      <w:r w:rsidRPr="001447A0">
        <w:rPr>
          <w:sz w:val="18"/>
          <w:szCs w:val="18"/>
        </w:rPr>
        <w:t xml:space="preserve"> Australian Council of Learned Academies (2015), </w:t>
      </w:r>
      <w:r>
        <w:rPr>
          <w:sz w:val="18"/>
          <w:szCs w:val="18"/>
        </w:rPr>
        <w:t>‘</w:t>
      </w:r>
      <w:hyperlink r:id="rId4" w:history="1">
        <w:r w:rsidRPr="001447A0">
          <w:rPr>
            <w:rStyle w:val="Hyperlink"/>
            <w:sz w:val="18"/>
            <w:szCs w:val="18"/>
          </w:rPr>
          <w:t>Technology and Australia’s Future</w:t>
        </w:r>
      </w:hyperlink>
      <w:r>
        <w:rPr>
          <w:sz w:val="18"/>
          <w:szCs w:val="18"/>
        </w:rPr>
        <w:t>’,</w:t>
      </w:r>
      <w:r w:rsidRPr="001447A0">
        <w:rPr>
          <w:sz w:val="18"/>
          <w:szCs w:val="18"/>
        </w:rPr>
        <w:t xml:space="preserve"> p. 39.</w:t>
      </w:r>
    </w:p>
  </w:footnote>
  <w:footnote w:id="9">
    <w:p w14:paraId="42ADF947" w14:textId="77777777" w:rsidR="00D7354F" w:rsidRPr="001447A0" w:rsidRDefault="00D7354F" w:rsidP="005E6B84">
      <w:pPr>
        <w:pStyle w:val="FootnoteText"/>
        <w:rPr>
          <w:sz w:val="18"/>
          <w:szCs w:val="18"/>
        </w:rPr>
      </w:pPr>
      <w:r w:rsidRPr="001447A0">
        <w:rPr>
          <w:rStyle w:val="FootnoteReference"/>
          <w:sz w:val="18"/>
          <w:szCs w:val="18"/>
        </w:rPr>
        <w:footnoteRef/>
      </w:r>
      <w:r w:rsidRPr="001447A0">
        <w:rPr>
          <w:sz w:val="18"/>
          <w:szCs w:val="18"/>
        </w:rPr>
        <w:t xml:space="preserve"> OECD (2014), </w:t>
      </w:r>
      <w:r>
        <w:rPr>
          <w:sz w:val="18"/>
          <w:szCs w:val="18"/>
        </w:rPr>
        <w:t>‘</w:t>
      </w:r>
      <w:hyperlink r:id="rId5" w:history="1">
        <w:r w:rsidRPr="001447A0">
          <w:rPr>
            <w:rStyle w:val="Hyperlink"/>
            <w:sz w:val="18"/>
            <w:szCs w:val="18"/>
          </w:rPr>
          <w:t>Measuring the Digital Economy: A New Perspective</w:t>
        </w:r>
      </w:hyperlink>
      <w:r>
        <w:rPr>
          <w:sz w:val="18"/>
          <w:szCs w:val="18"/>
        </w:rPr>
        <w:t>’,</w:t>
      </w:r>
      <w:r w:rsidRPr="001447A0">
        <w:rPr>
          <w:sz w:val="18"/>
          <w:szCs w:val="18"/>
        </w:rPr>
        <w:t xml:space="preserve"> p</w:t>
      </w:r>
      <w:r>
        <w:rPr>
          <w:sz w:val="18"/>
          <w:szCs w:val="18"/>
        </w:rPr>
        <w:t>p</w:t>
      </w:r>
      <w:r w:rsidRPr="001447A0">
        <w:rPr>
          <w:sz w:val="18"/>
          <w:szCs w:val="18"/>
        </w:rPr>
        <w:t>. 75-103.</w:t>
      </w:r>
    </w:p>
  </w:footnote>
  <w:footnote w:id="10">
    <w:p w14:paraId="274103DE" w14:textId="77777777" w:rsidR="00D7354F" w:rsidRPr="001447A0" w:rsidRDefault="00D7354F" w:rsidP="005E6B84">
      <w:pPr>
        <w:pStyle w:val="FootnoteText"/>
        <w:rPr>
          <w:sz w:val="18"/>
          <w:szCs w:val="18"/>
        </w:rPr>
      </w:pPr>
      <w:r w:rsidRPr="001447A0">
        <w:rPr>
          <w:rStyle w:val="FootnoteReference"/>
          <w:sz w:val="18"/>
          <w:szCs w:val="18"/>
        </w:rPr>
        <w:footnoteRef/>
      </w:r>
      <w:r w:rsidRPr="001447A0">
        <w:rPr>
          <w:sz w:val="18"/>
          <w:szCs w:val="18"/>
        </w:rPr>
        <w:t xml:space="preserve"> Commonwealth of Australia (2015), </w:t>
      </w:r>
      <w:r>
        <w:rPr>
          <w:sz w:val="18"/>
          <w:szCs w:val="18"/>
        </w:rPr>
        <w:t>‘</w:t>
      </w:r>
      <w:hyperlink r:id="rId6" w:history="1">
        <w:r w:rsidRPr="001447A0">
          <w:rPr>
            <w:rStyle w:val="Hyperlink"/>
            <w:sz w:val="18"/>
            <w:szCs w:val="18"/>
          </w:rPr>
          <w:t>National Innovation and Science Agenda</w:t>
        </w:r>
      </w:hyperlink>
      <w:r>
        <w:rPr>
          <w:sz w:val="18"/>
          <w:szCs w:val="18"/>
        </w:rPr>
        <w:t>’,</w:t>
      </w:r>
      <w:r w:rsidRPr="001447A0">
        <w:rPr>
          <w:sz w:val="18"/>
          <w:szCs w:val="18"/>
        </w:rPr>
        <w:t xml:space="preserve"> p.3.</w:t>
      </w:r>
    </w:p>
  </w:footnote>
  <w:footnote w:id="11">
    <w:p w14:paraId="043E24C8" w14:textId="77777777" w:rsidR="00D7354F" w:rsidRPr="001447A0" w:rsidRDefault="00D7354F" w:rsidP="005E6B84">
      <w:pPr>
        <w:pStyle w:val="FootnoteText"/>
        <w:rPr>
          <w:sz w:val="18"/>
          <w:szCs w:val="18"/>
        </w:rPr>
      </w:pPr>
      <w:r w:rsidRPr="001447A0">
        <w:rPr>
          <w:rStyle w:val="FootnoteReference"/>
          <w:sz w:val="18"/>
          <w:szCs w:val="18"/>
        </w:rPr>
        <w:footnoteRef/>
      </w:r>
      <w:r w:rsidRPr="001447A0">
        <w:rPr>
          <w:sz w:val="18"/>
          <w:szCs w:val="18"/>
        </w:rPr>
        <w:t xml:space="preserve"> Bureau of Communications Research, Department of Communications and the Arts (2016), </w:t>
      </w:r>
      <w:r>
        <w:rPr>
          <w:sz w:val="18"/>
          <w:szCs w:val="18"/>
        </w:rPr>
        <w:t>‘</w:t>
      </w:r>
      <w:hyperlink r:id="rId7" w:history="1">
        <w:r w:rsidRPr="001447A0">
          <w:rPr>
            <w:rStyle w:val="Hyperlink"/>
            <w:sz w:val="18"/>
            <w:szCs w:val="18"/>
          </w:rPr>
          <w:t>IT use and Australia’s productivity: Where are we now?</w:t>
        </w:r>
      </w:hyperlink>
      <w:r>
        <w:rPr>
          <w:rStyle w:val="Hyperlink"/>
          <w:sz w:val="18"/>
          <w:szCs w:val="18"/>
        </w:rPr>
        <w:t>’.</w:t>
      </w:r>
    </w:p>
  </w:footnote>
  <w:footnote w:id="12">
    <w:p w14:paraId="5F15CAEC" w14:textId="77777777" w:rsidR="00D7354F" w:rsidRDefault="00D7354F" w:rsidP="005E6B84">
      <w:pPr>
        <w:pStyle w:val="FootnoteText"/>
      </w:pPr>
      <w:r w:rsidRPr="001447A0">
        <w:rPr>
          <w:rStyle w:val="FootnoteReference"/>
          <w:sz w:val="18"/>
          <w:szCs w:val="18"/>
        </w:rPr>
        <w:footnoteRef/>
      </w:r>
      <w:r w:rsidRPr="001447A0">
        <w:rPr>
          <w:sz w:val="18"/>
          <w:szCs w:val="18"/>
        </w:rPr>
        <w:t xml:space="preserve"> OECD (2008), </w:t>
      </w:r>
      <w:r>
        <w:rPr>
          <w:sz w:val="18"/>
          <w:szCs w:val="18"/>
        </w:rPr>
        <w:t>‘</w:t>
      </w:r>
      <w:hyperlink r:id="rId8" w:history="1">
        <w:r w:rsidRPr="001447A0">
          <w:rPr>
            <w:rStyle w:val="Hyperlink"/>
            <w:sz w:val="18"/>
            <w:szCs w:val="18"/>
          </w:rPr>
          <w:t>Broadband and the Economy</w:t>
        </w:r>
      </w:hyperlink>
      <w:r>
        <w:rPr>
          <w:sz w:val="18"/>
          <w:szCs w:val="18"/>
        </w:rPr>
        <w:t>’,</w:t>
      </w:r>
      <w:r w:rsidRPr="001447A0">
        <w:rPr>
          <w:sz w:val="18"/>
          <w:szCs w:val="18"/>
        </w:rPr>
        <w:t xml:space="preserve"> p.9.</w:t>
      </w:r>
    </w:p>
  </w:footnote>
  <w:footnote w:id="13">
    <w:p w14:paraId="62169766" w14:textId="77777777" w:rsidR="00D7354F" w:rsidRPr="008129CD" w:rsidRDefault="00D7354F" w:rsidP="005E6B84">
      <w:pPr>
        <w:pStyle w:val="FootnoteText"/>
        <w:rPr>
          <w:sz w:val="18"/>
          <w:szCs w:val="18"/>
        </w:rPr>
      </w:pPr>
      <w:r w:rsidRPr="008129CD">
        <w:rPr>
          <w:rStyle w:val="FootnoteReference"/>
          <w:sz w:val="18"/>
          <w:szCs w:val="18"/>
        </w:rPr>
        <w:footnoteRef/>
      </w:r>
      <w:r w:rsidRPr="008129CD">
        <w:rPr>
          <w:sz w:val="18"/>
          <w:szCs w:val="18"/>
        </w:rPr>
        <w:t xml:space="preserve"> See Remit section under Part Two for more detail on these layers.</w:t>
      </w:r>
    </w:p>
  </w:footnote>
  <w:footnote w:id="14">
    <w:p w14:paraId="17BB11D4" w14:textId="39592570" w:rsidR="00D7354F" w:rsidRPr="008129CD" w:rsidRDefault="00D7354F" w:rsidP="005E6B84">
      <w:pPr>
        <w:pStyle w:val="FootnoteText"/>
        <w:rPr>
          <w:sz w:val="18"/>
          <w:szCs w:val="18"/>
        </w:rPr>
      </w:pPr>
      <w:r w:rsidRPr="008129CD">
        <w:rPr>
          <w:rStyle w:val="FootnoteReference"/>
          <w:sz w:val="18"/>
          <w:szCs w:val="18"/>
        </w:rPr>
        <w:footnoteRef/>
      </w:r>
      <w:r w:rsidRPr="008129CD">
        <w:rPr>
          <w:sz w:val="18"/>
          <w:szCs w:val="18"/>
        </w:rPr>
        <w:t xml:space="preserve"> Clare Siracusa (</w:t>
      </w:r>
      <w:r>
        <w:rPr>
          <w:sz w:val="18"/>
          <w:szCs w:val="18"/>
        </w:rPr>
        <w:t>5</w:t>
      </w:r>
      <w:r w:rsidRPr="008129CD">
        <w:rPr>
          <w:sz w:val="18"/>
          <w:szCs w:val="18"/>
        </w:rPr>
        <w:t xml:space="preserve"> November </w:t>
      </w:r>
      <w:r>
        <w:rPr>
          <w:sz w:val="18"/>
          <w:szCs w:val="18"/>
        </w:rPr>
        <w:t>2015</w:t>
      </w:r>
      <w:r w:rsidRPr="008129CD">
        <w:rPr>
          <w:sz w:val="18"/>
          <w:szCs w:val="18"/>
        </w:rPr>
        <w:t xml:space="preserve">), </w:t>
      </w:r>
      <w:hyperlink r:id="rId9" w:history="1">
        <w:r w:rsidRPr="008129CD">
          <w:rPr>
            <w:rStyle w:val="Hyperlink"/>
            <w:sz w:val="18"/>
            <w:szCs w:val="18"/>
          </w:rPr>
          <w:t>‘Optus snatches English Premier League Rights from Fox Sports in Australia’</w:t>
        </w:r>
      </w:hyperlink>
      <w:r w:rsidRPr="008129CD">
        <w:rPr>
          <w:sz w:val="18"/>
          <w:szCs w:val="18"/>
        </w:rPr>
        <w:t xml:space="preserve"> (Sydney Morning Herald).</w:t>
      </w:r>
      <w:r w:rsidRPr="008129CD" w:rsidDel="002A0F8E">
        <w:rPr>
          <w:sz w:val="18"/>
          <w:szCs w:val="18"/>
        </w:rPr>
        <w:t xml:space="preserve"> </w:t>
      </w:r>
    </w:p>
  </w:footnote>
  <w:footnote w:id="15">
    <w:p w14:paraId="7EA7A976" w14:textId="77777777" w:rsidR="00D7354F" w:rsidRPr="00F46543" w:rsidRDefault="00D7354F" w:rsidP="005E6B84">
      <w:pPr>
        <w:pStyle w:val="FootnoteText"/>
        <w:rPr>
          <w:sz w:val="18"/>
        </w:rPr>
      </w:pPr>
      <w:r w:rsidRPr="008129CD">
        <w:rPr>
          <w:rStyle w:val="FootnoteReference"/>
          <w:sz w:val="18"/>
          <w:szCs w:val="18"/>
        </w:rPr>
        <w:footnoteRef/>
      </w:r>
      <w:r w:rsidRPr="008129CD">
        <w:rPr>
          <w:sz w:val="18"/>
          <w:szCs w:val="18"/>
        </w:rPr>
        <w:t xml:space="preserve"> Infrastructure Australia (2015), </w:t>
      </w:r>
      <w:hyperlink r:id="rId10" w:history="1">
        <w:r w:rsidRPr="008129CD">
          <w:rPr>
            <w:rStyle w:val="Hyperlink"/>
            <w:sz w:val="18"/>
            <w:szCs w:val="18"/>
          </w:rPr>
          <w:t>'Australian Infrastructure Audit, Our Infrastructure Challenges'</w:t>
        </w:r>
      </w:hyperlink>
      <w:r w:rsidRPr="008129CD">
        <w:rPr>
          <w:sz w:val="18"/>
          <w:szCs w:val="18"/>
        </w:rPr>
        <w:t>, p.119.</w:t>
      </w:r>
    </w:p>
  </w:footnote>
  <w:footnote w:id="16">
    <w:p w14:paraId="011CFD98" w14:textId="77777777" w:rsidR="00D7354F" w:rsidRPr="00F46543" w:rsidRDefault="00D7354F" w:rsidP="005E6B84">
      <w:pPr>
        <w:pStyle w:val="FootnoteText"/>
        <w:rPr>
          <w:sz w:val="18"/>
        </w:rPr>
      </w:pPr>
      <w:r w:rsidRPr="00F46543">
        <w:rPr>
          <w:rStyle w:val="FootnoteReference"/>
          <w:sz w:val="18"/>
        </w:rPr>
        <w:footnoteRef/>
      </w:r>
      <w:r w:rsidRPr="00F46543">
        <w:rPr>
          <w:sz w:val="18"/>
        </w:rPr>
        <w:t xml:space="preserve"> </w:t>
      </w:r>
      <w:r>
        <w:rPr>
          <w:sz w:val="18"/>
        </w:rPr>
        <w:t xml:space="preserve">Cisco (27 May 2015), </w:t>
      </w:r>
      <w:hyperlink r:id="rId11" w:history="1">
        <w:r>
          <w:rPr>
            <w:rStyle w:val="Hyperlink"/>
            <w:sz w:val="18"/>
          </w:rPr>
          <w:t>'Cisco Visual Networking Index: Forecast and Methodology, 2014–2019'</w:t>
        </w:r>
      </w:hyperlink>
      <w:r>
        <w:rPr>
          <w:sz w:val="18"/>
        </w:rPr>
        <w:t xml:space="preserve"> (White Paper)</w:t>
      </w:r>
      <w:r w:rsidRPr="00F46543">
        <w:rPr>
          <w:sz w:val="18"/>
        </w:rPr>
        <w:t xml:space="preserve">, </w:t>
      </w:r>
      <w:r>
        <w:rPr>
          <w:sz w:val="18"/>
        </w:rPr>
        <w:t>p.2.</w:t>
      </w:r>
    </w:p>
  </w:footnote>
  <w:footnote w:id="17">
    <w:p w14:paraId="50396F15" w14:textId="77777777" w:rsidR="00D7354F" w:rsidRPr="00F46543" w:rsidRDefault="00D7354F" w:rsidP="00CB4DEF">
      <w:pPr>
        <w:spacing w:after="0"/>
        <w:rPr>
          <w:sz w:val="20"/>
        </w:rPr>
      </w:pPr>
      <w:r w:rsidRPr="00F46543">
        <w:rPr>
          <w:rStyle w:val="FootnoteReference"/>
          <w:sz w:val="20"/>
        </w:rPr>
        <w:footnoteRef/>
      </w:r>
      <w:r w:rsidRPr="00F46543">
        <w:rPr>
          <w:sz w:val="20"/>
        </w:rPr>
        <w:t xml:space="preserve"> </w:t>
      </w:r>
      <w:r>
        <w:rPr>
          <w:sz w:val="18"/>
          <w:szCs w:val="18"/>
        </w:rPr>
        <w:t xml:space="preserve">Australian Bureau of Statistics (2015), </w:t>
      </w:r>
      <w:hyperlink r:id="rId12" w:history="1">
        <w:r>
          <w:rPr>
            <w:rStyle w:val="Hyperlink"/>
            <w:sz w:val="18"/>
            <w:szCs w:val="20"/>
          </w:rPr>
          <w:t>'8153.0 - Internet Activity, Australia, June 2015'</w:t>
        </w:r>
      </w:hyperlink>
      <w:r>
        <w:rPr>
          <w:sz w:val="20"/>
        </w:rPr>
        <w:t>.</w:t>
      </w:r>
    </w:p>
  </w:footnote>
  <w:footnote w:id="18">
    <w:p w14:paraId="466761AE" w14:textId="639CFD35" w:rsidR="00D7354F" w:rsidRDefault="00D7354F" w:rsidP="005E6B84">
      <w:pPr>
        <w:pStyle w:val="FootnoteText"/>
      </w:pPr>
      <w:r w:rsidRPr="00F46543">
        <w:rPr>
          <w:rStyle w:val="FootnoteReference"/>
          <w:sz w:val="18"/>
        </w:rPr>
        <w:footnoteRef/>
      </w:r>
      <w:r w:rsidRPr="00F46543">
        <w:rPr>
          <w:sz w:val="18"/>
        </w:rPr>
        <w:t xml:space="preserve"> </w:t>
      </w:r>
      <w:r>
        <w:rPr>
          <w:sz w:val="18"/>
        </w:rPr>
        <w:t xml:space="preserve">nbn (21 April 2016), </w:t>
      </w:r>
      <w:hyperlink r:id="rId13" w:history="1">
        <w:r>
          <w:rPr>
            <w:rStyle w:val="Hyperlink"/>
            <w:sz w:val="18"/>
          </w:rPr>
          <w:t>'National Broadband Network – Rollout Information'</w:t>
        </w:r>
      </w:hyperlink>
      <w:r>
        <w:rPr>
          <w:sz w:val="18"/>
        </w:rPr>
        <w:t>.</w:t>
      </w:r>
    </w:p>
  </w:footnote>
  <w:footnote w:id="19">
    <w:p w14:paraId="071B287B" w14:textId="77777777" w:rsidR="00D7354F" w:rsidRPr="001447A0" w:rsidRDefault="00D7354F" w:rsidP="005E6B84">
      <w:pPr>
        <w:pStyle w:val="FootnoteText"/>
        <w:rPr>
          <w:sz w:val="18"/>
          <w:szCs w:val="18"/>
        </w:rPr>
      </w:pPr>
      <w:r w:rsidRPr="001447A0">
        <w:rPr>
          <w:rStyle w:val="FootnoteReference"/>
          <w:sz w:val="18"/>
          <w:szCs w:val="18"/>
        </w:rPr>
        <w:footnoteRef/>
      </w:r>
      <w:r w:rsidRPr="001447A0">
        <w:rPr>
          <w:sz w:val="18"/>
          <w:szCs w:val="18"/>
        </w:rPr>
        <w:t xml:space="preserve"> Nielsen (2015), </w:t>
      </w:r>
      <w:r>
        <w:rPr>
          <w:sz w:val="18"/>
          <w:szCs w:val="18"/>
        </w:rPr>
        <w:t>‘</w:t>
      </w:r>
      <w:hyperlink r:id="rId14" w:history="1">
        <w:r w:rsidRPr="008A078D">
          <w:rPr>
            <w:rStyle w:val="Hyperlink"/>
            <w:sz w:val="18"/>
            <w:szCs w:val="18"/>
          </w:rPr>
          <w:t>Australian Multi-Screen Report, Quarter 1 2015</w:t>
        </w:r>
      </w:hyperlink>
      <w:r>
        <w:rPr>
          <w:sz w:val="18"/>
          <w:szCs w:val="18"/>
        </w:rPr>
        <w:t>‘;</w:t>
      </w:r>
      <w:r w:rsidRPr="001447A0">
        <w:rPr>
          <w:sz w:val="18"/>
          <w:szCs w:val="18"/>
        </w:rPr>
        <w:t xml:space="preserve"> Australian Financial Review </w:t>
      </w:r>
      <w:r>
        <w:rPr>
          <w:sz w:val="18"/>
          <w:szCs w:val="18"/>
        </w:rPr>
        <w:t xml:space="preserve">(10 August </w:t>
      </w:r>
      <w:r w:rsidRPr="001447A0">
        <w:rPr>
          <w:sz w:val="18"/>
          <w:szCs w:val="18"/>
        </w:rPr>
        <w:t>2015</w:t>
      </w:r>
      <w:r>
        <w:rPr>
          <w:sz w:val="18"/>
          <w:szCs w:val="18"/>
        </w:rPr>
        <w:t>)</w:t>
      </w:r>
      <w:r w:rsidRPr="001447A0">
        <w:rPr>
          <w:sz w:val="18"/>
          <w:szCs w:val="18"/>
        </w:rPr>
        <w:t xml:space="preserve">, </w:t>
      </w:r>
      <w:r w:rsidRPr="008A078D">
        <w:rPr>
          <w:sz w:val="18"/>
          <w:szCs w:val="18"/>
        </w:rPr>
        <w:t>‘The Sharp Threat to Foxtel’</w:t>
      </w:r>
      <w:r>
        <w:rPr>
          <w:sz w:val="18"/>
          <w:szCs w:val="18"/>
        </w:rPr>
        <w:t xml:space="preserve"> p. 1</w:t>
      </w:r>
      <w:r w:rsidRPr="001447A0">
        <w:rPr>
          <w:sz w:val="18"/>
          <w:szCs w:val="18"/>
        </w:rPr>
        <w:t>.</w:t>
      </w:r>
    </w:p>
  </w:footnote>
  <w:footnote w:id="20">
    <w:p w14:paraId="37ECA91C" w14:textId="77777777" w:rsidR="00D7354F" w:rsidRPr="001447A0" w:rsidRDefault="00D7354F" w:rsidP="005E6B84">
      <w:pPr>
        <w:pStyle w:val="FootnoteText"/>
        <w:rPr>
          <w:sz w:val="18"/>
          <w:szCs w:val="18"/>
        </w:rPr>
      </w:pPr>
      <w:r w:rsidRPr="001447A0">
        <w:rPr>
          <w:rStyle w:val="FootnoteReference"/>
          <w:sz w:val="18"/>
          <w:szCs w:val="18"/>
        </w:rPr>
        <w:footnoteRef/>
      </w:r>
      <w:r w:rsidRPr="001447A0">
        <w:rPr>
          <w:sz w:val="18"/>
          <w:szCs w:val="18"/>
        </w:rPr>
        <w:t xml:space="preserve"> Source: Analysis based on ACMA Broadcasting financial results 2005-2014. Figures adjusted for inflation using the GDP implicit price deflator produced by the ABS.</w:t>
      </w:r>
    </w:p>
  </w:footnote>
  <w:footnote w:id="21">
    <w:p w14:paraId="0D207A61" w14:textId="77777777" w:rsidR="00D7354F" w:rsidRPr="0079781B" w:rsidRDefault="00D7354F" w:rsidP="005E6B84">
      <w:pPr>
        <w:pStyle w:val="FootnoteText"/>
        <w:rPr>
          <w:highlight w:val="yellow"/>
        </w:rPr>
      </w:pPr>
      <w:r w:rsidRPr="001447A0">
        <w:rPr>
          <w:rStyle w:val="FootnoteReference"/>
          <w:sz w:val="18"/>
          <w:szCs w:val="18"/>
        </w:rPr>
        <w:footnoteRef/>
      </w:r>
      <w:r w:rsidRPr="001447A0">
        <w:rPr>
          <w:sz w:val="18"/>
          <w:szCs w:val="18"/>
        </w:rPr>
        <w:t xml:space="preserve"> Source: Analysis based on ACMA Broadcasting financial results 2005-2014. These expenses include exceptional or non-recurring items.</w:t>
      </w:r>
    </w:p>
  </w:footnote>
  <w:footnote w:id="22">
    <w:p w14:paraId="3203A199" w14:textId="77777777" w:rsidR="00D7354F" w:rsidRPr="001447A0" w:rsidRDefault="00D7354F" w:rsidP="005E6B84">
      <w:pPr>
        <w:pStyle w:val="FootnoteText"/>
        <w:rPr>
          <w:sz w:val="18"/>
          <w:szCs w:val="18"/>
        </w:rPr>
      </w:pPr>
      <w:r w:rsidRPr="001447A0">
        <w:rPr>
          <w:rStyle w:val="FootnoteReference"/>
          <w:sz w:val="18"/>
          <w:szCs w:val="18"/>
        </w:rPr>
        <w:footnoteRef/>
      </w:r>
      <w:r w:rsidRPr="001447A0">
        <w:rPr>
          <w:sz w:val="18"/>
          <w:szCs w:val="18"/>
        </w:rPr>
        <w:t xml:space="preserve"> PricewaterhouseCoopers (2015), </w:t>
      </w:r>
      <w:r>
        <w:rPr>
          <w:sz w:val="18"/>
          <w:szCs w:val="18"/>
        </w:rPr>
        <w:t>‘</w:t>
      </w:r>
      <w:hyperlink r:id="rId15" w:history="1">
        <w:r w:rsidRPr="003B2BD2">
          <w:rPr>
            <w:rStyle w:val="Hyperlink"/>
            <w:sz w:val="18"/>
            <w:szCs w:val="18"/>
          </w:rPr>
          <w:t>Australian Entertainment &amp; Media Outlook 2015-19</w:t>
        </w:r>
      </w:hyperlink>
      <w:r>
        <w:rPr>
          <w:sz w:val="18"/>
          <w:szCs w:val="18"/>
        </w:rPr>
        <w:t>’.</w:t>
      </w:r>
    </w:p>
  </w:footnote>
  <w:footnote w:id="23">
    <w:p w14:paraId="55D5F201" w14:textId="77777777" w:rsidR="00D7354F" w:rsidRDefault="00D7354F" w:rsidP="005E6B84">
      <w:pPr>
        <w:pStyle w:val="FootnoteText"/>
      </w:pPr>
      <w:r w:rsidRPr="001447A0">
        <w:rPr>
          <w:rStyle w:val="FootnoteReference"/>
          <w:sz w:val="18"/>
          <w:szCs w:val="18"/>
        </w:rPr>
        <w:footnoteRef/>
      </w:r>
      <w:r w:rsidRPr="001447A0">
        <w:rPr>
          <w:sz w:val="18"/>
          <w:szCs w:val="18"/>
        </w:rPr>
        <w:t xml:space="preserve"> Roy Morgan Research (12 November 2015), </w:t>
      </w:r>
      <w:hyperlink r:id="rId16" w:history="1">
        <w:r w:rsidRPr="001447A0">
          <w:rPr>
            <w:rStyle w:val="Hyperlink"/>
            <w:sz w:val="18"/>
            <w:szCs w:val="18"/>
          </w:rPr>
          <w:t>‘2.677</w:t>
        </w:r>
        <w:r>
          <w:rPr>
            <w:rStyle w:val="Hyperlink"/>
            <w:sz w:val="18"/>
            <w:szCs w:val="18"/>
          </w:rPr>
          <w:t> million</w:t>
        </w:r>
        <w:r w:rsidRPr="001447A0">
          <w:rPr>
            <w:rStyle w:val="Hyperlink"/>
            <w:sz w:val="18"/>
            <w:szCs w:val="18"/>
          </w:rPr>
          <w:t xml:space="preserve"> Australians have Netflix as subscriptions surpass one</w:t>
        </w:r>
        <w:r>
          <w:rPr>
            <w:rStyle w:val="Hyperlink"/>
            <w:sz w:val="18"/>
            <w:szCs w:val="18"/>
          </w:rPr>
          <w:t> million</w:t>
        </w:r>
        <w:r w:rsidRPr="001447A0">
          <w:rPr>
            <w:rStyle w:val="Hyperlink"/>
            <w:sz w:val="18"/>
            <w:szCs w:val="18"/>
          </w:rPr>
          <w:t xml:space="preserve"> homes’</w:t>
        </w:r>
      </w:hyperlink>
      <w:r w:rsidRPr="001447A0">
        <w:rPr>
          <w:sz w:val="18"/>
          <w:szCs w:val="18"/>
        </w:rPr>
        <w:t xml:space="preserve"> (Finding No. 6548).</w:t>
      </w:r>
    </w:p>
  </w:footnote>
  <w:footnote w:id="24">
    <w:p w14:paraId="0BB1F046" w14:textId="77777777" w:rsidR="00D7354F" w:rsidRPr="001447A0" w:rsidRDefault="00D7354F" w:rsidP="00294F9C">
      <w:pPr>
        <w:pStyle w:val="FootnoteText"/>
        <w:rPr>
          <w:rFonts w:ascii="Calibri" w:hAnsi="Calibri"/>
          <w:sz w:val="18"/>
          <w:szCs w:val="18"/>
        </w:rPr>
      </w:pPr>
      <w:r w:rsidRPr="001447A0">
        <w:rPr>
          <w:rStyle w:val="FootnoteReference"/>
          <w:sz w:val="18"/>
          <w:szCs w:val="18"/>
        </w:rPr>
        <w:footnoteRef/>
      </w:r>
      <w:r w:rsidRPr="001447A0">
        <w:rPr>
          <w:sz w:val="18"/>
          <w:szCs w:val="18"/>
        </w:rPr>
        <w:t xml:space="preserve"> Section 19, </w:t>
      </w:r>
      <w:r w:rsidRPr="001447A0">
        <w:rPr>
          <w:i/>
          <w:iCs/>
          <w:sz w:val="18"/>
          <w:szCs w:val="18"/>
        </w:rPr>
        <w:t>Australian Communications and Media Authority Act 2005</w:t>
      </w:r>
      <w:r w:rsidRPr="001447A0">
        <w:rPr>
          <w:sz w:val="18"/>
          <w:szCs w:val="18"/>
        </w:rPr>
        <w:t>.</w:t>
      </w:r>
    </w:p>
  </w:footnote>
  <w:footnote w:id="25">
    <w:p w14:paraId="445B7416" w14:textId="77777777" w:rsidR="00D7354F" w:rsidRPr="001447A0" w:rsidRDefault="00D7354F" w:rsidP="00294F9C">
      <w:pPr>
        <w:pStyle w:val="FootnoteText"/>
        <w:rPr>
          <w:sz w:val="18"/>
          <w:szCs w:val="18"/>
        </w:rPr>
      </w:pPr>
      <w:r w:rsidRPr="001447A0">
        <w:rPr>
          <w:rStyle w:val="FootnoteReference"/>
          <w:sz w:val="18"/>
          <w:szCs w:val="18"/>
        </w:rPr>
        <w:footnoteRef/>
      </w:r>
      <w:r w:rsidRPr="001447A0">
        <w:rPr>
          <w:sz w:val="18"/>
          <w:szCs w:val="18"/>
        </w:rPr>
        <w:t xml:space="preserve"> Sections 20 and 24, </w:t>
      </w:r>
      <w:r w:rsidRPr="001447A0">
        <w:rPr>
          <w:i/>
          <w:iCs/>
          <w:sz w:val="18"/>
          <w:szCs w:val="18"/>
        </w:rPr>
        <w:t>Australian Communications and Media Authority Act 2005</w:t>
      </w:r>
      <w:r w:rsidRPr="001447A0">
        <w:rPr>
          <w:sz w:val="18"/>
          <w:szCs w:val="18"/>
        </w:rPr>
        <w:t>.</w:t>
      </w:r>
    </w:p>
  </w:footnote>
  <w:footnote w:id="26">
    <w:p w14:paraId="038154DA" w14:textId="77777777" w:rsidR="00D7354F" w:rsidRPr="001447A0" w:rsidRDefault="00D7354F" w:rsidP="00294F9C">
      <w:pPr>
        <w:pStyle w:val="FootnoteText"/>
        <w:rPr>
          <w:sz w:val="18"/>
          <w:szCs w:val="18"/>
        </w:rPr>
      </w:pPr>
      <w:r w:rsidRPr="001447A0">
        <w:rPr>
          <w:rStyle w:val="FootnoteReference"/>
          <w:sz w:val="18"/>
          <w:szCs w:val="18"/>
        </w:rPr>
        <w:footnoteRef/>
      </w:r>
      <w:r w:rsidRPr="001447A0">
        <w:rPr>
          <w:sz w:val="18"/>
          <w:szCs w:val="18"/>
        </w:rPr>
        <w:t xml:space="preserve"> ACMA (2015), </w:t>
      </w:r>
      <w:hyperlink r:id="rId17" w:history="1">
        <w:r w:rsidRPr="001447A0">
          <w:rPr>
            <w:rStyle w:val="Hyperlink"/>
            <w:sz w:val="18"/>
            <w:szCs w:val="18"/>
          </w:rPr>
          <w:t>Submission to the ACMA Review issues paper</w:t>
        </w:r>
      </w:hyperlink>
      <w:r w:rsidRPr="001447A0">
        <w:rPr>
          <w:sz w:val="18"/>
          <w:szCs w:val="18"/>
        </w:rPr>
        <w:t>, p. 6.</w:t>
      </w:r>
    </w:p>
  </w:footnote>
  <w:footnote w:id="27">
    <w:p w14:paraId="13A0CF0B" w14:textId="77777777" w:rsidR="00D7354F" w:rsidRDefault="00D7354F" w:rsidP="00294F9C">
      <w:pPr>
        <w:pStyle w:val="FootnoteText"/>
      </w:pPr>
      <w:r w:rsidRPr="001447A0">
        <w:rPr>
          <w:rStyle w:val="FootnoteReference"/>
          <w:sz w:val="18"/>
          <w:szCs w:val="18"/>
        </w:rPr>
        <w:footnoteRef/>
      </w:r>
      <w:r w:rsidRPr="001447A0">
        <w:rPr>
          <w:sz w:val="18"/>
          <w:szCs w:val="18"/>
        </w:rPr>
        <w:t xml:space="preserve"> Sections 50 – 53, </w:t>
      </w:r>
      <w:r w:rsidRPr="001447A0">
        <w:rPr>
          <w:i/>
          <w:iCs/>
          <w:sz w:val="18"/>
          <w:szCs w:val="18"/>
        </w:rPr>
        <w:t>Australian Communications and Media Authority</w:t>
      </w:r>
      <w:r w:rsidRPr="001447A0">
        <w:rPr>
          <w:i/>
          <w:sz w:val="18"/>
          <w:szCs w:val="18"/>
        </w:rPr>
        <w:t xml:space="preserve"> Act 2005</w:t>
      </w:r>
      <w:r w:rsidRPr="001447A0">
        <w:rPr>
          <w:sz w:val="18"/>
          <w:szCs w:val="18"/>
        </w:rPr>
        <w:t>.</w:t>
      </w:r>
    </w:p>
  </w:footnote>
  <w:footnote w:id="28">
    <w:p w14:paraId="1B33940B" w14:textId="77777777" w:rsidR="00D7354F" w:rsidRPr="001447A0" w:rsidRDefault="00D7354F" w:rsidP="00294F9C">
      <w:pPr>
        <w:pStyle w:val="FootnoteText"/>
        <w:rPr>
          <w:sz w:val="18"/>
          <w:szCs w:val="18"/>
        </w:rPr>
      </w:pPr>
      <w:r w:rsidRPr="001447A0">
        <w:rPr>
          <w:rStyle w:val="FootnoteReference"/>
          <w:sz w:val="18"/>
          <w:szCs w:val="18"/>
        </w:rPr>
        <w:footnoteRef/>
      </w:r>
      <w:r w:rsidRPr="001447A0">
        <w:rPr>
          <w:sz w:val="18"/>
          <w:szCs w:val="18"/>
        </w:rPr>
        <w:t xml:space="preserve"> ACMA (2015), </w:t>
      </w:r>
      <w:hyperlink r:id="rId18" w:history="1">
        <w:r w:rsidRPr="001447A0">
          <w:rPr>
            <w:rStyle w:val="Hyperlink"/>
            <w:sz w:val="18"/>
            <w:szCs w:val="18"/>
          </w:rPr>
          <w:t>Submission to the ACMA Review issues paper</w:t>
        </w:r>
      </w:hyperlink>
      <w:r w:rsidRPr="001447A0">
        <w:rPr>
          <w:sz w:val="18"/>
          <w:szCs w:val="18"/>
        </w:rPr>
        <w:t>, p. 7.</w:t>
      </w:r>
    </w:p>
  </w:footnote>
  <w:footnote w:id="29">
    <w:p w14:paraId="24C32292" w14:textId="77777777" w:rsidR="00D7354F" w:rsidRPr="001447A0" w:rsidRDefault="00D7354F" w:rsidP="00294F9C">
      <w:pPr>
        <w:pStyle w:val="FootnoteText"/>
        <w:rPr>
          <w:sz w:val="18"/>
          <w:szCs w:val="18"/>
        </w:rPr>
      </w:pPr>
      <w:r w:rsidRPr="001447A0">
        <w:rPr>
          <w:rStyle w:val="FootnoteReference"/>
          <w:sz w:val="18"/>
          <w:szCs w:val="18"/>
        </w:rPr>
        <w:footnoteRef/>
      </w:r>
      <w:r w:rsidRPr="001447A0">
        <w:rPr>
          <w:sz w:val="18"/>
          <w:szCs w:val="18"/>
        </w:rPr>
        <w:t xml:space="preserve"> ACMA (2015), </w:t>
      </w:r>
      <w:hyperlink r:id="rId19" w:history="1">
        <w:r w:rsidRPr="001447A0">
          <w:rPr>
            <w:rStyle w:val="Hyperlink"/>
            <w:sz w:val="18"/>
            <w:szCs w:val="18"/>
          </w:rPr>
          <w:t>Submission to the ACMA Review issues paper</w:t>
        </w:r>
      </w:hyperlink>
      <w:r w:rsidRPr="001447A0">
        <w:rPr>
          <w:sz w:val="18"/>
          <w:szCs w:val="18"/>
        </w:rPr>
        <w:t>, p. 7.</w:t>
      </w:r>
    </w:p>
  </w:footnote>
  <w:footnote w:id="30">
    <w:p w14:paraId="6D11F3D5" w14:textId="77777777" w:rsidR="00D7354F" w:rsidRPr="001447A0" w:rsidRDefault="00D7354F" w:rsidP="00294F9C">
      <w:pPr>
        <w:pStyle w:val="FootnoteText"/>
        <w:rPr>
          <w:sz w:val="18"/>
          <w:szCs w:val="18"/>
        </w:rPr>
      </w:pPr>
      <w:r w:rsidRPr="001447A0">
        <w:rPr>
          <w:rStyle w:val="FootnoteReference"/>
          <w:sz w:val="18"/>
          <w:szCs w:val="18"/>
        </w:rPr>
        <w:footnoteRef/>
      </w:r>
      <w:r w:rsidRPr="001447A0">
        <w:rPr>
          <w:sz w:val="18"/>
          <w:szCs w:val="18"/>
        </w:rPr>
        <w:t xml:space="preserve"> ACMA (2015), </w:t>
      </w:r>
      <w:hyperlink r:id="rId20" w:history="1">
        <w:r w:rsidRPr="001447A0">
          <w:rPr>
            <w:rStyle w:val="Hyperlink"/>
            <w:sz w:val="18"/>
            <w:szCs w:val="18"/>
          </w:rPr>
          <w:t>Submission to the ACMA Review issues paper</w:t>
        </w:r>
      </w:hyperlink>
      <w:r w:rsidRPr="001447A0">
        <w:rPr>
          <w:sz w:val="18"/>
          <w:szCs w:val="18"/>
        </w:rPr>
        <w:t>, p. 7.</w:t>
      </w:r>
    </w:p>
  </w:footnote>
  <w:footnote w:id="31">
    <w:p w14:paraId="64C42671" w14:textId="5CAD0A9A" w:rsidR="00D7354F" w:rsidRPr="001447A0" w:rsidRDefault="00D7354F" w:rsidP="00294F9C">
      <w:pPr>
        <w:pStyle w:val="FootnoteText"/>
        <w:rPr>
          <w:sz w:val="18"/>
          <w:szCs w:val="18"/>
        </w:rPr>
      </w:pPr>
      <w:r w:rsidRPr="001447A0">
        <w:rPr>
          <w:rStyle w:val="FootnoteReference"/>
          <w:sz w:val="18"/>
          <w:szCs w:val="18"/>
        </w:rPr>
        <w:footnoteRef/>
      </w:r>
      <w:r w:rsidRPr="001447A0">
        <w:rPr>
          <w:sz w:val="18"/>
          <w:szCs w:val="18"/>
        </w:rPr>
        <w:t xml:space="preserve"> ACMA (2015), </w:t>
      </w:r>
      <w:hyperlink r:id="rId21" w:history="1">
        <w:r w:rsidRPr="001447A0">
          <w:rPr>
            <w:rStyle w:val="Hyperlink"/>
            <w:sz w:val="18"/>
            <w:szCs w:val="18"/>
          </w:rPr>
          <w:t>Submission to the ACMA Review issues paper</w:t>
        </w:r>
      </w:hyperlink>
      <w:r w:rsidRPr="001447A0">
        <w:rPr>
          <w:sz w:val="18"/>
          <w:szCs w:val="18"/>
        </w:rPr>
        <w:t>, p. 44.</w:t>
      </w:r>
    </w:p>
  </w:footnote>
  <w:footnote w:id="32">
    <w:p w14:paraId="5403A4D3" w14:textId="77777777" w:rsidR="00D7354F" w:rsidRPr="001447A0" w:rsidRDefault="00D7354F" w:rsidP="00294F9C">
      <w:pPr>
        <w:pStyle w:val="FootnoteText"/>
        <w:rPr>
          <w:sz w:val="18"/>
          <w:szCs w:val="18"/>
        </w:rPr>
      </w:pPr>
      <w:r w:rsidRPr="001447A0">
        <w:rPr>
          <w:rStyle w:val="FootnoteReference"/>
          <w:sz w:val="18"/>
          <w:szCs w:val="18"/>
        </w:rPr>
        <w:footnoteRef/>
      </w:r>
      <w:r w:rsidRPr="001447A0">
        <w:rPr>
          <w:sz w:val="18"/>
          <w:szCs w:val="18"/>
        </w:rPr>
        <w:t xml:space="preserve"> ACMA (2011), </w:t>
      </w:r>
      <w:hyperlink r:id="rId22" w:history="1">
        <w:r w:rsidRPr="001447A0">
          <w:rPr>
            <w:rStyle w:val="Hyperlink"/>
            <w:sz w:val="18"/>
            <w:szCs w:val="18"/>
          </w:rPr>
          <w:t>Broken concepts: The Australian communications legislative landscape</w:t>
        </w:r>
      </w:hyperlink>
      <w:r w:rsidRPr="001447A0">
        <w:rPr>
          <w:sz w:val="18"/>
          <w:szCs w:val="18"/>
        </w:rPr>
        <w:t>, p.6.</w:t>
      </w:r>
    </w:p>
  </w:footnote>
  <w:footnote w:id="33">
    <w:p w14:paraId="2AD72272" w14:textId="77777777" w:rsidR="00D7354F" w:rsidRDefault="00D7354F" w:rsidP="00294F9C">
      <w:pPr>
        <w:pStyle w:val="FootnoteText"/>
      </w:pPr>
      <w:r w:rsidRPr="001447A0">
        <w:rPr>
          <w:rStyle w:val="FootnoteReference"/>
          <w:sz w:val="18"/>
          <w:szCs w:val="18"/>
        </w:rPr>
        <w:footnoteRef/>
      </w:r>
      <w:r w:rsidRPr="001447A0">
        <w:rPr>
          <w:sz w:val="18"/>
          <w:szCs w:val="18"/>
        </w:rPr>
        <w:t xml:space="preserve"> See Footnote </w:t>
      </w:r>
      <w:r w:rsidRPr="001447A0">
        <w:rPr>
          <w:sz w:val="18"/>
          <w:szCs w:val="18"/>
        </w:rPr>
        <w:fldChar w:fldCharType="begin"/>
      </w:r>
      <w:r w:rsidRPr="001447A0">
        <w:rPr>
          <w:sz w:val="18"/>
          <w:szCs w:val="18"/>
        </w:rPr>
        <w:instrText xml:space="preserve"> NOTEREF _Ref445453501 \h </w:instrText>
      </w:r>
      <w:r>
        <w:rPr>
          <w:sz w:val="18"/>
          <w:szCs w:val="18"/>
        </w:rPr>
        <w:instrText xml:space="preserve"> \* MERGEFORMAT </w:instrText>
      </w:r>
      <w:r w:rsidRPr="001447A0">
        <w:rPr>
          <w:sz w:val="18"/>
          <w:szCs w:val="18"/>
        </w:rPr>
      </w:r>
      <w:r w:rsidRPr="001447A0">
        <w:rPr>
          <w:sz w:val="18"/>
          <w:szCs w:val="18"/>
        </w:rPr>
        <w:fldChar w:fldCharType="separate"/>
      </w:r>
      <w:r>
        <w:rPr>
          <w:sz w:val="18"/>
          <w:szCs w:val="18"/>
        </w:rPr>
        <w:t>11</w:t>
      </w:r>
      <w:r w:rsidRPr="001447A0">
        <w:rPr>
          <w:sz w:val="18"/>
          <w:szCs w:val="18"/>
        </w:rPr>
        <w:fldChar w:fldCharType="end"/>
      </w:r>
      <w:r w:rsidRPr="001447A0">
        <w:rPr>
          <w:sz w:val="18"/>
          <w:szCs w:val="18"/>
        </w:rPr>
        <w:t>.</w:t>
      </w:r>
    </w:p>
  </w:footnote>
  <w:footnote w:id="34">
    <w:p w14:paraId="4BED4E55" w14:textId="77777777" w:rsidR="00D7354F" w:rsidRPr="001447A0" w:rsidRDefault="00D7354F" w:rsidP="00D81F6E">
      <w:pPr>
        <w:pStyle w:val="FootnoteText"/>
        <w:rPr>
          <w:sz w:val="18"/>
          <w:szCs w:val="18"/>
        </w:rPr>
      </w:pPr>
      <w:r w:rsidRPr="001447A0">
        <w:rPr>
          <w:rStyle w:val="FootnoteReference"/>
          <w:sz w:val="18"/>
          <w:szCs w:val="18"/>
        </w:rPr>
        <w:footnoteRef/>
      </w:r>
      <w:r w:rsidRPr="001447A0">
        <w:rPr>
          <w:sz w:val="18"/>
          <w:szCs w:val="18"/>
        </w:rPr>
        <w:t xml:space="preserve"> ACMA (2011), </w:t>
      </w:r>
      <w:hyperlink r:id="rId23" w:history="1">
        <w:r w:rsidRPr="001447A0">
          <w:rPr>
            <w:rStyle w:val="Hyperlink"/>
            <w:sz w:val="18"/>
            <w:szCs w:val="18"/>
          </w:rPr>
          <w:t>‘Broken Concepts—the Australian communications legislative landscape’</w:t>
        </w:r>
      </w:hyperlink>
      <w:r w:rsidRPr="001447A0">
        <w:rPr>
          <w:sz w:val="18"/>
          <w:szCs w:val="18"/>
        </w:rPr>
        <w:t xml:space="preserve">, p. 8. </w:t>
      </w:r>
    </w:p>
  </w:footnote>
  <w:footnote w:id="35">
    <w:p w14:paraId="3B7F93C5" w14:textId="77777777" w:rsidR="00D7354F" w:rsidRPr="001447A0" w:rsidRDefault="00D7354F" w:rsidP="000F678C">
      <w:pPr>
        <w:pStyle w:val="FootnoteText"/>
        <w:rPr>
          <w:sz w:val="18"/>
          <w:szCs w:val="18"/>
        </w:rPr>
      </w:pPr>
      <w:r w:rsidRPr="001447A0">
        <w:rPr>
          <w:rStyle w:val="FootnoteReference"/>
          <w:sz w:val="18"/>
          <w:szCs w:val="18"/>
        </w:rPr>
        <w:footnoteRef/>
      </w:r>
      <w:r>
        <w:rPr>
          <w:sz w:val="18"/>
          <w:szCs w:val="18"/>
        </w:rPr>
        <w:t xml:space="preserve"> More information on the G</w:t>
      </w:r>
      <w:r w:rsidRPr="001447A0">
        <w:rPr>
          <w:sz w:val="18"/>
          <w:szCs w:val="18"/>
        </w:rPr>
        <w:t>overnment’s Contesta</w:t>
      </w:r>
      <w:r>
        <w:rPr>
          <w:sz w:val="18"/>
          <w:szCs w:val="18"/>
        </w:rPr>
        <w:t xml:space="preserve">bility Programme can be found on the </w:t>
      </w:r>
      <w:hyperlink r:id="rId24" w:history="1">
        <w:r w:rsidRPr="003B2BD2">
          <w:rPr>
            <w:rStyle w:val="Hyperlink"/>
            <w:sz w:val="18"/>
            <w:szCs w:val="18"/>
          </w:rPr>
          <w:t>Department of Finance website</w:t>
        </w:r>
      </w:hyperlink>
      <w:r w:rsidRPr="001447A0">
        <w:rPr>
          <w:sz w:val="18"/>
          <w:szCs w:val="18"/>
        </w:rPr>
        <w:t xml:space="preserve">. </w:t>
      </w:r>
    </w:p>
  </w:footnote>
  <w:footnote w:id="36">
    <w:p w14:paraId="2854B579" w14:textId="77777777" w:rsidR="00D7354F" w:rsidRPr="001447A0" w:rsidRDefault="00D7354F" w:rsidP="000F678C">
      <w:pPr>
        <w:pStyle w:val="FootnoteText"/>
        <w:rPr>
          <w:sz w:val="18"/>
          <w:szCs w:val="18"/>
        </w:rPr>
      </w:pPr>
      <w:r w:rsidRPr="001447A0">
        <w:rPr>
          <w:rStyle w:val="FootnoteReference"/>
          <w:sz w:val="18"/>
          <w:szCs w:val="18"/>
        </w:rPr>
        <w:footnoteRef/>
      </w:r>
      <w:r w:rsidRPr="001447A0">
        <w:rPr>
          <w:sz w:val="18"/>
          <w:szCs w:val="18"/>
        </w:rPr>
        <w:t xml:space="preserve"> ACMA (2015), </w:t>
      </w:r>
      <w:hyperlink r:id="rId25" w:history="1">
        <w:r w:rsidRPr="001447A0">
          <w:rPr>
            <w:rStyle w:val="Hyperlink"/>
            <w:sz w:val="18"/>
            <w:szCs w:val="18"/>
          </w:rPr>
          <w:t>‘The Australian Internet Security Initiative: Interviews with industry participants’</w:t>
        </w:r>
      </w:hyperlink>
      <w:r w:rsidRPr="001447A0">
        <w:rPr>
          <w:sz w:val="18"/>
          <w:szCs w:val="18"/>
        </w:rPr>
        <w:t xml:space="preserve">, p. 18. </w:t>
      </w:r>
    </w:p>
  </w:footnote>
  <w:footnote w:id="37">
    <w:p w14:paraId="54C2B2AE" w14:textId="77777777" w:rsidR="00D7354F" w:rsidRPr="001447A0" w:rsidRDefault="00D7354F" w:rsidP="000F678C">
      <w:pPr>
        <w:pStyle w:val="FootnoteText"/>
        <w:rPr>
          <w:i/>
          <w:sz w:val="18"/>
          <w:szCs w:val="18"/>
        </w:rPr>
      </w:pPr>
      <w:r w:rsidRPr="001447A0">
        <w:rPr>
          <w:rStyle w:val="FootnoteReference"/>
          <w:sz w:val="18"/>
          <w:szCs w:val="18"/>
        </w:rPr>
        <w:footnoteRef/>
      </w:r>
      <w:r w:rsidRPr="001447A0">
        <w:rPr>
          <w:sz w:val="18"/>
          <w:szCs w:val="18"/>
        </w:rPr>
        <w:t xml:space="preserve"> For example: ACMA (2014), </w:t>
      </w:r>
      <w:r>
        <w:rPr>
          <w:sz w:val="18"/>
          <w:szCs w:val="18"/>
        </w:rPr>
        <w:t>‘</w:t>
      </w:r>
      <w:hyperlink r:id="rId26" w:history="1">
        <w:r w:rsidRPr="001447A0">
          <w:rPr>
            <w:rStyle w:val="Hyperlink"/>
            <w:sz w:val="18"/>
            <w:szCs w:val="18"/>
          </w:rPr>
          <w:t>Six emerging trends in media and communications</w:t>
        </w:r>
        <w:r>
          <w:rPr>
            <w:rStyle w:val="Hyperlink"/>
            <w:sz w:val="18"/>
            <w:szCs w:val="18"/>
          </w:rPr>
          <w:t>’</w:t>
        </w:r>
        <w:r w:rsidRPr="001447A0">
          <w:rPr>
            <w:rStyle w:val="Hyperlink"/>
            <w:sz w:val="18"/>
            <w:szCs w:val="18"/>
          </w:rPr>
          <w:t>—occasional paper</w:t>
        </w:r>
      </w:hyperlink>
      <w:r w:rsidRPr="001447A0">
        <w:rPr>
          <w:rStyle w:val="Hyperlink"/>
          <w:color w:val="000000" w:themeColor="text1"/>
          <w:sz w:val="18"/>
          <w:szCs w:val="18"/>
        </w:rPr>
        <w:t>.</w:t>
      </w:r>
    </w:p>
  </w:footnote>
  <w:footnote w:id="38">
    <w:p w14:paraId="4C4DA13D" w14:textId="77777777" w:rsidR="00D7354F" w:rsidRPr="001447A0" w:rsidRDefault="00D7354F" w:rsidP="000F678C">
      <w:pPr>
        <w:pStyle w:val="FootnoteText"/>
        <w:rPr>
          <w:sz w:val="18"/>
          <w:szCs w:val="18"/>
        </w:rPr>
      </w:pPr>
      <w:r w:rsidRPr="001447A0">
        <w:rPr>
          <w:rStyle w:val="FootnoteReference"/>
          <w:sz w:val="18"/>
          <w:szCs w:val="18"/>
        </w:rPr>
        <w:footnoteRef/>
      </w:r>
      <w:r w:rsidRPr="001447A0">
        <w:rPr>
          <w:sz w:val="18"/>
          <w:szCs w:val="18"/>
        </w:rPr>
        <w:t xml:space="preserve"> For example: ACMA (2012), </w:t>
      </w:r>
      <w:r>
        <w:rPr>
          <w:sz w:val="18"/>
          <w:szCs w:val="18"/>
        </w:rPr>
        <w:t>‘</w:t>
      </w:r>
      <w:hyperlink r:id="rId27" w:history="1">
        <w:r w:rsidRPr="001447A0">
          <w:rPr>
            <w:rStyle w:val="Hyperlink"/>
            <w:sz w:val="18"/>
            <w:szCs w:val="18"/>
          </w:rPr>
          <w:t>Reconnecting the Customer</w:t>
        </w:r>
        <w:r>
          <w:rPr>
            <w:rStyle w:val="Hyperlink"/>
            <w:sz w:val="18"/>
            <w:szCs w:val="18"/>
          </w:rPr>
          <w:t>’</w:t>
        </w:r>
        <w:r w:rsidRPr="001447A0">
          <w:rPr>
            <w:rStyle w:val="Hyperlink"/>
            <w:sz w:val="18"/>
            <w:szCs w:val="18"/>
          </w:rPr>
          <w:t xml:space="preserve"> research studies</w:t>
        </w:r>
      </w:hyperlink>
      <w:r w:rsidRPr="001447A0">
        <w:rPr>
          <w:rStyle w:val="Hyperlink"/>
          <w:color w:val="000000" w:themeColor="text1"/>
          <w:sz w:val="18"/>
          <w:szCs w:val="18"/>
        </w:rPr>
        <w:t>.</w:t>
      </w:r>
    </w:p>
  </w:footnote>
  <w:footnote w:id="39">
    <w:p w14:paraId="592F8DCE" w14:textId="77777777" w:rsidR="00D7354F" w:rsidRDefault="00D7354F" w:rsidP="000F678C">
      <w:pPr>
        <w:pStyle w:val="FootnoteText"/>
      </w:pPr>
      <w:r w:rsidRPr="001447A0">
        <w:rPr>
          <w:rStyle w:val="FootnoteReference"/>
          <w:sz w:val="18"/>
          <w:szCs w:val="18"/>
        </w:rPr>
        <w:footnoteRef/>
      </w:r>
      <w:r w:rsidRPr="001447A0">
        <w:rPr>
          <w:sz w:val="18"/>
          <w:szCs w:val="18"/>
        </w:rPr>
        <w:t xml:space="preserve"> For example: ACMA (2015), </w:t>
      </w:r>
      <w:r>
        <w:rPr>
          <w:sz w:val="18"/>
          <w:szCs w:val="18"/>
        </w:rPr>
        <w:t>‘</w:t>
      </w:r>
      <w:hyperlink r:id="rId28" w:history="1">
        <w:r w:rsidRPr="001447A0">
          <w:rPr>
            <w:rStyle w:val="Hyperlink"/>
            <w:sz w:val="18"/>
            <w:szCs w:val="18"/>
          </w:rPr>
          <w:t>Optimal conditions for effective self &amp; co-regulatory arrangements</w:t>
        </w:r>
      </w:hyperlink>
      <w:r>
        <w:rPr>
          <w:rStyle w:val="Hyperlink"/>
          <w:sz w:val="18"/>
          <w:szCs w:val="18"/>
        </w:rPr>
        <w:t>’</w:t>
      </w:r>
      <w:r w:rsidRPr="001447A0">
        <w:rPr>
          <w:rStyle w:val="Hyperlink"/>
          <w:color w:val="000000" w:themeColor="text1"/>
          <w:sz w:val="18"/>
          <w:szCs w:val="18"/>
        </w:rPr>
        <w:t>.</w:t>
      </w:r>
    </w:p>
  </w:footnote>
  <w:footnote w:id="40">
    <w:p w14:paraId="10600037" w14:textId="757CA6EF" w:rsidR="00D7354F" w:rsidRPr="001447A0" w:rsidRDefault="00D7354F" w:rsidP="000F678C">
      <w:pPr>
        <w:pStyle w:val="FootnoteText"/>
        <w:rPr>
          <w:sz w:val="18"/>
          <w:szCs w:val="18"/>
        </w:rPr>
      </w:pPr>
      <w:r w:rsidRPr="001447A0">
        <w:rPr>
          <w:rStyle w:val="FootnoteReference"/>
          <w:sz w:val="18"/>
          <w:szCs w:val="18"/>
        </w:rPr>
        <w:footnoteRef/>
      </w:r>
      <w:r w:rsidRPr="001447A0">
        <w:rPr>
          <w:sz w:val="18"/>
          <w:szCs w:val="18"/>
        </w:rPr>
        <w:t xml:space="preserve"> Chris Chapman at </w:t>
      </w:r>
      <w:hyperlink r:id="rId29" w:history="1">
        <w:r w:rsidRPr="001447A0">
          <w:rPr>
            <w:rStyle w:val="Hyperlink"/>
            <w:sz w:val="18"/>
            <w:szCs w:val="18"/>
          </w:rPr>
          <w:t>Environment and Communications Legislation Committee</w:t>
        </w:r>
      </w:hyperlink>
      <w:r w:rsidRPr="001447A0">
        <w:rPr>
          <w:sz w:val="18"/>
          <w:szCs w:val="18"/>
        </w:rPr>
        <w:t xml:space="preserve"> (Tuesday </w:t>
      </w:r>
      <w:r>
        <w:rPr>
          <w:sz w:val="18"/>
          <w:szCs w:val="18"/>
        </w:rPr>
        <w:t>9</w:t>
      </w:r>
      <w:r w:rsidRPr="001447A0">
        <w:rPr>
          <w:sz w:val="18"/>
          <w:szCs w:val="18"/>
        </w:rPr>
        <w:t xml:space="preserve"> February, 2016), Senate Estimates, p. 15.</w:t>
      </w:r>
    </w:p>
  </w:footnote>
  <w:footnote w:id="41">
    <w:p w14:paraId="4DF4F26E" w14:textId="77777777" w:rsidR="00D7354F" w:rsidRPr="001447A0" w:rsidRDefault="00D7354F" w:rsidP="000F678C">
      <w:pPr>
        <w:pStyle w:val="FootnoteText"/>
        <w:rPr>
          <w:sz w:val="18"/>
          <w:szCs w:val="18"/>
        </w:rPr>
      </w:pPr>
      <w:r w:rsidRPr="001447A0">
        <w:rPr>
          <w:rStyle w:val="FootnoteReference"/>
          <w:sz w:val="18"/>
          <w:szCs w:val="18"/>
        </w:rPr>
        <w:footnoteRef/>
      </w:r>
      <w:r w:rsidRPr="001447A0">
        <w:rPr>
          <w:sz w:val="18"/>
          <w:szCs w:val="18"/>
        </w:rPr>
        <w:t xml:space="preserve"> Supporting submissions included </w:t>
      </w:r>
      <w:hyperlink r:id="rId30" w:history="1">
        <w:r w:rsidRPr="001447A0">
          <w:rPr>
            <w:rStyle w:val="Hyperlink"/>
            <w:sz w:val="18"/>
            <w:szCs w:val="18"/>
          </w:rPr>
          <w:t>Telstra</w:t>
        </w:r>
      </w:hyperlink>
      <w:r w:rsidRPr="001447A0">
        <w:rPr>
          <w:sz w:val="18"/>
          <w:szCs w:val="18"/>
        </w:rPr>
        <w:t xml:space="preserve"> (pp. 16–</w:t>
      </w:r>
      <w:r w:rsidRPr="001447A0">
        <w:rPr>
          <w:sz w:val="18"/>
          <w:szCs w:val="18"/>
        </w:rPr>
        <w:softHyphen/>
        <w:t xml:space="preserve">17), </w:t>
      </w:r>
      <w:hyperlink r:id="rId31" w:history="1">
        <w:r w:rsidRPr="001447A0">
          <w:rPr>
            <w:rStyle w:val="Hyperlink"/>
            <w:sz w:val="18"/>
            <w:szCs w:val="18"/>
          </w:rPr>
          <w:t>Optus</w:t>
        </w:r>
      </w:hyperlink>
      <w:r w:rsidRPr="001447A0">
        <w:rPr>
          <w:sz w:val="18"/>
          <w:szCs w:val="18"/>
        </w:rPr>
        <w:t xml:space="preserve"> (p. 15). </w:t>
      </w:r>
    </w:p>
  </w:footnote>
  <w:footnote w:id="42">
    <w:p w14:paraId="4905457F" w14:textId="77777777" w:rsidR="00D7354F" w:rsidRPr="001447A0" w:rsidRDefault="00D7354F" w:rsidP="000F678C">
      <w:pPr>
        <w:pStyle w:val="FootnoteText"/>
        <w:rPr>
          <w:sz w:val="18"/>
          <w:szCs w:val="18"/>
        </w:rPr>
      </w:pPr>
      <w:r w:rsidRPr="001447A0">
        <w:rPr>
          <w:rStyle w:val="FootnoteReference"/>
          <w:sz w:val="18"/>
          <w:szCs w:val="18"/>
        </w:rPr>
        <w:footnoteRef/>
      </w:r>
      <w:r w:rsidRPr="001447A0">
        <w:rPr>
          <w:sz w:val="18"/>
          <w:szCs w:val="18"/>
        </w:rPr>
        <w:t xml:space="preserve"> Part IIIA of the CCA deals with access to national significant essential facilities.</w:t>
      </w:r>
    </w:p>
  </w:footnote>
  <w:footnote w:id="43">
    <w:p w14:paraId="6A47E350" w14:textId="77777777" w:rsidR="00D7354F" w:rsidRPr="001447A0" w:rsidRDefault="00D7354F" w:rsidP="000F678C">
      <w:pPr>
        <w:pStyle w:val="FootnoteText"/>
        <w:rPr>
          <w:sz w:val="18"/>
          <w:szCs w:val="18"/>
        </w:rPr>
      </w:pPr>
      <w:r w:rsidRPr="001447A0">
        <w:rPr>
          <w:rStyle w:val="FootnoteReference"/>
          <w:sz w:val="18"/>
          <w:szCs w:val="18"/>
        </w:rPr>
        <w:footnoteRef/>
      </w:r>
      <w:r w:rsidRPr="001447A0">
        <w:rPr>
          <w:sz w:val="18"/>
          <w:szCs w:val="18"/>
        </w:rPr>
        <w:t xml:space="preserve"> Alasdair Grant and David Howarth (2011), ‘Access and Structural Regulation’ in Alasdair Grant and David Howarth (eds) </w:t>
      </w:r>
      <w:r w:rsidRPr="001447A0">
        <w:rPr>
          <w:i/>
          <w:sz w:val="18"/>
          <w:szCs w:val="18"/>
        </w:rPr>
        <w:t>Australian Telecommunications Regulation</w:t>
      </w:r>
      <w:r w:rsidRPr="001447A0">
        <w:rPr>
          <w:sz w:val="18"/>
          <w:szCs w:val="18"/>
        </w:rPr>
        <w:t>, 4</w:t>
      </w:r>
      <w:r w:rsidRPr="001447A0">
        <w:rPr>
          <w:sz w:val="18"/>
          <w:szCs w:val="18"/>
          <w:vertAlign w:val="superscript"/>
        </w:rPr>
        <w:t>th</w:t>
      </w:r>
      <w:r w:rsidRPr="001447A0">
        <w:rPr>
          <w:sz w:val="18"/>
          <w:szCs w:val="18"/>
        </w:rPr>
        <w:t xml:space="preserve"> edn, CCH Australia, Sydney, p.197.</w:t>
      </w:r>
    </w:p>
  </w:footnote>
  <w:footnote w:id="44">
    <w:p w14:paraId="62E86D85" w14:textId="77777777" w:rsidR="00D7354F" w:rsidRPr="001447A0" w:rsidRDefault="00D7354F" w:rsidP="000F678C">
      <w:pPr>
        <w:pStyle w:val="FootnoteText"/>
        <w:rPr>
          <w:sz w:val="18"/>
          <w:szCs w:val="18"/>
        </w:rPr>
      </w:pPr>
      <w:r w:rsidRPr="001447A0">
        <w:rPr>
          <w:rStyle w:val="FootnoteReference"/>
          <w:sz w:val="18"/>
          <w:szCs w:val="18"/>
        </w:rPr>
        <w:footnoteRef/>
      </w:r>
      <w:r w:rsidRPr="001447A0">
        <w:rPr>
          <w:sz w:val="18"/>
          <w:szCs w:val="18"/>
        </w:rPr>
        <w:t xml:space="preserve"> Schedule 2 to the CCA. The ACL is a single, national law concerning consumer protection and fair trading, which applies in the same way nationally and in each State and Territory.</w:t>
      </w:r>
      <w:r>
        <w:rPr>
          <w:sz w:val="18"/>
          <w:szCs w:val="18"/>
        </w:rPr>
        <w:t xml:space="preserve"> </w:t>
      </w:r>
    </w:p>
  </w:footnote>
  <w:footnote w:id="45">
    <w:p w14:paraId="09BE7205" w14:textId="77777777" w:rsidR="00D7354F" w:rsidRPr="001447A0" w:rsidRDefault="00D7354F" w:rsidP="000F678C">
      <w:pPr>
        <w:pStyle w:val="FootnoteText"/>
        <w:rPr>
          <w:sz w:val="18"/>
          <w:szCs w:val="18"/>
        </w:rPr>
      </w:pPr>
      <w:r w:rsidRPr="001447A0">
        <w:rPr>
          <w:rStyle w:val="FootnoteReference"/>
          <w:sz w:val="18"/>
          <w:szCs w:val="18"/>
        </w:rPr>
        <w:footnoteRef/>
      </w:r>
      <w:r w:rsidRPr="001447A0">
        <w:rPr>
          <w:sz w:val="18"/>
          <w:szCs w:val="18"/>
        </w:rPr>
        <w:t xml:space="preserve"> Alasdair Grant (2011), ‘Industry structure and regulatory bodies’ in Alasdair Grant and David Howarth (eds) </w:t>
      </w:r>
      <w:r w:rsidRPr="001447A0">
        <w:rPr>
          <w:i/>
          <w:sz w:val="18"/>
          <w:szCs w:val="18"/>
        </w:rPr>
        <w:t>Australian Telecommunications Regulation</w:t>
      </w:r>
      <w:r w:rsidRPr="001447A0">
        <w:rPr>
          <w:sz w:val="18"/>
          <w:szCs w:val="18"/>
        </w:rPr>
        <w:t>, 4</w:t>
      </w:r>
      <w:r w:rsidRPr="001447A0">
        <w:rPr>
          <w:sz w:val="18"/>
          <w:szCs w:val="18"/>
          <w:vertAlign w:val="superscript"/>
        </w:rPr>
        <w:t>th</w:t>
      </w:r>
      <w:r w:rsidRPr="001447A0">
        <w:rPr>
          <w:sz w:val="18"/>
          <w:szCs w:val="18"/>
        </w:rPr>
        <w:t xml:space="preserve"> edn, CCH Australia, Sydney, p.41.</w:t>
      </w:r>
    </w:p>
  </w:footnote>
  <w:footnote w:id="46">
    <w:p w14:paraId="6A28D01A" w14:textId="77777777" w:rsidR="00D7354F" w:rsidRPr="001447A0" w:rsidRDefault="00D7354F" w:rsidP="000F678C">
      <w:pPr>
        <w:pStyle w:val="FootnoteText"/>
        <w:rPr>
          <w:sz w:val="18"/>
          <w:szCs w:val="18"/>
        </w:rPr>
      </w:pPr>
      <w:r w:rsidRPr="001447A0">
        <w:rPr>
          <w:rStyle w:val="FootnoteReference"/>
          <w:sz w:val="18"/>
          <w:szCs w:val="18"/>
        </w:rPr>
        <w:footnoteRef/>
      </w:r>
      <w:r w:rsidRPr="001447A0">
        <w:rPr>
          <w:sz w:val="18"/>
          <w:szCs w:val="18"/>
        </w:rPr>
        <w:t xml:space="preserve"> Telstra (2015), </w:t>
      </w:r>
      <w:hyperlink r:id="rId32" w:history="1">
        <w:r w:rsidRPr="001447A0">
          <w:rPr>
            <w:rStyle w:val="Hyperlink"/>
            <w:sz w:val="18"/>
            <w:szCs w:val="18"/>
          </w:rPr>
          <w:t>Submission to the ACMA Review Issues Paper</w:t>
        </w:r>
      </w:hyperlink>
      <w:r w:rsidRPr="001447A0">
        <w:rPr>
          <w:sz w:val="18"/>
          <w:szCs w:val="18"/>
        </w:rPr>
        <w:t>, p. 16.</w:t>
      </w:r>
    </w:p>
  </w:footnote>
  <w:footnote w:id="47">
    <w:p w14:paraId="3AC46EAE" w14:textId="77777777" w:rsidR="00D7354F" w:rsidRDefault="00D7354F" w:rsidP="000F678C">
      <w:pPr>
        <w:pStyle w:val="FootnoteText"/>
      </w:pPr>
      <w:r w:rsidRPr="001447A0">
        <w:rPr>
          <w:rStyle w:val="FootnoteReference"/>
          <w:sz w:val="18"/>
          <w:szCs w:val="18"/>
        </w:rPr>
        <w:footnoteRef/>
      </w:r>
      <w:r w:rsidRPr="001447A0">
        <w:rPr>
          <w:sz w:val="18"/>
          <w:szCs w:val="18"/>
        </w:rPr>
        <w:t xml:space="preserve"> ASTRA (2015), </w:t>
      </w:r>
      <w:hyperlink r:id="rId33" w:history="1">
        <w:r w:rsidRPr="001447A0">
          <w:rPr>
            <w:rStyle w:val="Hyperlink"/>
            <w:sz w:val="18"/>
            <w:szCs w:val="18"/>
          </w:rPr>
          <w:t>Submission to the ACMA Review Issues Paper</w:t>
        </w:r>
      </w:hyperlink>
      <w:r w:rsidRPr="001447A0">
        <w:rPr>
          <w:sz w:val="18"/>
          <w:szCs w:val="18"/>
        </w:rPr>
        <w:t>, p. 8.</w:t>
      </w:r>
    </w:p>
  </w:footnote>
  <w:footnote w:id="48">
    <w:p w14:paraId="1CD6DF02" w14:textId="77777777" w:rsidR="00D7354F" w:rsidRPr="001447A0" w:rsidRDefault="00D7354F" w:rsidP="000F678C">
      <w:pPr>
        <w:pStyle w:val="FootnoteText"/>
        <w:rPr>
          <w:rFonts w:asciiTheme="majorHAnsi" w:hAnsiTheme="majorHAnsi"/>
          <w:sz w:val="18"/>
          <w:szCs w:val="18"/>
        </w:rPr>
      </w:pPr>
      <w:r w:rsidRPr="001447A0">
        <w:rPr>
          <w:rStyle w:val="FootnoteReference"/>
          <w:sz w:val="18"/>
          <w:szCs w:val="18"/>
        </w:rPr>
        <w:footnoteRef/>
      </w:r>
      <w:r w:rsidRPr="001447A0">
        <w:rPr>
          <w:sz w:val="18"/>
          <w:szCs w:val="18"/>
        </w:rPr>
        <w:t xml:space="preserve"> Optus (2015), </w:t>
      </w:r>
      <w:hyperlink r:id="rId34" w:history="1">
        <w:r w:rsidRPr="001447A0">
          <w:rPr>
            <w:rStyle w:val="Hyperlink"/>
            <w:sz w:val="18"/>
            <w:szCs w:val="18"/>
          </w:rPr>
          <w:t>Submission to the ACMA Review Issues Paper</w:t>
        </w:r>
      </w:hyperlink>
      <w:r w:rsidRPr="001447A0">
        <w:rPr>
          <w:sz w:val="18"/>
          <w:szCs w:val="18"/>
        </w:rPr>
        <w:t>, p. 9.</w:t>
      </w:r>
      <w:r w:rsidRPr="001447A0">
        <w:rPr>
          <w:rFonts w:asciiTheme="majorHAnsi" w:hAnsiTheme="majorHAnsi"/>
          <w:sz w:val="18"/>
          <w:szCs w:val="18"/>
        </w:rPr>
        <w:t xml:space="preserve"> </w:t>
      </w:r>
    </w:p>
  </w:footnote>
  <w:footnote w:id="49">
    <w:p w14:paraId="7A360260" w14:textId="77777777" w:rsidR="00D7354F" w:rsidRPr="001447A0" w:rsidRDefault="00D7354F" w:rsidP="000F678C">
      <w:pPr>
        <w:pStyle w:val="FootnoteText"/>
        <w:rPr>
          <w:sz w:val="18"/>
          <w:szCs w:val="18"/>
        </w:rPr>
      </w:pPr>
      <w:r w:rsidRPr="001447A0">
        <w:rPr>
          <w:rStyle w:val="FootnoteReference"/>
          <w:sz w:val="18"/>
          <w:szCs w:val="18"/>
        </w:rPr>
        <w:footnoteRef/>
      </w:r>
      <w:r w:rsidRPr="001447A0">
        <w:rPr>
          <w:sz w:val="18"/>
          <w:szCs w:val="18"/>
        </w:rPr>
        <w:t xml:space="preserve"> Vodafone Hutchison Australia (2015), </w:t>
      </w:r>
      <w:hyperlink r:id="rId35" w:history="1">
        <w:r w:rsidRPr="001447A0">
          <w:rPr>
            <w:rStyle w:val="Hyperlink"/>
            <w:sz w:val="18"/>
            <w:szCs w:val="18"/>
          </w:rPr>
          <w:t>Submission to the ACMA Review Issues Paper</w:t>
        </w:r>
      </w:hyperlink>
      <w:r w:rsidRPr="001447A0">
        <w:rPr>
          <w:sz w:val="18"/>
          <w:szCs w:val="18"/>
        </w:rPr>
        <w:t>, pp. 9-10.</w:t>
      </w:r>
    </w:p>
  </w:footnote>
  <w:footnote w:id="50">
    <w:p w14:paraId="050614FD" w14:textId="77777777" w:rsidR="00D7354F" w:rsidRPr="001447A0" w:rsidRDefault="00D7354F" w:rsidP="000F678C">
      <w:pPr>
        <w:pStyle w:val="FootnoteText"/>
        <w:rPr>
          <w:sz w:val="18"/>
          <w:szCs w:val="18"/>
        </w:rPr>
      </w:pPr>
      <w:r w:rsidRPr="001447A0">
        <w:rPr>
          <w:rStyle w:val="FootnoteReference"/>
          <w:sz w:val="18"/>
          <w:szCs w:val="18"/>
        </w:rPr>
        <w:footnoteRef/>
      </w:r>
      <w:r w:rsidRPr="001447A0">
        <w:rPr>
          <w:sz w:val="18"/>
          <w:szCs w:val="18"/>
        </w:rPr>
        <w:t xml:space="preserve"> Vodafone Hutchison Australia (2015), </w:t>
      </w:r>
      <w:hyperlink r:id="rId36" w:history="1">
        <w:r w:rsidRPr="001447A0">
          <w:rPr>
            <w:rStyle w:val="Hyperlink"/>
            <w:sz w:val="18"/>
            <w:szCs w:val="18"/>
          </w:rPr>
          <w:t>Submission to the ACMA Review Issues Paper</w:t>
        </w:r>
      </w:hyperlink>
      <w:r w:rsidRPr="001447A0">
        <w:rPr>
          <w:sz w:val="18"/>
          <w:szCs w:val="18"/>
        </w:rPr>
        <w:t>, p. 7.</w:t>
      </w:r>
    </w:p>
  </w:footnote>
  <w:footnote w:id="51">
    <w:p w14:paraId="555FE7FB" w14:textId="77777777" w:rsidR="00D7354F" w:rsidRPr="001447A0" w:rsidRDefault="00D7354F" w:rsidP="000F678C">
      <w:pPr>
        <w:pStyle w:val="FootnoteText"/>
        <w:rPr>
          <w:sz w:val="18"/>
          <w:szCs w:val="18"/>
        </w:rPr>
      </w:pPr>
      <w:r w:rsidRPr="001447A0">
        <w:rPr>
          <w:rStyle w:val="FootnoteReference"/>
          <w:sz w:val="18"/>
          <w:szCs w:val="18"/>
        </w:rPr>
        <w:footnoteRef/>
      </w:r>
      <w:r w:rsidRPr="001447A0">
        <w:rPr>
          <w:sz w:val="18"/>
          <w:szCs w:val="18"/>
        </w:rPr>
        <w:t xml:space="preserve"> Dwyer, Fraser, Hitchens and Wilding (2015), </w:t>
      </w:r>
      <w:hyperlink r:id="rId37" w:history="1">
        <w:r w:rsidRPr="001447A0">
          <w:rPr>
            <w:rStyle w:val="Hyperlink"/>
            <w:sz w:val="18"/>
            <w:szCs w:val="18"/>
          </w:rPr>
          <w:t>Submission to the ACMA Review Issues Paper</w:t>
        </w:r>
      </w:hyperlink>
      <w:r w:rsidRPr="001447A0">
        <w:rPr>
          <w:sz w:val="18"/>
          <w:szCs w:val="18"/>
        </w:rPr>
        <w:t>, p. 5.</w:t>
      </w:r>
    </w:p>
  </w:footnote>
  <w:footnote w:id="52">
    <w:p w14:paraId="5B535941" w14:textId="77777777" w:rsidR="00D7354F" w:rsidRDefault="00D7354F" w:rsidP="000F678C">
      <w:pPr>
        <w:pStyle w:val="FootnoteText"/>
      </w:pPr>
      <w:r w:rsidRPr="001447A0">
        <w:rPr>
          <w:rStyle w:val="FootnoteReference"/>
          <w:sz w:val="18"/>
          <w:szCs w:val="18"/>
        </w:rPr>
        <w:footnoteRef/>
      </w:r>
      <w:r w:rsidRPr="001447A0">
        <w:rPr>
          <w:sz w:val="18"/>
          <w:szCs w:val="18"/>
        </w:rPr>
        <w:t xml:space="preserve"> Financial System Enquiry (2014) </w:t>
      </w:r>
      <w:hyperlink r:id="rId38" w:history="1">
        <w:r w:rsidRPr="001447A0">
          <w:rPr>
            <w:rStyle w:val="Hyperlink"/>
            <w:sz w:val="18"/>
            <w:szCs w:val="18"/>
          </w:rPr>
          <w:t>'Final Report'</w:t>
        </w:r>
      </w:hyperlink>
      <w:r w:rsidRPr="001447A0">
        <w:rPr>
          <w:sz w:val="18"/>
          <w:szCs w:val="18"/>
        </w:rPr>
        <w:t>, p. 237.</w:t>
      </w:r>
    </w:p>
  </w:footnote>
  <w:footnote w:id="53">
    <w:p w14:paraId="279400FC" w14:textId="77777777" w:rsidR="00D7354F" w:rsidRPr="001447A0" w:rsidRDefault="00D7354F" w:rsidP="000F678C">
      <w:pPr>
        <w:pStyle w:val="FootnoteText"/>
        <w:rPr>
          <w:sz w:val="18"/>
          <w:szCs w:val="18"/>
        </w:rPr>
      </w:pPr>
      <w:r w:rsidRPr="001447A0">
        <w:rPr>
          <w:rStyle w:val="FootnoteReference"/>
          <w:sz w:val="18"/>
          <w:szCs w:val="18"/>
        </w:rPr>
        <w:footnoteRef/>
      </w:r>
      <w:r w:rsidRPr="001447A0">
        <w:rPr>
          <w:sz w:val="18"/>
          <w:szCs w:val="18"/>
        </w:rPr>
        <w:t xml:space="preserve"> For example, see Part 21 of the Telecommunications Act.</w:t>
      </w:r>
    </w:p>
  </w:footnote>
  <w:footnote w:id="54">
    <w:p w14:paraId="73F68C60" w14:textId="77777777" w:rsidR="00D7354F" w:rsidRPr="001447A0" w:rsidRDefault="00D7354F" w:rsidP="000F678C">
      <w:pPr>
        <w:pStyle w:val="FootnoteText"/>
        <w:rPr>
          <w:sz w:val="18"/>
          <w:szCs w:val="18"/>
        </w:rPr>
      </w:pPr>
      <w:r w:rsidRPr="001447A0">
        <w:rPr>
          <w:rStyle w:val="FootnoteReference"/>
          <w:sz w:val="18"/>
          <w:szCs w:val="18"/>
        </w:rPr>
        <w:footnoteRef/>
      </w:r>
      <w:r w:rsidRPr="001447A0">
        <w:rPr>
          <w:sz w:val="18"/>
          <w:szCs w:val="18"/>
        </w:rPr>
        <w:t xml:space="preserve"> Vodafone Hutchison Australia (2015), </w:t>
      </w:r>
      <w:hyperlink r:id="rId39" w:history="1">
        <w:r>
          <w:rPr>
            <w:rStyle w:val="Hyperlink"/>
            <w:sz w:val="18"/>
            <w:szCs w:val="18"/>
          </w:rPr>
          <w:t>Submission to the ACMA Review issues p</w:t>
        </w:r>
        <w:r w:rsidRPr="001447A0">
          <w:rPr>
            <w:rStyle w:val="Hyperlink"/>
            <w:sz w:val="18"/>
            <w:szCs w:val="18"/>
          </w:rPr>
          <w:t>aper</w:t>
        </w:r>
      </w:hyperlink>
      <w:r w:rsidRPr="001447A0">
        <w:rPr>
          <w:sz w:val="18"/>
          <w:szCs w:val="18"/>
        </w:rPr>
        <w:t xml:space="preserve">, p. 7. </w:t>
      </w:r>
    </w:p>
  </w:footnote>
  <w:footnote w:id="55">
    <w:p w14:paraId="54742DFE" w14:textId="77777777" w:rsidR="00D7354F" w:rsidRPr="001447A0" w:rsidRDefault="00D7354F" w:rsidP="000F678C">
      <w:pPr>
        <w:pStyle w:val="FootnoteText"/>
        <w:rPr>
          <w:sz w:val="18"/>
          <w:szCs w:val="18"/>
        </w:rPr>
      </w:pPr>
      <w:r w:rsidRPr="001447A0">
        <w:rPr>
          <w:rStyle w:val="FootnoteReference"/>
          <w:sz w:val="18"/>
          <w:szCs w:val="18"/>
        </w:rPr>
        <w:footnoteRef/>
      </w:r>
      <w:r w:rsidRPr="001447A0">
        <w:rPr>
          <w:sz w:val="18"/>
          <w:szCs w:val="18"/>
        </w:rPr>
        <w:t xml:space="preserve"> Bill Scales (2014), </w:t>
      </w:r>
      <w:hyperlink r:id="rId40" w:history="1">
        <w:r w:rsidRPr="001447A0">
          <w:rPr>
            <w:rStyle w:val="Hyperlink"/>
            <w:sz w:val="18"/>
            <w:szCs w:val="18"/>
          </w:rPr>
          <w:t>‘Independent Audit – NBN Public Policy Processes’</w:t>
        </w:r>
      </w:hyperlink>
      <w:r w:rsidRPr="001447A0">
        <w:rPr>
          <w:sz w:val="18"/>
          <w:szCs w:val="18"/>
        </w:rPr>
        <w:t>, p. ix</w:t>
      </w:r>
    </w:p>
  </w:footnote>
  <w:footnote w:id="56">
    <w:p w14:paraId="08155181" w14:textId="77777777" w:rsidR="00D7354F" w:rsidRPr="001447A0" w:rsidRDefault="00D7354F" w:rsidP="000F678C">
      <w:pPr>
        <w:pStyle w:val="FootnoteText"/>
        <w:rPr>
          <w:sz w:val="18"/>
          <w:szCs w:val="18"/>
        </w:rPr>
      </w:pPr>
      <w:r w:rsidRPr="001447A0">
        <w:rPr>
          <w:rStyle w:val="FootnoteReference"/>
          <w:sz w:val="18"/>
          <w:szCs w:val="18"/>
        </w:rPr>
        <w:footnoteRef/>
      </w:r>
      <w:r w:rsidRPr="001447A0">
        <w:rPr>
          <w:sz w:val="18"/>
          <w:szCs w:val="18"/>
        </w:rPr>
        <w:t xml:space="preserve"> Panel of Experts (the Vertigan panel) (2014), </w:t>
      </w:r>
      <w:hyperlink r:id="rId41" w:history="1">
        <w:r w:rsidRPr="001447A0">
          <w:rPr>
            <w:rStyle w:val="Hyperlink"/>
            <w:sz w:val="18"/>
            <w:szCs w:val="18"/>
          </w:rPr>
          <w:t>'Independent cost-benefit analysis of broadband and review of regulation', Volume I</w:t>
        </w:r>
      </w:hyperlink>
      <w:r w:rsidRPr="001447A0">
        <w:rPr>
          <w:rStyle w:val="Hyperlink"/>
          <w:color w:val="000000" w:themeColor="text1"/>
          <w:sz w:val="18"/>
          <w:szCs w:val="18"/>
        </w:rPr>
        <w:t>, p. 141</w:t>
      </w:r>
      <w:r w:rsidRPr="001447A0">
        <w:rPr>
          <w:sz w:val="18"/>
          <w:szCs w:val="18"/>
        </w:rPr>
        <w:t>.</w:t>
      </w:r>
    </w:p>
  </w:footnote>
  <w:footnote w:id="57">
    <w:p w14:paraId="34E46861" w14:textId="77777777" w:rsidR="00D7354F" w:rsidRPr="001447A0" w:rsidRDefault="00D7354F" w:rsidP="000F678C">
      <w:pPr>
        <w:pStyle w:val="FootnoteText"/>
        <w:rPr>
          <w:sz w:val="18"/>
          <w:szCs w:val="18"/>
        </w:rPr>
      </w:pPr>
      <w:r w:rsidRPr="001447A0">
        <w:rPr>
          <w:rStyle w:val="FootnoteReference"/>
          <w:sz w:val="18"/>
          <w:szCs w:val="18"/>
        </w:rPr>
        <w:footnoteRef/>
      </w:r>
      <w:r w:rsidRPr="001447A0">
        <w:rPr>
          <w:sz w:val="18"/>
          <w:szCs w:val="18"/>
        </w:rPr>
        <w:t xml:space="preserve"> Panel of Experts (the Vertigan panel) (2014), </w:t>
      </w:r>
      <w:hyperlink r:id="rId42" w:history="1">
        <w:r w:rsidRPr="001447A0">
          <w:rPr>
            <w:rStyle w:val="Hyperlink"/>
            <w:sz w:val="18"/>
            <w:szCs w:val="18"/>
          </w:rPr>
          <w:t>'Independent cost-benefit analysis of broadband and review of regulation', Volume II</w:t>
        </w:r>
      </w:hyperlink>
      <w:r w:rsidRPr="001447A0">
        <w:rPr>
          <w:sz w:val="18"/>
          <w:szCs w:val="18"/>
        </w:rPr>
        <w:t>, p.152.</w:t>
      </w:r>
    </w:p>
  </w:footnote>
  <w:footnote w:id="58">
    <w:p w14:paraId="398512A7" w14:textId="77777777" w:rsidR="00D7354F" w:rsidRDefault="00D7354F" w:rsidP="000F678C">
      <w:pPr>
        <w:pStyle w:val="FootnoteText"/>
      </w:pPr>
      <w:r w:rsidRPr="001447A0">
        <w:rPr>
          <w:rStyle w:val="FootnoteReference"/>
          <w:sz w:val="18"/>
          <w:szCs w:val="18"/>
        </w:rPr>
        <w:footnoteRef/>
      </w:r>
      <w:r w:rsidRPr="001447A0">
        <w:rPr>
          <w:sz w:val="18"/>
          <w:szCs w:val="18"/>
        </w:rPr>
        <w:t xml:space="preserve"> Competition Policy Review (2015), </w:t>
      </w:r>
      <w:hyperlink r:id="rId43" w:history="1">
        <w:r w:rsidRPr="001447A0">
          <w:rPr>
            <w:rStyle w:val="Hyperlink"/>
            <w:sz w:val="18"/>
            <w:szCs w:val="18"/>
          </w:rPr>
          <w:t>'Final Report'</w:t>
        </w:r>
      </w:hyperlink>
      <w:r w:rsidRPr="001447A0">
        <w:rPr>
          <w:sz w:val="18"/>
          <w:szCs w:val="18"/>
        </w:rPr>
        <w:t>, p. 472.</w:t>
      </w:r>
    </w:p>
  </w:footnote>
  <w:footnote w:id="59">
    <w:p w14:paraId="41295A19" w14:textId="77777777" w:rsidR="00D7354F" w:rsidRPr="001447A0" w:rsidRDefault="00D7354F" w:rsidP="000F678C">
      <w:pPr>
        <w:pStyle w:val="FootnoteText"/>
        <w:rPr>
          <w:sz w:val="18"/>
          <w:szCs w:val="18"/>
        </w:rPr>
      </w:pPr>
      <w:r w:rsidRPr="001447A0">
        <w:rPr>
          <w:rStyle w:val="FootnoteReference"/>
          <w:sz w:val="18"/>
          <w:szCs w:val="18"/>
        </w:rPr>
        <w:footnoteRef/>
      </w:r>
      <w:r w:rsidRPr="001447A0">
        <w:rPr>
          <w:sz w:val="18"/>
          <w:szCs w:val="18"/>
        </w:rPr>
        <w:t xml:space="preserve"> Legislative change would be required. Among other things, the recordkeeping rules in Part XIB of the CCA are necessary for a range of Part XIC functions.</w:t>
      </w:r>
    </w:p>
  </w:footnote>
  <w:footnote w:id="60">
    <w:p w14:paraId="6A724B38" w14:textId="77777777" w:rsidR="00D7354F" w:rsidRPr="001447A0" w:rsidRDefault="00D7354F" w:rsidP="000F678C">
      <w:pPr>
        <w:pStyle w:val="FootnoteText"/>
        <w:rPr>
          <w:sz w:val="18"/>
          <w:szCs w:val="18"/>
        </w:rPr>
      </w:pPr>
      <w:r w:rsidRPr="001447A0">
        <w:rPr>
          <w:rStyle w:val="FootnoteReference"/>
          <w:sz w:val="18"/>
          <w:szCs w:val="18"/>
        </w:rPr>
        <w:footnoteRef/>
      </w:r>
      <w:r w:rsidRPr="001447A0">
        <w:rPr>
          <w:sz w:val="18"/>
          <w:szCs w:val="18"/>
        </w:rPr>
        <w:t xml:space="preserve"> The Government’s response to the Harper Review indicated that it remains open to the recommendation to transfer the regulatory functions of the ACCC (including telecommunications and access pricing functions of the ACCC) to a new, national Access and Pricing Regulator (recommendation 50).</w:t>
      </w:r>
    </w:p>
  </w:footnote>
  <w:footnote w:id="61">
    <w:p w14:paraId="3DBC90E4" w14:textId="77777777" w:rsidR="00D7354F" w:rsidRPr="001447A0" w:rsidRDefault="00D7354F" w:rsidP="000F678C">
      <w:pPr>
        <w:pStyle w:val="FootnoteText"/>
        <w:rPr>
          <w:sz w:val="18"/>
          <w:szCs w:val="18"/>
        </w:rPr>
      </w:pPr>
      <w:r w:rsidRPr="001447A0">
        <w:rPr>
          <w:rStyle w:val="FootnoteReference"/>
          <w:sz w:val="18"/>
          <w:szCs w:val="18"/>
        </w:rPr>
        <w:footnoteRef/>
      </w:r>
      <w:r w:rsidRPr="001447A0">
        <w:rPr>
          <w:sz w:val="18"/>
          <w:szCs w:val="18"/>
        </w:rPr>
        <w:t xml:space="preserve"> Panel of Experts (the Vertigan panel) (2014), </w:t>
      </w:r>
      <w:hyperlink r:id="rId44" w:history="1">
        <w:r w:rsidRPr="001447A0">
          <w:rPr>
            <w:rStyle w:val="Hyperlink"/>
            <w:sz w:val="18"/>
            <w:szCs w:val="18"/>
          </w:rPr>
          <w:t>'Independent cost-benefit analysis of broadband and review of regulation', Volume I</w:t>
        </w:r>
      </w:hyperlink>
      <w:r w:rsidRPr="001447A0">
        <w:rPr>
          <w:rStyle w:val="Hyperlink"/>
          <w:color w:val="000000" w:themeColor="text1"/>
          <w:sz w:val="18"/>
          <w:szCs w:val="18"/>
        </w:rPr>
        <w:t>, p</w:t>
      </w:r>
      <w:r w:rsidRPr="001447A0">
        <w:rPr>
          <w:sz w:val="18"/>
          <w:szCs w:val="18"/>
        </w:rPr>
        <w:t xml:space="preserve"> 141.</w:t>
      </w:r>
    </w:p>
  </w:footnote>
  <w:footnote w:id="62">
    <w:p w14:paraId="060F43BD" w14:textId="77777777" w:rsidR="00D7354F" w:rsidRPr="001447A0" w:rsidRDefault="00D7354F" w:rsidP="000F678C">
      <w:pPr>
        <w:pStyle w:val="FootnoteText"/>
        <w:rPr>
          <w:sz w:val="18"/>
          <w:szCs w:val="18"/>
        </w:rPr>
      </w:pPr>
      <w:r w:rsidRPr="001447A0">
        <w:rPr>
          <w:rStyle w:val="FootnoteReference"/>
          <w:sz w:val="18"/>
          <w:szCs w:val="18"/>
        </w:rPr>
        <w:footnoteRef/>
      </w:r>
      <w:r w:rsidRPr="001447A0">
        <w:rPr>
          <w:sz w:val="18"/>
          <w:szCs w:val="18"/>
        </w:rPr>
        <w:t xml:space="preserve"> Bauer, J.M. (2014) ‘Platforms, systems competition, and innovation: Reassessing the foundation of communications policy’, </w:t>
      </w:r>
      <w:r w:rsidRPr="001447A0">
        <w:rPr>
          <w:i/>
          <w:sz w:val="18"/>
          <w:szCs w:val="18"/>
        </w:rPr>
        <w:t>Telecommunications Policy</w:t>
      </w:r>
      <w:r w:rsidRPr="001447A0">
        <w:rPr>
          <w:sz w:val="18"/>
          <w:szCs w:val="18"/>
        </w:rPr>
        <w:t>, 38, pp.662-673.</w:t>
      </w:r>
    </w:p>
  </w:footnote>
  <w:footnote w:id="63">
    <w:p w14:paraId="12A65306" w14:textId="77777777" w:rsidR="00D7354F" w:rsidRDefault="00D7354F" w:rsidP="000F678C">
      <w:pPr>
        <w:pStyle w:val="FootnoteText"/>
      </w:pPr>
      <w:r w:rsidRPr="001447A0">
        <w:rPr>
          <w:rStyle w:val="FootnoteReference"/>
          <w:sz w:val="18"/>
          <w:szCs w:val="18"/>
        </w:rPr>
        <w:footnoteRef/>
      </w:r>
      <w:r w:rsidRPr="001447A0">
        <w:rPr>
          <w:sz w:val="18"/>
          <w:szCs w:val="18"/>
        </w:rPr>
        <w:t xml:space="preserve"> ACCC/AER working paper, no.10 (2015), </w:t>
      </w:r>
      <w:hyperlink r:id="rId45" w:history="1">
        <w:r w:rsidRPr="001447A0">
          <w:rPr>
            <w:rStyle w:val="Hyperlink"/>
            <w:sz w:val="18"/>
            <w:szCs w:val="18"/>
          </w:rPr>
          <w:t>‘International Insights for the Better Economic Regulation of Infrastructure’</w:t>
        </w:r>
      </w:hyperlink>
      <w:r w:rsidRPr="001447A0">
        <w:rPr>
          <w:sz w:val="18"/>
          <w:szCs w:val="18"/>
        </w:rPr>
        <w:t>, p.26.</w:t>
      </w:r>
    </w:p>
  </w:footnote>
  <w:footnote w:id="64">
    <w:p w14:paraId="11CBCAD9" w14:textId="77777777" w:rsidR="00D7354F" w:rsidRPr="001447A0" w:rsidRDefault="00D7354F" w:rsidP="000F678C">
      <w:pPr>
        <w:pStyle w:val="FootnoteText"/>
        <w:rPr>
          <w:sz w:val="18"/>
          <w:szCs w:val="18"/>
        </w:rPr>
      </w:pPr>
      <w:r w:rsidRPr="001447A0">
        <w:rPr>
          <w:rStyle w:val="FootnoteReference"/>
          <w:sz w:val="18"/>
          <w:szCs w:val="18"/>
        </w:rPr>
        <w:footnoteRef/>
      </w:r>
      <w:r w:rsidRPr="001447A0">
        <w:rPr>
          <w:sz w:val="18"/>
          <w:szCs w:val="18"/>
        </w:rPr>
        <w:t xml:space="preserve"> The Treasury (2015</w:t>
      </w:r>
      <w:r w:rsidRPr="00903E4E">
        <w:rPr>
          <w:sz w:val="18"/>
          <w:szCs w:val="18"/>
        </w:rPr>
        <w:t xml:space="preserve">), </w:t>
      </w:r>
      <w:hyperlink r:id="rId46" w:history="1">
        <w:r w:rsidRPr="00903E4E">
          <w:rPr>
            <w:rStyle w:val="Hyperlink"/>
            <w:sz w:val="18"/>
            <w:szCs w:val="18"/>
          </w:rPr>
          <w:t>Government response to the Competition Policy Review</w:t>
        </w:r>
      </w:hyperlink>
      <w:r w:rsidRPr="001447A0">
        <w:rPr>
          <w:sz w:val="18"/>
          <w:szCs w:val="18"/>
        </w:rPr>
        <w:t xml:space="preserve">. </w:t>
      </w:r>
    </w:p>
  </w:footnote>
  <w:footnote w:id="65">
    <w:p w14:paraId="5231AD1D" w14:textId="77777777" w:rsidR="00D7354F" w:rsidRPr="001447A0" w:rsidRDefault="00D7354F" w:rsidP="000F678C">
      <w:pPr>
        <w:pStyle w:val="FootnoteText"/>
        <w:rPr>
          <w:sz w:val="18"/>
          <w:szCs w:val="18"/>
        </w:rPr>
      </w:pPr>
      <w:r w:rsidRPr="001447A0">
        <w:rPr>
          <w:rStyle w:val="FootnoteReference"/>
          <w:sz w:val="18"/>
          <w:szCs w:val="18"/>
        </w:rPr>
        <w:footnoteRef/>
      </w:r>
      <w:r w:rsidRPr="001447A0">
        <w:rPr>
          <w:sz w:val="18"/>
          <w:szCs w:val="18"/>
        </w:rPr>
        <w:t xml:space="preserve"> See, for example, Peitz, Schweitzer and Valletti (2014), </w:t>
      </w:r>
      <w:hyperlink r:id="rId47" w:history="1">
        <w:r w:rsidRPr="001447A0">
          <w:rPr>
            <w:rStyle w:val="Hyperlink"/>
            <w:sz w:val="18"/>
            <w:szCs w:val="18"/>
          </w:rPr>
          <w:t>‘Market Definition, Market Power and Regulatory Interaction in Electronic Communications Markets’</w:t>
        </w:r>
      </w:hyperlink>
      <w:r w:rsidRPr="001447A0">
        <w:rPr>
          <w:sz w:val="18"/>
          <w:szCs w:val="18"/>
        </w:rPr>
        <w:t>, CERRE study; and OECD Working Party on Communication Infrastructures and Services Policy (2015), ‘Beyond the digital convergence: Innovation, investment, and competition in communication policy and regulation for the 21</w:t>
      </w:r>
      <w:r w:rsidRPr="001447A0">
        <w:rPr>
          <w:sz w:val="18"/>
          <w:szCs w:val="18"/>
          <w:vertAlign w:val="superscript"/>
        </w:rPr>
        <w:t>st</w:t>
      </w:r>
      <w:r w:rsidRPr="001447A0">
        <w:rPr>
          <w:sz w:val="18"/>
          <w:szCs w:val="18"/>
        </w:rPr>
        <w:t xml:space="preserve"> century’; Optus (2015), </w:t>
      </w:r>
      <w:hyperlink r:id="rId48" w:history="1">
        <w:r w:rsidRPr="001447A0">
          <w:rPr>
            <w:rStyle w:val="Hyperlink"/>
            <w:sz w:val="18"/>
            <w:szCs w:val="18"/>
          </w:rPr>
          <w:t>Submission to the ACMA Review Issues Paper</w:t>
        </w:r>
      </w:hyperlink>
      <w:r w:rsidRPr="001447A0">
        <w:rPr>
          <w:sz w:val="18"/>
          <w:szCs w:val="18"/>
        </w:rPr>
        <w:t>.</w:t>
      </w:r>
    </w:p>
  </w:footnote>
  <w:footnote w:id="66">
    <w:p w14:paraId="56CB19E9" w14:textId="77777777" w:rsidR="00D7354F" w:rsidRDefault="00D7354F" w:rsidP="000F678C">
      <w:pPr>
        <w:pStyle w:val="FootnoteText"/>
      </w:pPr>
      <w:r w:rsidRPr="001447A0">
        <w:rPr>
          <w:rStyle w:val="FootnoteReference"/>
          <w:sz w:val="18"/>
          <w:szCs w:val="18"/>
        </w:rPr>
        <w:footnoteRef/>
      </w:r>
      <w:r w:rsidRPr="001447A0">
        <w:rPr>
          <w:sz w:val="18"/>
          <w:szCs w:val="18"/>
        </w:rPr>
        <w:t xml:space="preserve"> </w:t>
      </w:r>
      <w:r>
        <w:rPr>
          <w:sz w:val="18"/>
          <w:szCs w:val="18"/>
        </w:rPr>
        <w:t>In March 2016, t</w:t>
      </w:r>
      <w:r w:rsidRPr="001447A0">
        <w:rPr>
          <w:sz w:val="18"/>
          <w:szCs w:val="18"/>
        </w:rPr>
        <w:t xml:space="preserve">he Government </w:t>
      </w:r>
      <w:r>
        <w:rPr>
          <w:sz w:val="18"/>
          <w:szCs w:val="18"/>
        </w:rPr>
        <w:t xml:space="preserve">agreed to </w:t>
      </w:r>
      <w:r w:rsidRPr="002A1C3D">
        <w:rPr>
          <w:sz w:val="18"/>
          <w:szCs w:val="18"/>
        </w:rPr>
        <w:t xml:space="preserve">implement the Harper Review’s recommendation to replace section 46 of the </w:t>
      </w:r>
      <w:r w:rsidRPr="00312EC0">
        <w:rPr>
          <w:i/>
          <w:sz w:val="18"/>
          <w:szCs w:val="18"/>
        </w:rPr>
        <w:t>Competition and Consumer Act 2010</w:t>
      </w:r>
      <w:r w:rsidRPr="002A1C3D">
        <w:rPr>
          <w:sz w:val="18"/>
          <w:szCs w:val="18"/>
        </w:rPr>
        <w:t xml:space="preserve"> with a new provision </w:t>
      </w:r>
      <w:r>
        <w:rPr>
          <w:sz w:val="18"/>
          <w:szCs w:val="18"/>
        </w:rPr>
        <w:t>that would add an “effects” test</w:t>
      </w:r>
      <w:r w:rsidRPr="001447A0">
        <w:rPr>
          <w:sz w:val="18"/>
          <w:szCs w:val="18"/>
        </w:rPr>
        <w:t xml:space="preserve"> to strengthen the misuse of market power law</w:t>
      </w:r>
      <w:r>
        <w:rPr>
          <w:sz w:val="18"/>
          <w:szCs w:val="18"/>
        </w:rPr>
        <w:t xml:space="preserve">. </w:t>
      </w:r>
      <w:r w:rsidRPr="001447A0">
        <w:rPr>
          <w:sz w:val="18"/>
          <w:szCs w:val="18"/>
        </w:rPr>
        <w:t xml:space="preserve">The Government agreed to review Part XIB of the </w:t>
      </w:r>
      <w:r w:rsidRPr="001447A0">
        <w:rPr>
          <w:i/>
          <w:sz w:val="18"/>
          <w:szCs w:val="18"/>
        </w:rPr>
        <w:t xml:space="preserve">Competition and Consumer Act 2010 </w:t>
      </w:r>
      <w:r w:rsidRPr="001447A0">
        <w:rPr>
          <w:sz w:val="18"/>
          <w:szCs w:val="18"/>
        </w:rPr>
        <w:t>in response to Vertigan. However, a review of Part XIB would need to consider the outcome of the Government’s consideration of the misuse of market power law.</w:t>
      </w:r>
    </w:p>
  </w:footnote>
  <w:footnote w:id="67">
    <w:p w14:paraId="48ADDA75" w14:textId="77777777" w:rsidR="00D7354F" w:rsidRPr="001447A0" w:rsidRDefault="00D7354F" w:rsidP="000F678C">
      <w:pPr>
        <w:pStyle w:val="FootnoteText"/>
        <w:rPr>
          <w:sz w:val="18"/>
          <w:szCs w:val="18"/>
        </w:rPr>
      </w:pPr>
      <w:r w:rsidRPr="001447A0">
        <w:rPr>
          <w:rStyle w:val="FootnoteReference"/>
          <w:sz w:val="18"/>
          <w:szCs w:val="18"/>
        </w:rPr>
        <w:footnoteRef/>
      </w:r>
      <w:r w:rsidRPr="001447A0">
        <w:rPr>
          <w:sz w:val="18"/>
          <w:szCs w:val="18"/>
        </w:rPr>
        <w:t xml:space="preserve"> For example, </w:t>
      </w:r>
      <w:r w:rsidRPr="001447A0">
        <w:rPr>
          <w:i/>
          <w:sz w:val="18"/>
          <w:szCs w:val="18"/>
        </w:rPr>
        <w:t xml:space="preserve">Broadcasting Services Act 1992 (Cth), </w:t>
      </w:r>
      <w:r w:rsidRPr="001447A0">
        <w:rPr>
          <w:sz w:val="18"/>
          <w:szCs w:val="18"/>
        </w:rPr>
        <w:t xml:space="preserve">s 97 in relation to allocation of a subscription television broadcasting licence; </w:t>
      </w:r>
      <w:r w:rsidRPr="001447A0">
        <w:rPr>
          <w:i/>
          <w:sz w:val="18"/>
          <w:szCs w:val="18"/>
        </w:rPr>
        <w:t>Radiocommunications Act 1992</w:t>
      </w:r>
      <w:r w:rsidRPr="001447A0">
        <w:rPr>
          <w:sz w:val="18"/>
          <w:szCs w:val="18"/>
        </w:rPr>
        <w:t xml:space="preserve"> (Cth), ss60 and 106; </w:t>
      </w:r>
      <w:r w:rsidRPr="001447A0">
        <w:rPr>
          <w:i/>
          <w:sz w:val="18"/>
          <w:szCs w:val="18"/>
        </w:rPr>
        <w:t>Telecommunications Act</w:t>
      </w:r>
      <w:r w:rsidRPr="001447A0">
        <w:rPr>
          <w:sz w:val="18"/>
          <w:szCs w:val="18"/>
        </w:rPr>
        <w:t xml:space="preserve"> </w:t>
      </w:r>
      <w:r w:rsidRPr="001447A0">
        <w:rPr>
          <w:i/>
          <w:sz w:val="18"/>
          <w:szCs w:val="18"/>
        </w:rPr>
        <w:t>1996</w:t>
      </w:r>
      <w:r w:rsidRPr="001447A0">
        <w:rPr>
          <w:sz w:val="18"/>
          <w:szCs w:val="18"/>
        </w:rPr>
        <w:t xml:space="preserve"> (Cth) in relation to service provider conduct (s99), pre-selection (ss349 and 352) and numbering (ss 461, 463 and 467). </w:t>
      </w:r>
    </w:p>
  </w:footnote>
  <w:footnote w:id="68">
    <w:p w14:paraId="50A29A09" w14:textId="77777777" w:rsidR="00D7354F" w:rsidRPr="001447A0" w:rsidRDefault="00D7354F" w:rsidP="000F678C">
      <w:pPr>
        <w:pStyle w:val="FootnoteText"/>
        <w:rPr>
          <w:sz w:val="18"/>
          <w:szCs w:val="18"/>
        </w:rPr>
      </w:pPr>
      <w:r w:rsidRPr="001447A0">
        <w:rPr>
          <w:rStyle w:val="FootnoteReference"/>
          <w:sz w:val="18"/>
          <w:szCs w:val="18"/>
        </w:rPr>
        <w:footnoteRef/>
      </w:r>
      <w:r w:rsidRPr="001447A0">
        <w:rPr>
          <w:sz w:val="18"/>
          <w:szCs w:val="18"/>
        </w:rPr>
        <w:t xml:space="preserve"> Although lapsed.</w:t>
      </w:r>
    </w:p>
  </w:footnote>
  <w:footnote w:id="69">
    <w:p w14:paraId="08FC3BD1" w14:textId="77777777" w:rsidR="00D7354F" w:rsidRDefault="00D7354F" w:rsidP="000F678C">
      <w:pPr>
        <w:pStyle w:val="FootnoteText"/>
      </w:pPr>
      <w:r>
        <w:rPr>
          <w:rStyle w:val="FootnoteReference"/>
        </w:rPr>
        <w:footnoteRef/>
      </w:r>
      <w:r>
        <w:t xml:space="preserve"> More information on the ACL Review is available from the </w:t>
      </w:r>
      <w:hyperlink r:id="rId49" w:anchor="issues-paper" w:history="1">
        <w:r w:rsidRPr="00270518">
          <w:rPr>
            <w:rStyle w:val="Hyperlink"/>
          </w:rPr>
          <w:t>Australian Consumer Law website</w:t>
        </w:r>
      </w:hyperlink>
      <w:r>
        <w:t>.</w:t>
      </w:r>
    </w:p>
  </w:footnote>
  <w:footnote w:id="70">
    <w:p w14:paraId="4F8F6DA8" w14:textId="77777777" w:rsidR="00D7354F" w:rsidRPr="001447A0" w:rsidRDefault="00D7354F" w:rsidP="00261FE0">
      <w:pPr>
        <w:pStyle w:val="FootnoteText"/>
        <w:rPr>
          <w:sz w:val="18"/>
          <w:szCs w:val="18"/>
        </w:rPr>
      </w:pPr>
      <w:r w:rsidRPr="001447A0">
        <w:rPr>
          <w:rStyle w:val="FootnoteReference"/>
          <w:sz w:val="18"/>
          <w:szCs w:val="18"/>
        </w:rPr>
        <w:footnoteRef/>
      </w:r>
      <w:r w:rsidRPr="001447A0">
        <w:rPr>
          <w:sz w:val="18"/>
          <w:szCs w:val="18"/>
        </w:rPr>
        <w:t xml:space="preserve"> Communications Alliance (2015), </w:t>
      </w:r>
      <w:hyperlink r:id="rId50" w:history="1">
        <w:r w:rsidRPr="00903E4E">
          <w:rPr>
            <w:rStyle w:val="Hyperlink"/>
            <w:sz w:val="18"/>
            <w:szCs w:val="18"/>
          </w:rPr>
          <w:t>Submission to the ACMA Review Issues Paper</w:t>
        </w:r>
      </w:hyperlink>
      <w:r w:rsidRPr="001447A0">
        <w:rPr>
          <w:i/>
          <w:sz w:val="18"/>
          <w:szCs w:val="18"/>
        </w:rPr>
        <w:t xml:space="preserve">, </w:t>
      </w:r>
      <w:r w:rsidRPr="001447A0">
        <w:rPr>
          <w:sz w:val="18"/>
          <w:szCs w:val="18"/>
        </w:rPr>
        <w:t xml:space="preserve">p. 3. </w:t>
      </w:r>
    </w:p>
  </w:footnote>
  <w:footnote w:id="71">
    <w:p w14:paraId="4C6EB0BB" w14:textId="77777777" w:rsidR="00D7354F" w:rsidRDefault="00D7354F" w:rsidP="00261FE0">
      <w:pPr>
        <w:pStyle w:val="FootnoteText"/>
      </w:pPr>
      <w:r w:rsidRPr="001447A0">
        <w:rPr>
          <w:rStyle w:val="FootnoteReference"/>
          <w:sz w:val="18"/>
          <w:szCs w:val="18"/>
        </w:rPr>
        <w:footnoteRef/>
      </w:r>
      <w:r w:rsidRPr="001447A0">
        <w:rPr>
          <w:sz w:val="18"/>
          <w:szCs w:val="18"/>
        </w:rPr>
        <w:t xml:space="preserve"> DigEcon Research (2015), </w:t>
      </w:r>
      <w:hyperlink r:id="rId51" w:history="1">
        <w:r w:rsidRPr="001447A0">
          <w:rPr>
            <w:rStyle w:val="Hyperlink"/>
            <w:sz w:val="18"/>
            <w:szCs w:val="18"/>
          </w:rPr>
          <w:t>Submission to the ACMA Review Issues Paper</w:t>
        </w:r>
      </w:hyperlink>
      <w:r w:rsidRPr="001447A0">
        <w:rPr>
          <w:sz w:val="18"/>
          <w:szCs w:val="18"/>
        </w:rPr>
        <w:t>, p. 3.</w:t>
      </w:r>
    </w:p>
  </w:footnote>
  <w:footnote w:id="72">
    <w:p w14:paraId="4D7EC296" w14:textId="77777777" w:rsidR="00D7354F" w:rsidRPr="001447A0" w:rsidRDefault="00D7354F" w:rsidP="00261FE0">
      <w:pPr>
        <w:pStyle w:val="FootnoteText"/>
        <w:rPr>
          <w:sz w:val="18"/>
          <w:szCs w:val="18"/>
        </w:rPr>
      </w:pPr>
      <w:r w:rsidRPr="001447A0">
        <w:rPr>
          <w:rStyle w:val="FootnoteReference"/>
          <w:sz w:val="18"/>
          <w:szCs w:val="18"/>
        </w:rPr>
        <w:footnoteRef/>
      </w:r>
      <w:r w:rsidRPr="001447A0">
        <w:rPr>
          <w:sz w:val="18"/>
          <w:szCs w:val="18"/>
        </w:rPr>
        <w:t xml:space="preserve"> Vodafone Hutchison Australia (2015), </w:t>
      </w:r>
      <w:hyperlink r:id="rId52" w:history="1">
        <w:r w:rsidRPr="001447A0">
          <w:rPr>
            <w:rStyle w:val="Hyperlink"/>
            <w:sz w:val="18"/>
            <w:szCs w:val="18"/>
          </w:rPr>
          <w:t>Submission to the ACMA Review Issues Paper</w:t>
        </w:r>
      </w:hyperlink>
      <w:r w:rsidRPr="001447A0">
        <w:rPr>
          <w:sz w:val="18"/>
          <w:szCs w:val="18"/>
        </w:rPr>
        <w:t>, p.12.</w:t>
      </w:r>
    </w:p>
  </w:footnote>
  <w:footnote w:id="73">
    <w:p w14:paraId="12FBC75E" w14:textId="77777777" w:rsidR="00D7354F" w:rsidRPr="001447A0" w:rsidRDefault="00D7354F" w:rsidP="00261FE0">
      <w:pPr>
        <w:pStyle w:val="FootnoteText"/>
        <w:rPr>
          <w:sz w:val="18"/>
          <w:szCs w:val="18"/>
        </w:rPr>
      </w:pPr>
      <w:r w:rsidRPr="001447A0">
        <w:rPr>
          <w:rStyle w:val="FootnoteReference"/>
          <w:sz w:val="18"/>
          <w:szCs w:val="18"/>
        </w:rPr>
        <w:footnoteRef/>
      </w:r>
      <w:r w:rsidRPr="001447A0">
        <w:rPr>
          <w:sz w:val="18"/>
          <w:szCs w:val="18"/>
        </w:rPr>
        <w:t xml:space="preserve"> OECD (2014), </w:t>
      </w:r>
      <w:hyperlink r:id="rId53" w:history="1">
        <w:r w:rsidRPr="001447A0">
          <w:rPr>
            <w:rStyle w:val="Hyperlink"/>
            <w:sz w:val="18"/>
            <w:szCs w:val="18"/>
          </w:rPr>
          <w:t>‘OECD Best Practice Principles for Regulatory Policy: The Governance of Regulators’</w:t>
        </w:r>
      </w:hyperlink>
      <w:r>
        <w:rPr>
          <w:sz w:val="18"/>
          <w:szCs w:val="18"/>
        </w:rPr>
        <w:t>,</w:t>
      </w:r>
      <w:r w:rsidRPr="001447A0">
        <w:rPr>
          <w:sz w:val="18"/>
          <w:szCs w:val="18"/>
        </w:rPr>
        <w:t xml:space="preserve"> p. 31.</w:t>
      </w:r>
    </w:p>
  </w:footnote>
  <w:footnote w:id="74">
    <w:p w14:paraId="601C1094" w14:textId="77777777" w:rsidR="00D7354F" w:rsidRDefault="00D7354F" w:rsidP="00261FE0">
      <w:pPr>
        <w:pStyle w:val="FootnoteText"/>
      </w:pPr>
      <w:r w:rsidRPr="001447A0">
        <w:rPr>
          <w:rStyle w:val="FootnoteReference"/>
          <w:sz w:val="18"/>
          <w:szCs w:val="18"/>
        </w:rPr>
        <w:footnoteRef/>
      </w:r>
      <w:r w:rsidRPr="001447A0">
        <w:rPr>
          <w:sz w:val="18"/>
          <w:szCs w:val="18"/>
        </w:rPr>
        <w:t xml:space="preserve"> Australian National Audit Office (2014), </w:t>
      </w:r>
      <w:hyperlink r:id="rId54" w:history="1">
        <w:r w:rsidRPr="001447A0">
          <w:rPr>
            <w:rStyle w:val="Hyperlink"/>
            <w:sz w:val="18"/>
            <w:szCs w:val="18"/>
          </w:rPr>
          <w:t>‘Administering regulation: Achieving the right balance</w:t>
        </w:r>
        <w:r w:rsidRPr="001447A0">
          <w:rPr>
            <w:rStyle w:val="Hyperlink"/>
            <w:i/>
            <w:sz w:val="18"/>
            <w:szCs w:val="18"/>
          </w:rPr>
          <w:t xml:space="preserve">, </w:t>
        </w:r>
        <w:r w:rsidRPr="001447A0">
          <w:rPr>
            <w:rStyle w:val="Hyperlink"/>
            <w:sz w:val="18"/>
            <w:szCs w:val="18"/>
          </w:rPr>
          <w:t>Better Practice Guide’</w:t>
        </w:r>
      </w:hyperlink>
      <w:r w:rsidRPr="001447A0">
        <w:rPr>
          <w:sz w:val="18"/>
          <w:szCs w:val="18"/>
        </w:rPr>
        <w:t>, p.13.</w:t>
      </w:r>
    </w:p>
  </w:footnote>
  <w:footnote w:id="75">
    <w:p w14:paraId="2FB4D6C8" w14:textId="5BBBC10D" w:rsidR="00D7354F" w:rsidRDefault="00D7354F" w:rsidP="00261FE0">
      <w:pPr>
        <w:pStyle w:val="FootnoteText"/>
      </w:pPr>
      <w:r>
        <w:rPr>
          <w:rStyle w:val="FootnoteReference"/>
        </w:rPr>
        <w:footnoteRef/>
      </w:r>
      <w:r>
        <w:t xml:space="preserve"> Department of Communications and the Arts (2016), </w:t>
      </w:r>
      <w:hyperlink r:id="rId55" w:history="1">
        <w:r w:rsidRPr="002200C8">
          <w:rPr>
            <w:rStyle w:val="Hyperlink"/>
          </w:rPr>
          <w:t>‘Legislative proposals consultation paper’</w:t>
        </w:r>
      </w:hyperlink>
      <w:r>
        <w:t>, p.5.</w:t>
      </w:r>
    </w:p>
  </w:footnote>
  <w:footnote w:id="76">
    <w:p w14:paraId="47A08867" w14:textId="77777777" w:rsidR="00D7354F" w:rsidRPr="00B27B17" w:rsidRDefault="00D7354F" w:rsidP="00261FE0">
      <w:pPr>
        <w:pStyle w:val="FootnoteText"/>
      </w:pPr>
      <w:r w:rsidRPr="00B27B17">
        <w:rPr>
          <w:rStyle w:val="FootnoteReference"/>
        </w:rPr>
        <w:footnoteRef/>
      </w:r>
      <w:r w:rsidRPr="00B27B17">
        <w:t xml:space="preserve"> </w:t>
      </w:r>
      <w:r w:rsidRPr="00B27B17">
        <w:rPr>
          <w:rFonts w:cs="TimesNewRoman"/>
          <w:sz w:val="18"/>
          <w:szCs w:val="18"/>
        </w:rPr>
        <w:t xml:space="preserve">OECD </w:t>
      </w:r>
      <w:r>
        <w:rPr>
          <w:rFonts w:cs="TimesNewRoman"/>
          <w:sz w:val="18"/>
          <w:szCs w:val="18"/>
        </w:rPr>
        <w:t>(</w:t>
      </w:r>
      <w:r w:rsidRPr="00B27B17">
        <w:rPr>
          <w:rFonts w:cs="TimesNewRoman"/>
          <w:sz w:val="18"/>
          <w:szCs w:val="18"/>
        </w:rPr>
        <w:t>2014</w:t>
      </w:r>
      <w:r>
        <w:rPr>
          <w:rFonts w:cs="TimesNewRoman"/>
          <w:sz w:val="18"/>
          <w:szCs w:val="18"/>
        </w:rPr>
        <w:t>)</w:t>
      </w:r>
      <w:r w:rsidRPr="00B27B17">
        <w:rPr>
          <w:rFonts w:cs="TimesNewRoman"/>
          <w:sz w:val="18"/>
          <w:szCs w:val="18"/>
        </w:rPr>
        <w:t>,</w:t>
      </w:r>
      <w:r>
        <w:rPr>
          <w:rFonts w:cs="TimesNewRoman"/>
          <w:sz w:val="18"/>
          <w:szCs w:val="18"/>
        </w:rPr>
        <w:t xml:space="preserve"> ‘</w:t>
      </w:r>
      <w:hyperlink r:id="rId56" w:history="1">
        <w:r w:rsidRPr="002A7CF1">
          <w:rPr>
            <w:rStyle w:val="Hyperlink"/>
            <w:rFonts w:cs="TimesNewRoman"/>
            <w:sz w:val="18"/>
            <w:szCs w:val="18"/>
          </w:rPr>
          <w:t>OECD Best Practice Principles on Governance of Regulators</w:t>
        </w:r>
      </w:hyperlink>
      <w:r>
        <w:rPr>
          <w:rFonts w:cs="TimesNewRoman"/>
          <w:sz w:val="18"/>
          <w:szCs w:val="18"/>
        </w:rPr>
        <w:t>’.</w:t>
      </w:r>
    </w:p>
  </w:footnote>
  <w:footnote w:id="77">
    <w:p w14:paraId="749DB7C6" w14:textId="77777777" w:rsidR="00D7354F" w:rsidRDefault="00D7354F" w:rsidP="00261FE0">
      <w:pPr>
        <w:pStyle w:val="FootnoteText"/>
      </w:pPr>
      <w:r w:rsidRPr="00B27B17">
        <w:rPr>
          <w:rStyle w:val="FootnoteReference"/>
        </w:rPr>
        <w:footnoteRef/>
      </w:r>
      <w:r w:rsidRPr="00B27B17">
        <w:t xml:space="preserve"> </w:t>
      </w:r>
      <w:r w:rsidRPr="00B27B17">
        <w:rPr>
          <w:rFonts w:cs="TimesNewRoman"/>
          <w:sz w:val="18"/>
          <w:szCs w:val="18"/>
        </w:rPr>
        <w:t xml:space="preserve">OECD </w:t>
      </w:r>
      <w:r>
        <w:rPr>
          <w:rFonts w:cs="TimesNewRoman"/>
          <w:sz w:val="18"/>
          <w:szCs w:val="18"/>
        </w:rPr>
        <w:t>(</w:t>
      </w:r>
      <w:r w:rsidRPr="00B27B17">
        <w:rPr>
          <w:rFonts w:cs="TimesNewRoman"/>
          <w:sz w:val="18"/>
          <w:szCs w:val="18"/>
        </w:rPr>
        <w:t>2010</w:t>
      </w:r>
      <w:r>
        <w:rPr>
          <w:rFonts w:cs="TimesNewRoman"/>
          <w:sz w:val="18"/>
          <w:szCs w:val="18"/>
        </w:rPr>
        <w:t>)</w:t>
      </w:r>
      <w:r w:rsidRPr="00B27B17">
        <w:rPr>
          <w:rFonts w:cs="TimesNewRoman"/>
          <w:sz w:val="18"/>
          <w:szCs w:val="18"/>
        </w:rPr>
        <w:t xml:space="preserve">, </w:t>
      </w:r>
      <w:r>
        <w:rPr>
          <w:rFonts w:cs="TimesNewRoman"/>
          <w:sz w:val="18"/>
          <w:szCs w:val="18"/>
        </w:rPr>
        <w:t>‘</w:t>
      </w:r>
      <w:hyperlink r:id="rId57" w:history="1">
        <w:r w:rsidRPr="002A7CF1">
          <w:rPr>
            <w:rStyle w:val="Hyperlink"/>
            <w:rFonts w:cs="TimesNewRoman"/>
            <w:sz w:val="18"/>
            <w:szCs w:val="18"/>
          </w:rPr>
          <w:t>Making reform happen: Lessons from OECD Countries</w:t>
        </w:r>
      </w:hyperlink>
      <w:r>
        <w:rPr>
          <w:rFonts w:cs="TimesNewRoman"/>
          <w:sz w:val="18"/>
          <w:szCs w:val="18"/>
        </w:rPr>
        <w:t>’.</w:t>
      </w:r>
    </w:p>
  </w:footnote>
  <w:footnote w:id="78">
    <w:p w14:paraId="61A01765" w14:textId="77777777" w:rsidR="00D7354F" w:rsidRPr="002A7CF1" w:rsidRDefault="00D7354F" w:rsidP="00261FE0">
      <w:pPr>
        <w:pStyle w:val="FootnoteText"/>
        <w:rPr>
          <w:sz w:val="18"/>
          <w:szCs w:val="18"/>
        </w:rPr>
      </w:pPr>
      <w:r w:rsidRPr="002A7CF1">
        <w:rPr>
          <w:rStyle w:val="FootnoteReference"/>
          <w:sz w:val="18"/>
          <w:szCs w:val="18"/>
        </w:rPr>
        <w:footnoteRef/>
      </w:r>
      <w:r w:rsidRPr="002A7CF1">
        <w:rPr>
          <w:sz w:val="18"/>
          <w:szCs w:val="18"/>
        </w:rPr>
        <w:t xml:space="preserve">Optus (2015), </w:t>
      </w:r>
      <w:hyperlink r:id="rId58" w:history="1">
        <w:r w:rsidRPr="002A7CF1">
          <w:rPr>
            <w:rStyle w:val="Hyperlink"/>
            <w:sz w:val="18"/>
            <w:szCs w:val="18"/>
          </w:rPr>
          <w:t>Submission to the ACMA Review issues paper</w:t>
        </w:r>
      </w:hyperlink>
      <w:r w:rsidRPr="002A7CF1">
        <w:rPr>
          <w:sz w:val="18"/>
          <w:szCs w:val="18"/>
        </w:rPr>
        <w:t>, p.19.</w:t>
      </w:r>
      <w:r>
        <w:rPr>
          <w:sz w:val="18"/>
          <w:szCs w:val="18"/>
        </w:rPr>
        <w:t xml:space="preserve"> </w:t>
      </w:r>
    </w:p>
  </w:footnote>
  <w:footnote w:id="79">
    <w:p w14:paraId="55AE7041" w14:textId="77777777" w:rsidR="00D7354F" w:rsidRPr="002A7CF1" w:rsidRDefault="00D7354F" w:rsidP="00261FE0">
      <w:pPr>
        <w:pStyle w:val="FootnoteText"/>
        <w:rPr>
          <w:sz w:val="18"/>
          <w:szCs w:val="18"/>
        </w:rPr>
      </w:pPr>
      <w:r w:rsidRPr="002A7CF1">
        <w:rPr>
          <w:rStyle w:val="FootnoteReference"/>
          <w:sz w:val="18"/>
          <w:szCs w:val="18"/>
        </w:rPr>
        <w:footnoteRef/>
      </w:r>
      <w:r w:rsidRPr="002A7CF1">
        <w:rPr>
          <w:sz w:val="18"/>
          <w:szCs w:val="18"/>
        </w:rPr>
        <w:t xml:space="preserve"> ACCAN (2015), </w:t>
      </w:r>
      <w:hyperlink r:id="rId59" w:history="1">
        <w:r w:rsidRPr="002A7CF1">
          <w:rPr>
            <w:rStyle w:val="Hyperlink"/>
            <w:sz w:val="18"/>
            <w:szCs w:val="18"/>
          </w:rPr>
          <w:t>Submission to the ACMA Review issues paper</w:t>
        </w:r>
      </w:hyperlink>
      <w:r>
        <w:rPr>
          <w:sz w:val="18"/>
          <w:szCs w:val="18"/>
        </w:rPr>
        <w:t>, p.7.</w:t>
      </w:r>
    </w:p>
  </w:footnote>
  <w:footnote w:id="80">
    <w:p w14:paraId="20156367" w14:textId="77777777" w:rsidR="00D7354F" w:rsidRPr="001447A0" w:rsidRDefault="00D7354F" w:rsidP="00261FE0">
      <w:pPr>
        <w:pStyle w:val="FootnoteText"/>
        <w:rPr>
          <w:sz w:val="18"/>
          <w:szCs w:val="18"/>
        </w:rPr>
      </w:pPr>
      <w:r w:rsidRPr="001447A0">
        <w:rPr>
          <w:rStyle w:val="FootnoteReference"/>
          <w:sz w:val="18"/>
          <w:szCs w:val="18"/>
        </w:rPr>
        <w:footnoteRef/>
      </w:r>
      <w:r w:rsidRPr="001447A0">
        <w:rPr>
          <w:sz w:val="18"/>
          <w:szCs w:val="18"/>
        </w:rPr>
        <w:t xml:space="preserve"> Telstra (2015), </w:t>
      </w:r>
      <w:hyperlink r:id="rId60" w:history="1">
        <w:r w:rsidRPr="001447A0">
          <w:rPr>
            <w:rStyle w:val="Hyperlink"/>
            <w:sz w:val="18"/>
            <w:szCs w:val="18"/>
          </w:rPr>
          <w:t>Submission to the ACMA Review Issues Paper</w:t>
        </w:r>
      </w:hyperlink>
      <w:r w:rsidRPr="001447A0">
        <w:rPr>
          <w:sz w:val="18"/>
          <w:szCs w:val="18"/>
        </w:rPr>
        <w:t>, p. 4.</w:t>
      </w:r>
    </w:p>
  </w:footnote>
  <w:footnote w:id="81">
    <w:p w14:paraId="6F932E92" w14:textId="4CE9EFB5" w:rsidR="00D7354F" w:rsidRDefault="00D7354F" w:rsidP="00261FE0">
      <w:pPr>
        <w:pStyle w:val="FootnoteText"/>
      </w:pPr>
      <w:r>
        <w:rPr>
          <w:rStyle w:val="FootnoteReference"/>
        </w:rPr>
        <w:footnoteRef/>
      </w:r>
      <w:r>
        <w:t xml:space="preserve"> ACMA (2015), </w:t>
      </w:r>
      <w:hyperlink r:id="rId61" w:history="1">
        <w:r w:rsidRPr="008025E2">
          <w:rPr>
            <w:rStyle w:val="Hyperlink"/>
          </w:rPr>
          <w:t>Submission to the ACMA Review issues paper</w:t>
        </w:r>
      </w:hyperlink>
      <w:r>
        <w:t>, p. 58.</w:t>
      </w:r>
    </w:p>
  </w:footnote>
  <w:footnote w:id="82">
    <w:p w14:paraId="7C6E942A" w14:textId="77777777" w:rsidR="00D7354F" w:rsidRPr="001447A0" w:rsidRDefault="00D7354F" w:rsidP="00261FE0">
      <w:pPr>
        <w:pStyle w:val="FootnoteText"/>
        <w:rPr>
          <w:sz w:val="18"/>
          <w:szCs w:val="18"/>
        </w:rPr>
      </w:pPr>
      <w:r w:rsidRPr="001447A0">
        <w:rPr>
          <w:rStyle w:val="FootnoteReference"/>
          <w:sz w:val="18"/>
          <w:szCs w:val="18"/>
        </w:rPr>
        <w:footnoteRef/>
      </w:r>
      <w:r w:rsidRPr="001447A0">
        <w:rPr>
          <w:sz w:val="18"/>
          <w:szCs w:val="18"/>
        </w:rPr>
        <w:t xml:space="preserve"> These duties include establishing and maintaining systems relating to risk and control, encouraging cooperation with others, minimising administrative requirements that are imposed on other parties, and keeping relevant Ministers informed.</w:t>
      </w:r>
    </w:p>
  </w:footnote>
  <w:footnote w:id="83">
    <w:p w14:paraId="39371CA6" w14:textId="77777777" w:rsidR="00D7354F" w:rsidRDefault="00D7354F" w:rsidP="00261FE0">
      <w:pPr>
        <w:pStyle w:val="FootnoteText"/>
      </w:pPr>
      <w:r w:rsidRPr="001447A0">
        <w:rPr>
          <w:rStyle w:val="FootnoteReference"/>
          <w:sz w:val="18"/>
          <w:szCs w:val="18"/>
        </w:rPr>
        <w:footnoteRef/>
      </w:r>
      <w:r w:rsidRPr="001447A0">
        <w:rPr>
          <w:sz w:val="18"/>
          <w:szCs w:val="18"/>
        </w:rPr>
        <w:t xml:space="preserve"> These include matters concerning the management of the Commonwealth entity in a way that promotes the proper use of public resources and is not inconsistent with Australian Government policy; measuring and assessing the performance of the entity in achieving its purpose; preparing annual performance and financial statements and to manage the agency in accordance with other certain principles.</w:t>
      </w:r>
      <w:r>
        <w:rPr>
          <w:sz w:val="18"/>
          <w:szCs w:val="18"/>
        </w:rPr>
        <w:t xml:space="preserve"> </w:t>
      </w:r>
      <w:r w:rsidRPr="001447A0">
        <w:rPr>
          <w:sz w:val="18"/>
          <w:szCs w:val="18"/>
        </w:rPr>
        <w:t>Subsection 110(2) of the PGPA Act provides the full detail of such responsibilities.</w:t>
      </w:r>
    </w:p>
  </w:footnote>
  <w:footnote w:id="84">
    <w:p w14:paraId="1252DCDB" w14:textId="77777777" w:rsidR="00D7354F" w:rsidRPr="001447A0" w:rsidRDefault="00D7354F" w:rsidP="003764A2">
      <w:pPr>
        <w:pStyle w:val="FootnoteText"/>
        <w:rPr>
          <w:sz w:val="18"/>
          <w:szCs w:val="18"/>
        </w:rPr>
      </w:pPr>
      <w:r w:rsidRPr="001447A0">
        <w:rPr>
          <w:rStyle w:val="FootnoteReference"/>
          <w:sz w:val="18"/>
          <w:szCs w:val="18"/>
        </w:rPr>
        <w:footnoteRef/>
      </w:r>
      <w:r w:rsidRPr="001447A0">
        <w:rPr>
          <w:sz w:val="18"/>
          <w:szCs w:val="18"/>
        </w:rPr>
        <w:t xml:space="preserve"> See </w:t>
      </w:r>
      <w:hyperlink r:id="rId62" w:history="1">
        <w:r w:rsidRPr="00903E4E">
          <w:rPr>
            <w:rStyle w:val="Hyperlink"/>
            <w:sz w:val="18"/>
            <w:szCs w:val="18"/>
          </w:rPr>
          <w:t>s</w:t>
        </w:r>
        <w:r>
          <w:rPr>
            <w:rStyle w:val="Hyperlink"/>
            <w:sz w:val="18"/>
            <w:szCs w:val="18"/>
          </w:rPr>
          <w:t>ection</w:t>
        </w:r>
        <w:r w:rsidRPr="00903E4E">
          <w:rPr>
            <w:rStyle w:val="Hyperlink"/>
            <w:sz w:val="18"/>
            <w:szCs w:val="18"/>
          </w:rPr>
          <w:t xml:space="preserve"> 3(3),</w:t>
        </w:r>
        <w:r w:rsidRPr="001447A0">
          <w:rPr>
            <w:rStyle w:val="Hyperlink"/>
            <w:i/>
            <w:sz w:val="18"/>
            <w:szCs w:val="18"/>
          </w:rPr>
          <w:t xml:space="preserve"> Communications Act 2003</w:t>
        </w:r>
      </w:hyperlink>
      <w:r w:rsidRPr="00903E4E">
        <w:rPr>
          <w:sz w:val="18"/>
          <w:szCs w:val="18"/>
        </w:rPr>
        <w:t xml:space="preserve"> (UK).</w:t>
      </w:r>
    </w:p>
  </w:footnote>
  <w:footnote w:id="85">
    <w:p w14:paraId="0FEF7B27" w14:textId="459DC061" w:rsidR="00D7354F" w:rsidRDefault="00D7354F" w:rsidP="003764A2">
      <w:pPr>
        <w:pStyle w:val="FootnoteText"/>
      </w:pPr>
      <w:r w:rsidRPr="001447A0">
        <w:rPr>
          <w:rStyle w:val="FootnoteReference"/>
          <w:sz w:val="18"/>
          <w:szCs w:val="18"/>
        </w:rPr>
        <w:footnoteRef/>
      </w:r>
      <w:r>
        <w:rPr>
          <w:sz w:val="18"/>
          <w:szCs w:val="18"/>
        </w:rPr>
        <w:t xml:space="preserve"> See section 1</w:t>
      </w:r>
      <w:r w:rsidRPr="001447A0">
        <w:rPr>
          <w:sz w:val="18"/>
          <w:szCs w:val="18"/>
        </w:rPr>
        <w:t xml:space="preserve">(2), </w:t>
      </w:r>
      <w:r w:rsidRPr="001447A0">
        <w:rPr>
          <w:i/>
          <w:sz w:val="18"/>
          <w:szCs w:val="18"/>
        </w:rPr>
        <w:t>Australian Securities and Investments Commission Act 2001</w:t>
      </w:r>
      <w:r w:rsidRPr="001447A0">
        <w:rPr>
          <w:sz w:val="18"/>
          <w:szCs w:val="18"/>
        </w:rPr>
        <w:t>.</w:t>
      </w:r>
    </w:p>
  </w:footnote>
  <w:footnote w:id="86">
    <w:p w14:paraId="7154467B" w14:textId="77777777" w:rsidR="00D7354F" w:rsidRPr="008129CD" w:rsidRDefault="00D7354F" w:rsidP="003764A2">
      <w:pPr>
        <w:pStyle w:val="FootnoteText"/>
        <w:rPr>
          <w:sz w:val="18"/>
          <w:szCs w:val="18"/>
        </w:rPr>
      </w:pPr>
      <w:r w:rsidRPr="008129CD">
        <w:rPr>
          <w:rStyle w:val="FootnoteReference"/>
          <w:sz w:val="18"/>
          <w:szCs w:val="18"/>
        </w:rPr>
        <w:footnoteRef/>
      </w:r>
      <w:r w:rsidRPr="008129CD">
        <w:rPr>
          <w:sz w:val="18"/>
          <w:szCs w:val="18"/>
        </w:rPr>
        <w:t xml:space="preserve"> Larry Downes (2014), </w:t>
      </w:r>
      <w:r>
        <w:rPr>
          <w:sz w:val="18"/>
          <w:szCs w:val="18"/>
        </w:rPr>
        <w:t>‘</w:t>
      </w:r>
      <w:hyperlink r:id="rId63" w:history="1">
        <w:r w:rsidRPr="00311D14">
          <w:rPr>
            <w:rStyle w:val="Hyperlink"/>
            <w:sz w:val="18"/>
            <w:szCs w:val="18"/>
          </w:rPr>
          <w:t>Managing the Big Bang: The Regulator’s Dilemma</w:t>
        </w:r>
      </w:hyperlink>
      <w:r w:rsidRPr="00311D14">
        <w:rPr>
          <w:sz w:val="18"/>
          <w:szCs w:val="18"/>
        </w:rPr>
        <w:t>’</w:t>
      </w:r>
      <w:r w:rsidRPr="008129CD">
        <w:rPr>
          <w:i/>
          <w:sz w:val="18"/>
          <w:szCs w:val="18"/>
        </w:rPr>
        <w:t xml:space="preserve">, </w:t>
      </w:r>
      <w:r w:rsidRPr="008129CD">
        <w:rPr>
          <w:sz w:val="18"/>
          <w:szCs w:val="18"/>
        </w:rPr>
        <w:t>Democracy Issue #34.</w:t>
      </w:r>
    </w:p>
  </w:footnote>
  <w:footnote w:id="87">
    <w:p w14:paraId="4920C92E" w14:textId="77777777" w:rsidR="00D7354F" w:rsidRPr="0095536D" w:rsidRDefault="00D7354F" w:rsidP="003764A2">
      <w:pPr>
        <w:pStyle w:val="FootnoteText"/>
        <w:rPr>
          <w:sz w:val="18"/>
          <w:szCs w:val="18"/>
        </w:rPr>
      </w:pPr>
      <w:r w:rsidRPr="0095536D">
        <w:rPr>
          <w:rStyle w:val="FootnoteReference"/>
          <w:sz w:val="18"/>
          <w:szCs w:val="18"/>
        </w:rPr>
        <w:footnoteRef/>
      </w:r>
      <w:r w:rsidRPr="0095536D">
        <w:rPr>
          <w:sz w:val="18"/>
          <w:szCs w:val="18"/>
        </w:rPr>
        <w:t xml:space="preserve"> The Hampton Report (2005), </w:t>
      </w:r>
      <w:r>
        <w:rPr>
          <w:sz w:val="18"/>
          <w:szCs w:val="18"/>
        </w:rPr>
        <w:t>‘</w:t>
      </w:r>
      <w:hyperlink r:id="rId64" w:history="1">
        <w:r w:rsidRPr="00903E4E">
          <w:rPr>
            <w:rStyle w:val="Hyperlink"/>
            <w:sz w:val="18"/>
            <w:szCs w:val="18"/>
          </w:rPr>
          <w:t>Reducing Regulatory Burden: effective inspection and enforcement</w:t>
        </w:r>
      </w:hyperlink>
      <w:r>
        <w:rPr>
          <w:sz w:val="18"/>
          <w:szCs w:val="18"/>
        </w:rPr>
        <w:t>’</w:t>
      </w:r>
      <w:r w:rsidRPr="0095536D">
        <w:rPr>
          <w:i/>
          <w:sz w:val="18"/>
          <w:szCs w:val="18"/>
        </w:rPr>
        <w:t xml:space="preserve">, </w:t>
      </w:r>
      <w:r w:rsidRPr="0095536D">
        <w:rPr>
          <w:sz w:val="18"/>
          <w:szCs w:val="18"/>
        </w:rPr>
        <w:t xml:space="preserve">pp. 4, 8. </w:t>
      </w:r>
    </w:p>
  </w:footnote>
  <w:footnote w:id="88">
    <w:p w14:paraId="09D2C427" w14:textId="77777777" w:rsidR="00D7354F" w:rsidRPr="00A0531E" w:rsidRDefault="00D7354F" w:rsidP="003764A2">
      <w:pPr>
        <w:pStyle w:val="FootnoteText"/>
      </w:pPr>
      <w:r w:rsidRPr="0095536D">
        <w:rPr>
          <w:rStyle w:val="FootnoteReference"/>
          <w:sz w:val="18"/>
          <w:szCs w:val="18"/>
        </w:rPr>
        <w:footnoteRef/>
      </w:r>
      <w:r w:rsidRPr="0095536D">
        <w:rPr>
          <w:sz w:val="18"/>
          <w:szCs w:val="18"/>
        </w:rPr>
        <w:t xml:space="preserve"> Ian Robertson (2015), </w:t>
      </w:r>
      <w:hyperlink r:id="rId65" w:history="1">
        <w:r w:rsidRPr="0095536D">
          <w:rPr>
            <w:rStyle w:val="Hyperlink"/>
            <w:sz w:val="18"/>
            <w:szCs w:val="18"/>
          </w:rPr>
          <w:t>Submission to the ACMA Review issues paper</w:t>
        </w:r>
      </w:hyperlink>
      <w:r w:rsidRPr="0095536D">
        <w:rPr>
          <w:sz w:val="18"/>
          <w:szCs w:val="18"/>
        </w:rPr>
        <w:t>, pp. 5-6.</w:t>
      </w:r>
    </w:p>
  </w:footnote>
  <w:footnote w:id="89">
    <w:p w14:paraId="75BBC8DB" w14:textId="6C91776D" w:rsidR="00D7354F" w:rsidRDefault="00D7354F" w:rsidP="00EB2B81">
      <w:pPr>
        <w:pStyle w:val="FootnoteText"/>
      </w:pPr>
      <w:r>
        <w:rPr>
          <w:rStyle w:val="FootnoteReference"/>
        </w:rPr>
        <w:footnoteRef/>
      </w:r>
      <w:r w:rsidRPr="00B7741E">
        <w:rPr>
          <w:rFonts w:cs="Arial"/>
          <w:sz w:val="18"/>
          <w:szCs w:val="18"/>
        </w:rPr>
        <w:t>Excluding funding of $11.05</w:t>
      </w:r>
      <w:r>
        <w:rPr>
          <w:rFonts w:cs="Arial"/>
          <w:sz w:val="18"/>
          <w:szCs w:val="18"/>
        </w:rPr>
        <w:t> million</w:t>
      </w:r>
      <w:r w:rsidRPr="00B7741E">
        <w:rPr>
          <w:rFonts w:cs="Arial"/>
          <w:sz w:val="18"/>
          <w:szCs w:val="18"/>
        </w:rPr>
        <w:t xml:space="preserve"> designated for the </w:t>
      </w:r>
      <w:r>
        <w:rPr>
          <w:rFonts w:cs="Arial"/>
          <w:sz w:val="18"/>
          <w:szCs w:val="18"/>
        </w:rPr>
        <w:t>OCeSC</w:t>
      </w:r>
      <w:r>
        <w:t>.</w:t>
      </w:r>
    </w:p>
  </w:footnote>
  <w:footnote w:id="90">
    <w:p w14:paraId="191F1A5D" w14:textId="263F1DD0" w:rsidR="00D7354F" w:rsidRDefault="00D7354F">
      <w:pPr>
        <w:pStyle w:val="FootnoteText"/>
      </w:pPr>
      <w:r>
        <w:rPr>
          <w:rStyle w:val="FootnoteReference"/>
        </w:rPr>
        <w:footnoteRef/>
      </w:r>
      <w:r>
        <w:t xml:space="preserve"> Source: Data supplied by the ACMA to the Review.</w:t>
      </w:r>
    </w:p>
  </w:footnote>
  <w:footnote w:id="91">
    <w:p w14:paraId="40157EB5" w14:textId="77777777" w:rsidR="00D7354F" w:rsidRDefault="00D7354F" w:rsidP="00EB2B81">
      <w:pPr>
        <w:pStyle w:val="FootnoteText"/>
      </w:pPr>
      <w:r w:rsidRPr="00E60AB7">
        <w:rPr>
          <w:rStyle w:val="FootnoteReference"/>
        </w:rPr>
        <w:footnoteRef/>
      </w:r>
      <w:r w:rsidRPr="00E60AB7">
        <w:rPr>
          <w:sz w:val="18"/>
          <w:szCs w:val="18"/>
        </w:rPr>
        <w:t xml:space="preserve"> </w:t>
      </w:r>
      <w:r w:rsidRPr="00E60AB7">
        <w:rPr>
          <w:sz w:val="18"/>
          <w:szCs w:val="18"/>
          <w:lang w:eastAsia="en-AU"/>
        </w:rPr>
        <w:t xml:space="preserve">Source: </w:t>
      </w:r>
      <w:r w:rsidRPr="00E60AB7">
        <w:rPr>
          <w:rFonts w:cs="Arial"/>
          <w:sz w:val="18"/>
          <w:szCs w:val="18"/>
        </w:rPr>
        <w:t>Data</w:t>
      </w:r>
      <w:r w:rsidRPr="009A1A1A">
        <w:rPr>
          <w:rFonts w:cs="Arial"/>
          <w:sz w:val="18"/>
          <w:szCs w:val="18"/>
        </w:rPr>
        <w:t xml:space="preserve"> </w:t>
      </w:r>
      <w:r>
        <w:rPr>
          <w:rFonts w:cs="Arial"/>
          <w:sz w:val="18"/>
          <w:szCs w:val="18"/>
        </w:rPr>
        <w:t>supplied by ACMA to the Review.</w:t>
      </w:r>
    </w:p>
  </w:footnote>
  <w:footnote w:id="92">
    <w:p w14:paraId="13AAB70E" w14:textId="77777777" w:rsidR="00D7354F" w:rsidRPr="001447A0" w:rsidRDefault="00D7354F" w:rsidP="00EB2B81">
      <w:pPr>
        <w:pStyle w:val="FootnoteText"/>
        <w:rPr>
          <w:sz w:val="18"/>
          <w:szCs w:val="18"/>
        </w:rPr>
      </w:pPr>
      <w:r w:rsidRPr="001447A0">
        <w:rPr>
          <w:rStyle w:val="FootnoteReference"/>
          <w:sz w:val="18"/>
          <w:szCs w:val="18"/>
        </w:rPr>
        <w:footnoteRef/>
      </w:r>
      <w:r w:rsidRPr="001447A0">
        <w:rPr>
          <w:sz w:val="18"/>
          <w:szCs w:val="18"/>
        </w:rPr>
        <w:t xml:space="preserve"> ACMA (2011), </w:t>
      </w:r>
      <w:r>
        <w:rPr>
          <w:sz w:val="18"/>
          <w:szCs w:val="18"/>
        </w:rPr>
        <w:t>‘</w:t>
      </w:r>
      <w:hyperlink r:id="rId66" w:history="1">
        <w:r w:rsidRPr="001447A0">
          <w:rPr>
            <w:rStyle w:val="Hyperlink"/>
            <w:sz w:val="18"/>
            <w:szCs w:val="18"/>
          </w:rPr>
          <w:t>Broken Concepts—the Australian communications legislative landscape</w:t>
        </w:r>
      </w:hyperlink>
      <w:r>
        <w:rPr>
          <w:sz w:val="18"/>
          <w:szCs w:val="18"/>
        </w:rPr>
        <w:t>’.</w:t>
      </w:r>
      <w:r w:rsidRPr="001447A0">
        <w:rPr>
          <w:sz w:val="18"/>
          <w:szCs w:val="18"/>
        </w:rPr>
        <w:t xml:space="preserve"> </w:t>
      </w:r>
    </w:p>
  </w:footnote>
  <w:footnote w:id="93">
    <w:p w14:paraId="173D4AA3" w14:textId="239F7740" w:rsidR="00D7354F" w:rsidRPr="001447A0" w:rsidRDefault="00D7354F" w:rsidP="00EB2B81">
      <w:pPr>
        <w:pStyle w:val="FootnoteText"/>
        <w:rPr>
          <w:sz w:val="18"/>
          <w:szCs w:val="18"/>
        </w:rPr>
      </w:pPr>
      <w:r w:rsidRPr="001447A0">
        <w:rPr>
          <w:rStyle w:val="FootnoteReference"/>
          <w:sz w:val="18"/>
          <w:szCs w:val="18"/>
        </w:rPr>
        <w:footnoteRef/>
      </w:r>
      <w:r w:rsidRPr="001447A0">
        <w:rPr>
          <w:sz w:val="18"/>
          <w:szCs w:val="18"/>
        </w:rPr>
        <w:t xml:space="preserve"> ACMA (2013), </w:t>
      </w:r>
      <w:r>
        <w:rPr>
          <w:sz w:val="18"/>
          <w:szCs w:val="18"/>
        </w:rPr>
        <w:t>‘</w:t>
      </w:r>
      <w:hyperlink r:id="rId67" w:history="1">
        <w:r w:rsidRPr="001447A0">
          <w:rPr>
            <w:rStyle w:val="Hyperlink"/>
            <w:sz w:val="18"/>
            <w:szCs w:val="18"/>
          </w:rPr>
          <w:t>Broken Concepts – A 2013 update on the Australian communications legislative landscape</w:t>
        </w:r>
      </w:hyperlink>
      <w:r>
        <w:rPr>
          <w:rStyle w:val="Hyperlink"/>
          <w:color w:val="auto"/>
          <w:sz w:val="18"/>
          <w:szCs w:val="18"/>
          <w:u w:val="none"/>
        </w:rPr>
        <w:t>’.</w:t>
      </w:r>
    </w:p>
  </w:footnote>
  <w:footnote w:id="94">
    <w:p w14:paraId="25650BAF" w14:textId="77777777" w:rsidR="00D7354F" w:rsidRPr="00290248" w:rsidRDefault="00D7354F" w:rsidP="00EB2B81">
      <w:pPr>
        <w:pStyle w:val="FootnoteText"/>
      </w:pPr>
      <w:r w:rsidRPr="001447A0">
        <w:rPr>
          <w:rStyle w:val="FootnoteReference"/>
          <w:sz w:val="18"/>
          <w:szCs w:val="18"/>
        </w:rPr>
        <w:footnoteRef/>
      </w:r>
      <w:r w:rsidRPr="001447A0">
        <w:rPr>
          <w:sz w:val="18"/>
          <w:szCs w:val="18"/>
        </w:rPr>
        <w:t xml:space="preserve"> Convergence Review Secretariat (2012) </w:t>
      </w:r>
      <w:hyperlink r:id="rId68" w:history="1">
        <w:r w:rsidRPr="001447A0">
          <w:rPr>
            <w:rStyle w:val="Hyperlink"/>
            <w:sz w:val="18"/>
            <w:szCs w:val="18"/>
          </w:rPr>
          <w:t>Convergence Review Final Report</w:t>
        </w:r>
      </w:hyperlink>
      <w:r w:rsidRPr="001447A0">
        <w:rPr>
          <w:sz w:val="18"/>
          <w:szCs w:val="18"/>
        </w:rPr>
        <w:t>, p. 1.</w:t>
      </w:r>
      <w:r>
        <w:t xml:space="preserve"> </w:t>
      </w:r>
    </w:p>
  </w:footnote>
  <w:footnote w:id="95">
    <w:p w14:paraId="307E0274" w14:textId="77777777" w:rsidR="00D7354F" w:rsidRPr="001447A0" w:rsidRDefault="00D7354F" w:rsidP="00EB2B81">
      <w:pPr>
        <w:pStyle w:val="FootnoteText"/>
        <w:rPr>
          <w:sz w:val="18"/>
          <w:szCs w:val="18"/>
        </w:rPr>
      </w:pPr>
      <w:r w:rsidRPr="001447A0">
        <w:rPr>
          <w:rStyle w:val="FootnoteReference"/>
          <w:sz w:val="18"/>
          <w:szCs w:val="18"/>
        </w:rPr>
        <w:footnoteRef/>
      </w:r>
      <w:r w:rsidRPr="001447A0">
        <w:rPr>
          <w:sz w:val="18"/>
          <w:szCs w:val="18"/>
        </w:rPr>
        <w:t xml:space="preserve"> Telstra</w:t>
      </w:r>
      <w:r>
        <w:rPr>
          <w:sz w:val="18"/>
          <w:szCs w:val="18"/>
        </w:rPr>
        <w:t xml:space="preserve"> (2015),</w:t>
      </w:r>
      <w:r w:rsidRPr="001447A0">
        <w:rPr>
          <w:sz w:val="18"/>
          <w:szCs w:val="18"/>
        </w:rPr>
        <w:t xml:space="preserve"> </w:t>
      </w:r>
      <w:hyperlink r:id="rId69" w:history="1">
        <w:r w:rsidRPr="001447A0">
          <w:rPr>
            <w:rStyle w:val="Hyperlink"/>
            <w:sz w:val="18"/>
            <w:szCs w:val="18"/>
          </w:rPr>
          <w:t>Submission to the ACMA Review issues paper</w:t>
        </w:r>
      </w:hyperlink>
      <w:r w:rsidRPr="001447A0">
        <w:rPr>
          <w:sz w:val="18"/>
          <w:szCs w:val="18"/>
        </w:rPr>
        <w:t>, p.1.</w:t>
      </w:r>
    </w:p>
  </w:footnote>
  <w:footnote w:id="96">
    <w:p w14:paraId="6D30F9B9" w14:textId="77777777" w:rsidR="00D7354F" w:rsidRPr="001447A0" w:rsidRDefault="00D7354F" w:rsidP="00EB2B81">
      <w:pPr>
        <w:pStyle w:val="FootnoteText"/>
        <w:rPr>
          <w:sz w:val="18"/>
          <w:szCs w:val="18"/>
        </w:rPr>
      </w:pPr>
      <w:r w:rsidRPr="001447A0">
        <w:rPr>
          <w:rStyle w:val="FootnoteReference"/>
          <w:sz w:val="18"/>
          <w:szCs w:val="18"/>
        </w:rPr>
        <w:footnoteRef/>
      </w:r>
      <w:r w:rsidRPr="001447A0">
        <w:rPr>
          <w:sz w:val="18"/>
          <w:szCs w:val="18"/>
        </w:rPr>
        <w:t xml:space="preserve"> FreeTV</w:t>
      </w:r>
      <w:r>
        <w:rPr>
          <w:sz w:val="18"/>
          <w:szCs w:val="18"/>
        </w:rPr>
        <w:t xml:space="preserve"> (2015),</w:t>
      </w:r>
      <w:r w:rsidRPr="001447A0">
        <w:rPr>
          <w:sz w:val="18"/>
          <w:szCs w:val="18"/>
        </w:rPr>
        <w:t xml:space="preserve"> </w:t>
      </w:r>
      <w:hyperlink r:id="rId70" w:history="1">
        <w:r w:rsidRPr="001447A0">
          <w:rPr>
            <w:rStyle w:val="Hyperlink"/>
            <w:sz w:val="18"/>
            <w:szCs w:val="18"/>
          </w:rPr>
          <w:t>Submission to the ACMA Review issues paper</w:t>
        </w:r>
      </w:hyperlink>
      <w:r>
        <w:rPr>
          <w:sz w:val="18"/>
          <w:szCs w:val="18"/>
        </w:rPr>
        <w:t>, p.4.</w:t>
      </w:r>
    </w:p>
  </w:footnote>
  <w:footnote w:id="97">
    <w:p w14:paraId="0AE92965" w14:textId="77777777" w:rsidR="00D7354F" w:rsidRPr="001447A0" w:rsidRDefault="00D7354F" w:rsidP="00EB2B81">
      <w:pPr>
        <w:pStyle w:val="FootnoteText"/>
        <w:rPr>
          <w:sz w:val="18"/>
          <w:szCs w:val="18"/>
        </w:rPr>
      </w:pPr>
      <w:r w:rsidRPr="001447A0">
        <w:rPr>
          <w:rStyle w:val="FootnoteReference"/>
          <w:sz w:val="18"/>
          <w:szCs w:val="18"/>
        </w:rPr>
        <w:footnoteRef/>
      </w:r>
      <w:r w:rsidRPr="001447A0">
        <w:rPr>
          <w:sz w:val="18"/>
          <w:szCs w:val="18"/>
        </w:rPr>
        <w:t xml:space="preserve"> AMTA</w:t>
      </w:r>
      <w:r>
        <w:rPr>
          <w:sz w:val="18"/>
          <w:szCs w:val="18"/>
        </w:rPr>
        <w:t xml:space="preserve"> (2015),</w:t>
      </w:r>
      <w:r w:rsidRPr="001447A0">
        <w:rPr>
          <w:sz w:val="18"/>
          <w:szCs w:val="18"/>
        </w:rPr>
        <w:t xml:space="preserve"> </w:t>
      </w:r>
      <w:hyperlink r:id="rId71" w:history="1">
        <w:r w:rsidRPr="001447A0">
          <w:rPr>
            <w:rStyle w:val="Hyperlink"/>
            <w:sz w:val="18"/>
            <w:szCs w:val="18"/>
          </w:rPr>
          <w:t>Submission to the ACMA Review issues paper</w:t>
        </w:r>
      </w:hyperlink>
      <w:r>
        <w:rPr>
          <w:sz w:val="18"/>
          <w:szCs w:val="18"/>
        </w:rPr>
        <w:t>, p.3.</w:t>
      </w:r>
    </w:p>
  </w:footnote>
  <w:footnote w:id="98">
    <w:p w14:paraId="2DE5AC7C" w14:textId="37AEA665" w:rsidR="00D7354F" w:rsidRDefault="00D7354F" w:rsidP="00EB2B81">
      <w:pPr>
        <w:pStyle w:val="FootnoteText"/>
      </w:pPr>
      <w:r w:rsidRPr="001447A0">
        <w:rPr>
          <w:rStyle w:val="FootnoteReference"/>
          <w:sz w:val="18"/>
          <w:szCs w:val="18"/>
        </w:rPr>
        <w:footnoteRef/>
      </w:r>
      <w:r w:rsidRPr="001447A0">
        <w:rPr>
          <w:sz w:val="18"/>
          <w:szCs w:val="18"/>
        </w:rPr>
        <w:t xml:space="preserve"> The general definition of ‘broadcasting service’ in the </w:t>
      </w:r>
      <w:r w:rsidRPr="00706D59">
        <w:rPr>
          <w:i/>
          <w:sz w:val="18"/>
          <w:szCs w:val="18"/>
        </w:rPr>
        <w:t>Broadcasting Services Act 1992</w:t>
      </w:r>
      <w:r w:rsidRPr="001447A0">
        <w:rPr>
          <w:sz w:val="18"/>
          <w:szCs w:val="18"/>
        </w:rPr>
        <w:t xml:space="preserve"> </w:t>
      </w:r>
      <w:r>
        <w:rPr>
          <w:sz w:val="18"/>
          <w:szCs w:val="18"/>
        </w:rPr>
        <w:t xml:space="preserve">(BSA) </w:t>
      </w:r>
      <w:r w:rsidRPr="001447A0">
        <w:rPr>
          <w:sz w:val="18"/>
          <w:szCs w:val="18"/>
        </w:rPr>
        <w:t xml:space="preserve">does not necessarily presume a particular platform for delivery. However, in 2000 the Minister made a determination [Determination under paragraph (c) of the definition of ‘broadcasting service’, (No.1 of 2000), 12 September 2000] that removed from the definition of broadcasting service in the </w:t>
      </w:r>
      <w:r>
        <w:rPr>
          <w:sz w:val="18"/>
          <w:szCs w:val="18"/>
        </w:rPr>
        <w:t>BSA</w:t>
      </w:r>
      <w:r w:rsidRPr="001447A0">
        <w:rPr>
          <w:sz w:val="18"/>
          <w:szCs w:val="18"/>
        </w:rPr>
        <w:t xml:space="preserve"> those services that deliver television or radio programs ‘using the internet’, thereby ensuring that BSA broadcasting service regulation would not apply to the new online platform.</w:t>
      </w:r>
    </w:p>
  </w:footnote>
  <w:footnote w:id="99">
    <w:p w14:paraId="5F16CBA4" w14:textId="77777777" w:rsidR="00D7354F" w:rsidRPr="000E6A87" w:rsidRDefault="00D7354F" w:rsidP="00EB2B81">
      <w:pPr>
        <w:pStyle w:val="FootnoteText"/>
        <w:rPr>
          <w:sz w:val="18"/>
          <w:szCs w:val="18"/>
        </w:rPr>
      </w:pPr>
      <w:r w:rsidRPr="000E6A87">
        <w:rPr>
          <w:rStyle w:val="FootnoteReference"/>
          <w:sz w:val="18"/>
          <w:szCs w:val="18"/>
        </w:rPr>
        <w:footnoteRef/>
      </w:r>
      <w:r w:rsidRPr="000E6A87">
        <w:rPr>
          <w:sz w:val="18"/>
          <w:szCs w:val="18"/>
        </w:rPr>
        <w:t xml:space="preserve"> </w:t>
      </w:r>
      <w:r>
        <w:rPr>
          <w:sz w:val="18"/>
          <w:szCs w:val="18"/>
        </w:rPr>
        <w:t>See</w:t>
      </w:r>
      <w:r w:rsidRPr="000E6A87">
        <w:rPr>
          <w:sz w:val="18"/>
          <w:szCs w:val="18"/>
        </w:rPr>
        <w:t xml:space="preserve"> ACMA (2011), ‘</w:t>
      </w:r>
      <w:hyperlink r:id="rId72" w:history="1">
        <w:r w:rsidRPr="00910288">
          <w:rPr>
            <w:rStyle w:val="Hyperlink"/>
            <w:sz w:val="18"/>
            <w:szCs w:val="18"/>
          </w:rPr>
          <w:t>Enduring Concepts—Communications and media in Australia</w:t>
        </w:r>
      </w:hyperlink>
      <w:r>
        <w:rPr>
          <w:sz w:val="18"/>
          <w:szCs w:val="18"/>
        </w:rPr>
        <w:t>’.</w:t>
      </w:r>
    </w:p>
  </w:footnote>
  <w:footnote w:id="100">
    <w:p w14:paraId="088F2E12" w14:textId="77777777" w:rsidR="00D7354F" w:rsidRPr="000E6A87" w:rsidRDefault="00D7354F" w:rsidP="00EB2B81">
      <w:pPr>
        <w:pStyle w:val="FootnoteText"/>
        <w:rPr>
          <w:sz w:val="18"/>
          <w:szCs w:val="18"/>
        </w:rPr>
      </w:pPr>
      <w:r w:rsidRPr="000E6A87">
        <w:rPr>
          <w:rStyle w:val="FootnoteReference"/>
          <w:sz w:val="18"/>
          <w:szCs w:val="18"/>
        </w:rPr>
        <w:footnoteRef/>
      </w:r>
      <w:r w:rsidRPr="000E6A87">
        <w:rPr>
          <w:sz w:val="18"/>
          <w:szCs w:val="18"/>
        </w:rPr>
        <w:t xml:space="preserve"> Department of Communications (2013), ‘</w:t>
      </w:r>
      <w:hyperlink r:id="rId73" w:history="1">
        <w:r w:rsidRPr="000E6A87">
          <w:rPr>
            <w:rStyle w:val="Hyperlink"/>
            <w:sz w:val="18"/>
            <w:szCs w:val="18"/>
          </w:rPr>
          <w:t>Deregulation in the Communications Portfolio</w:t>
        </w:r>
      </w:hyperlink>
      <w:r w:rsidRPr="000E6A87">
        <w:rPr>
          <w:sz w:val="18"/>
          <w:szCs w:val="18"/>
        </w:rPr>
        <w:t xml:space="preserve">’, Policy Background Paper No. </w:t>
      </w:r>
      <w:r>
        <w:rPr>
          <w:sz w:val="18"/>
          <w:szCs w:val="18"/>
        </w:rPr>
        <w:t>1, pp. 4–5.</w:t>
      </w:r>
    </w:p>
  </w:footnote>
  <w:footnote w:id="101">
    <w:p w14:paraId="77E713B2" w14:textId="77777777" w:rsidR="00D7354F" w:rsidRDefault="00D7354F" w:rsidP="00EB2B81">
      <w:pPr>
        <w:pStyle w:val="FootnoteText"/>
      </w:pPr>
      <w:r w:rsidRPr="000E6A87">
        <w:rPr>
          <w:rStyle w:val="FootnoteReference"/>
          <w:sz w:val="18"/>
          <w:szCs w:val="18"/>
        </w:rPr>
        <w:footnoteRef/>
      </w:r>
      <w:r w:rsidRPr="000E6A87">
        <w:rPr>
          <w:sz w:val="18"/>
          <w:szCs w:val="18"/>
        </w:rPr>
        <w:t xml:space="preserve"> ACMA (2011), ‘</w:t>
      </w:r>
      <w:hyperlink r:id="rId74" w:history="1">
        <w:r w:rsidRPr="00910288">
          <w:rPr>
            <w:rStyle w:val="Hyperlink"/>
            <w:sz w:val="18"/>
            <w:szCs w:val="18"/>
          </w:rPr>
          <w:t>Enduring Concepts—Communications and media in Australia</w:t>
        </w:r>
      </w:hyperlink>
      <w:r>
        <w:rPr>
          <w:sz w:val="18"/>
          <w:szCs w:val="18"/>
        </w:rPr>
        <w:t>’.</w:t>
      </w:r>
    </w:p>
  </w:footnote>
  <w:footnote w:id="102">
    <w:p w14:paraId="76EB857A" w14:textId="77777777" w:rsidR="00D7354F" w:rsidRPr="00910288" w:rsidRDefault="00D7354F" w:rsidP="00EB2B81">
      <w:pPr>
        <w:pStyle w:val="FootnoteText"/>
        <w:rPr>
          <w:sz w:val="18"/>
          <w:szCs w:val="18"/>
          <w:highlight w:val="yellow"/>
        </w:rPr>
      </w:pPr>
      <w:r w:rsidRPr="00910288">
        <w:rPr>
          <w:rStyle w:val="FootnoteReference"/>
          <w:sz w:val="18"/>
          <w:szCs w:val="18"/>
        </w:rPr>
        <w:footnoteRef/>
      </w:r>
      <w:r w:rsidRPr="00910288">
        <w:rPr>
          <w:sz w:val="18"/>
          <w:szCs w:val="18"/>
        </w:rPr>
        <w:t xml:space="preserve"> Department of Communications (2014), </w:t>
      </w:r>
      <w:r>
        <w:rPr>
          <w:sz w:val="18"/>
          <w:szCs w:val="18"/>
        </w:rPr>
        <w:t>‘</w:t>
      </w:r>
      <w:hyperlink r:id="rId75" w:history="1">
        <w:r w:rsidRPr="00910288">
          <w:rPr>
            <w:rStyle w:val="Hyperlink"/>
            <w:sz w:val="18"/>
            <w:szCs w:val="18"/>
          </w:rPr>
          <w:t>Regulating harms in the Australian communications sector</w:t>
        </w:r>
      </w:hyperlink>
      <w:r>
        <w:rPr>
          <w:sz w:val="18"/>
          <w:szCs w:val="18"/>
        </w:rPr>
        <w:t>’, Policy Background Paper No. 2</w:t>
      </w:r>
      <w:r w:rsidRPr="00910288">
        <w:rPr>
          <w:sz w:val="18"/>
          <w:szCs w:val="18"/>
        </w:rPr>
        <w:t>.</w:t>
      </w:r>
    </w:p>
  </w:footnote>
  <w:footnote w:id="103">
    <w:p w14:paraId="446C963A" w14:textId="77777777" w:rsidR="00D7354F" w:rsidRPr="00910288" w:rsidRDefault="00D7354F" w:rsidP="00EB2B81">
      <w:pPr>
        <w:pStyle w:val="FootnoteText"/>
        <w:rPr>
          <w:sz w:val="18"/>
          <w:szCs w:val="18"/>
        </w:rPr>
      </w:pPr>
      <w:r w:rsidRPr="0056266A">
        <w:rPr>
          <w:rStyle w:val="FootnoteReference"/>
          <w:sz w:val="18"/>
          <w:szCs w:val="18"/>
        </w:rPr>
        <w:footnoteRef/>
      </w:r>
      <w:r w:rsidRPr="0056266A">
        <w:rPr>
          <w:sz w:val="18"/>
          <w:szCs w:val="18"/>
        </w:rPr>
        <w:t xml:space="preserve"> Malcolm K. Sparrow (2011), ‘The Regulatory Craft: Controlling Risks, Solving Problems, and Managing Compliance’,</w:t>
      </w:r>
      <w:r>
        <w:rPr>
          <w:sz w:val="18"/>
          <w:szCs w:val="18"/>
        </w:rPr>
        <w:t xml:space="preserve"> Brookings Institution Press,</w:t>
      </w:r>
      <w:r w:rsidRPr="0056266A">
        <w:rPr>
          <w:sz w:val="18"/>
          <w:szCs w:val="18"/>
        </w:rPr>
        <w:t xml:space="preserve"> p. 17</w:t>
      </w:r>
      <w:r>
        <w:rPr>
          <w:sz w:val="18"/>
          <w:szCs w:val="18"/>
        </w:rPr>
        <w:t>.</w:t>
      </w:r>
    </w:p>
  </w:footnote>
  <w:footnote w:id="104">
    <w:p w14:paraId="14CC011F" w14:textId="77777777" w:rsidR="00D7354F" w:rsidRPr="00910288" w:rsidRDefault="00D7354F" w:rsidP="00EB2B81">
      <w:pPr>
        <w:pStyle w:val="FootnoteText"/>
        <w:rPr>
          <w:sz w:val="18"/>
          <w:szCs w:val="18"/>
        </w:rPr>
      </w:pPr>
      <w:r w:rsidRPr="00910288">
        <w:rPr>
          <w:rStyle w:val="FootnoteReference"/>
          <w:sz w:val="18"/>
          <w:szCs w:val="18"/>
        </w:rPr>
        <w:footnoteRef/>
      </w:r>
      <w:r w:rsidRPr="00910288">
        <w:rPr>
          <w:sz w:val="18"/>
          <w:szCs w:val="18"/>
        </w:rPr>
        <w:t xml:space="preserve"> Productivity Commission (2014), ‘</w:t>
      </w:r>
      <w:hyperlink r:id="rId76" w:history="1">
        <w:r w:rsidRPr="00910288">
          <w:rPr>
            <w:rStyle w:val="Hyperlink"/>
            <w:sz w:val="18"/>
            <w:szCs w:val="18"/>
          </w:rPr>
          <w:t>Regulator Audit Framework</w:t>
        </w:r>
      </w:hyperlink>
      <w:r w:rsidRPr="00910288">
        <w:rPr>
          <w:sz w:val="18"/>
          <w:szCs w:val="18"/>
        </w:rPr>
        <w:t>’</w:t>
      </w:r>
      <w:r w:rsidRPr="00910288">
        <w:rPr>
          <w:i/>
          <w:sz w:val="18"/>
          <w:szCs w:val="18"/>
        </w:rPr>
        <w:t>,</w:t>
      </w:r>
      <w:r w:rsidRPr="00910288">
        <w:rPr>
          <w:sz w:val="18"/>
          <w:szCs w:val="18"/>
        </w:rPr>
        <w:t xml:space="preserve"> p. 4.</w:t>
      </w:r>
    </w:p>
  </w:footnote>
  <w:footnote w:id="105">
    <w:p w14:paraId="7153B1C3" w14:textId="77777777" w:rsidR="00D7354F" w:rsidRDefault="00D7354F" w:rsidP="00EB2B81">
      <w:pPr>
        <w:pStyle w:val="FootnoteText"/>
      </w:pPr>
      <w:r w:rsidRPr="00910288">
        <w:rPr>
          <w:rStyle w:val="FootnoteReference"/>
          <w:sz w:val="18"/>
          <w:szCs w:val="18"/>
        </w:rPr>
        <w:footnoteRef/>
      </w:r>
      <w:r w:rsidRPr="00910288">
        <w:rPr>
          <w:sz w:val="18"/>
          <w:szCs w:val="18"/>
        </w:rPr>
        <w:t xml:space="preserve"> Key sources include the OECD, the Australian and New Zealand productivity commissions, the Australian National Audit Office and the UK Hampton Review on regulatory inspections and enforcement.</w:t>
      </w:r>
    </w:p>
  </w:footnote>
  <w:footnote w:id="106">
    <w:p w14:paraId="32D78C30" w14:textId="77777777" w:rsidR="00D7354F" w:rsidRPr="00910288" w:rsidRDefault="00D7354F" w:rsidP="00EB2B81">
      <w:pPr>
        <w:pStyle w:val="FootnoteText"/>
        <w:rPr>
          <w:sz w:val="18"/>
          <w:szCs w:val="18"/>
        </w:rPr>
      </w:pPr>
      <w:r w:rsidRPr="00910288">
        <w:rPr>
          <w:rStyle w:val="FootnoteReference"/>
          <w:sz w:val="18"/>
          <w:szCs w:val="18"/>
        </w:rPr>
        <w:footnoteRef/>
      </w:r>
      <w:r w:rsidRPr="00910288">
        <w:rPr>
          <w:sz w:val="18"/>
          <w:szCs w:val="18"/>
        </w:rPr>
        <w:t xml:space="preserve"> </w:t>
      </w:r>
      <w:r w:rsidRPr="00910288">
        <w:rPr>
          <w:rFonts w:eastAsia="Times New Roman" w:cs="Arial"/>
          <w:color w:val="000000"/>
          <w:sz w:val="18"/>
          <w:szCs w:val="18"/>
        </w:rPr>
        <w:t xml:space="preserve">In October 2014, the Australian Government announced the introduction of the </w:t>
      </w:r>
      <w:hyperlink r:id="rId77" w:history="1">
        <w:r w:rsidRPr="00910288">
          <w:rPr>
            <w:rStyle w:val="Hyperlink"/>
            <w:rFonts w:eastAsia="Times New Roman" w:cs="Arial"/>
            <w:sz w:val="18"/>
            <w:szCs w:val="18"/>
          </w:rPr>
          <w:t>Regulator Performance Framework</w:t>
        </w:r>
      </w:hyperlink>
      <w:r w:rsidRPr="00910288">
        <w:rPr>
          <w:rFonts w:eastAsia="Times New Roman" w:cs="Arial"/>
          <w:color w:val="000000"/>
          <w:sz w:val="18"/>
          <w:szCs w:val="18"/>
        </w:rPr>
        <w:t xml:space="preserve"> as part of its commitment to reduce the cost of unnecessary or inefficient regulation imposed on individuals and businesses.</w:t>
      </w:r>
    </w:p>
  </w:footnote>
  <w:footnote w:id="107">
    <w:p w14:paraId="1229DB24" w14:textId="423249DB" w:rsidR="00D7354F" w:rsidRDefault="00D7354F" w:rsidP="00EB2B81">
      <w:pPr>
        <w:pStyle w:val="FootnoteText"/>
      </w:pPr>
      <w:r w:rsidRPr="00910288">
        <w:rPr>
          <w:rStyle w:val="FootnoteReference"/>
          <w:sz w:val="18"/>
          <w:szCs w:val="18"/>
        </w:rPr>
        <w:footnoteRef/>
      </w:r>
      <w:r w:rsidRPr="00910288">
        <w:rPr>
          <w:sz w:val="18"/>
          <w:szCs w:val="18"/>
        </w:rPr>
        <w:t xml:space="preserve"> See ‘</w:t>
      </w:r>
      <w:hyperlink r:id="rId78" w:history="1">
        <w:r w:rsidRPr="00910288">
          <w:rPr>
            <w:rStyle w:val="Hyperlink"/>
            <w:sz w:val="18"/>
            <w:szCs w:val="18"/>
          </w:rPr>
          <w:t>General Duties of Of</w:t>
        </w:r>
        <w:r>
          <w:rPr>
            <w:rStyle w:val="Hyperlink"/>
            <w:sz w:val="18"/>
            <w:szCs w:val="18"/>
          </w:rPr>
          <w:t>c</w:t>
        </w:r>
        <w:r w:rsidRPr="00910288">
          <w:rPr>
            <w:rStyle w:val="Hyperlink"/>
            <w:sz w:val="18"/>
            <w:szCs w:val="18"/>
          </w:rPr>
          <w:t>om</w:t>
        </w:r>
      </w:hyperlink>
      <w:r w:rsidRPr="00910288">
        <w:rPr>
          <w:rStyle w:val="Hyperlink"/>
          <w:sz w:val="18"/>
          <w:szCs w:val="18"/>
        </w:rPr>
        <w:t>’</w:t>
      </w:r>
      <w:r w:rsidRPr="00910288">
        <w:rPr>
          <w:i/>
          <w:sz w:val="18"/>
          <w:szCs w:val="18"/>
        </w:rPr>
        <w:t xml:space="preserve"> – Communications Act 2003.</w:t>
      </w:r>
    </w:p>
  </w:footnote>
  <w:footnote w:id="108">
    <w:p w14:paraId="6AC8B56A" w14:textId="6558FC0A" w:rsidR="00D7354F" w:rsidRPr="00910288" w:rsidRDefault="00D7354F" w:rsidP="00EB2B81">
      <w:pPr>
        <w:pStyle w:val="FootnoteText"/>
        <w:rPr>
          <w:sz w:val="18"/>
          <w:szCs w:val="18"/>
        </w:rPr>
      </w:pPr>
      <w:r w:rsidRPr="00910288">
        <w:rPr>
          <w:rStyle w:val="FootnoteReference"/>
          <w:sz w:val="18"/>
          <w:szCs w:val="18"/>
        </w:rPr>
        <w:footnoteRef/>
      </w:r>
      <w:r w:rsidRPr="00910288">
        <w:rPr>
          <w:sz w:val="18"/>
          <w:szCs w:val="18"/>
        </w:rPr>
        <w:t xml:space="preserve"> </w:t>
      </w:r>
      <w:r>
        <w:rPr>
          <w:sz w:val="18"/>
          <w:szCs w:val="18"/>
        </w:rPr>
        <w:t>ASTRA</w:t>
      </w:r>
      <w:r w:rsidRPr="00910288">
        <w:rPr>
          <w:sz w:val="18"/>
          <w:szCs w:val="18"/>
        </w:rPr>
        <w:t xml:space="preserve"> (2015), </w:t>
      </w:r>
      <w:hyperlink r:id="rId79" w:history="1">
        <w:r>
          <w:rPr>
            <w:rStyle w:val="Hyperlink"/>
            <w:sz w:val="18"/>
            <w:szCs w:val="18"/>
          </w:rPr>
          <w:t>Submission to the ACMA Review issues paper</w:t>
        </w:r>
      </w:hyperlink>
      <w:r w:rsidRPr="00910288">
        <w:rPr>
          <w:sz w:val="18"/>
          <w:szCs w:val="18"/>
        </w:rPr>
        <w:t>, p. 5.</w:t>
      </w:r>
    </w:p>
  </w:footnote>
  <w:footnote w:id="109">
    <w:p w14:paraId="30E48C55" w14:textId="77777777" w:rsidR="00D7354F" w:rsidRPr="00910288" w:rsidRDefault="00D7354F" w:rsidP="00EB2B81">
      <w:pPr>
        <w:pStyle w:val="FootnoteText"/>
        <w:rPr>
          <w:sz w:val="18"/>
          <w:szCs w:val="18"/>
        </w:rPr>
      </w:pPr>
      <w:r w:rsidRPr="00910288">
        <w:rPr>
          <w:rStyle w:val="FootnoteReference"/>
          <w:sz w:val="18"/>
          <w:szCs w:val="18"/>
        </w:rPr>
        <w:footnoteRef/>
      </w:r>
      <w:r w:rsidRPr="00910288">
        <w:rPr>
          <w:sz w:val="18"/>
          <w:szCs w:val="18"/>
        </w:rPr>
        <w:t xml:space="preserve"> Telstra (2015), </w:t>
      </w:r>
      <w:hyperlink r:id="rId80" w:history="1">
        <w:r>
          <w:rPr>
            <w:rStyle w:val="Hyperlink"/>
            <w:sz w:val="18"/>
            <w:szCs w:val="18"/>
          </w:rPr>
          <w:t>Submission to the ACMA Review issues p</w:t>
        </w:r>
        <w:r w:rsidRPr="00910288">
          <w:rPr>
            <w:rStyle w:val="Hyperlink"/>
            <w:sz w:val="18"/>
            <w:szCs w:val="18"/>
          </w:rPr>
          <w:t>aper</w:t>
        </w:r>
      </w:hyperlink>
      <w:r w:rsidRPr="00910288">
        <w:rPr>
          <w:sz w:val="18"/>
          <w:szCs w:val="18"/>
        </w:rPr>
        <w:t>, p. 16.</w:t>
      </w:r>
    </w:p>
  </w:footnote>
  <w:footnote w:id="110">
    <w:p w14:paraId="4AE87737" w14:textId="77777777" w:rsidR="00D7354F" w:rsidRDefault="00D7354F" w:rsidP="00EB2B81">
      <w:pPr>
        <w:pStyle w:val="FootnoteText"/>
      </w:pPr>
      <w:r w:rsidRPr="00910288">
        <w:rPr>
          <w:rStyle w:val="FootnoteReference"/>
          <w:sz w:val="18"/>
          <w:szCs w:val="18"/>
        </w:rPr>
        <w:footnoteRef/>
      </w:r>
      <w:r w:rsidRPr="00910288">
        <w:rPr>
          <w:sz w:val="18"/>
          <w:szCs w:val="18"/>
        </w:rPr>
        <w:t xml:space="preserve"> Communications Alliance, </w:t>
      </w:r>
      <w:hyperlink r:id="rId81" w:history="1">
        <w:r>
          <w:rPr>
            <w:rStyle w:val="Hyperlink"/>
            <w:sz w:val="18"/>
            <w:szCs w:val="18"/>
          </w:rPr>
          <w:t>Submission to the ACMA Review issues p</w:t>
        </w:r>
        <w:r w:rsidRPr="00910288">
          <w:rPr>
            <w:rStyle w:val="Hyperlink"/>
            <w:sz w:val="18"/>
            <w:szCs w:val="18"/>
          </w:rPr>
          <w:t>aper</w:t>
        </w:r>
      </w:hyperlink>
      <w:r w:rsidRPr="00910288">
        <w:rPr>
          <w:sz w:val="18"/>
          <w:szCs w:val="18"/>
        </w:rPr>
        <w:t>, p. 4.</w:t>
      </w:r>
    </w:p>
  </w:footnote>
  <w:footnote w:id="111">
    <w:p w14:paraId="533246C1" w14:textId="77777777" w:rsidR="00D7354F" w:rsidRDefault="00D7354F" w:rsidP="00EB2B81">
      <w:pPr>
        <w:pStyle w:val="FootnoteText"/>
      </w:pPr>
      <w:r>
        <w:rPr>
          <w:rStyle w:val="FootnoteReference"/>
        </w:rPr>
        <w:footnoteRef/>
      </w:r>
      <w:r>
        <w:t xml:space="preserve"> </w:t>
      </w:r>
      <w:r w:rsidRPr="00312EC0">
        <w:rPr>
          <w:sz w:val="18"/>
        </w:rPr>
        <w:t xml:space="preserve">The </w:t>
      </w:r>
      <w:r>
        <w:rPr>
          <w:sz w:val="18"/>
        </w:rPr>
        <w:t>Legislative Proposals Consultation Paper for the Radiocommunications Bill 2016 proposes the ACMA have future responsibility for determining competitions limits for spectrum license issue. It is further proposed that the Minister may, however, have the ability to direct the ACMA on the limits.</w:t>
      </w:r>
    </w:p>
  </w:footnote>
  <w:footnote w:id="112">
    <w:p w14:paraId="4AD148C8" w14:textId="77777777" w:rsidR="00D7354F" w:rsidRPr="00910288" w:rsidRDefault="00D7354F" w:rsidP="00EB2B81">
      <w:pPr>
        <w:pStyle w:val="FootnoteText"/>
        <w:rPr>
          <w:sz w:val="18"/>
        </w:rPr>
      </w:pPr>
      <w:r w:rsidRPr="00585542">
        <w:rPr>
          <w:rStyle w:val="FootnoteReference"/>
          <w:sz w:val="18"/>
        </w:rPr>
        <w:footnoteRef/>
      </w:r>
      <w:r w:rsidRPr="00585542">
        <w:rPr>
          <w:sz w:val="18"/>
        </w:rPr>
        <w:t xml:space="preserve"> Larry Downes (2014), ‘</w:t>
      </w:r>
      <w:hyperlink r:id="rId82" w:history="1">
        <w:r w:rsidRPr="00585542">
          <w:rPr>
            <w:rStyle w:val="Hyperlink"/>
            <w:sz w:val="18"/>
          </w:rPr>
          <w:t>Managing the Big Bang: The Regulator’s Dilemma</w:t>
        </w:r>
      </w:hyperlink>
      <w:r w:rsidRPr="00585542">
        <w:rPr>
          <w:sz w:val="18"/>
        </w:rPr>
        <w:t>’,</w:t>
      </w:r>
      <w:r w:rsidRPr="00585542">
        <w:rPr>
          <w:i/>
          <w:sz w:val="18"/>
        </w:rPr>
        <w:t xml:space="preserve"> Democracy</w:t>
      </w:r>
      <w:r w:rsidRPr="00585542">
        <w:rPr>
          <w:sz w:val="18"/>
        </w:rPr>
        <w:t xml:space="preserve"> (34).</w:t>
      </w:r>
    </w:p>
  </w:footnote>
  <w:footnote w:id="113">
    <w:p w14:paraId="59E2055C" w14:textId="77777777" w:rsidR="00D7354F" w:rsidRPr="00910288" w:rsidRDefault="00D7354F" w:rsidP="00EB2B81">
      <w:pPr>
        <w:pStyle w:val="FootnoteText"/>
        <w:rPr>
          <w:sz w:val="18"/>
        </w:rPr>
      </w:pPr>
      <w:r w:rsidRPr="00910288">
        <w:rPr>
          <w:rStyle w:val="FootnoteReference"/>
          <w:sz w:val="18"/>
        </w:rPr>
        <w:footnoteRef/>
      </w:r>
      <w:r w:rsidRPr="00910288">
        <w:rPr>
          <w:sz w:val="18"/>
        </w:rPr>
        <w:t xml:space="preserve"> Source: ACMA input to Review team</w:t>
      </w:r>
    </w:p>
  </w:footnote>
  <w:footnote w:id="114">
    <w:p w14:paraId="4EF4790E" w14:textId="77777777" w:rsidR="00D7354F" w:rsidRDefault="00D7354F" w:rsidP="00EB2B81">
      <w:pPr>
        <w:pStyle w:val="FootnoteText"/>
      </w:pPr>
      <w:r w:rsidRPr="00585542">
        <w:rPr>
          <w:rStyle w:val="FootnoteReference"/>
          <w:sz w:val="18"/>
        </w:rPr>
        <w:footnoteRef/>
      </w:r>
      <w:r w:rsidRPr="00585542">
        <w:rPr>
          <w:sz w:val="18"/>
        </w:rPr>
        <w:t xml:space="preserve"> TIO (2014) </w:t>
      </w:r>
      <w:hyperlink r:id="rId83" w:history="1">
        <w:r w:rsidRPr="00585542">
          <w:rPr>
            <w:rStyle w:val="Hyperlink"/>
            <w:sz w:val="18"/>
          </w:rPr>
          <w:t xml:space="preserve">Annual Report </w:t>
        </w:r>
        <w:r>
          <w:rPr>
            <w:rStyle w:val="Hyperlink"/>
            <w:sz w:val="18"/>
          </w:rPr>
          <w:t>2013–14</w:t>
        </w:r>
      </w:hyperlink>
      <w:r w:rsidRPr="00585542">
        <w:rPr>
          <w:sz w:val="18"/>
        </w:rPr>
        <w:t>, p. 24.</w:t>
      </w:r>
    </w:p>
  </w:footnote>
  <w:footnote w:id="115">
    <w:p w14:paraId="13D4F7BD" w14:textId="77777777" w:rsidR="00D7354F" w:rsidRPr="00840178" w:rsidRDefault="00D7354F" w:rsidP="00EB2B81">
      <w:pPr>
        <w:pStyle w:val="FootnoteText"/>
        <w:rPr>
          <w:sz w:val="18"/>
          <w:szCs w:val="18"/>
        </w:rPr>
      </w:pPr>
      <w:r w:rsidRPr="00840178">
        <w:rPr>
          <w:rStyle w:val="FootnoteReference"/>
          <w:sz w:val="18"/>
          <w:szCs w:val="18"/>
        </w:rPr>
        <w:footnoteRef/>
      </w:r>
      <w:r w:rsidRPr="00840178">
        <w:rPr>
          <w:sz w:val="18"/>
          <w:szCs w:val="18"/>
        </w:rPr>
        <w:t xml:space="preserve"> TIO</w:t>
      </w:r>
      <w:r>
        <w:rPr>
          <w:sz w:val="18"/>
          <w:szCs w:val="18"/>
        </w:rPr>
        <w:t xml:space="preserve"> (2010)</w:t>
      </w:r>
      <w:r w:rsidRPr="00840178">
        <w:rPr>
          <w:sz w:val="18"/>
          <w:szCs w:val="18"/>
        </w:rPr>
        <w:t xml:space="preserve"> </w:t>
      </w:r>
      <w:hyperlink r:id="rId84" w:history="1">
        <w:r w:rsidRPr="00DF4EC8">
          <w:rPr>
            <w:rStyle w:val="Hyperlink"/>
            <w:sz w:val="18"/>
            <w:szCs w:val="18"/>
          </w:rPr>
          <w:t xml:space="preserve">Annual Report </w:t>
        </w:r>
        <w:r>
          <w:rPr>
            <w:rStyle w:val="Hyperlink"/>
            <w:sz w:val="18"/>
            <w:szCs w:val="18"/>
          </w:rPr>
          <w:t>2009–10</w:t>
        </w:r>
      </w:hyperlink>
      <w:r w:rsidRPr="00840178">
        <w:rPr>
          <w:sz w:val="18"/>
          <w:szCs w:val="18"/>
        </w:rPr>
        <w:t>, p. 13.</w:t>
      </w:r>
    </w:p>
  </w:footnote>
  <w:footnote w:id="116">
    <w:p w14:paraId="6C30C57B" w14:textId="77777777" w:rsidR="00D7354F" w:rsidRPr="00840178" w:rsidRDefault="00D7354F" w:rsidP="00EB2B81">
      <w:pPr>
        <w:pStyle w:val="FootnoteText"/>
        <w:rPr>
          <w:sz w:val="18"/>
          <w:szCs w:val="18"/>
        </w:rPr>
      </w:pPr>
      <w:r w:rsidRPr="005C44DA">
        <w:rPr>
          <w:rStyle w:val="FootnoteReference"/>
          <w:sz w:val="18"/>
          <w:szCs w:val="18"/>
        </w:rPr>
        <w:footnoteRef/>
      </w:r>
      <w:r w:rsidRPr="005C44DA">
        <w:rPr>
          <w:sz w:val="18"/>
          <w:szCs w:val="18"/>
        </w:rPr>
        <w:t xml:space="preserve"> TIO (2014) </w:t>
      </w:r>
      <w:hyperlink r:id="rId85" w:history="1">
        <w:r w:rsidRPr="005C44DA">
          <w:rPr>
            <w:rStyle w:val="Hyperlink"/>
            <w:sz w:val="18"/>
            <w:szCs w:val="18"/>
          </w:rPr>
          <w:t xml:space="preserve">‘New complaint and investigations issues </w:t>
        </w:r>
        <w:r>
          <w:rPr>
            <w:rStyle w:val="Hyperlink"/>
            <w:sz w:val="18"/>
            <w:szCs w:val="18"/>
          </w:rPr>
          <w:t>2013–14</w:t>
        </w:r>
        <w:r w:rsidRPr="005C44DA">
          <w:rPr>
            <w:rStyle w:val="Hyperlink"/>
            <w:sz w:val="18"/>
            <w:szCs w:val="18"/>
          </w:rPr>
          <w:t>’</w:t>
        </w:r>
      </w:hyperlink>
      <w:r w:rsidRPr="005C44DA">
        <w:rPr>
          <w:sz w:val="18"/>
          <w:szCs w:val="18"/>
        </w:rPr>
        <w:t>.</w:t>
      </w:r>
    </w:p>
  </w:footnote>
  <w:footnote w:id="117">
    <w:p w14:paraId="2614E5E3" w14:textId="77777777" w:rsidR="00D7354F" w:rsidRPr="00840178" w:rsidRDefault="00D7354F" w:rsidP="00EB2B81">
      <w:pPr>
        <w:pStyle w:val="FootnoteText"/>
        <w:tabs>
          <w:tab w:val="left" w:pos="3650"/>
        </w:tabs>
        <w:rPr>
          <w:sz w:val="18"/>
          <w:szCs w:val="18"/>
        </w:rPr>
      </w:pPr>
      <w:r w:rsidRPr="00840178">
        <w:rPr>
          <w:rStyle w:val="FootnoteReference"/>
          <w:sz w:val="18"/>
          <w:szCs w:val="18"/>
        </w:rPr>
        <w:footnoteRef/>
      </w:r>
      <w:r w:rsidRPr="00840178">
        <w:rPr>
          <w:sz w:val="18"/>
          <w:szCs w:val="18"/>
        </w:rPr>
        <w:t xml:space="preserve"> TIO</w:t>
      </w:r>
      <w:r>
        <w:rPr>
          <w:sz w:val="18"/>
          <w:szCs w:val="18"/>
        </w:rPr>
        <w:t xml:space="preserve"> (2010)</w:t>
      </w:r>
      <w:r w:rsidRPr="00840178">
        <w:rPr>
          <w:sz w:val="18"/>
          <w:szCs w:val="18"/>
        </w:rPr>
        <w:t xml:space="preserve"> </w:t>
      </w:r>
      <w:hyperlink r:id="rId86" w:history="1">
        <w:r w:rsidRPr="00DF4EC8">
          <w:rPr>
            <w:rStyle w:val="Hyperlink"/>
            <w:sz w:val="18"/>
            <w:szCs w:val="18"/>
          </w:rPr>
          <w:t xml:space="preserve">Annual Report </w:t>
        </w:r>
        <w:r>
          <w:rPr>
            <w:rStyle w:val="Hyperlink"/>
            <w:sz w:val="18"/>
            <w:szCs w:val="18"/>
          </w:rPr>
          <w:t>2009–10</w:t>
        </w:r>
      </w:hyperlink>
      <w:r w:rsidRPr="00840178">
        <w:rPr>
          <w:sz w:val="18"/>
          <w:szCs w:val="18"/>
        </w:rPr>
        <w:t>, p. 13.</w:t>
      </w:r>
    </w:p>
  </w:footnote>
  <w:footnote w:id="118">
    <w:p w14:paraId="0AC40604" w14:textId="77777777" w:rsidR="00D7354F" w:rsidRPr="00840178" w:rsidRDefault="00D7354F" w:rsidP="00EB2B81">
      <w:pPr>
        <w:pStyle w:val="FootnoteText"/>
        <w:tabs>
          <w:tab w:val="left" w:pos="3633"/>
        </w:tabs>
        <w:rPr>
          <w:sz w:val="18"/>
          <w:szCs w:val="18"/>
        </w:rPr>
      </w:pPr>
      <w:r w:rsidRPr="00840178">
        <w:rPr>
          <w:rStyle w:val="FootnoteReference"/>
          <w:sz w:val="18"/>
          <w:szCs w:val="18"/>
        </w:rPr>
        <w:footnoteRef/>
      </w:r>
      <w:r w:rsidRPr="00840178">
        <w:rPr>
          <w:sz w:val="18"/>
          <w:szCs w:val="18"/>
        </w:rPr>
        <w:t xml:space="preserve"> TIO</w:t>
      </w:r>
      <w:r>
        <w:rPr>
          <w:sz w:val="18"/>
          <w:szCs w:val="18"/>
        </w:rPr>
        <w:t xml:space="preserve"> (2010)</w:t>
      </w:r>
      <w:r w:rsidRPr="00840178">
        <w:rPr>
          <w:sz w:val="18"/>
          <w:szCs w:val="18"/>
        </w:rPr>
        <w:t xml:space="preserve"> </w:t>
      </w:r>
      <w:hyperlink r:id="rId87" w:history="1">
        <w:r w:rsidRPr="00DF4EC8">
          <w:rPr>
            <w:rStyle w:val="Hyperlink"/>
            <w:sz w:val="18"/>
            <w:szCs w:val="18"/>
          </w:rPr>
          <w:t xml:space="preserve">Annual Report </w:t>
        </w:r>
        <w:r>
          <w:rPr>
            <w:rStyle w:val="Hyperlink"/>
            <w:sz w:val="18"/>
            <w:szCs w:val="18"/>
          </w:rPr>
          <w:t>2009–10</w:t>
        </w:r>
      </w:hyperlink>
      <w:r w:rsidRPr="00840178">
        <w:rPr>
          <w:sz w:val="18"/>
          <w:szCs w:val="18"/>
        </w:rPr>
        <w:t>, p. 13.</w:t>
      </w:r>
    </w:p>
  </w:footnote>
  <w:footnote w:id="119">
    <w:p w14:paraId="1D27850C" w14:textId="77777777" w:rsidR="00D7354F" w:rsidRDefault="00D7354F" w:rsidP="00EB2B81">
      <w:pPr>
        <w:pStyle w:val="FootnoteText"/>
      </w:pPr>
      <w:r w:rsidRPr="00840178">
        <w:rPr>
          <w:rStyle w:val="FootnoteReference"/>
          <w:sz w:val="18"/>
          <w:szCs w:val="18"/>
        </w:rPr>
        <w:footnoteRef/>
      </w:r>
      <w:r w:rsidRPr="00840178">
        <w:rPr>
          <w:sz w:val="18"/>
          <w:szCs w:val="18"/>
        </w:rPr>
        <w:t xml:space="preserve"> ASTRA (2015), </w:t>
      </w:r>
      <w:hyperlink r:id="rId88" w:history="1">
        <w:r w:rsidRPr="00840178">
          <w:rPr>
            <w:rStyle w:val="Hyperlink"/>
            <w:sz w:val="18"/>
            <w:szCs w:val="18"/>
          </w:rPr>
          <w:t>Submission to the ACMA Review issues paper</w:t>
        </w:r>
      </w:hyperlink>
      <w:r w:rsidRPr="00840178">
        <w:rPr>
          <w:sz w:val="18"/>
          <w:szCs w:val="18"/>
        </w:rPr>
        <w:t>, p. 5</w:t>
      </w:r>
    </w:p>
  </w:footnote>
  <w:footnote w:id="120">
    <w:p w14:paraId="1027DCAD" w14:textId="77777777" w:rsidR="00D7354F" w:rsidRPr="00FC3FB1" w:rsidRDefault="00D7354F" w:rsidP="00EB2B81">
      <w:pPr>
        <w:pStyle w:val="FootnoteText"/>
        <w:rPr>
          <w:sz w:val="18"/>
          <w:szCs w:val="18"/>
        </w:rPr>
      </w:pPr>
      <w:r w:rsidRPr="00FC3FB1">
        <w:rPr>
          <w:rStyle w:val="FootnoteReference"/>
          <w:sz w:val="18"/>
          <w:szCs w:val="18"/>
        </w:rPr>
        <w:footnoteRef/>
      </w:r>
      <w:r w:rsidRPr="00FC3FB1">
        <w:rPr>
          <w:sz w:val="18"/>
          <w:szCs w:val="18"/>
        </w:rPr>
        <w:t xml:space="preserve"> Telstra (2015), </w:t>
      </w:r>
      <w:hyperlink r:id="rId89" w:history="1">
        <w:r w:rsidRPr="00FC3FB1">
          <w:rPr>
            <w:rStyle w:val="Hyperlink"/>
            <w:sz w:val="18"/>
            <w:szCs w:val="18"/>
          </w:rPr>
          <w:t>Submission to the ACMA Review issues paper</w:t>
        </w:r>
      </w:hyperlink>
      <w:r w:rsidRPr="00FC3FB1">
        <w:rPr>
          <w:sz w:val="18"/>
          <w:szCs w:val="18"/>
        </w:rPr>
        <w:t>, p. 4.</w:t>
      </w:r>
    </w:p>
  </w:footnote>
  <w:footnote w:id="121">
    <w:p w14:paraId="64499EFB" w14:textId="77777777" w:rsidR="00D7354F" w:rsidRPr="00FC3FB1" w:rsidRDefault="00D7354F" w:rsidP="00EB2B81">
      <w:pPr>
        <w:pStyle w:val="FootnoteText"/>
        <w:rPr>
          <w:sz w:val="18"/>
          <w:szCs w:val="18"/>
        </w:rPr>
      </w:pPr>
      <w:r w:rsidRPr="00FC3FB1">
        <w:rPr>
          <w:rStyle w:val="FootnoteReference"/>
          <w:sz w:val="18"/>
          <w:szCs w:val="18"/>
        </w:rPr>
        <w:footnoteRef/>
      </w:r>
      <w:r w:rsidRPr="00FC3FB1">
        <w:rPr>
          <w:sz w:val="18"/>
          <w:szCs w:val="18"/>
        </w:rPr>
        <w:t xml:space="preserve"> The Hampton Report (2005), </w:t>
      </w:r>
      <w:r>
        <w:rPr>
          <w:sz w:val="18"/>
          <w:szCs w:val="18"/>
        </w:rPr>
        <w:t>‘</w:t>
      </w:r>
      <w:hyperlink r:id="rId90" w:history="1">
        <w:r w:rsidRPr="00FC3FB1">
          <w:rPr>
            <w:rStyle w:val="Hyperlink"/>
            <w:sz w:val="18"/>
            <w:szCs w:val="18"/>
          </w:rPr>
          <w:t>Reducing Regulatory Burden: effective inspection and enforcement</w:t>
        </w:r>
      </w:hyperlink>
      <w:r w:rsidRPr="00FC3FB1">
        <w:rPr>
          <w:sz w:val="18"/>
          <w:szCs w:val="18"/>
        </w:rPr>
        <w:t>’</w:t>
      </w:r>
      <w:r>
        <w:rPr>
          <w:sz w:val="18"/>
          <w:szCs w:val="18"/>
        </w:rPr>
        <w:t>,</w:t>
      </w:r>
      <w:r w:rsidRPr="00FC3FB1">
        <w:rPr>
          <w:i/>
          <w:sz w:val="18"/>
          <w:szCs w:val="18"/>
        </w:rPr>
        <w:t xml:space="preserve"> </w:t>
      </w:r>
      <w:r w:rsidRPr="00FC3FB1">
        <w:rPr>
          <w:sz w:val="18"/>
          <w:szCs w:val="18"/>
        </w:rPr>
        <w:t>pp</w:t>
      </w:r>
      <w:r>
        <w:rPr>
          <w:sz w:val="18"/>
          <w:szCs w:val="18"/>
        </w:rPr>
        <w:t>.</w:t>
      </w:r>
      <w:r w:rsidRPr="00FC3FB1">
        <w:rPr>
          <w:sz w:val="18"/>
          <w:szCs w:val="18"/>
        </w:rPr>
        <w:t xml:space="preserve">4, 8. </w:t>
      </w:r>
    </w:p>
  </w:footnote>
  <w:footnote w:id="122">
    <w:p w14:paraId="7764DD9E" w14:textId="77777777" w:rsidR="00D7354F" w:rsidRPr="00FC3FB1" w:rsidRDefault="00D7354F" w:rsidP="00EB2B81">
      <w:pPr>
        <w:pStyle w:val="FootnoteText"/>
        <w:rPr>
          <w:sz w:val="18"/>
          <w:szCs w:val="18"/>
        </w:rPr>
      </w:pPr>
      <w:r w:rsidRPr="00FC3FB1">
        <w:rPr>
          <w:rStyle w:val="FootnoteReference"/>
          <w:sz w:val="18"/>
          <w:szCs w:val="18"/>
        </w:rPr>
        <w:footnoteRef/>
      </w:r>
      <w:r w:rsidRPr="00FC3FB1">
        <w:rPr>
          <w:sz w:val="18"/>
          <w:szCs w:val="18"/>
        </w:rPr>
        <w:t xml:space="preserve"> World Bank (2010), ‘</w:t>
      </w:r>
      <w:hyperlink r:id="rId91" w:history="1">
        <w:r w:rsidRPr="00FC3FB1">
          <w:rPr>
            <w:rStyle w:val="Hyperlink"/>
            <w:sz w:val="18"/>
            <w:szCs w:val="18"/>
          </w:rPr>
          <w:t>Telecommunications Regulation Handbook</w:t>
        </w:r>
      </w:hyperlink>
      <w:r>
        <w:rPr>
          <w:sz w:val="18"/>
          <w:szCs w:val="18"/>
        </w:rPr>
        <w:t>’,</w:t>
      </w:r>
      <w:r w:rsidRPr="00FC3FB1">
        <w:rPr>
          <w:sz w:val="18"/>
          <w:szCs w:val="18"/>
        </w:rPr>
        <w:t xml:space="preserve"> p.223</w:t>
      </w:r>
      <w:r>
        <w:rPr>
          <w:sz w:val="18"/>
          <w:szCs w:val="18"/>
        </w:rPr>
        <w:t>;</w:t>
      </w:r>
      <w:r w:rsidRPr="00FC3FB1">
        <w:rPr>
          <w:sz w:val="18"/>
          <w:szCs w:val="18"/>
        </w:rPr>
        <w:t xml:space="preserve"> International Telecommunication Union (2013), </w:t>
      </w:r>
      <w:r>
        <w:rPr>
          <w:sz w:val="18"/>
          <w:szCs w:val="18"/>
        </w:rPr>
        <w:t>‘</w:t>
      </w:r>
      <w:hyperlink r:id="rId92" w:history="1">
        <w:r w:rsidRPr="00FC3FB1">
          <w:rPr>
            <w:rStyle w:val="Hyperlink"/>
            <w:sz w:val="18"/>
            <w:szCs w:val="18"/>
          </w:rPr>
          <w:t>Competition and regulation in a converged broadband world</w:t>
        </w:r>
      </w:hyperlink>
      <w:r w:rsidRPr="00FC3FB1">
        <w:rPr>
          <w:sz w:val="18"/>
          <w:szCs w:val="18"/>
        </w:rPr>
        <w:t>’, p.3.</w:t>
      </w:r>
    </w:p>
  </w:footnote>
  <w:footnote w:id="123">
    <w:p w14:paraId="7396FFD0" w14:textId="77777777" w:rsidR="00D7354F" w:rsidRPr="00F763F1" w:rsidRDefault="00D7354F" w:rsidP="00EB2B81">
      <w:pPr>
        <w:pStyle w:val="FootnoteText"/>
      </w:pPr>
      <w:r w:rsidRPr="00FC3FB1">
        <w:rPr>
          <w:rStyle w:val="FootnoteReference"/>
          <w:sz w:val="18"/>
          <w:szCs w:val="18"/>
        </w:rPr>
        <w:footnoteRef/>
      </w:r>
      <w:r w:rsidRPr="00FC3FB1">
        <w:rPr>
          <w:sz w:val="18"/>
          <w:szCs w:val="18"/>
        </w:rPr>
        <w:t xml:space="preserve"> ACMA (2015), </w:t>
      </w:r>
      <w:hyperlink r:id="rId93" w:history="1">
        <w:r w:rsidRPr="00FC3FB1">
          <w:rPr>
            <w:rStyle w:val="Hyperlink"/>
            <w:sz w:val="18"/>
            <w:szCs w:val="18"/>
          </w:rPr>
          <w:t>Submission to the ACMA Review issues paper</w:t>
        </w:r>
      </w:hyperlink>
      <w:r>
        <w:rPr>
          <w:sz w:val="18"/>
          <w:szCs w:val="18"/>
        </w:rPr>
        <w:t>, p.</w:t>
      </w:r>
      <w:r w:rsidRPr="00FC3FB1">
        <w:rPr>
          <w:sz w:val="18"/>
          <w:szCs w:val="18"/>
        </w:rPr>
        <w:t>25.</w:t>
      </w:r>
    </w:p>
  </w:footnote>
  <w:footnote w:id="124">
    <w:p w14:paraId="02E0D3DD" w14:textId="77777777" w:rsidR="00D7354F" w:rsidRPr="000352BD" w:rsidRDefault="00D7354F" w:rsidP="00EB2B81">
      <w:pPr>
        <w:pStyle w:val="FootnoteText"/>
        <w:rPr>
          <w:sz w:val="18"/>
          <w:szCs w:val="18"/>
        </w:rPr>
      </w:pPr>
      <w:r w:rsidRPr="000352BD">
        <w:rPr>
          <w:rStyle w:val="FootnoteReference"/>
          <w:sz w:val="18"/>
          <w:szCs w:val="18"/>
        </w:rPr>
        <w:footnoteRef/>
      </w:r>
      <w:r w:rsidRPr="000352BD">
        <w:rPr>
          <w:sz w:val="18"/>
          <w:szCs w:val="18"/>
        </w:rPr>
        <w:t xml:space="preserve"> Ian Robertson (2015), </w:t>
      </w:r>
      <w:hyperlink r:id="rId94" w:history="1">
        <w:r w:rsidRPr="000352BD">
          <w:rPr>
            <w:rStyle w:val="Hyperlink"/>
            <w:sz w:val="18"/>
            <w:szCs w:val="18"/>
          </w:rPr>
          <w:t>Submission to the ACMA Review issues paper</w:t>
        </w:r>
      </w:hyperlink>
      <w:r w:rsidRPr="000352BD">
        <w:rPr>
          <w:sz w:val="18"/>
          <w:szCs w:val="18"/>
        </w:rPr>
        <w:t>, p</w:t>
      </w:r>
      <w:r>
        <w:rPr>
          <w:sz w:val="18"/>
          <w:szCs w:val="18"/>
        </w:rPr>
        <w:t>p</w:t>
      </w:r>
      <w:r w:rsidRPr="000352BD">
        <w:rPr>
          <w:sz w:val="18"/>
          <w:szCs w:val="18"/>
        </w:rPr>
        <w:t>. 5-6</w:t>
      </w:r>
    </w:p>
  </w:footnote>
  <w:footnote w:id="125">
    <w:p w14:paraId="062C7E29" w14:textId="21C9E985" w:rsidR="00D7354F" w:rsidRPr="000352BD" w:rsidRDefault="00D7354F" w:rsidP="00EB2B81">
      <w:pPr>
        <w:pStyle w:val="FootnoteText"/>
        <w:rPr>
          <w:sz w:val="18"/>
          <w:szCs w:val="18"/>
        </w:rPr>
      </w:pPr>
      <w:r w:rsidRPr="000352BD">
        <w:rPr>
          <w:rStyle w:val="FootnoteReference"/>
          <w:sz w:val="18"/>
          <w:szCs w:val="18"/>
        </w:rPr>
        <w:footnoteRef/>
      </w:r>
      <w:r w:rsidRPr="000352BD">
        <w:rPr>
          <w:sz w:val="18"/>
          <w:szCs w:val="18"/>
        </w:rPr>
        <w:t xml:space="preserve"> </w:t>
      </w:r>
      <w:r>
        <w:rPr>
          <w:sz w:val="18"/>
          <w:szCs w:val="18"/>
        </w:rPr>
        <w:t xml:space="preserve">ANAO </w:t>
      </w:r>
      <w:r w:rsidRPr="000352BD">
        <w:rPr>
          <w:sz w:val="18"/>
          <w:szCs w:val="18"/>
        </w:rPr>
        <w:t xml:space="preserve">(2015), </w:t>
      </w:r>
      <w:r>
        <w:rPr>
          <w:sz w:val="18"/>
          <w:szCs w:val="18"/>
        </w:rPr>
        <w:t>‘</w:t>
      </w:r>
      <w:hyperlink r:id="rId95" w:history="1">
        <w:r w:rsidRPr="000352BD">
          <w:rPr>
            <w:rStyle w:val="Hyperlink"/>
            <w:sz w:val="18"/>
            <w:szCs w:val="18"/>
          </w:rPr>
          <w:t>Regulation of Unsolicited Communications</w:t>
        </w:r>
      </w:hyperlink>
      <w:r>
        <w:rPr>
          <w:sz w:val="18"/>
          <w:szCs w:val="18"/>
        </w:rPr>
        <w:t>’,</w:t>
      </w:r>
      <w:r w:rsidRPr="000352BD">
        <w:rPr>
          <w:sz w:val="18"/>
          <w:szCs w:val="18"/>
        </w:rPr>
        <w:t xml:space="preserve"> paras [14], [21], [25].</w:t>
      </w:r>
    </w:p>
  </w:footnote>
  <w:footnote w:id="126">
    <w:p w14:paraId="73F09933" w14:textId="7AA7A725" w:rsidR="00D7354F" w:rsidRDefault="00D7354F" w:rsidP="00EB2B81">
      <w:pPr>
        <w:pStyle w:val="FootnoteText"/>
      </w:pPr>
      <w:r w:rsidRPr="000352BD">
        <w:rPr>
          <w:rStyle w:val="FootnoteReference"/>
          <w:sz w:val="18"/>
          <w:szCs w:val="18"/>
        </w:rPr>
        <w:footnoteRef/>
      </w:r>
      <w:r w:rsidRPr="000352BD">
        <w:rPr>
          <w:sz w:val="18"/>
          <w:szCs w:val="18"/>
        </w:rPr>
        <w:t xml:space="preserve"> ANAO (2008), </w:t>
      </w:r>
      <w:r>
        <w:rPr>
          <w:sz w:val="18"/>
          <w:szCs w:val="18"/>
        </w:rPr>
        <w:t>‘</w:t>
      </w:r>
      <w:hyperlink r:id="rId96" w:history="1">
        <w:r w:rsidRPr="000352BD">
          <w:rPr>
            <w:rStyle w:val="Hyperlink"/>
            <w:sz w:val="18"/>
            <w:szCs w:val="18"/>
          </w:rPr>
          <w:t>Regulation of Commercial Broadcasting</w:t>
        </w:r>
      </w:hyperlink>
      <w:r>
        <w:rPr>
          <w:sz w:val="18"/>
          <w:szCs w:val="18"/>
        </w:rPr>
        <w:t>’,</w:t>
      </w:r>
      <w:r w:rsidRPr="000352BD">
        <w:rPr>
          <w:sz w:val="18"/>
          <w:szCs w:val="18"/>
        </w:rPr>
        <w:t xml:space="preserve"> p</w:t>
      </w:r>
      <w:r>
        <w:rPr>
          <w:sz w:val="18"/>
          <w:szCs w:val="18"/>
        </w:rPr>
        <w:t>.</w:t>
      </w:r>
      <w:r w:rsidRPr="000352BD">
        <w:rPr>
          <w:sz w:val="18"/>
          <w:szCs w:val="18"/>
        </w:rPr>
        <w:t>21.</w:t>
      </w:r>
      <w:r>
        <w:t xml:space="preserve"> </w:t>
      </w:r>
    </w:p>
  </w:footnote>
  <w:footnote w:id="127">
    <w:p w14:paraId="70323419" w14:textId="77777777" w:rsidR="00D7354F" w:rsidRPr="00EC313A" w:rsidRDefault="00D7354F" w:rsidP="00EB2B81">
      <w:pPr>
        <w:pStyle w:val="FootnoteText"/>
        <w:rPr>
          <w:i/>
          <w:sz w:val="18"/>
          <w:szCs w:val="18"/>
        </w:rPr>
      </w:pPr>
      <w:r w:rsidRPr="00EC313A">
        <w:rPr>
          <w:rStyle w:val="FootnoteReference"/>
          <w:sz w:val="18"/>
          <w:szCs w:val="18"/>
        </w:rPr>
        <w:footnoteRef/>
      </w:r>
      <w:r w:rsidRPr="00EC313A">
        <w:rPr>
          <w:sz w:val="18"/>
          <w:szCs w:val="18"/>
        </w:rPr>
        <w:t xml:space="preserve"> ACMA, </w:t>
      </w:r>
      <w:r>
        <w:rPr>
          <w:sz w:val="18"/>
          <w:szCs w:val="18"/>
        </w:rPr>
        <w:t>‘</w:t>
      </w:r>
      <w:hyperlink r:id="rId97" w:history="1">
        <w:r w:rsidRPr="00EC313A">
          <w:rPr>
            <w:rStyle w:val="Hyperlink"/>
            <w:sz w:val="18"/>
            <w:szCs w:val="18"/>
          </w:rPr>
          <w:t>Regulatory guides and guidelines</w:t>
        </w:r>
      </w:hyperlink>
      <w:r>
        <w:rPr>
          <w:sz w:val="18"/>
          <w:szCs w:val="18"/>
        </w:rPr>
        <w:t>’,</w:t>
      </w:r>
      <w:r w:rsidRPr="00EC313A">
        <w:rPr>
          <w:sz w:val="18"/>
          <w:szCs w:val="18"/>
        </w:rPr>
        <w:t xml:space="preserve"> accessed in October 2015.</w:t>
      </w:r>
    </w:p>
  </w:footnote>
  <w:footnote w:id="128">
    <w:p w14:paraId="51059A71" w14:textId="77777777" w:rsidR="00D7354F" w:rsidRPr="00EC313A" w:rsidRDefault="00D7354F" w:rsidP="00EB2B81">
      <w:pPr>
        <w:pStyle w:val="FootnoteText"/>
        <w:rPr>
          <w:sz w:val="18"/>
          <w:szCs w:val="18"/>
        </w:rPr>
      </w:pPr>
      <w:r w:rsidRPr="00EC313A">
        <w:rPr>
          <w:rStyle w:val="FootnoteReference"/>
          <w:sz w:val="18"/>
          <w:szCs w:val="18"/>
        </w:rPr>
        <w:footnoteRef/>
      </w:r>
      <w:r w:rsidRPr="00EC313A">
        <w:rPr>
          <w:sz w:val="18"/>
          <w:szCs w:val="18"/>
        </w:rPr>
        <w:t xml:space="preserve"> Vodafone (2015), </w:t>
      </w:r>
      <w:hyperlink r:id="rId98" w:history="1">
        <w:r w:rsidRPr="00EC313A">
          <w:rPr>
            <w:rStyle w:val="Hyperlink"/>
            <w:sz w:val="18"/>
            <w:szCs w:val="18"/>
          </w:rPr>
          <w:t>Submission to the ACMA Review issues paper</w:t>
        </w:r>
      </w:hyperlink>
      <w:r w:rsidRPr="00EC313A">
        <w:rPr>
          <w:sz w:val="18"/>
          <w:szCs w:val="18"/>
        </w:rPr>
        <w:t>, pp. 5-6.</w:t>
      </w:r>
    </w:p>
  </w:footnote>
  <w:footnote w:id="129">
    <w:p w14:paraId="5F02C886" w14:textId="77777777" w:rsidR="00D7354F" w:rsidRDefault="00D7354F" w:rsidP="00EB2B81">
      <w:pPr>
        <w:pStyle w:val="FootnoteText"/>
      </w:pPr>
      <w:r w:rsidRPr="00EC313A">
        <w:rPr>
          <w:rStyle w:val="FootnoteReference"/>
          <w:sz w:val="18"/>
          <w:szCs w:val="18"/>
        </w:rPr>
        <w:footnoteRef/>
      </w:r>
      <w:r w:rsidRPr="00EC313A">
        <w:rPr>
          <w:sz w:val="18"/>
          <w:szCs w:val="18"/>
        </w:rPr>
        <w:t xml:space="preserve"> ACMA (2015), </w:t>
      </w:r>
      <w:hyperlink r:id="rId99" w:history="1">
        <w:r w:rsidRPr="00EC313A">
          <w:rPr>
            <w:rStyle w:val="Hyperlink"/>
            <w:sz w:val="18"/>
            <w:szCs w:val="18"/>
          </w:rPr>
          <w:t>Submission to the ACMA Review issues paper</w:t>
        </w:r>
      </w:hyperlink>
      <w:r w:rsidRPr="00EC313A">
        <w:rPr>
          <w:sz w:val="18"/>
          <w:szCs w:val="18"/>
        </w:rPr>
        <w:t>, p. 77</w:t>
      </w:r>
    </w:p>
  </w:footnote>
  <w:footnote w:id="130">
    <w:p w14:paraId="08D3B6F7" w14:textId="77777777" w:rsidR="00D7354F" w:rsidRPr="00EC313A" w:rsidRDefault="00D7354F" w:rsidP="00EB2B81">
      <w:pPr>
        <w:pStyle w:val="FootnoteText"/>
        <w:rPr>
          <w:sz w:val="18"/>
          <w:szCs w:val="18"/>
        </w:rPr>
      </w:pPr>
      <w:r w:rsidRPr="00EC313A">
        <w:rPr>
          <w:rStyle w:val="FootnoteReference"/>
          <w:sz w:val="18"/>
          <w:szCs w:val="18"/>
        </w:rPr>
        <w:footnoteRef/>
      </w:r>
      <w:r w:rsidRPr="00EC313A">
        <w:rPr>
          <w:sz w:val="18"/>
          <w:szCs w:val="18"/>
        </w:rPr>
        <w:t xml:space="preserve"> European Commission (2013), </w:t>
      </w:r>
      <w:r>
        <w:rPr>
          <w:sz w:val="18"/>
          <w:szCs w:val="18"/>
        </w:rPr>
        <w:t>‘</w:t>
      </w:r>
      <w:hyperlink r:id="rId100" w:history="1">
        <w:r w:rsidRPr="0083747D">
          <w:rPr>
            <w:rStyle w:val="Hyperlink"/>
            <w:sz w:val="18"/>
            <w:szCs w:val="18"/>
          </w:rPr>
          <w:t>Audio-visual Media Services Regulatory Authorities Independence and Efficiency Review</w:t>
        </w:r>
      </w:hyperlink>
      <w:r>
        <w:rPr>
          <w:sz w:val="18"/>
          <w:szCs w:val="18"/>
        </w:rPr>
        <w:t>’,</w:t>
      </w:r>
      <w:r w:rsidRPr="0083747D">
        <w:rPr>
          <w:sz w:val="18"/>
          <w:szCs w:val="18"/>
        </w:rPr>
        <w:t xml:space="preserve"> </w:t>
      </w:r>
      <w:r w:rsidRPr="00EC313A">
        <w:rPr>
          <w:sz w:val="18"/>
          <w:szCs w:val="18"/>
        </w:rPr>
        <w:t>p.98</w:t>
      </w:r>
      <w:r>
        <w:rPr>
          <w:sz w:val="18"/>
          <w:szCs w:val="18"/>
        </w:rPr>
        <w:t>.</w:t>
      </w:r>
    </w:p>
  </w:footnote>
  <w:footnote w:id="131">
    <w:p w14:paraId="3D1EE5FE" w14:textId="5355C0A3" w:rsidR="00D7354F" w:rsidRPr="005127E9" w:rsidRDefault="00D7354F" w:rsidP="00EB2B81">
      <w:pPr>
        <w:pStyle w:val="FootnoteText"/>
        <w:rPr>
          <w:i/>
        </w:rPr>
      </w:pPr>
      <w:r w:rsidRPr="00EC313A">
        <w:rPr>
          <w:rStyle w:val="FootnoteReference"/>
          <w:sz w:val="18"/>
          <w:szCs w:val="18"/>
        </w:rPr>
        <w:footnoteRef/>
      </w:r>
      <w:r w:rsidRPr="00EC313A">
        <w:rPr>
          <w:sz w:val="18"/>
          <w:szCs w:val="18"/>
        </w:rPr>
        <w:t xml:space="preserve"> Of</w:t>
      </w:r>
      <w:r>
        <w:rPr>
          <w:sz w:val="18"/>
          <w:szCs w:val="18"/>
        </w:rPr>
        <w:t>c</w:t>
      </w:r>
      <w:r w:rsidRPr="00EC313A">
        <w:rPr>
          <w:sz w:val="18"/>
          <w:szCs w:val="18"/>
        </w:rPr>
        <w:t xml:space="preserve">om, </w:t>
      </w:r>
      <w:hyperlink r:id="rId101" w:history="1">
        <w:r w:rsidRPr="00EC313A">
          <w:rPr>
            <w:rStyle w:val="Hyperlink"/>
            <w:sz w:val="18"/>
            <w:szCs w:val="18"/>
          </w:rPr>
          <w:t>‘Agendas for Of</w:t>
        </w:r>
        <w:r>
          <w:rPr>
            <w:rStyle w:val="Hyperlink"/>
            <w:sz w:val="18"/>
            <w:szCs w:val="18"/>
          </w:rPr>
          <w:t>c</w:t>
        </w:r>
        <w:r w:rsidRPr="00EC313A">
          <w:rPr>
            <w:rStyle w:val="Hyperlink"/>
            <w:sz w:val="18"/>
            <w:szCs w:val="18"/>
          </w:rPr>
          <w:t>om board meetings’</w:t>
        </w:r>
      </w:hyperlink>
      <w:r>
        <w:rPr>
          <w:sz w:val="18"/>
          <w:szCs w:val="18"/>
        </w:rPr>
        <w:t>.</w:t>
      </w:r>
    </w:p>
  </w:footnote>
  <w:footnote w:id="132">
    <w:p w14:paraId="656A06F4" w14:textId="77777777" w:rsidR="00D7354F" w:rsidRDefault="00D7354F" w:rsidP="00F54131">
      <w:pPr>
        <w:pStyle w:val="FootnoteText"/>
      </w:pPr>
      <w:r w:rsidRPr="009A1A1A">
        <w:rPr>
          <w:rStyle w:val="FootnoteReference"/>
        </w:rPr>
        <w:footnoteRef/>
      </w:r>
      <w:r w:rsidRPr="009A1A1A">
        <w:t xml:space="preserve"> </w:t>
      </w:r>
      <w:r>
        <w:rPr>
          <w:rFonts w:cs="Arial"/>
          <w:sz w:val="18"/>
          <w:szCs w:val="18"/>
        </w:rPr>
        <w:t>Source: D</w:t>
      </w:r>
      <w:r w:rsidRPr="009A1A1A">
        <w:rPr>
          <w:rFonts w:cs="Arial"/>
          <w:sz w:val="18"/>
          <w:szCs w:val="18"/>
        </w:rPr>
        <w:t xml:space="preserve">ata </w:t>
      </w:r>
      <w:r>
        <w:rPr>
          <w:rFonts w:cs="Arial"/>
          <w:sz w:val="18"/>
          <w:szCs w:val="18"/>
        </w:rPr>
        <w:t>supplied by ACMA to the Review.</w:t>
      </w:r>
    </w:p>
  </w:footnote>
  <w:footnote w:id="133">
    <w:p w14:paraId="2F99BBFF" w14:textId="77777777" w:rsidR="00D7354F" w:rsidRDefault="00D7354F" w:rsidP="00EB2B81">
      <w:pPr>
        <w:pStyle w:val="FootnoteText"/>
      </w:pPr>
      <w:r w:rsidRPr="009A1A1A">
        <w:rPr>
          <w:rStyle w:val="FootnoteReference"/>
        </w:rPr>
        <w:footnoteRef/>
      </w:r>
      <w:r w:rsidRPr="009A1A1A">
        <w:t xml:space="preserve"> </w:t>
      </w:r>
      <w:r w:rsidRPr="009A1A1A">
        <w:rPr>
          <w:sz w:val="18"/>
          <w:szCs w:val="18"/>
        </w:rPr>
        <w:t xml:space="preserve">Source: </w:t>
      </w:r>
      <w:r>
        <w:rPr>
          <w:rFonts w:cs="Arial"/>
          <w:sz w:val="18"/>
          <w:szCs w:val="18"/>
        </w:rPr>
        <w:t>D</w:t>
      </w:r>
      <w:r w:rsidRPr="009A1A1A">
        <w:rPr>
          <w:rFonts w:cs="Arial"/>
          <w:sz w:val="18"/>
          <w:szCs w:val="18"/>
        </w:rPr>
        <w:t xml:space="preserve">ata </w:t>
      </w:r>
      <w:r>
        <w:rPr>
          <w:rFonts w:cs="Arial"/>
          <w:sz w:val="18"/>
          <w:szCs w:val="18"/>
        </w:rPr>
        <w:t>supplied by ACMA to the Review.</w:t>
      </w:r>
    </w:p>
  </w:footnote>
  <w:footnote w:id="134">
    <w:p w14:paraId="7425249F" w14:textId="1B84BA42" w:rsidR="00D7354F" w:rsidRDefault="00D7354F" w:rsidP="00EB2B81">
      <w:pPr>
        <w:pStyle w:val="FootnoteText"/>
      </w:pPr>
      <w:r>
        <w:rPr>
          <w:rStyle w:val="FootnoteReference"/>
        </w:rPr>
        <w:footnoteRef/>
      </w:r>
      <w:r>
        <w:t xml:space="preserve"> </w:t>
      </w:r>
      <w:r w:rsidRPr="00B74305">
        <w:rPr>
          <w:sz w:val="18"/>
        </w:rPr>
        <w:t xml:space="preserve">Source: data supplied by the ACMA to the Review </w:t>
      </w:r>
    </w:p>
  </w:footnote>
  <w:footnote w:id="135">
    <w:p w14:paraId="4FFACE1D" w14:textId="77777777" w:rsidR="00D7354F" w:rsidRDefault="00D7354F" w:rsidP="00EB2B81">
      <w:pPr>
        <w:pStyle w:val="FootnoteText"/>
      </w:pPr>
      <w:r w:rsidRPr="00E60AB7">
        <w:rPr>
          <w:rStyle w:val="FootnoteReference"/>
          <w:sz w:val="18"/>
          <w:szCs w:val="18"/>
        </w:rPr>
        <w:footnoteRef/>
      </w:r>
      <w:r w:rsidRPr="00E60AB7">
        <w:rPr>
          <w:sz w:val="18"/>
          <w:szCs w:val="18"/>
        </w:rPr>
        <w:t xml:space="preserve"> </w:t>
      </w:r>
      <w:r w:rsidRPr="00E60AB7">
        <w:rPr>
          <w:sz w:val="18"/>
          <w:szCs w:val="18"/>
          <w:lang w:eastAsia="en-AU"/>
        </w:rPr>
        <w:t xml:space="preserve">Source: </w:t>
      </w:r>
      <w:r w:rsidRPr="00E60AB7">
        <w:rPr>
          <w:rFonts w:cs="Arial"/>
          <w:sz w:val="18"/>
          <w:szCs w:val="18"/>
        </w:rPr>
        <w:t>Data</w:t>
      </w:r>
      <w:r w:rsidRPr="009A1A1A">
        <w:rPr>
          <w:rFonts w:cs="Arial"/>
          <w:sz w:val="18"/>
          <w:szCs w:val="18"/>
        </w:rPr>
        <w:t xml:space="preserve"> </w:t>
      </w:r>
      <w:r>
        <w:rPr>
          <w:rFonts w:cs="Arial"/>
          <w:sz w:val="18"/>
          <w:szCs w:val="18"/>
        </w:rPr>
        <w:t>supplied by ACMA to the Review.</w:t>
      </w:r>
    </w:p>
  </w:footnote>
  <w:footnote w:id="136">
    <w:p w14:paraId="63C20D2B" w14:textId="77777777" w:rsidR="00D7354F" w:rsidRPr="0083747D" w:rsidRDefault="00D7354F" w:rsidP="00EB2B81">
      <w:pPr>
        <w:pStyle w:val="FootnoteText"/>
        <w:rPr>
          <w:sz w:val="18"/>
          <w:szCs w:val="18"/>
        </w:rPr>
      </w:pPr>
      <w:r w:rsidRPr="0083747D">
        <w:rPr>
          <w:rStyle w:val="FootnoteReference"/>
          <w:sz w:val="18"/>
          <w:szCs w:val="18"/>
        </w:rPr>
        <w:footnoteRef/>
      </w:r>
      <w:r w:rsidRPr="0083747D">
        <w:rPr>
          <w:sz w:val="18"/>
          <w:szCs w:val="18"/>
        </w:rPr>
        <w:t xml:space="preserve"> ACMA (2015), </w:t>
      </w:r>
      <w:hyperlink r:id="rId102" w:history="1">
        <w:r w:rsidRPr="0083747D">
          <w:rPr>
            <w:rStyle w:val="Hyperlink"/>
            <w:sz w:val="18"/>
            <w:szCs w:val="18"/>
          </w:rPr>
          <w:t>Submission to the ACMA Review issues paper</w:t>
        </w:r>
      </w:hyperlink>
      <w:r w:rsidRPr="0083747D">
        <w:rPr>
          <w:sz w:val="18"/>
          <w:szCs w:val="18"/>
        </w:rPr>
        <w:t>, p. 12</w:t>
      </w:r>
      <w:r>
        <w:rPr>
          <w:sz w:val="18"/>
          <w:szCs w:val="18"/>
        </w:rPr>
        <w:t>.</w:t>
      </w:r>
    </w:p>
  </w:footnote>
  <w:footnote w:id="137">
    <w:p w14:paraId="26801446" w14:textId="77777777" w:rsidR="00D7354F" w:rsidRPr="0083747D" w:rsidRDefault="00D7354F" w:rsidP="00EB2B81">
      <w:pPr>
        <w:pStyle w:val="FootnoteText"/>
        <w:rPr>
          <w:sz w:val="18"/>
          <w:szCs w:val="18"/>
        </w:rPr>
      </w:pPr>
      <w:r w:rsidRPr="0083747D">
        <w:rPr>
          <w:rStyle w:val="FootnoteReference"/>
          <w:sz w:val="18"/>
          <w:szCs w:val="18"/>
        </w:rPr>
        <w:footnoteRef/>
      </w:r>
      <w:r w:rsidRPr="0083747D">
        <w:rPr>
          <w:sz w:val="18"/>
          <w:szCs w:val="18"/>
        </w:rPr>
        <w:t xml:space="preserve"> ACMA (2015), </w:t>
      </w:r>
      <w:hyperlink r:id="rId103" w:history="1">
        <w:r w:rsidRPr="0083747D">
          <w:rPr>
            <w:rStyle w:val="Hyperlink"/>
            <w:sz w:val="18"/>
            <w:szCs w:val="18"/>
          </w:rPr>
          <w:t>Submission to the ACMA Review issues paper</w:t>
        </w:r>
      </w:hyperlink>
      <w:r w:rsidRPr="0083747D">
        <w:rPr>
          <w:sz w:val="18"/>
          <w:szCs w:val="18"/>
        </w:rPr>
        <w:t>, p. 76</w:t>
      </w:r>
      <w:r>
        <w:rPr>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8CFC2" w14:textId="77777777" w:rsidR="00D7354F" w:rsidRDefault="00D7354F" w:rsidP="003F0A2D">
    <w:pPr>
      <w:pStyle w:val="Header"/>
      <w:ind w:left="-1418"/>
    </w:pPr>
    <w:r>
      <w:rPr>
        <w:noProof/>
        <w:lang w:eastAsia="en-AU"/>
      </w:rPr>
      <w:drawing>
        <wp:inline distT="0" distB="0" distL="0" distR="0" wp14:anchorId="3F91EA5B" wp14:editId="5BD889B0">
          <wp:extent cx="7634630" cy="406359"/>
          <wp:effectExtent l="0" t="0" r="0" b="0"/>
          <wp:docPr id="2" name="Picture 2" descr="Background image for decoration only."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of Comms A4 Header2-02.jpg"/>
                  <pic:cNvPicPr/>
                </pic:nvPicPr>
                <pic:blipFill>
                  <a:blip r:embed="rId1">
                    <a:extLst>
                      <a:ext uri="{28A0092B-C50C-407E-A947-70E740481C1C}">
                        <a14:useLocalDpi xmlns:a14="http://schemas.microsoft.com/office/drawing/2010/main" val="0"/>
                      </a:ext>
                    </a:extLst>
                  </a:blip>
                  <a:stretch>
                    <a:fillRect/>
                  </a:stretch>
                </pic:blipFill>
                <pic:spPr>
                  <a:xfrm>
                    <a:off x="0" y="0"/>
                    <a:ext cx="7634630" cy="40635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1F171B1F" w14:textId="49949174" w:rsidR="00D7354F" w:rsidRPr="009A56D0" w:rsidRDefault="00D7354F" w:rsidP="00535ADA">
    <w:pPr>
      <w:pStyle w:val="Header"/>
      <w:tabs>
        <w:tab w:val="clear" w:pos="9026"/>
        <w:tab w:val="right" w:pos="9333"/>
      </w:tabs>
      <w:rPr>
        <w:color w:val="07478C"/>
      </w:rPr>
    </w:pPr>
    <w:r w:rsidRPr="009A56D0">
      <w:rPr>
        <w:color w:val="07478C"/>
      </w:rPr>
      <w:t>Department of Communications and the Arts</w:t>
    </w:r>
    <w:r w:rsidRPr="009A56D0">
      <w:rPr>
        <w:color w:val="07478C"/>
      </w:rPr>
      <w:tab/>
    </w:r>
    <w:r w:rsidRPr="009A56D0">
      <w:rPr>
        <w:color w:val="07478C"/>
      </w:rPr>
      <w:tab/>
    </w:r>
    <w:r>
      <w:rPr>
        <w:color w:val="07478C"/>
      </w:rPr>
      <w:t>May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705CA"/>
    <w:multiLevelType w:val="hybridMultilevel"/>
    <w:tmpl w:val="43161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507729"/>
    <w:multiLevelType w:val="hybridMultilevel"/>
    <w:tmpl w:val="6E483FEA"/>
    <w:lvl w:ilvl="0" w:tplc="3654A810">
      <w:start w:val="1"/>
      <w:numFmt w:val="decimal"/>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60607A"/>
    <w:multiLevelType w:val="hybridMultilevel"/>
    <w:tmpl w:val="D7F8040A"/>
    <w:lvl w:ilvl="0" w:tplc="FCE80FC6">
      <w:start w:val="15"/>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7E5EA5"/>
    <w:multiLevelType w:val="hybridMultilevel"/>
    <w:tmpl w:val="A5A2CA0C"/>
    <w:lvl w:ilvl="0" w:tplc="89D4FD3C">
      <w:start w:val="28"/>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45A7555"/>
    <w:multiLevelType w:val="hybridMultilevel"/>
    <w:tmpl w:val="3A94C3F4"/>
    <w:lvl w:ilvl="0" w:tplc="04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9DF30B3"/>
    <w:multiLevelType w:val="hybridMultilevel"/>
    <w:tmpl w:val="25F46D0A"/>
    <w:lvl w:ilvl="0" w:tplc="3654A810">
      <w:start w:val="1"/>
      <w:numFmt w:val="decimal"/>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EC05AD3"/>
    <w:multiLevelType w:val="hybridMultilevel"/>
    <w:tmpl w:val="B882FFCA"/>
    <w:lvl w:ilvl="0" w:tplc="88B27F80">
      <w:start w:val="1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7" w15:restartNumberingAfterBreak="0">
    <w:nsid w:val="20592E7E"/>
    <w:multiLevelType w:val="hybridMultilevel"/>
    <w:tmpl w:val="CC72B8B2"/>
    <w:lvl w:ilvl="0" w:tplc="1DF0CC3A">
      <w:start w:val="27"/>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C861B5"/>
    <w:multiLevelType w:val="hybridMultilevel"/>
    <w:tmpl w:val="751C2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2351AA"/>
    <w:multiLevelType w:val="hybridMultilevel"/>
    <w:tmpl w:val="5A9A2CFC"/>
    <w:lvl w:ilvl="0" w:tplc="04090001">
      <w:start w:val="1"/>
      <w:numFmt w:val="bullet"/>
      <w:lvlText w:val=""/>
      <w:lvlJc w:val="left"/>
      <w:pPr>
        <w:ind w:left="720" w:hanging="360"/>
      </w:pPr>
      <w:rPr>
        <w:rFonts w:ascii="Symbol" w:hAnsi="Symbol"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2F2D20"/>
    <w:multiLevelType w:val="hybridMultilevel"/>
    <w:tmpl w:val="2064DC6C"/>
    <w:lvl w:ilvl="0" w:tplc="C286136A">
      <w:start w:val="1"/>
      <w:numFmt w:val="bullet"/>
      <w:pStyle w:val="Bulletlevel1"/>
      <w:lvlText w:val=""/>
      <w:lvlJc w:val="left"/>
      <w:pPr>
        <w:ind w:left="720" w:hanging="360"/>
      </w:pPr>
      <w:rPr>
        <w:rFonts w:ascii="Symbol" w:hAnsi="Symbol" w:hint="default"/>
        <w:caps w:val="0"/>
        <w:strike w:val="0"/>
        <w:dstrike w:val="0"/>
        <w:vanish w:val="0"/>
        <w:color w:val="005391"/>
        <w:sz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4D6DFF"/>
    <w:multiLevelType w:val="hybridMultilevel"/>
    <w:tmpl w:val="20AE0EDA"/>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2" w15:restartNumberingAfterBreak="0">
    <w:nsid w:val="24CB47BB"/>
    <w:multiLevelType w:val="hybridMultilevel"/>
    <w:tmpl w:val="42C02C56"/>
    <w:lvl w:ilvl="0" w:tplc="3654A810">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5FD09CE"/>
    <w:multiLevelType w:val="hybridMultilevel"/>
    <w:tmpl w:val="BCE4F0F4"/>
    <w:lvl w:ilvl="0" w:tplc="3654A810">
      <w:start w:val="1"/>
      <w:numFmt w:val="decimal"/>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7DC55FB"/>
    <w:multiLevelType w:val="hybridMultilevel"/>
    <w:tmpl w:val="2D8E2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9E6548"/>
    <w:multiLevelType w:val="hybridMultilevel"/>
    <w:tmpl w:val="B9BE22C6"/>
    <w:lvl w:ilvl="0" w:tplc="1A5A4BBE">
      <w:start w:val="1"/>
      <w:numFmt w:val="decimal"/>
      <w:lvlText w:val="%1."/>
      <w:lvlJc w:val="left"/>
      <w:pPr>
        <w:ind w:left="502" w:hanging="360"/>
      </w:pPr>
      <w:rPr>
        <w:rFonts w:hint="default"/>
        <w:b w:val="0"/>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D317FAF"/>
    <w:multiLevelType w:val="multilevel"/>
    <w:tmpl w:val="AE580FCE"/>
    <w:numStyleLink w:val="Bulletlist1"/>
  </w:abstractNum>
  <w:abstractNum w:abstractNumId="17" w15:restartNumberingAfterBreak="0">
    <w:nsid w:val="304E53FF"/>
    <w:multiLevelType w:val="hybridMultilevel"/>
    <w:tmpl w:val="EE0241DE"/>
    <w:styleLink w:val="Bulletlist"/>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2DC678F"/>
    <w:multiLevelType w:val="hybridMultilevel"/>
    <w:tmpl w:val="8FE4923E"/>
    <w:lvl w:ilvl="0" w:tplc="6424254A">
      <w:start w:val="7"/>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FCA6167"/>
    <w:multiLevelType w:val="hybridMultilevel"/>
    <w:tmpl w:val="111830F2"/>
    <w:lvl w:ilvl="0" w:tplc="3654A810">
      <w:start w:val="1"/>
      <w:numFmt w:val="decimal"/>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BF77995"/>
    <w:multiLevelType w:val="multilevel"/>
    <w:tmpl w:val="A7C81342"/>
    <w:lvl w:ilvl="0">
      <w:start w:val="1"/>
      <w:numFmt w:val="bullet"/>
      <w:pStyle w:val="Bodybullet-Level1"/>
      <w:lvlText w:val=""/>
      <w:lvlJc w:val="left"/>
      <w:pPr>
        <w:ind w:left="340" w:hanging="340"/>
      </w:pPr>
      <w:rPr>
        <w:rFonts w:ascii="Symbol" w:hAnsi="Symbol" w:hint="default"/>
        <w:color w:val="00728F"/>
        <w:sz w:val="18"/>
      </w:rPr>
    </w:lvl>
    <w:lvl w:ilvl="1">
      <w:start w:val="1"/>
      <w:numFmt w:val="bullet"/>
      <w:pStyle w:val="Bodybullet-Level2"/>
      <w:lvlText w:val="­"/>
      <w:lvlJc w:val="left"/>
      <w:pPr>
        <w:ind w:left="680" w:hanging="340"/>
      </w:pPr>
      <w:rPr>
        <w:rFonts w:ascii="Courier New" w:hAnsi="Courier New" w:hint="default"/>
        <w:color w:val="00728F"/>
        <w:sz w:val="18"/>
      </w:rPr>
    </w:lvl>
    <w:lvl w:ilvl="2">
      <w:start w:val="1"/>
      <w:numFmt w:val="bullet"/>
      <w:pStyle w:val="Bodybullet-Level3"/>
      <w:lvlText w:val=""/>
      <w:lvlJc w:val="left"/>
      <w:pPr>
        <w:ind w:left="1021" w:hanging="341"/>
      </w:pPr>
      <w:rPr>
        <w:rFonts w:ascii="Symbol" w:hAnsi="Symbol" w:hint="default"/>
        <w:color w:val="00728F"/>
        <w:sz w:val="18"/>
      </w:rPr>
    </w:lvl>
    <w:lvl w:ilvl="3">
      <w:start w:val="1"/>
      <w:numFmt w:val="bullet"/>
      <w:lvlText w:val="­"/>
      <w:lvlJc w:val="left"/>
      <w:pPr>
        <w:ind w:left="1361" w:hanging="340"/>
      </w:pPr>
      <w:rPr>
        <w:rFonts w:ascii="Courier New" w:hAnsi="Courier New" w:hint="default"/>
        <w:color w:val="auto"/>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
      <w:lvlJc w:val="left"/>
      <w:pPr>
        <w:ind w:left="1361" w:firstLine="0"/>
      </w:pPr>
      <w:rPr>
        <w:rFonts w:hint="default"/>
      </w:rPr>
    </w:lvl>
    <w:lvl w:ilvl="8">
      <w:start w:val="1"/>
      <w:numFmt w:val="none"/>
      <w:lvlText w:val=""/>
      <w:lvlJc w:val="left"/>
      <w:pPr>
        <w:ind w:left="1361" w:firstLine="0"/>
      </w:pPr>
      <w:rPr>
        <w:rFonts w:hint="default"/>
      </w:rPr>
    </w:lvl>
  </w:abstractNum>
  <w:abstractNum w:abstractNumId="21" w15:restartNumberingAfterBreak="0">
    <w:nsid w:val="4D3C3A03"/>
    <w:multiLevelType w:val="hybridMultilevel"/>
    <w:tmpl w:val="307C71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F0F4896"/>
    <w:multiLevelType w:val="hybridMultilevel"/>
    <w:tmpl w:val="DE446150"/>
    <w:lvl w:ilvl="0" w:tplc="FCEA5AF4">
      <w:start w:val="1"/>
      <w:numFmt w:val="bullet"/>
      <w:pStyle w:val="Tickedboxbulletpoint"/>
      <w:lvlText w:val=""/>
      <w:lvlJc w:val="left"/>
      <w:pPr>
        <w:ind w:left="720" w:hanging="360"/>
      </w:pPr>
      <w:rPr>
        <w:rFonts w:ascii="Wingdings" w:hAnsi="Wingdings" w:hint="default"/>
        <w:caps w:val="0"/>
        <w:strike w:val="0"/>
        <w:dstrike w:val="0"/>
        <w:vanish w:val="0"/>
        <w:webHidden w:val="0"/>
        <w:color w:val="005391"/>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5714650E"/>
    <w:multiLevelType w:val="multilevel"/>
    <w:tmpl w:val="AE580FCE"/>
    <w:styleLink w:val="Bulletlist1"/>
    <w:lvl w:ilvl="0">
      <w:start w:val="1"/>
      <w:numFmt w:val="bullet"/>
      <w:lvlText w:val="&gt;"/>
      <w:lvlJc w:val="left"/>
      <w:pPr>
        <w:tabs>
          <w:tab w:val="num" w:pos="0"/>
        </w:tabs>
        <w:ind w:left="360" w:hanging="360"/>
      </w:pPr>
      <w:rPr>
        <w:rFonts w:ascii="Calibri" w:hAnsi="Calibri" w:hint="default"/>
        <w:color w:val="00647E"/>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1080" w:hanging="360"/>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4" w15:restartNumberingAfterBreak="0">
    <w:nsid w:val="57E2444C"/>
    <w:multiLevelType w:val="hybridMultilevel"/>
    <w:tmpl w:val="ADD429E0"/>
    <w:lvl w:ilvl="0" w:tplc="FCE80FC6">
      <w:start w:val="15"/>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D084489"/>
    <w:multiLevelType w:val="hybridMultilevel"/>
    <w:tmpl w:val="D4BA94F2"/>
    <w:lvl w:ilvl="0" w:tplc="3236AE30">
      <w:start w:val="14"/>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6" w15:restartNumberingAfterBreak="0">
    <w:nsid w:val="5D7A50B5"/>
    <w:multiLevelType w:val="hybridMultilevel"/>
    <w:tmpl w:val="5170A66C"/>
    <w:lvl w:ilvl="0" w:tplc="915278E4">
      <w:start w:val="9"/>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E54111A"/>
    <w:multiLevelType w:val="hybridMultilevel"/>
    <w:tmpl w:val="6D40C1D4"/>
    <w:lvl w:ilvl="0" w:tplc="F81C070A">
      <w:start w:val="1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FCF4E7D"/>
    <w:multiLevelType w:val="hybridMultilevel"/>
    <w:tmpl w:val="64DA8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0F16EF"/>
    <w:multiLevelType w:val="hybridMultilevel"/>
    <w:tmpl w:val="70D4E76E"/>
    <w:lvl w:ilvl="0" w:tplc="23886576">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3D12292"/>
    <w:multiLevelType w:val="hybridMultilevel"/>
    <w:tmpl w:val="D3D8A4CA"/>
    <w:lvl w:ilvl="0" w:tplc="3654A810">
      <w:start w:val="1"/>
      <w:numFmt w:val="decimal"/>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5FA05B2"/>
    <w:multiLevelType w:val="hybridMultilevel"/>
    <w:tmpl w:val="E6D287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8E268F"/>
    <w:multiLevelType w:val="hybridMultilevel"/>
    <w:tmpl w:val="E09EB37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33C282B"/>
    <w:multiLevelType w:val="hybridMultilevel"/>
    <w:tmpl w:val="4A74A0FA"/>
    <w:lvl w:ilvl="0" w:tplc="18803BEC">
      <w:start w:val="1"/>
      <w:numFmt w:val="decimal"/>
      <w:lvlText w:val="%1."/>
      <w:lvlJc w:val="left"/>
      <w:pPr>
        <w:ind w:left="92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4" w15:restartNumberingAfterBreak="0">
    <w:nsid w:val="73A25197"/>
    <w:multiLevelType w:val="hybridMultilevel"/>
    <w:tmpl w:val="8A50C83E"/>
    <w:styleLink w:val="11111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4BF1BF1"/>
    <w:multiLevelType w:val="hybridMultilevel"/>
    <w:tmpl w:val="AF32C2CC"/>
    <w:lvl w:ilvl="0" w:tplc="8BE2D444">
      <w:start w:val="1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5B504F0"/>
    <w:multiLevelType w:val="hybridMultilevel"/>
    <w:tmpl w:val="EFD0BD80"/>
    <w:lvl w:ilvl="0" w:tplc="9776F6D6">
      <w:start w:val="1"/>
      <w:numFmt w:val="bullet"/>
      <w:pStyle w:val="Checkboxemptybulletpoint"/>
      <w:lvlText w:val=""/>
      <w:lvlJc w:val="left"/>
      <w:pPr>
        <w:ind w:left="927" w:hanging="360"/>
      </w:pPr>
      <w:rPr>
        <w:rFonts w:ascii="Wingdings" w:hAnsi="Wingdings" w:hint="default"/>
        <w:caps w:val="0"/>
        <w:strike w:val="0"/>
        <w:dstrike w:val="0"/>
        <w:vanish w:val="0"/>
        <w:webHidden w:val="0"/>
        <w:color w:val="005391"/>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76305B03"/>
    <w:multiLevelType w:val="hybridMultilevel"/>
    <w:tmpl w:val="B352D35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8" w15:restartNumberingAfterBreak="0">
    <w:nsid w:val="7C0F167F"/>
    <w:multiLevelType w:val="hybridMultilevel"/>
    <w:tmpl w:val="85D0E5C6"/>
    <w:lvl w:ilvl="0" w:tplc="3654A810">
      <w:start w:val="1"/>
      <w:numFmt w:val="decimal"/>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CD603F7"/>
    <w:multiLevelType w:val="hybridMultilevel"/>
    <w:tmpl w:val="A91AB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E34737E"/>
    <w:multiLevelType w:val="hybridMultilevel"/>
    <w:tmpl w:val="B77A3828"/>
    <w:lvl w:ilvl="0" w:tplc="E9F4D082">
      <w:start w:val="27"/>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22"/>
  </w:num>
  <w:num w:numId="3">
    <w:abstractNumId w:val="36"/>
  </w:num>
  <w:num w:numId="4">
    <w:abstractNumId w:val="34"/>
  </w:num>
  <w:num w:numId="5">
    <w:abstractNumId w:val="14"/>
  </w:num>
  <w:num w:numId="6">
    <w:abstractNumId w:val="4"/>
  </w:num>
  <w:num w:numId="7">
    <w:abstractNumId w:val="31"/>
  </w:num>
  <w:num w:numId="8">
    <w:abstractNumId w:val="17"/>
  </w:num>
  <w:num w:numId="9">
    <w:abstractNumId w:val="0"/>
  </w:num>
  <w:num w:numId="10">
    <w:abstractNumId w:val="20"/>
  </w:num>
  <w:num w:numId="11">
    <w:abstractNumId w:val="23"/>
  </w:num>
  <w:num w:numId="12">
    <w:abstractNumId w:val="16"/>
  </w:num>
  <w:num w:numId="13">
    <w:abstractNumId w:val="18"/>
  </w:num>
  <w:num w:numId="14">
    <w:abstractNumId w:val="27"/>
  </w:num>
  <w:num w:numId="15">
    <w:abstractNumId w:val="35"/>
  </w:num>
  <w:num w:numId="16">
    <w:abstractNumId w:val="25"/>
  </w:num>
  <w:num w:numId="17">
    <w:abstractNumId w:val="24"/>
  </w:num>
  <w:num w:numId="18">
    <w:abstractNumId w:val="26"/>
  </w:num>
  <w:num w:numId="19">
    <w:abstractNumId w:val="15"/>
  </w:num>
  <w:num w:numId="20">
    <w:abstractNumId w:val="8"/>
  </w:num>
  <w:num w:numId="21">
    <w:abstractNumId w:val="9"/>
  </w:num>
  <w:num w:numId="22">
    <w:abstractNumId w:val="28"/>
  </w:num>
  <w:num w:numId="23">
    <w:abstractNumId w:val="21"/>
  </w:num>
  <w:num w:numId="24">
    <w:abstractNumId w:val="3"/>
  </w:num>
  <w:num w:numId="25">
    <w:abstractNumId w:val="40"/>
  </w:num>
  <w:num w:numId="26">
    <w:abstractNumId w:val="11"/>
  </w:num>
  <w:num w:numId="27">
    <w:abstractNumId w:val="33"/>
  </w:num>
  <w:num w:numId="28">
    <w:abstractNumId w:val="39"/>
  </w:num>
  <w:num w:numId="29">
    <w:abstractNumId w:val="37"/>
  </w:num>
  <w:num w:numId="30">
    <w:abstractNumId w:val="2"/>
  </w:num>
  <w:num w:numId="31">
    <w:abstractNumId w:val="12"/>
  </w:num>
  <w:num w:numId="32">
    <w:abstractNumId w:val="5"/>
  </w:num>
  <w:num w:numId="33">
    <w:abstractNumId w:val="38"/>
  </w:num>
  <w:num w:numId="34">
    <w:abstractNumId w:val="19"/>
  </w:num>
  <w:num w:numId="35">
    <w:abstractNumId w:val="13"/>
  </w:num>
  <w:num w:numId="36">
    <w:abstractNumId w:val="30"/>
  </w:num>
  <w:num w:numId="37">
    <w:abstractNumId w:val="1"/>
  </w:num>
  <w:num w:numId="38">
    <w:abstractNumId w:val="29"/>
  </w:num>
  <w:num w:numId="39">
    <w:abstractNumId w:val="7"/>
  </w:num>
  <w:num w:numId="40">
    <w:abstractNumId w:val="6"/>
  </w:num>
  <w:num w:numId="41">
    <w:abstractNumId w:val="3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removePersonalInformation/>
  <w:removeDateAndTime/>
  <w:hideSpellingErrors/>
  <w:hideGrammaticalErrors/>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3BF"/>
    <w:rsid w:val="00005E54"/>
    <w:rsid w:val="00007886"/>
    <w:rsid w:val="00016A5D"/>
    <w:rsid w:val="00021E3E"/>
    <w:rsid w:val="000249BC"/>
    <w:rsid w:val="00024E42"/>
    <w:rsid w:val="00037943"/>
    <w:rsid w:val="000441E2"/>
    <w:rsid w:val="0005281F"/>
    <w:rsid w:val="00062BA9"/>
    <w:rsid w:val="000668BB"/>
    <w:rsid w:val="000709F7"/>
    <w:rsid w:val="000825DB"/>
    <w:rsid w:val="000876CE"/>
    <w:rsid w:val="00097221"/>
    <w:rsid w:val="000A2A4A"/>
    <w:rsid w:val="000A45B2"/>
    <w:rsid w:val="000C1CEC"/>
    <w:rsid w:val="000C2259"/>
    <w:rsid w:val="000D4116"/>
    <w:rsid w:val="000D76D0"/>
    <w:rsid w:val="000E1A93"/>
    <w:rsid w:val="000E4D23"/>
    <w:rsid w:val="000F678C"/>
    <w:rsid w:val="001032F6"/>
    <w:rsid w:val="0010458B"/>
    <w:rsid w:val="001054D7"/>
    <w:rsid w:val="00107479"/>
    <w:rsid w:val="00113CF9"/>
    <w:rsid w:val="00117E58"/>
    <w:rsid w:val="00131973"/>
    <w:rsid w:val="00145F95"/>
    <w:rsid w:val="00173618"/>
    <w:rsid w:val="00174EEE"/>
    <w:rsid w:val="00177328"/>
    <w:rsid w:val="0019453B"/>
    <w:rsid w:val="00196FD5"/>
    <w:rsid w:val="001A0C91"/>
    <w:rsid w:val="001A1E32"/>
    <w:rsid w:val="001A3923"/>
    <w:rsid w:val="001A54D2"/>
    <w:rsid w:val="001B7547"/>
    <w:rsid w:val="001C5039"/>
    <w:rsid w:val="001D5071"/>
    <w:rsid w:val="001D54BE"/>
    <w:rsid w:val="001E01CE"/>
    <w:rsid w:val="001F3924"/>
    <w:rsid w:val="001F4EF2"/>
    <w:rsid w:val="001F7329"/>
    <w:rsid w:val="0020342E"/>
    <w:rsid w:val="00204276"/>
    <w:rsid w:val="00217586"/>
    <w:rsid w:val="002200C8"/>
    <w:rsid w:val="002215DB"/>
    <w:rsid w:val="00222D57"/>
    <w:rsid w:val="00230FD7"/>
    <w:rsid w:val="002442B9"/>
    <w:rsid w:val="00261FE0"/>
    <w:rsid w:val="002675A0"/>
    <w:rsid w:val="00276342"/>
    <w:rsid w:val="00283235"/>
    <w:rsid w:val="00285881"/>
    <w:rsid w:val="00294D6F"/>
    <w:rsid w:val="00294F9C"/>
    <w:rsid w:val="0029582E"/>
    <w:rsid w:val="00297528"/>
    <w:rsid w:val="002A568F"/>
    <w:rsid w:val="002B604D"/>
    <w:rsid w:val="002C4AA6"/>
    <w:rsid w:val="002D27E0"/>
    <w:rsid w:val="002D5684"/>
    <w:rsid w:val="002E15A7"/>
    <w:rsid w:val="002E2A74"/>
    <w:rsid w:val="002E6822"/>
    <w:rsid w:val="002F0F26"/>
    <w:rsid w:val="002F4045"/>
    <w:rsid w:val="00303D83"/>
    <w:rsid w:val="00311E28"/>
    <w:rsid w:val="0032139B"/>
    <w:rsid w:val="0033400E"/>
    <w:rsid w:val="00343DDA"/>
    <w:rsid w:val="00344294"/>
    <w:rsid w:val="003457A4"/>
    <w:rsid w:val="00350808"/>
    <w:rsid w:val="003509FE"/>
    <w:rsid w:val="00373F09"/>
    <w:rsid w:val="00375F41"/>
    <w:rsid w:val="003764A2"/>
    <w:rsid w:val="00376878"/>
    <w:rsid w:val="003778DE"/>
    <w:rsid w:val="0038236D"/>
    <w:rsid w:val="003846DC"/>
    <w:rsid w:val="00393A7C"/>
    <w:rsid w:val="00397CB9"/>
    <w:rsid w:val="003A3AE5"/>
    <w:rsid w:val="003A43DB"/>
    <w:rsid w:val="003B1871"/>
    <w:rsid w:val="003C6EEA"/>
    <w:rsid w:val="003D09A5"/>
    <w:rsid w:val="003D24DD"/>
    <w:rsid w:val="003F0A2D"/>
    <w:rsid w:val="003F6100"/>
    <w:rsid w:val="0040012A"/>
    <w:rsid w:val="0040622C"/>
    <w:rsid w:val="00407FA9"/>
    <w:rsid w:val="004167A7"/>
    <w:rsid w:val="004238DE"/>
    <w:rsid w:val="0043349F"/>
    <w:rsid w:val="00444BD6"/>
    <w:rsid w:val="0044580E"/>
    <w:rsid w:val="00451477"/>
    <w:rsid w:val="0045434B"/>
    <w:rsid w:val="0045654C"/>
    <w:rsid w:val="0046463B"/>
    <w:rsid w:val="00464D44"/>
    <w:rsid w:val="00466CC3"/>
    <w:rsid w:val="00481B23"/>
    <w:rsid w:val="004A52B3"/>
    <w:rsid w:val="004A6F66"/>
    <w:rsid w:val="004D0693"/>
    <w:rsid w:val="004D2BB9"/>
    <w:rsid w:val="004F1146"/>
    <w:rsid w:val="004F2DD4"/>
    <w:rsid w:val="004F3C4E"/>
    <w:rsid w:val="004F5350"/>
    <w:rsid w:val="0050042A"/>
    <w:rsid w:val="005033E9"/>
    <w:rsid w:val="00504587"/>
    <w:rsid w:val="00505FC2"/>
    <w:rsid w:val="00507513"/>
    <w:rsid w:val="00507E41"/>
    <w:rsid w:val="005229CE"/>
    <w:rsid w:val="00532A5A"/>
    <w:rsid w:val="00535ADA"/>
    <w:rsid w:val="00536188"/>
    <w:rsid w:val="005403B3"/>
    <w:rsid w:val="00556638"/>
    <w:rsid w:val="0056165C"/>
    <w:rsid w:val="00563873"/>
    <w:rsid w:val="0056649E"/>
    <w:rsid w:val="00567FAF"/>
    <w:rsid w:val="00570F48"/>
    <w:rsid w:val="0057110C"/>
    <w:rsid w:val="00576140"/>
    <w:rsid w:val="00595FFC"/>
    <w:rsid w:val="005A03B6"/>
    <w:rsid w:val="005B3A32"/>
    <w:rsid w:val="005B5DF9"/>
    <w:rsid w:val="005C1E2A"/>
    <w:rsid w:val="005C3A04"/>
    <w:rsid w:val="005D22C9"/>
    <w:rsid w:val="005E5BA7"/>
    <w:rsid w:val="005E6B84"/>
    <w:rsid w:val="005F08D5"/>
    <w:rsid w:val="005F14ED"/>
    <w:rsid w:val="005F63E3"/>
    <w:rsid w:val="00600392"/>
    <w:rsid w:val="00601EF3"/>
    <w:rsid w:val="006024FD"/>
    <w:rsid w:val="00602AF7"/>
    <w:rsid w:val="00603774"/>
    <w:rsid w:val="006038C1"/>
    <w:rsid w:val="00606BE5"/>
    <w:rsid w:val="006238F2"/>
    <w:rsid w:val="00626C73"/>
    <w:rsid w:val="00633D3B"/>
    <w:rsid w:val="0063549C"/>
    <w:rsid w:val="0063755B"/>
    <w:rsid w:val="00642F75"/>
    <w:rsid w:val="0064771D"/>
    <w:rsid w:val="00656295"/>
    <w:rsid w:val="0067035A"/>
    <w:rsid w:val="006733A8"/>
    <w:rsid w:val="00676F14"/>
    <w:rsid w:val="00681FFE"/>
    <w:rsid w:val="00693DDA"/>
    <w:rsid w:val="00695A68"/>
    <w:rsid w:val="006A19A2"/>
    <w:rsid w:val="006A5F76"/>
    <w:rsid w:val="006A76CE"/>
    <w:rsid w:val="006B019C"/>
    <w:rsid w:val="006B5CCF"/>
    <w:rsid w:val="006C547E"/>
    <w:rsid w:val="006D014F"/>
    <w:rsid w:val="006D1BA4"/>
    <w:rsid w:val="006D3E19"/>
    <w:rsid w:val="006E0FF4"/>
    <w:rsid w:val="006E7A17"/>
    <w:rsid w:val="00701C77"/>
    <w:rsid w:val="00704775"/>
    <w:rsid w:val="00706D59"/>
    <w:rsid w:val="0071481E"/>
    <w:rsid w:val="00716D43"/>
    <w:rsid w:val="00716F7F"/>
    <w:rsid w:val="00720B37"/>
    <w:rsid w:val="00726288"/>
    <w:rsid w:val="00734568"/>
    <w:rsid w:val="007372B2"/>
    <w:rsid w:val="007423FB"/>
    <w:rsid w:val="00753F93"/>
    <w:rsid w:val="00783819"/>
    <w:rsid w:val="00784515"/>
    <w:rsid w:val="007845A6"/>
    <w:rsid w:val="00792987"/>
    <w:rsid w:val="00792DF1"/>
    <w:rsid w:val="007945E7"/>
    <w:rsid w:val="007959E3"/>
    <w:rsid w:val="00797065"/>
    <w:rsid w:val="00797F96"/>
    <w:rsid w:val="007B1659"/>
    <w:rsid w:val="007B2026"/>
    <w:rsid w:val="007B511F"/>
    <w:rsid w:val="007B7396"/>
    <w:rsid w:val="007C0935"/>
    <w:rsid w:val="007E5BC1"/>
    <w:rsid w:val="007F5C55"/>
    <w:rsid w:val="008025E2"/>
    <w:rsid w:val="008027B1"/>
    <w:rsid w:val="00804F25"/>
    <w:rsid w:val="00812089"/>
    <w:rsid w:val="00822BD7"/>
    <w:rsid w:val="00822E12"/>
    <w:rsid w:val="008323EA"/>
    <w:rsid w:val="00832492"/>
    <w:rsid w:val="008354ED"/>
    <w:rsid w:val="00841AB1"/>
    <w:rsid w:val="0084603E"/>
    <w:rsid w:val="00852E5C"/>
    <w:rsid w:val="00853419"/>
    <w:rsid w:val="00867431"/>
    <w:rsid w:val="008712F4"/>
    <w:rsid w:val="00871615"/>
    <w:rsid w:val="008768FF"/>
    <w:rsid w:val="00882D77"/>
    <w:rsid w:val="00887691"/>
    <w:rsid w:val="00895541"/>
    <w:rsid w:val="008A312B"/>
    <w:rsid w:val="008B1ED2"/>
    <w:rsid w:val="008B426C"/>
    <w:rsid w:val="008C5BDD"/>
    <w:rsid w:val="008C6C53"/>
    <w:rsid w:val="008D03E8"/>
    <w:rsid w:val="008D357D"/>
    <w:rsid w:val="008E5E94"/>
    <w:rsid w:val="008F772B"/>
    <w:rsid w:val="0090123D"/>
    <w:rsid w:val="009021CF"/>
    <w:rsid w:val="00911774"/>
    <w:rsid w:val="00911D46"/>
    <w:rsid w:val="00913594"/>
    <w:rsid w:val="00933ABA"/>
    <w:rsid w:val="00933CAA"/>
    <w:rsid w:val="0093492F"/>
    <w:rsid w:val="009358E1"/>
    <w:rsid w:val="009373CF"/>
    <w:rsid w:val="00947649"/>
    <w:rsid w:val="00955842"/>
    <w:rsid w:val="009630FB"/>
    <w:rsid w:val="00971171"/>
    <w:rsid w:val="00972473"/>
    <w:rsid w:val="0098324D"/>
    <w:rsid w:val="00985079"/>
    <w:rsid w:val="009A56D0"/>
    <w:rsid w:val="009D6551"/>
    <w:rsid w:val="009E2A80"/>
    <w:rsid w:val="009E3D1E"/>
    <w:rsid w:val="009E6C50"/>
    <w:rsid w:val="009F0B71"/>
    <w:rsid w:val="009F102C"/>
    <w:rsid w:val="009F1F55"/>
    <w:rsid w:val="009F41FF"/>
    <w:rsid w:val="00A135A5"/>
    <w:rsid w:val="00A1725C"/>
    <w:rsid w:val="00A24D64"/>
    <w:rsid w:val="00A26EDA"/>
    <w:rsid w:val="00A26F28"/>
    <w:rsid w:val="00A27DC5"/>
    <w:rsid w:val="00A3626D"/>
    <w:rsid w:val="00A45B79"/>
    <w:rsid w:val="00A5294B"/>
    <w:rsid w:val="00A57ADB"/>
    <w:rsid w:val="00A60744"/>
    <w:rsid w:val="00A6225D"/>
    <w:rsid w:val="00A625B3"/>
    <w:rsid w:val="00A63A37"/>
    <w:rsid w:val="00A669A1"/>
    <w:rsid w:val="00A7161F"/>
    <w:rsid w:val="00A7176A"/>
    <w:rsid w:val="00A752C3"/>
    <w:rsid w:val="00A86385"/>
    <w:rsid w:val="00A94969"/>
    <w:rsid w:val="00AB23B9"/>
    <w:rsid w:val="00AB27AB"/>
    <w:rsid w:val="00AB5D63"/>
    <w:rsid w:val="00AC1830"/>
    <w:rsid w:val="00AC36AC"/>
    <w:rsid w:val="00AF2520"/>
    <w:rsid w:val="00AF277C"/>
    <w:rsid w:val="00B010E8"/>
    <w:rsid w:val="00B24470"/>
    <w:rsid w:val="00B25F77"/>
    <w:rsid w:val="00B370BC"/>
    <w:rsid w:val="00B44D30"/>
    <w:rsid w:val="00B62F24"/>
    <w:rsid w:val="00B6577F"/>
    <w:rsid w:val="00B72C06"/>
    <w:rsid w:val="00B775DE"/>
    <w:rsid w:val="00BA07B7"/>
    <w:rsid w:val="00BA2741"/>
    <w:rsid w:val="00BA43C4"/>
    <w:rsid w:val="00BB1EC9"/>
    <w:rsid w:val="00BB5E58"/>
    <w:rsid w:val="00BC43B3"/>
    <w:rsid w:val="00BC6CDE"/>
    <w:rsid w:val="00BD6430"/>
    <w:rsid w:val="00BD78E4"/>
    <w:rsid w:val="00BF07BA"/>
    <w:rsid w:val="00BF4ABF"/>
    <w:rsid w:val="00BF7B18"/>
    <w:rsid w:val="00C027CA"/>
    <w:rsid w:val="00C23A45"/>
    <w:rsid w:val="00C303BF"/>
    <w:rsid w:val="00C401A0"/>
    <w:rsid w:val="00C42051"/>
    <w:rsid w:val="00C43449"/>
    <w:rsid w:val="00C46989"/>
    <w:rsid w:val="00C50433"/>
    <w:rsid w:val="00C516ED"/>
    <w:rsid w:val="00C51FD8"/>
    <w:rsid w:val="00C53753"/>
    <w:rsid w:val="00C55864"/>
    <w:rsid w:val="00C60524"/>
    <w:rsid w:val="00C61D2E"/>
    <w:rsid w:val="00CA68F6"/>
    <w:rsid w:val="00CB237C"/>
    <w:rsid w:val="00CB3AA2"/>
    <w:rsid w:val="00CB4DEF"/>
    <w:rsid w:val="00CD15A0"/>
    <w:rsid w:val="00CD57F4"/>
    <w:rsid w:val="00CE746B"/>
    <w:rsid w:val="00CF3907"/>
    <w:rsid w:val="00CF6194"/>
    <w:rsid w:val="00D15C8D"/>
    <w:rsid w:val="00D22374"/>
    <w:rsid w:val="00D24D05"/>
    <w:rsid w:val="00D46EEA"/>
    <w:rsid w:val="00D729F3"/>
    <w:rsid w:val="00D7354F"/>
    <w:rsid w:val="00D735BF"/>
    <w:rsid w:val="00D75B71"/>
    <w:rsid w:val="00D81F6E"/>
    <w:rsid w:val="00D83A66"/>
    <w:rsid w:val="00D93657"/>
    <w:rsid w:val="00DB095A"/>
    <w:rsid w:val="00DB6BA3"/>
    <w:rsid w:val="00DC6DB5"/>
    <w:rsid w:val="00DD3783"/>
    <w:rsid w:val="00DD40CA"/>
    <w:rsid w:val="00DD4718"/>
    <w:rsid w:val="00E01EBD"/>
    <w:rsid w:val="00E11403"/>
    <w:rsid w:val="00E21EBF"/>
    <w:rsid w:val="00E240F8"/>
    <w:rsid w:val="00E24D85"/>
    <w:rsid w:val="00E32196"/>
    <w:rsid w:val="00E549A3"/>
    <w:rsid w:val="00E57258"/>
    <w:rsid w:val="00E815EB"/>
    <w:rsid w:val="00E838FD"/>
    <w:rsid w:val="00E858CC"/>
    <w:rsid w:val="00E95905"/>
    <w:rsid w:val="00EA4DF1"/>
    <w:rsid w:val="00EB2B81"/>
    <w:rsid w:val="00EB6037"/>
    <w:rsid w:val="00EE55BE"/>
    <w:rsid w:val="00EF44FD"/>
    <w:rsid w:val="00EF4BA1"/>
    <w:rsid w:val="00F13C5C"/>
    <w:rsid w:val="00F41896"/>
    <w:rsid w:val="00F42B57"/>
    <w:rsid w:val="00F46778"/>
    <w:rsid w:val="00F54131"/>
    <w:rsid w:val="00F61754"/>
    <w:rsid w:val="00F652FB"/>
    <w:rsid w:val="00F729AE"/>
    <w:rsid w:val="00F8103E"/>
    <w:rsid w:val="00F8137F"/>
    <w:rsid w:val="00F82D1A"/>
    <w:rsid w:val="00F91883"/>
    <w:rsid w:val="00F977DF"/>
    <w:rsid w:val="00FA414F"/>
    <w:rsid w:val="00FA6A7C"/>
    <w:rsid w:val="00FB4064"/>
    <w:rsid w:val="00FD4476"/>
    <w:rsid w:val="00FF180D"/>
    <w:rsid w:val="00FF7B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331612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0F48"/>
    <w:pPr>
      <w:spacing w:after="240" w:line="240" w:lineRule="auto"/>
    </w:pPr>
  </w:style>
  <w:style w:type="paragraph" w:styleId="Heading1">
    <w:name w:val="heading 1"/>
    <w:basedOn w:val="Normal"/>
    <w:next w:val="Normal"/>
    <w:link w:val="Heading1Char"/>
    <w:uiPriority w:val="9"/>
    <w:qFormat/>
    <w:rsid w:val="00C61D2E"/>
    <w:pPr>
      <w:keepNext/>
      <w:spacing w:before="3000"/>
      <w:outlineLvl w:val="0"/>
    </w:pPr>
    <w:rPr>
      <w:rFonts w:asciiTheme="majorHAnsi" w:eastAsiaTheme="majorEastAsia" w:hAnsiTheme="majorHAnsi" w:cstheme="majorBidi"/>
      <w:b/>
      <w:color w:val="07478C"/>
      <w:sz w:val="48"/>
      <w:szCs w:val="32"/>
    </w:rPr>
  </w:style>
  <w:style w:type="paragraph" w:styleId="Heading2">
    <w:name w:val="heading 2"/>
    <w:basedOn w:val="Normal"/>
    <w:next w:val="Normal"/>
    <w:link w:val="Heading2Char"/>
    <w:uiPriority w:val="9"/>
    <w:unhideWhenUsed/>
    <w:qFormat/>
    <w:rsid w:val="009A56D0"/>
    <w:pPr>
      <w:keepNext/>
      <w:spacing w:before="120"/>
      <w:outlineLvl w:val="1"/>
    </w:pPr>
    <w:rPr>
      <w:rFonts w:asciiTheme="majorHAnsi" w:eastAsiaTheme="majorEastAsia" w:hAnsiTheme="majorHAnsi" w:cstheme="majorBidi"/>
      <w:b/>
      <w:color w:val="07478C"/>
      <w:sz w:val="36"/>
      <w:szCs w:val="26"/>
    </w:rPr>
  </w:style>
  <w:style w:type="paragraph" w:styleId="Heading3">
    <w:name w:val="heading 3"/>
    <w:basedOn w:val="Normal"/>
    <w:next w:val="Normal"/>
    <w:link w:val="Heading3Char"/>
    <w:uiPriority w:val="9"/>
    <w:unhideWhenUsed/>
    <w:qFormat/>
    <w:rsid w:val="009A56D0"/>
    <w:pPr>
      <w:keepNext/>
      <w:spacing w:after="120"/>
      <w:outlineLvl w:val="2"/>
    </w:pPr>
    <w:rPr>
      <w:rFonts w:asciiTheme="majorHAnsi" w:eastAsiaTheme="majorEastAsia" w:hAnsiTheme="majorHAnsi" w:cstheme="majorBidi"/>
      <w:b/>
      <w:color w:val="07478C"/>
      <w:sz w:val="30"/>
      <w:szCs w:val="24"/>
    </w:rPr>
  </w:style>
  <w:style w:type="paragraph" w:styleId="Heading4">
    <w:name w:val="heading 4"/>
    <w:basedOn w:val="Normal"/>
    <w:next w:val="Normal"/>
    <w:link w:val="Heading4Char"/>
    <w:uiPriority w:val="9"/>
    <w:unhideWhenUsed/>
    <w:qFormat/>
    <w:rsid w:val="009A56D0"/>
    <w:pPr>
      <w:keepNext/>
      <w:spacing w:after="60"/>
      <w:outlineLvl w:val="3"/>
    </w:pPr>
    <w:rPr>
      <w:rFonts w:asciiTheme="majorHAnsi" w:eastAsiaTheme="majorEastAsia" w:hAnsiTheme="majorHAnsi" w:cstheme="majorBidi"/>
      <w:b/>
      <w:iCs/>
      <w:color w:val="07478C"/>
      <w:sz w:val="24"/>
    </w:rPr>
  </w:style>
  <w:style w:type="paragraph" w:styleId="Heading5">
    <w:name w:val="heading 5"/>
    <w:basedOn w:val="Normal"/>
    <w:next w:val="Normal"/>
    <w:link w:val="Heading5Char"/>
    <w:uiPriority w:val="9"/>
    <w:unhideWhenUsed/>
    <w:qFormat/>
    <w:rsid w:val="009A56D0"/>
    <w:pPr>
      <w:keepNext/>
      <w:spacing w:after="60"/>
      <w:outlineLvl w:val="4"/>
    </w:pPr>
    <w:rPr>
      <w:rFonts w:asciiTheme="majorHAnsi" w:eastAsiaTheme="majorEastAsia" w:hAnsiTheme="majorHAnsi" w:cstheme="majorBidi"/>
      <w:color w:val="07478C"/>
    </w:rPr>
  </w:style>
  <w:style w:type="paragraph" w:styleId="Heading6">
    <w:name w:val="heading 6"/>
    <w:basedOn w:val="Normal"/>
    <w:next w:val="Normal"/>
    <w:link w:val="Heading6Char"/>
    <w:uiPriority w:val="9"/>
    <w:unhideWhenUsed/>
    <w:qFormat/>
    <w:rsid w:val="005033E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1D2E"/>
    <w:rPr>
      <w:rFonts w:asciiTheme="majorHAnsi" w:eastAsiaTheme="majorEastAsia" w:hAnsiTheme="majorHAnsi" w:cstheme="majorBidi"/>
      <w:b/>
      <w:color w:val="07478C"/>
      <w:sz w:val="48"/>
      <w:szCs w:val="32"/>
    </w:rPr>
  </w:style>
  <w:style w:type="character" w:customStyle="1" w:styleId="Heading2Char">
    <w:name w:val="Heading 2 Char"/>
    <w:basedOn w:val="DefaultParagraphFont"/>
    <w:link w:val="Heading2"/>
    <w:uiPriority w:val="9"/>
    <w:rsid w:val="009A56D0"/>
    <w:rPr>
      <w:rFonts w:asciiTheme="majorHAnsi" w:eastAsiaTheme="majorEastAsia" w:hAnsiTheme="majorHAnsi" w:cstheme="majorBidi"/>
      <w:b/>
      <w:color w:val="07478C"/>
      <w:sz w:val="36"/>
      <w:szCs w:val="26"/>
    </w:rPr>
  </w:style>
  <w:style w:type="paragraph" w:styleId="Subtitle">
    <w:name w:val="Subtitle"/>
    <w:basedOn w:val="Normal"/>
    <w:next w:val="Normal"/>
    <w:link w:val="SubtitleChar"/>
    <w:uiPriority w:val="11"/>
    <w:qFormat/>
    <w:rsid w:val="0064771D"/>
    <w:pPr>
      <w:numPr>
        <w:ilvl w:val="1"/>
      </w:numPr>
      <w:spacing w:before="240"/>
    </w:pPr>
    <w:rPr>
      <w:rFonts w:asciiTheme="majorHAnsi" w:eastAsiaTheme="minorEastAsia" w:hAnsiTheme="majorHAnsi"/>
      <w:b/>
      <w:color w:val="07478C"/>
      <w:spacing w:val="15"/>
      <w:sz w:val="36"/>
    </w:rPr>
  </w:style>
  <w:style w:type="character" w:customStyle="1" w:styleId="SubtitleChar">
    <w:name w:val="Subtitle Char"/>
    <w:basedOn w:val="DefaultParagraphFont"/>
    <w:link w:val="Subtitle"/>
    <w:uiPriority w:val="11"/>
    <w:rsid w:val="0064771D"/>
    <w:rPr>
      <w:rFonts w:asciiTheme="majorHAnsi" w:eastAsiaTheme="minorEastAsia" w:hAnsiTheme="majorHAnsi"/>
      <w:b/>
      <w:color w:val="07478C"/>
      <w:spacing w:val="15"/>
      <w:sz w:val="36"/>
    </w:rPr>
  </w:style>
  <w:style w:type="character" w:styleId="Hyperlink">
    <w:name w:val="Hyperlink"/>
    <w:basedOn w:val="DefaultParagraphFont"/>
    <w:uiPriority w:val="99"/>
    <w:unhideWhenUsed/>
    <w:rsid w:val="0064771D"/>
    <w:rPr>
      <w:color w:val="095EBB"/>
      <w:u w:val="single"/>
    </w:rPr>
  </w:style>
  <w:style w:type="character" w:customStyle="1" w:styleId="Heading3Char">
    <w:name w:val="Heading 3 Char"/>
    <w:basedOn w:val="DefaultParagraphFont"/>
    <w:link w:val="Heading3"/>
    <w:uiPriority w:val="9"/>
    <w:rsid w:val="009A56D0"/>
    <w:rPr>
      <w:rFonts w:asciiTheme="majorHAnsi" w:eastAsiaTheme="majorEastAsia" w:hAnsiTheme="majorHAnsi" w:cstheme="majorBidi"/>
      <w:b/>
      <w:color w:val="07478C"/>
      <w:sz w:val="30"/>
      <w:szCs w:val="24"/>
    </w:rPr>
  </w:style>
  <w:style w:type="paragraph" w:customStyle="1" w:styleId="Bulletlevel1">
    <w:name w:val="Bullet level 1"/>
    <w:basedOn w:val="Normal"/>
    <w:qFormat/>
    <w:rsid w:val="002E15A7"/>
    <w:pPr>
      <w:numPr>
        <w:numId w:val="1"/>
      </w:numPr>
      <w:ind w:left="567" w:hanging="567"/>
      <w:contextualSpacing/>
    </w:pPr>
  </w:style>
  <w:style w:type="paragraph" w:styleId="Header">
    <w:name w:val="header"/>
    <w:basedOn w:val="Normal"/>
    <w:link w:val="HeaderChar"/>
    <w:uiPriority w:val="99"/>
    <w:unhideWhenUsed/>
    <w:rsid w:val="003F0A2D"/>
    <w:pPr>
      <w:tabs>
        <w:tab w:val="center" w:pos="4513"/>
        <w:tab w:val="right" w:pos="9026"/>
      </w:tabs>
      <w:spacing w:after="0"/>
    </w:pPr>
  </w:style>
  <w:style w:type="character" w:customStyle="1" w:styleId="HeaderChar">
    <w:name w:val="Header Char"/>
    <w:basedOn w:val="DefaultParagraphFont"/>
    <w:link w:val="Header"/>
    <w:uiPriority w:val="99"/>
    <w:rsid w:val="003F0A2D"/>
  </w:style>
  <w:style w:type="paragraph" w:styleId="Footer">
    <w:name w:val="footer"/>
    <w:basedOn w:val="Normal"/>
    <w:link w:val="FooterChar"/>
    <w:uiPriority w:val="99"/>
    <w:unhideWhenUsed/>
    <w:rsid w:val="003F0A2D"/>
    <w:pPr>
      <w:tabs>
        <w:tab w:val="center" w:pos="4513"/>
        <w:tab w:val="right" w:pos="9026"/>
      </w:tabs>
      <w:spacing w:after="0"/>
    </w:pPr>
  </w:style>
  <w:style w:type="character" w:customStyle="1" w:styleId="FooterChar">
    <w:name w:val="Footer Char"/>
    <w:basedOn w:val="DefaultParagraphFont"/>
    <w:link w:val="Footer"/>
    <w:uiPriority w:val="99"/>
    <w:rsid w:val="003F0A2D"/>
  </w:style>
  <w:style w:type="character" w:customStyle="1" w:styleId="Heading4Char">
    <w:name w:val="Heading 4 Char"/>
    <w:basedOn w:val="DefaultParagraphFont"/>
    <w:link w:val="Heading4"/>
    <w:uiPriority w:val="9"/>
    <w:rsid w:val="009A56D0"/>
    <w:rPr>
      <w:rFonts w:asciiTheme="majorHAnsi" w:eastAsiaTheme="majorEastAsia" w:hAnsiTheme="majorHAnsi" w:cstheme="majorBidi"/>
      <w:b/>
      <w:iCs/>
      <w:color w:val="07478C"/>
      <w:sz w:val="24"/>
    </w:rPr>
  </w:style>
  <w:style w:type="table" w:styleId="TableGrid">
    <w:name w:val="Table Grid"/>
    <w:basedOn w:val="TableNormal"/>
    <w:uiPriority w:val="39"/>
    <w:rsid w:val="00024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ing">
    <w:name w:val="Table/figure heading"/>
    <w:basedOn w:val="Normal"/>
    <w:next w:val="Normal"/>
    <w:qFormat/>
    <w:rsid w:val="00606BE5"/>
    <w:pPr>
      <w:keepNext/>
      <w:spacing w:before="40" w:after="0"/>
    </w:pPr>
    <w:rPr>
      <w:rFonts w:asciiTheme="majorHAnsi" w:hAnsiTheme="majorHAnsi"/>
      <w:b/>
      <w:color w:val="07478C"/>
    </w:rPr>
  </w:style>
  <w:style w:type="paragraph" w:styleId="FootnoteText">
    <w:name w:val="footnote text"/>
    <w:aliases w:val="ACMA Footnote Text,ALTS FOOTNOTE,(NECG) Footnote Text,Footnote text,AR Footnote Text,AR Footnote Text Char Char Char Char Char,Footnote Text Char2,Footnote Text Char1 Char Char,Footnote Text Char Char Char Char,Footnote Text Char1 Char,f"/>
    <w:basedOn w:val="Normal"/>
    <w:link w:val="FootnoteTextChar"/>
    <w:uiPriority w:val="99"/>
    <w:unhideWhenUsed/>
    <w:rsid w:val="000249BC"/>
    <w:pPr>
      <w:spacing w:after="0"/>
    </w:pPr>
    <w:rPr>
      <w:sz w:val="20"/>
      <w:szCs w:val="20"/>
    </w:rPr>
  </w:style>
  <w:style w:type="character" w:customStyle="1" w:styleId="FootnoteTextChar">
    <w:name w:val="Footnote Text Char"/>
    <w:aliases w:val="ACMA Footnote Text Char,ALTS FOOTNOTE Char,(NECG) Footnote Text Char,Footnote text Char,AR Footnote Text Char,AR Footnote Text Char Char Char Char Char Char,Footnote Text Char2 Char,Footnote Text Char1 Char Char Char,f Char"/>
    <w:basedOn w:val="DefaultParagraphFont"/>
    <w:link w:val="FootnoteText"/>
    <w:uiPriority w:val="99"/>
    <w:rsid w:val="000249BC"/>
    <w:rPr>
      <w:sz w:val="20"/>
      <w:szCs w:val="20"/>
    </w:rPr>
  </w:style>
  <w:style w:type="character" w:styleId="FootnoteReference">
    <w:name w:val="footnote reference"/>
    <w:aliases w:val="(NECG) Footnote Reference,(NECG) Footnote Reference1,(NECG) Footnote Reference2,o,Appel note de bas de p,Appel note de bas de p + 11 pt,Italic,Footnote,Style 12,Style 124,fr,Style 3,Footnote symbol,Appel note de bas de p1"/>
    <w:basedOn w:val="DefaultParagraphFont"/>
    <w:uiPriority w:val="99"/>
    <w:unhideWhenUsed/>
    <w:rsid w:val="000249BC"/>
    <w:rPr>
      <w:vertAlign w:val="superscript"/>
    </w:rPr>
  </w:style>
  <w:style w:type="paragraph" w:styleId="ListParagraph">
    <w:name w:val="List Paragraph"/>
    <w:aliases w:val="List Paragraph1,Recommendation,bullet point list,FooterText,Bullet List,numbered,Paragraphe de liste1,Bulletr List Paragraph,列出段落,列出段落1,List Paragraph2,List Paragraph21,Listeafsnit1,Parágrafo da Lista1,Párrafo de lista1,リスト段落1,L"/>
    <w:basedOn w:val="Normal"/>
    <w:link w:val="ListParagraphChar"/>
    <w:uiPriority w:val="34"/>
    <w:qFormat/>
    <w:rsid w:val="0064771D"/>
    <w:pPr>
      <w:ind w:left="1134" w:hanging="567"/>
      <w:contextualSpacing/>
    </w:pPr>
  </w:style>
  <w:style w:type="paragraph" w:styleId="TOC1">
    <w:name w:val="toc 1"/>
    <w:basedOn w:val="Normal"/>
    <w:next w:val="Normal"/>
    <w:autoRedefine/>
    <w:uiPriority w:val="39"/>
    <w:unhideWhenUsed/>
    <w:rsid w:val="00FA414F"/>
    <w:pPr>
      <w:spacing w:before="120" w:after="0"/>
    </w:pPr>
    <w:rPr>
      <w:b/>
      <w:color w:val="07478C"/>
      <w:sz w:val="24"/>
    </w:rPr>
  </w:style>
  <w:style w:type="paragraph" w:styleId="TOC2">
    <w:name w:val="toc 2"/>
    <w:basedOn w:val="Normal"/>
    <w:next w:val="Normal"/>
    <w:autoRedefine/>
    <w:uiPriority w:val="39"/>
    <w:unhideWhenUsed/>
    <w:rsid w:val="00FA414F"/>
    <w:pPr>
      <w:spacing w:after="0"/>
      <w:ind w:left="567"/>
    </w:pPr>
  </w:style>
  <w:style w:type="paragraph" w:styleId="TOC3">
    <w:name w:val="toc 3"/>
    <w:basedOn w:val="Normal"/>
    <w:next w:val="Normal"/>
    <w:autoRedefine/>
    <w:uiPriority w:val="39"/>
    <w:unhideWhenUsed/>
    <w:rsid w:val="00FA414F"/>
    <w:pPr>
      <w:spacing w:after="0"/>
      <w:ind w:left="1134"/>
    </w:pPr>
  </w:style>
  <w:style w:type="paragraph" w:customStyle="1" w:styleId="Tableheading">
    <w:name w:val="Table heading"/>
    <w:basedOn w:val="Normal"/>
    <w:next w:val="Normal"/>
    <w:rsid w:val="00B370BC"/>
    <w:pPr>
      <w:spacing w:after="0"/>
    </w:pPr>
    <w:rPr>
      <w:rFonts w:eastAsia="Times New Roman" w:cs="Times New Roman"/>
      <w:b/>
      <w:bCs/>
      <w:szCs w:val="20"/>
    </w:rPr>
  </w:style>
  <w:style w:type="paragraph" w:customStyle="1" w:styleId="Tableheadingcentred">
    <w:name w:val="Table heading centred"/>
    <w:basedOn w:val="Normal"/>
    <w:next w:val="Normal"/>
    <w:rsid w:val="00B370BC"/>
    <w:pPr>
      <w:spacing w:after="0"/>
      <w:jc w:val="center"/>
    </w:pPr>
    <w:rPr>
      <w:rFonts w:eastAsia="Times New Roman" w:cs="Times New Roman"/>
      <w:b/>
      <w:bCs/>
      <w:szCs w:val="20"/>
    </w:rPr>
  </w:style>
  <w:style w:type="paragraph" w:customStyle="1" w:styleId="Tabletextcentred">
    <w:name w:val="Table text centred"/>
    <w:basedOn w:val="Normal"/>
    <w:next w:val="NoSpacing"/>
    <w:rsid w:val="00B370BC"/>
    <w:pPr>
      <w:spacing w:after="0"/>
      <w:jc w:val="center"/>
    </w:pPr>
    <w:rPr>
      <w:rFonts w:eastAsia="Times New Roman" w:cs="Times New Roman"/>
      <w:szCs w:val="20"/>
    </w:rPr>
  </w:style>
  <w:style w:type="paragraph" w:styleId="NoSpacing">
    <w:name w:val="No Spacing"/>
    <w:uiPriority w:val="1"/>
    <w:qFormat/>
    <w:rsid w:val="00B370BC"/>
    <w:pPr>
      <w:spacing w:after="0" w:line="240" w:lineRule="auto"/>
    </w:pPr>
  </w:style>
  <w:style w:type="character" w:customStyle="1" w:styleId="Heading5Char">
    <w:name w:val="Heading 5 Char"/>
    <w:basedOn w:val="DefaultParagraphFont"/>
    <w:link w:val="Heading5"/>
    <w:uiPriority w:val="9"/>
    <w:rsid w:val="009A56D0"/>
    <w:rPr>
      <w:rFonts w:asciiTheme="majorHAnsi" w:eastAsiaTheme="majorEastAsia" w:hAnsiTheme="majorHAnsi" w:cstheme="majorBidi"/>
      <w:color w:val="07478C"/>
    </w:rPr>
  </w:style>
  <w:style w:type="character" w:styleId="IntenseEmphasis">
    <w:name w:val="Intense Emphasis"/>
    <w:basedOn w:val="DefaultParagraphFont"/>
    <w:uiPriority w:val="21"/>
    <w:qFormat/>
    <w:rsid w:val="0064771D"/>
    <w:rPr>
      <w:rFonts w:asciiTheme="minorHAnsi" w:hAnsiTheme="minorHAnsi"/>
      <w:i/>
      <w:iCs/>
      <w:color w:val="07478C"/>
      <w:sz w:val="22"/>
    </w:rPr>
  </w:style>
  <w:style w:type="paragraph" w:styleId="IntenseQuote">
    <w:name w:val="Intense Quote"/>
    <w:basedOn w:val="Normal"/>
    <w:next w:val="Normal"/>
    <w:link w:val="IntenseQuoteChar"/>
    <w:uiPriority w:val="30"/>
    <w:qFormat/>
    <w:rsid w:val="0064771D"/>
    <w:pPr>
      <w:pBdr>
        <w:top w:val="single" w:sz="4" w:space="10" w:color="5B9BD5" w:themeColor="accent1"/>
        <w:bottom w:val="single" w:sz="4" w:space="10" w:color="5B9BD5" w:themeColor="accent1"/>
      </w:pBdr>
      <w:ind w:left="567" w:right="567"/>
    </w:pPr>
    <w:rPr>
      <w:i/>
      <w:iCs/>
      <w:color w:val="07478C"/>
    </w:rPr>
  </w:style>
  <w:style w:type="character" w:customStyle="1" w:styleId="IntenseQuoteChar">
    <w:name w:val="Intense Quote Char"/>
    <w:basedOn w:val="DefaultParagraphFont"/>
    <w:link w:val="IntenseQuote"/>
    <w:uiPriority w:val="30"/>
    <w:rsid w:val="0064771D"/>
    <w:rPr>
      <w:i/>
      <w:iCs/>
      <w:color w:val="07478C"/>
    </w:rPr>
  </w:style>
  <w:style w:type="character" w:styleId="IntenseReference">
    <w:name w:val="Intense Reference"/>
    <w:basedOn w:val="DefaultParagraphFont"/>
    <w:uiPriority w:val="32"/>
    <w:qFormat/>
    <w:rsid w:val="0064771D"/>
    <w:rPr>
      <w:rFonts w:asciiTheme="minorHAnsi" w:hAnsiTheme="minorHAnsi"/>
      <w:b/>
      <w:bCs/>
      <w:smallCaps/>
      <w:color w:val="07478C"/>
      <w:spacing w:val="5"/>
      <w:sz w:val="22"/>
    </w:rPr>
  </w:style>
  <w:style w:type="character" w:styleId="BookTitle">
    <w:name w:val="Book Title"/>
    <w:basedOn w:val="DefaultParagraphFont"/>
    <w:uiPriority w:val="33"/>
    <w:qFormat/>
    <w:rsid w:val="0064771D"/>
    <w:rPr>
      <w:rFonts w:asciiTheme="minorHAnsi" w:hAnsiTheme="minorHAnsi"/>
      <w:b/>
      <w:bCs/>
      <w:i/>
      <w:iCs/>
      <w:spacing w:val="5"/>
      <w:sz w:val="22"/>
    </w:rPr>
  </w:style>
  <w:style w:type="character" w:styleId="SubtleReference">
    <w:name w:val="Subtle Reference"/>
    <w:basedOn w:val="DefaultParagraphFont"/>
    <w:uiPriority w:val="31"/>
    <w:qFormat/>
    <w:rsid w:val="0064771D"/>
    <w:rPr>
      <w:rFonts w:asciiTheme="minorHAnsi" w:hAnsiTheme="minorHAnsi"/>
      <w:smallCaps/>
      <w:color w:val="5A5A5A" w:themeColor="text1" w:themeTint="A5"/>
      <w:sz w:val="22"/>
    </w:rPr>
  </w:style>
  <w:style w:type="paragraph" w:customStyle="1" w:styleId="Heading2-notshowingincontentsindocument">
    <w:name w:val="Heading 2 - not showing in contents in document"/>
    <w:basedOn w:val="Normal"/>
    <w:next w:val="Normal"/>
    <w:rsid w:val="00A7176A"/>
    <w:pPr>
      <w:outlineLvl w:val="1"/>
    </w:pPr>
    <w:rPr>
      <w:rFonts w:asciiTheme="majorHAnsi" w:hAnsiTheme="majorHAnsi"/>
      <w:b/>
      <w:color w:val="07478C"/>
      <w:sz w:val="36"/>
      <w:szCs w:val="36"/>
    </w:rPr>
  </w:style>
  <w:style w:type="paragraph" w:customStyle="1" w:styleId="Normal-monthyearforcoverpage">
    <w:name w:val="Normal - month/year for cover page"/>
    <w:basedOn w:val="Normal"/>
    <w:next w:val="Normal"/>
    <w:rsid w:val="00A7176A"/>
    <w:rPr>
      <w:color w:val="07478C"/>
      <w:sz w:val="24"/>
      <w:szCs w:val="24"/>
    </w:rPr>
  </w:style>
  <w:style w:type="paragraph" w:customStyle="1" w:styleId="Heading3-notshowingincontentsindocument">
    <w:name w:val="Heading 3 - not showing in contents in document"/>
    <w:basedOn w:val="Normal"/>
    <w:next w:val="Normal"/>
    <w:rsid w:val="00A7176A"/>
    <w:pPr>
      <w:outlineLvl w:val="2"/>
    </w:pPr>
    <w:rPr>
      <w:color w:val="07478C"/>
      <w:sz w:val="26"/>
      <w:szCs w:val="26"/>
    </w:rPr>
  </w:style>
  <w:style w:type="paragraph" w:customStyle="1" w:styleId="subtitleofdocument">
    <w:name w:val="subtitle of document"/>
    <w:basedOn w:val="Normal"/>
    <w:next w:val="Normal"/>
    <w:rsid w:val="00A7176A"/>
    <w:pPr>
      <w:spacing w:before="1000" w:after="1000"/>
      <w:outlineLvl w:val="1"/>
    </w:pPr>
    <w:rPr>
      <w:rFonts w:asciiTheme="majorHAnsi" w:eastAsia="Times New Roman" w:hAnsiTheme="majorHAnsi" w:cs="Times New Roman"/>
      <w:b/>
      <w:bCs/>
      <w:color w:val="07478C"/>
      <w:sz w:val="36"/>
      <w:szCs w:val="20"/>
    </w:rPr>
  </w:style>
  <w:style w:type="paragraph" w:customStyle="1" w:styleId="Tickedboxbulletpoint">
    <w:name w:val="Ticked box bullet point"/>
    <w:basedOn w:val="Bulletlevel1"/>
    <w:qFormat/>
    <w:rsid w:val="004F3C4E"/>
    <w:pPr>
      <w:numPr>
        <w:numId w:val="2"/>
      </w:numPr>
      <w:spacing w:before="240" w:after="0"/>
      <w:ind w:left="567" w:hanging="567"/>
    </w:pPr>
  </w:style>
  <w:style w:type="paragraph" w:customStyle="1" w:styleId="Checkboxemptybulletpoint">
    <w:name w:val="Check box empty bullet point"/>
    <w:basedOn w:val="Bulletlevel1"/>
    <w:qFormat/>
    <w:rsid w:val="004F3C4E"/>
    <w:pPr>
      <w:numPr>
        <w:numId w:val="3"/>
      </w:numPr>
      <w:spacing w:after="0"/>
      <w:ind w:left="397" w:hanging="397"/>
    </w:pPr>
  </w:style>
  <w:style w:type="character" w:customStyle="1" w:styleId="Heading6Char">
    <w:name w:val="Heading 6 Char"/>
    <w:basedOn w:val="DefaultParagraphFont"/>
    <w:link w:val="Heading6"/>
    <w:uiPriority w:val="9"/>
    <w:rsid w:val="005033E9"/>
    <w:rPr>
      <w:rFonts w:asciiTheme="majorHAnsi" w:eastAsiaTheme="majorEastAsia" w:hAnsiTheme="majorHAnsi" w:cstheme="majorBidi"/>
      <w:color w:val="1F4D78" w:themeColor="accent1" w:themeShade="7F"/>
    </w:rPr>
  </w:style>
  <w:style w:type="character" w:customStyle="1" w:styleId="ListParagraphChar">
    <w:name w:val="List Paragraph Char"/>
    <w:aliases w:val="List Paragraph1 Char,Recommendation Char,bullet point list Char,FooterText Char,Bullet List Char,numbered Char,Paragraphe de liste1 Char,Bulletr List Paragraph Char,列出段落 Char,列出段落1 Char,List Paragraph2 Char,List Paragraph21 Char"/>
    <w:basedOn w:val="DefaultParagraphFont"/>
    <w:link w:val="ListParagraph"/>
    <w:uiPriority w:val="34"/>
    <w:rsid w:val="005033E9"/>
  </w:style>
  <w:style w:type="character" w:styleId="CommentReference">
    <w:name w:val="annotation reference"/>
    <w:basedOn w:val="DefaultParagraphFont"/>
    <w:uiPriority w:val="99"/>
    <w:semiHidden/>
    <w:unhideWhenUsed/>
    <w:rsid w:val="005033E9"/>
    <w:rPr>
      <w:sz w:val="18"/>
      <w:szCs w:val="18"/>
    </w:rPr>
  </w:style>
  <w:style w:type="paragraph" w:styleId="CommentText">
    <w:name w:val="annotation text"/>
    <w:basedOn w:val="Normal"/>
    <w:link w:val="CommentTextChar"/>
    <w:uiPriority w:val="99"/>
    <w:semiHidden/>
    <w:unhideWhenUsed/>
    <w:rsid w:val="005033E9"/>
    <w:pPr>
      <w:spacing w:after="160"/>
    </w:pPr>
    <w:rPr>
      <w:sz w:val="24"/>
      <w:szCs w:val="24"/>
    </w:rPr>
  </w:style>
  <w:style w:type="character" w:customStyle="1" w:styleId="CommentTextChar">
    <w:name w:val="Comment Text Char"/>
    <w:basedOn w:val="DefaultParagraphFont"/>
    <w:link w:val="CommentText"/>
    <w:uiPriority w:val="99"/>
    <w:semiHidden/>
    <w:rsid w:val="005033E9"/>
    <w:rPr>
      <w:sz w:val="24"/>
      <w:szCs w:val="24"/>
    </w:rPr>
  </w:style>
  <w:style w:type="paragraph" w:styleId="BalloonText">
    <w:name w:val="Balloon Text"/>
    <w:basedOn w:val="Normal"/>
    <w:link w:val="BalloonTextChar"/>
    <w:uiPriority w:val="99"/>
    <w:semiHidden/>
    <w:unhideWhenUsed/>
    <w:rsid w:val="005033E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33E9"/>
    <w:rPr>
      <w:rFonts w:ascii="Segoe UI" w:hAnsi="Segoe UI" w:cs="Segoe UI"/>
      <w:sz w:val="18"/>
      <w:szCs w:val="18"/>
    </w:rPr>
  </w:style>
  <w:style w:type="numbering" w:styleId="111111">
    <w:name w:val="Outline List 2"/>
    <w:basedOn w:val="NoList"/>
    <w:uiPriority w:val="99"/>
    <w:semiHidden/>
    <w:unhideWhenUsed/>
    <w:rsid w:val="005033E9"/>
    <w:pPr>
      <w:numPr>
        <w:numId w:val="4"/>
      </w:numPr>
    </w:pPr>
  </w:style>
  <w:style w:type="paragraph" w:styleId="TOCHeading">
    <w:name w:val="TOC Heading"/>
    <w:basedOn w:val="Heading1"/>
    <w:next w:val="Normal"/>
    <w:uiPriority w:val="39"/>
    <w:unhideWhenUsed/>
    <w:qFormat/>
    <w:rsid w:val="005033E9"/>
    <w:pPr>
      <w:keepLines/>
      <w:spacing w:before="240" w:after="0" w:line="259" w:lineRule="auto"/>
      <w:outlineLvl w:val="9"/>
    </w:pPr>
    <w:rPr>
      <w:b w:val="0"/>
      <w:color w:val="2E74B5" w:themeColor="accent1" w:themeShade="BF"/>
      <w:sz w:val="32"/>
      <w:lang w:val="en-US"/>
    </w:rPr>
  </w:style>
  <w:style w:type="paragraph" w:customStyle="1" w:styleId="Default">
    <w:name w:val="Default"/>
    <w:rsid w:val="005033E9"/>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5033E9"/>
    <w:rPr>
      <w:b/>
      <w:bCs/>
    </w:rPr>
  </w:style>
  <w:style w:type="paragraph" w:styleId="CommentSubject">
    <w:name w:val="annotation subject"/>
    <w:basedOn w:val="CommentText"/>
    <w:next w:val="CommentText"/>
    <w:link w:val="CommentSubjectChar"/>
    <w:uiPriority w:val="99"/>
    <w:semiHidden/>
    <w:unhideWhenUsed/>
    <w:rsid w:val="005033E9"/>
    <w:pPr>
      <w:spacing w:after="0"/>
    </w:pPr>
    <w:rPr>
      <w:rFonts w:ascii="Calibri" w:hAnsi="Calibri" w:cs="Times New Roman"/>
      <w:b/>
      <w:bCs/>
      <w:sz w:val="20"/>
      <w:szCs w:val="20"/>
    </w:rPr>
  </w:style>
  <w:style w:type="character" w:customStyle="1" w:styleId="CommentSubjectChar">
    <w:name w:val="Comment Subject Char"/>
    <w:basedOn w:val="CommentTextChar"/>
    <w:link w:val="CommentSubject"/>
    <w:uiPriority w:val="99"/>
    <w:semiHidden/>
    <w:rsid w:val="005033E9"/>
    <w:rPr>
      <w:rFonts w:ascii="Calibri" w:hAnsi="Calibri" w:cs="Times New Roman"/>
      <w:b/>
      <w:bCs/>
      <w:sz w:val="20"/>
      <w:szCs w:val="20"/>
    </w:rPr>
  </w:style>
  <w:style w:type="numbering" w:customStyle="1" w:styleId="Bulletlist">
    <w:name w:val="Bullet list"/>
    <w:rsid w:val="005033E9"/>
    <w:pPr>
      <w:numPr>
        <w:numId w:val="8"/>
      </w:numPr>
    </w:pPr>
  </w:style>
  <w:style w:type="paragraph" w:customStyle="1" w:styleId="Definitiontext">
    <w:name w:val="Definition text"/>
    <w:basedOn w:val="BodyText"/>
    <w:uiPriority w:val="20"/>
    <w:qFormat/>
    <w:rsid w:val="005033E9"/>
    <w:pPr>
      <w:spacing w:before="120" w:after="240"/>
    </w:pPr>
    <w:rPr>
      <w:rFonts w:cstheme="minorBidi"/>
    </w:rPr>
  </w:style>
  <w:style w:type="paragraph" w:styleId="BodyText">
    <w:name w:val="Body Text"/>
    <w:basedOn w:val="Normal"/>
    <w:link w:val="BodyTextChar"/>
    <w:uiPriority w:val="99"/>
    <w:unhideWhenUsed/>
    <w:rsid w:val="005033E9"/>
    <w:pPr>
      <w:spacing w:after="120"/>
    </w:pPr>
    <w:rPr>
      <w:rFonts w:ascii="Calibri" w:hAnsi="Calibri" w:cs="Times New Roman"/>
    </w:rPr>
  </w:style>
  <w:style w:type="character" w:customStyle="1" w:styleId="BodyTextChar">
    <w:name w:val="Body Text Char"/>
    <w:basedOn w:val="DefaultParagraphFont"/>
    <w:link w:val="BodyText"/>
    <w:uiPriority w:val="99"/>
    <w:rsid w:val="005033E9"/>
    <w:rPr>
      <w:rFonts w:ascii="Calibri" w:hAnsi="Calibri" w:cs="Times New Roman"/>
    </w:rPr>
  </w:style>
  <w:style w:type="paragraph" w:customStyle="1" w:styleId="Definitionterm">
    <w:name w:val="Definition term"/>
    <w:basedOn w:val="Definitiontext"/>
    <w:next w:val="Definitiontext"/>
    <w:uiPriority w:val="20"/>
    <w:qFormat/>
    <w:rsid w:val="005033E9"/>
    <w:pPr>
      <w:spacing w:before="240" w:after="120"/>
    </w:pPr>
    <w:rPr>
      <w:b/>
    </w:rPr>
  </w:style>
  <w:style w:type="paragraph" w:styleId="Revision">
    <w:name w:val="Revision"/>
    <w:hidden/>
    <w:uiPriority w:val="99"/>
    <w:semiHidden/>
    <w:rsid w:val="005033E9"/>
    <w:pPr>
      <w:spacing w:after="0" w:line="240" w:lineRule="auto"/>
    </w:pPr>
    <w:rPr>
      <w:rFonts w:ascii="Calibri" w:hAnsi="Calibri" w:cs="Times New Roman"/>
    </w:rPr>
  </w:style>
  <w:style w:type="character" w:styleId="FollowedHyperlink">
    <w:name w:val="FollowedHyperlink"/>
    <w:basedOn w:val="DefaultParagraphFont"/>
    <w:uiPriority w:val="99"/>
    <w:semiHidden/>
    <w:unhideWhenUsed/>
    <w:rsid w:val="005033E9"/>
    <w:rPr>
      <w:color w:val="954F72" w:themeColor="followedHyperlink"/>
      <w:u w:val="single"/>
    </w:rPr>
  </w:style>
  <w:style w:type="paragraph" w:styleId="NormalWeb">
    <w:name w:val="Normal (Web)"/>
    <w:basedOn w:val="Normal"/>
    <w:uiPriority w:val="99"/>
    <w:semiHidden/>
    <w:unhideWhenUsed/>
    <w:rsid w:val="005033E9"/>
    <w:pPr>
      <w:spacing w:before="100" w:beforeAutospacing="1" w:after="100" w:afterAutospacing="1"/>
    </w:pPr>
    <w:rPr>
      <w:rFonts w:ascii="Times New Roman" w:eastAsiaTheme="minorEastAsia" w:hAnsi="Times New Roman" w:cs="Times New Roman"/>
      <w:sz w:val="24"/>
      <w:szCs w:val="24"/>
      <w:lang w:eastAsia="en-AU"/>
    </w:rPr>
  </w:style>
  <w:style w:type="character" w:styleId="PlaceholderText">
    <w:name w:val="Placeholder Text"/>
    <w:basedOn w:val="DefaultParagraphFont"/>
    <w:uiPriority w:val="99"/>
    <w:semiHidden/>
    <w:rsid w:val="005033E9"/>
    <w:rPr>
      <w:color w:val="808080"/>
    </w:rPr>
  </w:style>
  <w:style w:type="paragraph" w:customStyle="1" w:styleId="Bodybullet-Level1">
    <w:name w:val="Body bullet - Level 1"/>
    <w:basedOn w:val="BodyText"/>
    <w:uiPriority w:val="1"/>
    <w:qFormat/>
    <w:rsid w:val="005033E9"/>
    <w:pPr>
      <w:numPr>
        <w:numId w:val="10"/>
      </w:numPr>
      <w:spacing w:before="120" w:after="180"/>
    </w:pPr>
    <w:rPr>
      <w:rFonts w:cstheme="minorBidi"/>
    </w:rPr>
  </w:style>
  <w:style w:type="paragraph" w:customStyle="1" w:styleId="Bodybullet-Level2">
    <w:name w:val="Body bullet - Level 2"/>
    <w:basedOn w:val="Bodybullet-Level1"/>
    <w:uiPriority w:val="1"/>
    <w:qFormat/>
    <w:rsid w:val="005033E9"/>
    <w:pPr>
      <w:numPr>
        <w:ilvl w:val="1"/>
      </w:numPr>
    </w:pPr>
  </w:style>
  <w:style w:type="paragraph" w:customStyle="1" w:styleId="Bodybullet-Level3">
    <w:name w:val="Body bullet - Level 3"/>
    <w:basedOn w:val="Bodybullet-Level1"/>
    <w:uiPriority w:val="1"/>
    <w:qFormat/>
    <w:rsid w:val="005033E9"/>
    <w:pPr>
      <w:numPr>
        <w:ilvl w:val="2"/>
      </w:numPr>
    </w:pPr>
  </w:style>
  <w:style w:type="numbering" w:customStyle="1" w:styleId="Bulletlist1">
    <w:name w:val="Bullet list1"/>
    <w:rsid w:val="005033E9"/>
    <w:pPr>
      <w:numPr>
        <w:numId w:val="11"/>
      </w:numPr>
    </w:pPr>
  </w:style>
  <w:style w:type="paragraph" w:styleId="EndnoteText">
    <w:name w:val="endnote text"/>
    <w:basedOn w:val="Normal"/>
    <w:link w:val="EndnoteTextChar"/>
    <w:uiPriority w:val="99"/>
    <w:semiHidden/>
    <w:unhideWhenUsed/>
    <w:rsid w:val="005033E9"/>
    <w:pPr>
      <w:spacing w:after="0"/>
    </w:pPr>
    <w:rPr>
      <w:rFonts w:ascii="Calibri" w:hAnsi="Calibri" w:cs="Times New Roman"/>
      <w:sz w:val="20"/>
      <w:szCs w:val="20"/>
    </w:rPr>
  </w:style>
  <w:style w:type="character" w:customStyle="1" w:styleId="EndnoteTextChar">
    <w:name w:val="Endnote Text Char"/>
    <w:basedOn w:val="DefaultParagraphFont"/>
    <w:link w:val="EndnoteText"/>
    <w:uiPriority w:val="99"/>
    <w:semiHidden/>
    <w:rsid w:val="005033E9"/>
    <w:rPr>
      <w:rFonts w:ascii="Calibri" w:hAnsi="Calibri" w:cs="Times New Roman"/>
      <w:sz w:val="20"/>
      <w:szCs w:val="20"/>
    </w:rPr>
  </w:style>
  <w:style w:type="character" w:styleId="EndnoteReference">
    <w:name w:val="endnote reference"/>
    <w:basedOn w:val="DefaultParagraphFont"/>
    <w:uiPriority w:val="99"/>
    <w:semiHidden/>
    <w:unhideWhenUsed/>
    <w:rsid w:val="005033E9"/>
    <w:rPr>
      <w:vertAlign w:val="superscript"/>
    </w:rPr>
  </w:style>
  <w:style w:type="table" w:styleId="PlainTable5">
    <w:name w:val="Plain Table 5"/>
    <w:basedOn w:val="TableNormal"/>
    <w:uiPriority w:val="45"/>
    <w:rsid w:val="005033E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qFormat/>
    <w:rsid w:val="00F91883"/>
    <w:pPr>
      <w:spacing w:before="200" w:after="160"/>
      <w:ind w:left="864" w:right="864"/>
    </w:pPr>
    <w:rPr>
      <w:i/>
      <w:iCs/>
      <w:color w:val="404040" w:themeColor="text1" w:themeTint="BF"/>
    </w:rPr>
  </w:style>
  <w:style w:type="character" w:customStyle="1" w:styleId="QuoteChar">
    <w:name w:val="Quote Char"/>
    <w:basedOn w:val="DefaultParagraphFont"/>
    <w:link w:val="Quote"/>
    <w:uiPriority w:val="29"/>
    <w:rsid w:val="00F91883"/>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908669">
      <w:bodyDiv w:val="1"/>
      <w:marLeft w:val="0"/>
      <w:marRight w:val="0"/>
      <w:marTop w:val="0"/>
      <w:marBottom w:val="0"/>
      <w:divBdr>
        <w:top w:val="none" w:sz="0" w:space="0" w:color="auto"/>
        <w:left w:val="none" w:sz="0" w:space="0" w:color="auto"/>
        <w:bottom w:val="none" w:sz="0" w:space="0" w:color="auto"/>
        <w:right w:val="none" w:sz="0" w:space="0" w:color="auto"/>
      </w:divBdr>
      <w:divsChild>
        <w:div w:id="366873104">
          <w:marLeft w:val="547"/>
          <w:marRight w:val="0"/>
          <w:marTop w:val="154"/>
          <w:marBottom w:val="0"/>
          <w:divBdr>
            <w:top w:val="none" w:sz="0" w:space="0" w:color="auto"/>
            <w:left w:val="none" w:sz="0" w:space="0" w:color="auto"/>
            <w:bottom w:val="none" w:sz="0" w:space="0" w:color="auto"/>
            <w:right w:val="none" w:sz="0" w:space="0" w:color="auto"/>
          </w:divBdr>
        </w:div>
        <w:div w:id="96563302">
          <w:marLeft w:val="547"/>
          <w:marRight w:val="0"/>
          <w:marTop w:val="154"/>
          <w:marBottom w:val="0"/>
          <w:divBdr>
            <w:top w:val="none" w:sz="0" w:space="0" w:color="auto"/>
            <w:left w:val="none" w:sz="0" w:space="0" w:color="auto"/>
            <w:bottom w:val="none" w:sz="0" w:space="0" w:color="auto"/>
            <w:right w:val="none" w:sz="0" w:space="0" w:color="auto"/>
          </w:divBdr>
        </w:div>
      </w:divsChild>
    </w:div>
    <w:div w:id="596520184">
      <w:bodyDiv w:val="1"/>
      <w:marLeft w:val="0"/>
      <w:marRight w:val="0"/>
      <w:marTop w:val="0"/>
      <w:marBottom w:val="0"/>
      <w:divBdr>
        <w:top w:val="none" w:sz="0" w:space="0" w:color="auto"/>
        <w:left w:val="none" w:sz="0" w:space="0" w:color="auto"/>
        <w:bottom w:val="none" w:sz="0" w:space="0" w:color="auto"/>
        <w:right w:val="none" w:sz="0" w:space="0" w:color="auto"/>
      </w:divBdr>
    </w:div>
    <w:div w:id="1437208630">
      <w:bodyDiv w:val="1"/>
      <w:marLeft w:val="0"/>
      <w:marRight w:val="0"/>
      <w:marTop w:val="0"/>
      <w:marBottom w:val="0"/>
      <w:divBdr>
        <w:top w:val="none" w:sz="0" w:space="0" w:color="auto"/>
        <w:left w:val="none" w:sz="0" w:space="0" w:color="auto"/>
        <w:bottom w:val="none" w:sz="0" w:space="0" w:color="auto"/>
        <w:right w:val="none" w:sz="0" w:space="0" w:color="auto"/>
      </w:divBdr>
      <w:divsChild>
        <w:div w:id="477377916">
          <w:marLeft w:val="547"/>
          <w:marRight w:val="0"/>
          <w:marTop w:val="154"/>
          <w:marBottom w:val="0"/>
          <w:divBdr>
            <w:top w:val="none" w:sz="0" w:space="0" w:color="auto"/>
            <w:left w:val="none" w:sz="0" w:space="0" w:color="auto"/>
            <w:bottom w:val="none" w:sz="0" w:space="0" w:color="auto"/>
            <w:right w:val="none" w:sz="0" w:space="0" w:color="auto"/>
          </w:divBdr>
        </w:div>
        <w:div w:id="1676953640">
          <w:marLeft w:val="547"/>
          <w:marRight w:val="0"/>
          <w:marTop w:val="154"/>
          <w:marBottom w:val="0"/>
          <w:divBdr>
            <w:top w:val="none" w:sz="0" w:space="0" w:color="auto"/>
            <w:left w:val="none" w:sz="0" w:space="0" w:color="auto"/>
            <w:bottom w:val="none" w:sz="0" w:space="0" w:color="auto"/>
            <w:right w:val="none" w:sz="0" w:space="0" w:color="auto"/>
          </w:divBdr>
        </w:div>
      </w:divsChild>
    </w:div>
    <w:div w:id="173010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mmunications.gov.au/have-your-say/acma-review"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http://www.finance.gov.au/governance-awards-data/ict-benchmarking/"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communications.gov.au/publications/regulating-harms-australian-communications-sector-policy-background-paper-no2" TargetMode="External"/><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chart" Target="charts/chart2.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finance.gov.au/resource-management/pgpa-legislation/"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s>
</file>

<file path=word/_rels/footnotes.xml.rels><?xml version="1.0" encoding="UTF-8" standalone="yes"?>
<Relationships xmlns="http://schemas.openxmlformats.org/package/2006/relationships"><Relationship Id="rId26" Type="http://schemas.openxmlformats.org/officeDocument/2006/relationships/hyperlink" Target="http://www.acma.gov.au/~/media/Research%20and%20Analysis/Research/pdf/Six%20emerging%20trends%20in%20media%20and%20communications_Final%20pdf.pdf" TargetMode="External"/><Relationship Id="rId21" Type="http://schemas.openxmlformats.org/officeDocument/2006/relationships/hyperlink" Target="https://www.communications.gov.au/sites/g/files/net301/f/webform/hys/doc/Review%20of%20the%20Australian%20Communications%20and%20Media%20Authority%20response%20to%20issues%20paper%20final.pdf" TargetMode="External"/><Relationship Id="rId42" Type="http://schemas.openxmlformats.org/officeDocument/2006/relationships/hyperlink" Target="https://www.communications.gov.au/departmental-news/independent-cost-benefit-analysis-nbn" TargetMode="External"/><Relationship Id="rId47" Type="http://schemas.openxmlformats.org/officeDocument/2006/relationships/hyperlink" Target="http://www.cerre.eu/publications/market-definition-market-power-and-regulatory-interaction-electronic-communications" TargetMode="External"/><Relationship Id="rId63" Type="http://schemas.openxmlformats.org/officeDocument/2006/relationships/hyperlink" Target="http://www.democracyjournal.org/34/managing-the-big-bang-the-regulators-dilemma.php" TargetMode="External"/><Relationship Id="rId68" Type="http://schemas.openxmlformats.org/officeDocument/2006/relationships/hyperlink" Target="http://www.abc.net.au/mediawatch/transcripts/1339_convergence.pdf" TargetMode="External"/><Relationship Id="rId84" Type="http://schemas.openxmlformats.org/officeDocument/2006/relationships/hyperlink" Target="https://www.tio.com.au/__data/assets/pdf_file/0016/141262/AR_2010_complete.pdf" TargetMode="External"/><Relationship Id="rId89" Type="http://schemas.openxmlformats.org/officeDocument/2006/relationships/hyperlink" Target="https://www.communications.gov.au/sites/g/files/net301/f/webform/hys/doc/Telstra_6.pdf" TargetMode="External"/><Relationship Id="rId7" Type="http://schemas.openxmlformats.org/officeDocument/2006/relationships/hyperlink" Target="https://www.communications.gov.au/publications/bcr-digital-productivity-report" TargetMode="External"/><Relationship Id="rId71" Type="http://schemas.openxmlformats.org/officeDocument/2006/relationships/hyperlink" Target="https://www.communications.gov.au/sites/g/files/net301/f/submissions/Australian_Mobile_Telecommunications_Association_0.pdf" TargetMode="External"/><Relationship Id="rId92" Type="http://schemas.openxmlformats.org/officeDocument/2006/relationships/hyperlink" Target="http://www.itu.int/ITU-D/treg/publications/Competitionregulation.pdf" TargetMode="External"/><Relationship Id="rId2" Type="http://schemas.openxmlformats.org/officeDocument/2006/relationships/hyperlink" Target="http://www.finance.gov.au/resource-management/governance/contestability/overview" TargetMode="External"/><Relationship Id="rId16" Type="http://schemas.openxmlformats.org/officeDocument/2006/relationships/hyperlink" Target="http://www.roymorgan.com/findings/6548-latest-netflix-subscription-data-october-2015-201511120427" TargetMode="External"/><Relationship Id="rId29" Type="http://schemas.openxmlformats.org/officeDocument/2006/relationships/hyperlink" Target="http://www.aph.gov.au/Parliamentary_Business/Senate_Estimates/ecctte/estimates/add1516/index" TargetMode="External"/><Relationship Id="rId11" Type="http://schemas.openxmlformats.org/officeDocument/2006/relationships/hyperlink" Target="http://www.cisco.com/c/en/us/solutions/collateral/service-provider/ip-ngn-ip-next-generation-network/white_paper_c11-481360.pdf" TargetMode="External"/><Relationship Id="rId24" Type="http://schemas.openxmlformats.org/officeDocument/2006/relationships/hyperlink" Target="http://www.finance.gov.au/resource-management/governance/contestability/overview/" TargetMode="External"/><Relationship Id="rId32" Type="http://schemas.openxmlformats.org/officeDocument/2006/relationships/hyperlink" Target="https://www.communications.gov.au/sites/g/files/net301/f/webform/hys/doc/Telstra_6.pdf" TargetMode="External"/><Relationship Id="rId37" Type="http://schemas.openxmlformats.org/officeDocument/2006/relationships/hyperlink" Target="https://www.communications.gov.au/sites/g/files/net301/f/webform/hys/doc/T%20Dwyer%2C%20M%20Fraser%2C%20L%20Hitchens%20and%20D%20Wilding.pdf" TargetMode="External"/><Relationship Id="rId40" Type="http://schemas.openxmlformats.org/officeDocument/2006/relationships/hyperlink" Target="https://www.communications.gov.au/departmental-news/independent-audit-nbn-public-policy-process" TargetMode="External"/><Relationship Id="rId45" Type="http://schemas.openxmlformats.org/officeDocument/2006/relationships/hyperlink" Target="https://www.accc.gov.au/system/files/International%20Insights%20for%20the%20Better%20Economic%20Regulation%20of%20Infrastructure.pdf" TargetMode="External"/><Relationship Id="rId53" Type="http://schemas.openxmlformats.org/officeDocument/2006/relationships/hyperlink" Target="http://www.oecd.org/gov/regulatory-policy/governance-of-regulators.htm" TargetMode="External"/><Relationship Id="rId58" Type="http://schemas.openxmlformats.org/officeDocument/2006/relationships/hyperlink" Target="https://www.communications.gov.au/sites/g/files/net301/f/submissions/Optus_5.pdf" TargetMode="External"/><Relationship Id="rId66" Type="http://schemas.openxmlformats.org/officeDocument/2006/relationships/hyperlink" Target="http://www.acma.gov.au/theACMA/About/The-ACMA-story/Connected-regulation/broken-concepts" TargetMode="External"/><Relationship Id="rId74" Type="http://schemas.openxmlformats.org/officeDocument/2006/relationships/hyperlink" Target="http://www.acma.gov.au/theACMA/enduring-concepts-building-blocks-for-a-converged-media-and-communications-future" TargetMode="External"/><Relationship Id="rId79" Type="http://schemas.openxmlformats.org/officeDocument/2006/relationships/hyperlink" Target="https://www.communications.gov.au/sites/g/files/net301/f/webform/hys/doc/Australian%20Subscription%20Television%20and%20Radio%20Association.pdf" TargetMode="External"/><Relationship Id="rId87" Type="http://schemas.openxmlformats.org/officeDocument/2006/relationships/hyperlink" Target="https://www.tio.com.au/__data/assets/pdf_file/0016/141262/AR_2010_complete.pdf" TargetMode="External"/><Relationship Id="rId102" Type="http://schemas.openxmlformats.org/officeDocument/2006/relationships/hyperlink" Target="http://www.communications.gov.au/sites/g/files/net301/f/webform/hys/doc/Review%20of%20the%20Australian%20Communications%20and%20Media%20Authority%20response%20to%20issues%20paper%20final.pdf" TargetMode="External"/><Relationship Id="rId5" Type="http://schemas.openxmlformats.org/officeDocument/2006/relationships/hyperlink" Target="http://www.oecd.org/sti/measuring-the-digital-economy-9789264221796-en.htm" TargetMode="External"/><Relationship Id="rId61" Type="http://schemas.openxmlformats.org/officeDocument/2006/relationships/hyperlink" Target="https://www.communications.gov.au/sites/g/files/net301/f/submissions/Review_of_the_Australian_Communications_and_Media_Authority_response_to_issues_paper_final.pdf" TargetMode="External"/><Relationship Id="rId82" Type="http://schemas.openxmlformats.org/officeDocument/2006/relationships/hyperlink" Target="http://www.democracyjournal.org/34/managing-the-big-bang-the-regulators-dilemma.php" TargetMode="External"/><Relationship Id="rId90" Type="http://schemas.openxmlformats.org/officeDocument/2006/relationships/hyperlink" Target="http://news.bbc.co.uk/nol/shared/bsp/hi/pdfs/bud05hampton_150305_640.pdf" TargetMode="External"/><Relationship Id="rId95" Type="http://schemas.openxmlformats.org/officeDocument/2006/relationships/hyperlink" Target="https://www.anao.gov.au/work/performance-audit/regulation-unsolicited-communications" TargetMode="External"/><Relationship Id="rId19" Type="http://schemas.openxmlformats.org/officeDocument/2006/relationships/hyperlink" Target="https://www.communications.gov.au/sites/g/files/net301/f/webform/hys/doc/Review%20of%20the%20Australian%20Communications%20and%20Media%20Authority%20response%20to%20issues%20paper%20final.pdf" TargetMode="External"/><Relationship Id="rId14" Type="http://schemas.openxmlformats.org/officeDocument/2006/relationships/hyperlink" Target="http://www.oztam.com.au/documents/Other/Q1%202015%20Australian%20Multi-Screen%20Report%20release.pdf" TargetMode="External"/><Relationship Id="rId22" Type="http://schemas.openxmlformats.org/officeDocument/2006/relationships/hyperlink" Target="http://www.acma.gov.au/~/media/Office%20of%20the%20Chair/Information/pdf/ACMA_BrokenConcepts_Final_29Aug1%20pdf.pdf" TargetMode="External"/><Relationship Id="rId27" Type="http://schemas.openxmlformats.org/officeDocument/2006/relationships/hyperlink" Target="http://www.acma.gov.au/sitecore/content/Home/Industry/Telco/Reconnecting-the-customer/Public-inquiry/reconnecting-the-customer-research-studies" TargetMode="External"/><Relationship Id="rId30" Type="http://schemas.openxmlformats.org/officeDocument/2006/relationships/hyperlink" Target="https://www.communications.gov.au/sites/g/files/net301/f/webform/hys/doc/Telstra_6.pdf" TargetMode="External"/><Relationship Id="rId35" Type="http://schemas.openxmlformats.org/officeDocument/2006/relationships/hyperlink" Target="https://www.communications.gov.au/sites/g/files/net301/f/webform/hys/doc/Vodafone%20Hutchison%20Australia.pdf" TargetMode="External"/><Relationship Id="rId43" Type="http://schemas.openxmlformats.org/officeDocument/2006/relationships/hyperlink" Target="http://competitionpolicyreview.gov.au/final-report/" TargetMode="External"/><Relationship Id="rId48" Type="http://schemas.openxmlformats.org/officeDocument/2006/relationships/hyperlink" Target="https://www.communications.gov.au/sites/g/files/net301/f/webform/hys/doc/Optus_5.pdf" TargetMode="External"/><Relationship Id="rId56" Type="http://schemas.openxmlformats.org/officeDocument/2006/relationships/hyperlink" Target="http://www.oecd.org/gov/regulatory-policy/governance-regulators.htm" TargetMode="External"/><Relationship Id="rId64" Type="http://schemas.openxmlformats.org/officeDocument/2006/relationships/hyperlink" Target="http://news.bbc.co.uk/nol/shared/bsp/hi/pdfs/bud05hampton_150305_640.pdf" TargetMode="External"/><Relationship Id="rId69" Type="http://schemas.openxmlformats.org/officeDocument/2006/relationships/hyperlink" Target="https://www.communications.gov.au/sites/g/files/net301/f/submissions/Telstra_6.pdf" TargetMode="External"/><Relationship Id="rId77" Type="http://schemas.openxmlformats.org/officeDocument/2006/relationships/hyperlink" Target="https://www.cuttingredtape.gov.au/sites/default/files/files/Regulator_Performance_Framework2.pdf" TargetMode="External"/><Relationship Id="rId100" Type="http://schemas.openxmlformats.org/officeDocument/2006/relationships/hyperlink" Target="http://ec.europa.eu/newsroom/dae/document.cfm?doc_id=12099" TargetMode="External"/><Relationship Id="rId8" Type="http://schemas.openxmlformats.org/officeDocument/2006/relationships/hyperlink" Target="http://www.oecd-ilibrary.org/science-and-technology/broadband-and-the-economy_230450810820" TargetMode="External"/><Relationship Id="rId51" Type="http://schemas.openxmlformats.org/officeDocument/2006/relationships/hyperlink" Target="https://www.communications.gov.au/sites/g/files/net301/f/webform/hys/doc/DigEcon%20Research.pdf" TargetMode="External"/><Relationship Id="rId72" Type="http://schemas.openxmlformats.org/officeDocument/2006/relationships/hyperlink" Target="http://www.acma.gov.au/theACMA/enduring-concepts-building-blocks-for-a-converged-media-and-communications-future" TargetMode="External"/><Relationship Id="rId80" Type="http://schemas.openxmlformats.org/officeDocument/2006/relationships/hyperlink" Target="https://www.communications.gov.au/sites/g/files/net301/f/webform/hys/doc/Telstra_6.pdf" TargetMode="External"/><Relationship Id="rId85" Type="http://schemas.openxmlformats.org/officeDocument/2006/relationships/hyperlink" Target="https://www.tio.com.au/publications/statistics" TargetMode="External"/><Relationship Id="rId93" Type="http://schemas.openxmlformats.org/officeDocument/2006/relationships/hyperlink" Target="https://www.communications.gov.au/sites/g/files/net301/f/webform/hys/doc/Review%20of%20the%20Australian%20Communications%20and%20Media%20Authority%20response%20to%20issues%20paper%20final.pdf" TargetMode="External"/><Relationship Id="rId98" Type="http://schemas.openxmlformats.org/officeDocument/2006/relationships/hyperlink" Target="https://www.communications.gov.au/sites/g/files/net301/f/webform/hys/doc/Vodafone%20Hutchison%20Australia.pdf" TargetMode="External"/><Relationship Id="rId3" Type="http://schemas.openxmlformats.org/officeDocument/2006/relationships/hyperlink" Target="https://www.communications.gov.au/publications/deregulation-communications-portfolio-policy-background-paper-no1" TargetMode="External"/><Relationship Id="rId12" Type="http://schemas.openxmlformats.org/officeDocument/2006/relationships/hyperlink" Target="http://www.abs.gov.au/ausstats/abs@.nsf/Latestproducts/8153.0Main%20Features4June%202015?opendocument&amp;tabname=Summary&amp;prodno=8153.0&amp;issue=June%202015&amp;num=&amp;view=" TargetMode="External"/><Relationship Id="rId17" Type="http://schemas.openxmlformats.org/officeDocument/2006/relationships/hyperlink" Target="https://www.communications.gov.au/sites/g/files/net301/f/webform/hys/doc/Review%20of%20the%20Australian%20Communications%20and%20Media%20Authority%20response%20to%20issues%20paper%20final.pdf" TargetMode="External"/><Relationship Id="rId25" Type="http://schemas.openxmlformats.org/officeDocument/2006/relationships/hyperlink" Target="http://www.acma.gov.au/theACMA/Newsroom/Newsroom/Media-releases/the-aisi-interviews-with-industry" TargetMode="External"/><Relationship Id="rId33" Type="http://schemas.openxmlformats.org/officeDocument/2006/relationships/hyperlink" Target="https://www.communications.gov.au/sites/g/files/net301/f/webform/hys/doc/Australian%20Subscription%20Television%20and%20Radio%20Association.pdf" TargetMode="External"/><Relationship Id="rId38" Type="http://schemas.openxmlformats.org/officeDocument/2006/relationships/hyperlink" Target="http://fsi.gov.au/publications/final-report/" TargetMode="External"/><Relationship Id="rId46" Type="http://schemas.openxmlformats.org/officeDocument/2006/relationships/hyperlink" Target="http://www.treasury.gov.au/PublicationsAndMedia/Publications/2015/CPR-response" TargetMode="External"/><Relationship Id="rId59" Type="http://schemas.openxmlformats.org/officeDocument/2006/relationships/hyperlink" Target="https://www.communications.gov.au/sites/g/files/net301/f/submissions/Australian_Communications_Consumer_Action_Network_1.pdf" TargetMode="External"/><Relationship Id="rId67" Type="http://schemas.openxmlformats.org/officeDocument/2006/relationships/hyperlink" Target="http://www.acma.gov.au/~/media/Office%20of%20the%20Chair/Information/pdf/Broken%20Concepts%202013.pdf" TargetMode="External"/><Relationship Id="rId103" Type="http://schemas.openxmlformats.org/officeDocument/2006/relationships/hyperlink" Target="http://www.communications.gov.au/sites/g/files/net301/f/webform/hys/doc/Review%20of%20the%20Australian%20Communications%20and%20Media%20Authority%20response%20to%20issues%20paper%20final.pdf" TargetMode="External"/><Relationship Id="rId20" Type="http://schemas.openxmlformats.org/officeDocument/2006/relationships/hyperlink" Target="https://www.communications.gov.au/sites/g/files/net301/f/webform/hys/doc/Review%20of%20the%20Australian%20Communications%20and%20Media%20Authority%20response%20to%20issues%20paper%20final.pdf" TargetMode="External"/><Relationship Id="rId41" Type="http://schemas.openxmlformats.org/officeDocument/2006/relationships/hyperlink" Target="https://www.communications.gov.au/departmental-news/nbn-market-and-regulation-report" TargetMode="External"/><Relationship Id="rId54" Type="http://schemas.openxmlformats.org/officeDocument/2006/relationships/hyperlink" Target="http://www.anao.gov.au/Publications/Better-Practice-Guides/2013-2014/Administering-Regulation" TargetMode="External"/><Relationship Id="rId62" Type="http://schemas.openxmlformats.org/officeDocument/2006/relationships/hyperlink" Target="http://www.legislation.gov.uk/ukpga/2003/21/section/3" TargetMode="External"/><Relationship Id="rId70" Type="http://schemas.openxmlformats.org/officeDocument/2006/relationships/hyperlink" Target="https://www.communications.gov.au/sites/g/files/net301/f/submissions/Free_TV_Australia_2.pdf" TargetMode="External"/><Relationship Id="rId75" Type="http://schemas.openxmlformats.org/officeDocument/2006/relationships/hyperlink" Target="http://www.communications.gov.au/publications/regulating-harms-australian-communications-sector-policy-background-paper-no2" TargetMode="External"/><Relationship Id="rId83" Type="http://schemas.openxmlformats.org/officeDocument/2006/relationships/hyperlink" Target="https://www.tio.com.au/publications/annual-reports" TargetMode="External"/><Relationship Id="rId88" Type="http://schemas.openxmlformats.org/officeDocument/2006/relationships/hyperlink" Target="https://www.communications.gov.au/sites/g/files/net301/f/webform/hys/doc/Australian%20Subscription%20Television%20and%20Radio%20Association.pdf" TargetMode="External"/><Relationship Id="rId91" Type="http://schemas.openxmlformats.org/officeDocument/2006/relationships/hyperlink" Target="http://www.infodev.org/infodev-files/resource/InfodevDocuments_1057.pdf" TargetMode="External"/><Relationship Id="rId96" Type="http://schemas.openxmlformats.org/officeDocument/2006/relationships/hyperlink" Target="https://www.anao.gov.au/work/performance-audit/regulation-commercial-broadcasting" TargetMode="External"/><Relationship Id="rId1" Type="http://schemas.openxmlformats.org/officeDocument/2006/relationships/hyperlink" Target="https://www.comlaw.gov.au/Details/C2004B01784/Explanatory%20Memorandum/Text" TargetMode="External"/><Relationship Id="rId6" Type="http://schemas.openxmlformats.org/officeDocument/2006/relationships/hyperlink" Target="http://innovation.gov.au/system/files/case-study/National%20Innovation%20and%20Science%20Agenda%20-%20Report.pdf" TargetMode="External"/><Relationship Id="rId15" Type="http://schemas.openxmlformats.org/officeDocument/2006/relationships/hyperlink" Target="http://www.pwc.com.au/entertainment-and-media/australian-outlook.html" TargetMode="External"/><Relationship Id="rId23" Type="http://schemas.openxmlformats.org/officeDocument/2006/relationships/hyperlink" Target="http://www.acma.gov.au/theACMA/About/The-ACMA-story/Connected-regulation/broken-concepts" TargetMode="External"/><Relationship Id="rId28" Type="http://schemas.openxmlformats.org/officeDocument/2006/relationships/hyperlink" Target="http://www.acma.gov.au/theACMA/Library/researchacma/Occasional-papers/optimal-conditions-for-effective-self--and-co-regulatory-arrangements-2015-edition" TargetMode="External"/><Relationship Id="rId36" Type="http://schemas.openxmlformats.org/officeDocument/2006/relationships/hyperlink" Target="https://www.communications.gov.au/sites/g/files/net301/f/webform/hys/doc/Vodafone%20Hutchison%20Australia.pdf" TargetMode="External"/><Relationship Id="rId49" Type="http://schemas.openxmlformats.org/officeDocument/2006/relationships/hyperlink" Target="http://consumerlaw.gov.au/review-of-the-australian-consumer-law/have-your-say/" TargetMode="External"/><Relationship Id="rId57" Type="http://schemas.openxmlformats.org/officeDocument/2006/relationships/hyperlink" Target="http://www.oecd-ilibrary.org/economics/making-reform-happen_9789264086296-en" TargetMode="External"/><Relationship Id="rId10" Type="http://schemas.openxmlformats.org/officeDocument/2006/relationships/hyperlink" Target="http://infrastructureaustralia.gov.au/policy-publications/publications/files/Australian-Infrastructure-Audit-Volume-1.pdf" TargetMode="External"/><Relationship Id="rId31" Type="http://schemas.openxmlformats.org/officeDocument/2006/relationships/hyperlink" Target="https://www.communications.gov.au/sites/g/files/net301/f/webform/hys/doc/Optus_5.pdf" TargetMode="External"/><Relationship Id="rId44" Type="http://schemas.openxmlformats.org/officeDocument/2006/relationships/hyperlink" Target="https://www.communications.gov.au/departmental-news/nbn-market-and-regulation-report" TargetMode="External"/><Relationship Id="rId52" Type="http://schemas.openxmlformats.org/officeDocument/2006/relationships/hyperlink" Target="https://www.communications.gov.au/sites/g/files/net301/f/webform/hys/doc/Vodafone%20Hutchison%20Australia.pdf" TargetMode="External"/><Relationship Id="rId60" Type="http://schemas.openxmlformats.org/officeDocument/2006/relationships/hyperlink" Target="https://www.communications.gov.au/sites/g/files/net301/f/submissions/Telstra_6.pdf" TargetMode="External"/><Relationship Id="rId65" Type="http://schemas.openxmlformats.org/officeDocument/2006/relationships/hyperlink" Target="http://www.communications.gov.au/sites/g/files/net301/f/webform/hys/doc/I%20Robertson.pdf" TargetMode="External"/><Relationship Id="rId73" Type="http://schemas.openxmlformats.org/officeDocument/2006/relationships/hyperlink" Target="https://www.communications.gov.au/publications/deregulation-communications-portfolio-policy-background-paper-no1" TargetMode="External"/><Relationship Id="rId78" Type="http://schemas.openxmlformats.org/officeDocument/2006/relationships/hyperlink" Target="http://www.legislation.gov.uk/ukpga/2003/21/section/3" TargetMode="External"/><Relationship Id="rId81" Type="http://schemas.openxmlformats.org/officeDocument/2006/relationships/hyperlink" Target="https://www.communications.gov.au/sites/g/files/net301/f/webform/hys/doc/Communications%20Alliance.pdf" TargetMode="External"/><Relationship Id="rId86" Type="http://schemas.openxmlformats.org/officeDocument/2006/relationships/hyperlink" Target="https://www.tio.com.au/__data/assets/pdf_file/0016/141262/AR_2010_complete.pdf" TargetMode="External"/><Relationship Id="rId94" Type="http://schemas.openxmlformats.org/officeDocument/2006/relationships/hyperlink" Target="http://www.communications.gov.au/sites/g/files/net301/f/webform/hys/doc/I%20Robertson.pdf" TargetMode="External"/><Relationship Id="rId99" Type="http://schemas.openxmlformats.org/officeDocument/2006/relationships/hyperlink" Target="http://www.communications.gov.au/sites/g/files/net301/f/webform/hys/doc/Review%20of%20the%20Australian%20Communications%20and%20Media%20Authority%20response%20to%20issues%20paper%20final.pdf" TargetMode="External"/><Relationship Id="rId101" Type="http://schemas.openxmlformats.org/officeDocument/2006/relationships/hyperlink" Target="http://www.ofcom.org.uk/about/how-ofcom-is-run/ofcom-board/agendas-for-ofcom-board-meetings/" TargetMode="External"/><Relationship Id="rId4" Type="http://schemas.openxmlformats.org/officeDocument/2006/relationships/hyperlink" Target="http://www.acola.org.au/PDF/SAF05/SAF05_Report_web_17Sept.pdf" TargetMode="External"/><Relationship Id="rId9" Type="http://schemas.openxmlformats.org/officeDocument/2006/relationships/hyperlink" Target="http://www.smh.com.au/business/media-and-marketing/optus-snatches-english-premier-league-rights-from-fox-sports-in-australia-20151101-gkoedn.html" TargetMode="External"/><Relationship Id="rId13" Type="http://schemas.openxmlformats.org/officeDocument/2006/relationships/hyperlink" Target="http://www.nbnco.com.au/content/dam/nbnco2/documents/nbn-rollout-metrics/nbn-rollout-metrics-210416.pdf" TargetMode="External"/><Relationship Id="rId18" Type="http://schemas.openxmlformats.org/officeDocument/2006/relationships/hyperlink" Target="https://www.communications.gov.au/sites/g/files/net301/f/webform/hys/doc/Review%20of%20the%20Australian%20Communications%20and%20Media%20Authority%20response%20to%20issues%20paper%20final.pdf" TargetMode="External"/><Relationship Id="rId39" Type="http://schemas.openxmlformats.org/officeDocument/2006/relationships/hyperlink" Target="https://www.communications.gov.au/sites/g/files/net301/f/webform/hys/doc/Vodafone%20Hutchison%20Australia.pdf" TargetMode="External"/><Relationship Id="rId34" Type="http://schemas.openxmlformats.org/officeDocument/2006/relationships/hyperlink" Target="https://www.communications.gov.au/sites/g/files/net301/f/webform/hys/doc/Optus_5.pdf" TargetMode="External"/><Relationship Id="rId50" Type="http://schemas.openxmlformats.org/officeDocument/2006/relationships/hyperlink" Target="https://www.communications.gov.au/sites/g/files/net301/f/webform/hys/doc/Communications%20Alliance.pdf" TargetMode="External"/><Relationship Id="rId55" Type="http://schemas.openxmlformats.org/officeDocument/2006/relationships/hyperlink" Target="https://www.communications.gov.au/have-your-say/spectrum-reform-legislative-proposals-consultation" TargetMode="External"/><Relationship Id="rId76" Type="http://schemas.openxmlformats.org/officeDocument/2006/relationships/hyperlink" Target="http://www.pc.gov.au/research/completed/regulator-audit-framework/regulator-audit-framework.pdf" TargetMode="External"/><Relationship Id="rId97" Type="http://schemas.openxmlformats.org/officeDocument/2006/relationships/hyperlink" Target="http://www.acma.gov.au/theACMA/About/The-ACMA-story/Regulating/regulatory-guides-guidelines-limitations-on-control-acm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557209645669287E-2"/>
          <c:y val="1.7121184970399547E-2"/>
          <c:w val="0.92687733759842517"/>
          <c:h val="0.67507746831462423"/>
        </c:manualLayout>
      </c:layout>
      <c:lineChart>
        <c:grouping val="standard"/>
        <c:varyColors val="0"/>
        <c:ser>
          <c:idx val="0"/>
          <c:order val="0"/>
          <c:tx>
            <c:strRef>
              <c:f>Sheet1!$B$1</c:f>
              <c:strCache>
                <c:ptCount val="1"/>
                <c:pt idx="0">
                  <c:v>Annual numbering charge</c:v>
                </c:pt>
              </c:strCache>
            </c:strRef>
          </c:tx>
          <c:spPr>
            <a:ln w="28575" cap="rnd">
              <a:solidFill>
                <a:schemeClr val="accent1"/>
              </a:solidFill>
              <a:round/>
            </a:ln>
            <a:effectLst/>
          </c:spPr>
          <c:marker>
            <c:symbol val="x"/>
            <c:size val="7"/>
            <c:spPr>
              <a:noFill/>
              <a:ln w="9525">
                <a:solidFill>
                  <a:schemeClr val="accent1"/>
                </a:solidFill>
              </a:ln>
              <a:effectLst/>
            </c:spPr>
          </c:marker>
          <c:cat>
            <c:strRef>
              <c:f>Sheet1!$A$2:$A$10</c:f>
              <c:strCache>
                <c:ptCount val="9"/>
                <c:pt idx="0">
                  <c:v>2006-07</c:v>
                </c:pt>
                <c:pt idx="1">
                  <c:v>2007-08</c:v>
                </c:pt>
                <c:pt idx="2">
                  <c:v>2008-09</c:v>
                </c:pt>
                <c:pt idx="3">
                  <c:v>2009-10</c:v>
                </c:pt>
                <c:pt idx="4">
                  <c:v>2010-11</c:v>
                </c:pt>
                <c:pt idx="5">
                  <c:v>2011-12</c:v>
                </c:pt>
                <c:pt idx="6">
                  <c:v>2012-13</c:v>
                </c:pt>
                <c:pt idx="7">
                  <c:v>2013-14</c:v>
                </c:pt>
                <c:pt idx="8">
                  <c:v>2014-15</c:v>
                </c:pt>
              </c:strCache>
            </c:strRef>
          </c:cat>
          <c:val>
            <c:numRef>
              <c:f>Sheet1!$B$2:$B$10</c:f>
              <c:numCache>
                <c:formatCode>General</c:formatCode>
                <c:ptCount val="9"/>
                <c:pt idx="0">
                  <c:v>60</c:v>
                </c:pt>
                <c:pt idx="1">
                  <c:v>60</c:v>
                </c:pt>
                <c:pt idx="2">
                  <c:v>59.9</c:v>
                </c:pt>
                <c:pt idx="3">
                  <c:v>60</c:v>
                </c:pt>
                <c:pt idx="4">
                  <c:v>60</c:v>
                </c:pt>
                <c:pt idx="5">
                  <c:v>60</c:v>
                </c:pt>
                <c:pt idx="6">
                  <c:v>60</c:v>
                </c:pt>
                <c:pt idx="7">
                  <c:v>60</c:v>
                </c:pt>
                <c:pt idx="8">
                  <c:v>60</c:v>
                </c:pt>
              </c:numCache>
            </c:numRef>
          </c:val>
          <c:smooth val="0"/>
        </c:ser>
        <c:ser>
          <c:idx val="1"/>
          <c:order val="1"/>
          <c:tx>
            <c:strRef>
              <c:f>Sheet1!$C$1</c:f>
              <c:strCache>
                <c:ptCount val="1"/>
                <c:pt idx="0">
                  <c:v>Apparatus licence tax</c:v>
                </c:pt>
              </c:strCache>
            </c:strRef>
          </c:tx>
          <c:spPr>
            <a:ln w="28575" cap="rnd">
              <a:solidFill>
                <a:schemeClr val="accent2"/>
              </a:solidFill>
              <a:round/>
            </a:ln>
            <a:effectLst/>
          </c:spPr>
          <c:marker>
            <c:symbol val="diamond"/>
            <c:size val="8"/>
            <c:spPr>
              <a:solidFill>
                <a:schemeClr val="accent2"/>
              </a:solidFill>
              <a:ln w="9525">
                <a:solidFill>
                  <a:schemeClr val="accent2"/>
                </a:solidFill>
              </a:ln>
              <a:effectLst/>
            </c:spPr>
          </c:marker>
          <c:cat>
            <c:strRef>
              <c:f>Sheet1!$A$2:$A$10</c:f>
              <c:strCache>
                <c:ptCount val="9"/>
                <c:pt idx="0">
                  <c:v>2006-07</c:v>
                </c:pt>
                <c:pt idx="1">
                  <c:v>2007-08</c:v>
                </c:pt>
                <c:pt idx="2">
                  <c:v>2008-09</c:v>
                </c:pt>
                <c:pt idx="3">
                  <c:v>2009-10</c:v>
                </c:pt>
                <c:pt idx="4">
                  <c:v>2010-11</c:v>
                </c:pt>
                <c:pt idx="5">
                  <c:v>2011-12</c:v>
                </c:pt>
                <c:pt idx="6">
                  <c:v>2012-13</c:v>
                </c:pt>
                <c:pt idx="7">
                  <c:v>2013-14</c:v>
                </c:pt>
                <c:pt idx="8">
                  <c:v>2014-15</c:v>
                </c:pt>
              </c:strCache>
            </c:strRef>
          </c:cat>
          <c:val>
            <c:numRef>
              <c:f>Sheet1!$C$2:$C$10</c:f>
              <c:numCache>
                <c:formatCode>General</c:formatCode>
                <c:ptCount val="9"/>
                <c:pt idx="0">
                  <c:v>129.9</c:v>
                </c:pt>
                <c:pt idx="1">
                  <c:v>142.9</c:v>
                </c:pt>
                <c:pt idx="2">
                  <c:v>150.30000000000001</c:v>
                </c:pt>
                <c:pt idx="3">
                  <c:v>153.9</c:v>
                </c:pt>
                <c:pt idx="4">
                  <c:v>161.9</c:v>
                </c:pt>
                <c:pt idx="5">
                  <c:v>146</c:v>
                </c:pt>
                <c:pt idx="6">
                  <c:v>119</c:v>
                </c:pt>
                <c:pt idx="7">
                  <c:v>171</c:v>
                </c:pt>
                <c:pt idx="8">
                  <c:v>149.1</c:v>
                </c:pt>
              </c:numCache>
            </c:numRef>
          </c:val>
          <c:smooth val="0"/>
        </c:ser>
        <c:ser>
          <c:idx val="2"/>
          <c:order val="2"/>
          <c:tx>
            <c:strRef>
              <c:f>Sheet1!$D$1</c:f>
              <c:strCache>
                <c:ptCount val="1"/>
                <c:pt idx="0">
                  <c:v>Spectrum licence tax</c:v>
                </c:pt>
              </c:strCache>
            </c:strRef>
          </c:tx>
          <c:spPr>
            <a:ln w="28575" cap="rnd">
              <a:solidFill>
                <a:schemeClr val="accent3"/>
              </a:solidFill>
              <a:round/>
            </a:ln>
            <a:effectLst/>
          </c:spPr>
          <c:marker>
            <c:symbol val="star"/>
            <c:size val="6"/>
            <c:spPr>
              <a:noFill/>
              <a:ln w="9525">
                <a:solidFill>
                  <a:schemeClr val="accent3"/>
                </a:solidFill>
              </a:ln>
              <a:effectLst/>
            </c:spPr>
          </c:marker>
          <c:cat>
            <c:strRef>
              <c:f>Sheet1!$A$2:$A$10</c:f>
              <c:strCache>
                <c:ptCount val="9"/>
                <c:pt idx="0">
                  <c:v>2006-07</c:v>
                </c:pt>
                <c:pt idx="1">
                  <c:v>2007-08</c:v>
                </c:pt>
                <c:pt idx="2">
                  <c:v>2008-09</c:v>
                </c:pt>
                <c:pt idx="3">
                  <c:v>2009-10</c:v>
                </c:pt>
                <c:pt idx="4">
                  <c:v>2010-11</c:v>
                </c:pt>
                <c:pt idx="5">
                  <c:v>2011-12</c:v>
                </c:pt>
                <c:pt idx="6">
                  <c:v>2012-13</c:v>
                </c:pt>
                <c:pt idx="7">
                  <c:v>2013-14</c:v>
                </c:pt>
                <c:pt idx="8">
                  <c:v>2014-15</c:v>
                </c:pt>
              </c:strCache>
            </c:strRef>
          </c:cat>
          <c:val>
            <c:numRef>
              <c:f>Sheet1!$D$2:$D$10</c:f>
              <c:numCache>
                <c:formatCode>General</c:formatCode>
                <c:ptCount val="9"/>
                <c:pt idx="0">
                  <c:v>0.3</c:v>
                </c:pt>
                <c:pt idx="1">
                  <c:v>0.3</c:v>
                </c:pt>
                <c:pt idx="2">
                  <c:v>0.5</c:v>
                </c:pt>
                <c:pt idx="3">
                  <c:v>0.3</c:v>
                </c:pt>
                <c:pt idx="4">
                  <c:v>0.4</c:v>
                </c:pt>
                <c:pt idx="5">
                  <c:v>0.5</c:v>
                </c:pt>
                <c:pt idx="6">
                  <c:v>0.3</c:v>
                </c:pt>
                <c:pt idx="7">
                  <c:v>0.3</c:v>
                </c:pt>
                <c:pt idx="8">
                  <c:v>0.4</c:v>
                </c:pt>
              </c:numCache>
            </c:numRef>
          </c:val>
          <c:smooth val="0"/>
        </c:ser>
        <c:ser>
          <c:idx val="3"/>
          <c:order val="3"/>
          <c:tx>
            <c:strRef>
              <c:f>Sheet1!$E$1</c:f>
              <c:strCache>
                <c:ptCount val="1"/>
                <c:pt idx="0">
                  <c:v>Broadcasting licence fees and datacasting charge</c:v>
                </c:pt>
              </c:strCache>
            </c:strRef>
          </c:tx>
          <c:spPr>
            <a:ln w="28575" cap="rnd">
              <a:solidFill>
                <a:schemeClr val="accent4"/>
              </a:solidFill>
              <a:round/>
            </a:ln>
            <a:effectLst/>
          </c:spPr>
          <c:marker>
            <c:symbol val="circle"/>
            <c:size val="7"/>
            <c:spPr>
              <a:solidFill>
                <a:schemeClr val="accent4"/>
              </a:solidFill>
              <a:ln w="9525">
                <a:solidFill>
                  <a:schemeClr val="accent4"/>
                </a:solidFill>
              </a:ln>
              <a:effectLst/>
            </c:spPr>
          </c:marker>
          <c:cat>
            <c:strRef>
              <c:f>Sheet1!$A$2:$A$10</c:f>
              <c:strCache>
                <c:ptCount val="9"/>
                <c:pt idx="0">
                  <c:v>2006-07</c:v>
                </c:pt>
                <c:pt idx="1">
                  <c:v>2007-08</c:v>
                </c:pt>
                <c:pt idx="2">
                  <c:v>2008-09</c:v>
                </c:pt>
                <c:pt idx="3">
                  <c:v>2009-10</c:v>
                </c:pt>
                <c:pt idx="4">
                  <c:v>2010-11</c:v>
                </c:pt>
                <c:pt idx="5">
                  <c:v>2011-12</c:v>
                </c:pt>
                <c:pt idx="6">
                  <c:v>2012-13</c:v>
                </c:pt>
                <c:pt idx="7">
                  <c:v>2013-14</c:v>
                </c:pt>
                <c:pt idx="8">
                  <c:v>2014-15</c:v>
                </c:pt>
              </c:strCache>
            </c:strRef>
          </c:cat>
          <c:val>
            <c:numRef>
              <c:f>Sheet1!$E$2:$E$10</c:f>
              <c:numCache>
                <c:formatCode>General</c:formatCode>
                <c:ptCount val="9"/>
                <c:pt idx="0">
                  <c:v>275.7</c:v>
                </c:pt>
                <c:pt idx="1">
                  <c:v>288.2</c:v>
                </c:pt>
                <c:pt idx="2">
                  <c:v>341</c:v>
                </c:pt>
                <c:pt idx="3">
                  <c:v>241.4</c:v>
                </c:pt>
                <c:pt idx="4">
                  <c:v>150.4</c:v>
                </c:pt>
                <c:pt idx="5">
                  <c:v>231.2</c:v>
                </c:pt>
                <c:pt idx="6">
                  <c:v>167.4</c:v>
                </c:pt>
                <c:pt idx="7">
                  <c:v>157.19999999999999</c:v>
                </c:pt>
                <c:pt idx="8">
                  <c:v>185.4</c:v>
                </c:pt>
              </c:numCache>
            </c:numRef>
          </c:val>
          <c:smooth val="0"/>
        </c:ser>
        <c:ser>
          <c:idx val="4"/>
          <c:order val="4"/>
          <c:tx>
            <c:strRef>
              <c:f>Sheet1!$F$1</c:f>
              <c:strCache>
                <c:ptCount val="1"/>
                <c:pt idx="0">
                  <c:v>Annual carrier licence charge</c:v>
                </c:pt>
              </c:strCache>
            </c:strRef>
          </c:tx>
          <c:spPr>
            <a:ln w="28575" cap="rnd">
              <a:solidFill>
                <a:schemeClr val="accent5"/>
              </a:solidFill>
              <a:round/>
            </a:ln>
            <a:effectLst/>
          </c:spPr>
          <c:marker>
            <c:symbol val="circle"/>
            <c:size val="7"/>
            <c:spPr>
              <a:solidFill>
                <a:schemeClr val="accent5"/>
              </a:solidFill>
              <a:ln w="9525">
                <a:solidFill>
                  <a:schemeClr val="accent5"/>
                </a:solidFill>
              </a:ln>
              <a:effectLst/>
            </c:spPr>
          </c:marker>
          <c:cat>
            <c:strRef>
              <c:f>Sheet1!$A$2:$A$10</c:f>
              <c:strCache>
                <c:ptCount val="9"/>
                <c:pt idx="0">
                  <c:v>2006-07</c:v>
                </c:pt>
                <c:pt idx="1">
                  <c:v>2007-08</c:v>
                </c:pt>
                <c:pt idx="2">
                  <c:v>2008-09</c:v>
                </c:pt>
                <c:pt idx="3">
                  <c:v>2009-10</c:v>
                </c:pt>
                <c:pt idx="4">
                  <c:v>2010-11</c:v>
                </c:pt>
                <c:pt idx="5">
                  <c:v>2011-12</c:v>
                </c:pt>
                <c:pt idx="6">
                  <c:v>2012-13</c:v>
                </c:pt>
                <c:pt idx="7">
                  <c:v>2013-14</c:v>
                </c:pt>
                <c:pt idx="8">
                  <c:v>2014-15</c:v>
                </c:pt>
              </c:strCache>
            </c:strRef>
          </c:cat>
          <c:val>
            <c:numRef>
              <c:f>Sheet1!$F$2:$F$10</c:f>
              <c:numCache>
                <c:formatCode>General</c:formatCode>
                <c:ptCount val="9"/>
                <c:pt idx="0">
                  <c:v>33.700000000000003</c:v>
                </c:pt>
                <c:pt idx="1">
                  <c:v>37</c:v>
                </c:pt>
                <c:pt idx="2">
                  <c:v>36.200000000000003</c:v>
                </c:pt>
                <c:pt idx="3">
                  <c:v>39.5</c:v>
                </c:pt>
                <c:pt idx="4">
                  <c:v>37.700000000000003</c:v>
                </c:pt>
                <c:pt idx="5">
                  <c:v>38.1</c:v>
                </c:pt>
                <c:pt idx="6">
                  <c:v>38.9</c:v>
                </c:pt>
                <c:pt idx="7">
                  <c:v>38.299999999999997</c:v>
                </c:pt>
                <c:pt idx="8">
                  <c:v>38.700000000000003</c:v>
                </c:pt>
              </c:numCache>
            </c:numRef>
          </c:val>
          <c:smooth val="0"/>
        </c:ser>
        <c:ser>
          <c:idx val="5"/>
          <c:order val="5"/>
          <c:tx>
            <c:strRef>
              <c:f>Sheet1!$G$1</c:f>
              <c:strCache>
                <c:ptCount val="1"/>
                <c:pt idx="0">
                  <c:v>Telco industry levy</c:v>
                </c:pt>
              </c:strCache>
            </c:strRef>
          </c:tx>
          <c:spPr>
            <a:ln w="28575" cap="rnd">
              <a:solidFill>
                <a:schemeClr val="accent6"/>
              </a:solidFill>
              <a:round/>
            </a:ln>
            <a:effectLst/>
          </c:spPr>
          <c:marker>
            <c:symbol val="square"/>
            <c:size val="5"/>
            <c:spPr>
              <a:solidFill>
                <a:schemeClr val="accent6"/>
              </a:solidFill>
              <a:ln w="9525">
                <a:solidFill>
                  <a:schemeClr val="accent6"/>
                </a:solidFill>
              </a:ln>
              <a:effectLst/>
            </c:spPr>
          </c:marker>
          <c:cat>
            <c:strRef>
              <c:f>Sheet1!$A$2:$A$10</c:f>
              <c:strCache>
                <c:ptCount val="9"/>
                <c:pt idx="0">
                  <c:v>2006-07</c:v>
                </c:pt>
                <c:pt idx="1">
                  <c:v>2007-08</c:v>
                </c:pt>
                <c:pt idx="2">
                  <c:v>2008-09</c:v>
                </c:pt>
                <c:pt idx="3">
                  <c:v>2009-10</c:v>
                </c:pt>
                <c:pt idx="4">
                  <c:v>2010-11</c:v>
                </c:pt>
                <c:pt idx="5">
                  <c:v>2011-12</c:v>
                </c:pt>
                <c:pt idx="6">
                  <c:v>2012-13</c:v>
                </c:pt>
                <c:pt idx="7">
                  <c:v>2013-14</c:v>
                </c:pt>
                <c:pt idx="8">
                  <c:v>2014-15</c:v>
                </c:pt>
              </c:strCache>
            </c:strRef>
          </c:cat>
          <c:val>
            <c:numRef>
              <c:f>Sheet1!$G$2:$G$10</c:f>
              <c:numCache>
                <c:formatCode>General</c:formatCode>
                <c:ptCount val="9"/>
                <c:pt idx="0">
                  <c:v>181.9</c:v>
                </c:pt>
                <c:pt idx="1">
                  <c:v>170.2</c:v>
                </c:pt>
                <c:pt idx="2">
                  <c:v>160.69999999999999</c:v>
                </c:pt>
                <c:pt idx="3">
                  <c:v>160.69999999999999</c:v>
                </c:pt>
                <c:pt idx="4">
                  <c:v>160.69999999999999</c:v>
                </c:pt>
                <c:pt idx="5">
                  <c:v>160.9</c:v>
                </c:pt>
                <c:pt idx="6">
                  <c:v>145.30000000000001</c:v>
                </c:pt>
                <c:pt idx="7">
                  <c:v>220.8</c:v>
                </c:pt>
                <c:pt idx="8">
                  <c:v>221</c:v>
                </c:pt>
              </c:numCache>
            </c:numRef>
          </c:val>
          <c:smooth val="0"/>
        </c:ser>
        <c:dLbls>
          <c:showLegendKey val="0"/>
          <c:showVal val="0"/>
          <c:showCatName val="0"/>
          <c:showSerName val="0"/>
          <c:showPercent val="0"/>
          <c:showBubbleSize val="0"/>
        </c:dLbls>
        <c:marker val="1"/>
        <c:smooth val="0"/>
        <c:axId val="286477112"/>
        <c:axId val="286477504"/>
      </c:lineChart>
      <c:catAx>
        <c:axId val="28647711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dirty="0" smtClean="0"/>
                  <a:t>Financial years</a:t>
                </a:r>
                <a:endParaRPr lang="en-AU" sz="800" dirty="0"/>
              </a:p>
            </c:rich>
          </c:tx>
          <c:layout>
            <c:manualLayout>
              <c:xMode val="edge"/>
              <c:yMode val="edge"/>
              <c:x val="0.48752417076641252"/>
              <c:y val="0.7430307043429443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6477504"/>
        <c:crosses val="autoZero"/>
        <c:auto val="1"/>
        <c:lblAlgn val="ctr"/>
        <c:lblOffset val="100"/>
        <c:noMultiLvlLbl val="0"/>
      </c:catAx>
      <c:valAx>
        <c:axId val="286477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dirty="0" smtClean="0"/>
                  <a:t>$’millions</a:t>
                </a:r>
                <a:endParaRPr lang="en-AU" sz="800" dirty="0"/>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6477112"/>
        <c:crosses val="autoZero"/>
        <c:crossBetween val="between"/>
      </c:valAx>
      <c:spPr>
        <a:noFill/>
        <a:ln>
          <a:noFill/>
        </a:ln>
        <a:effectLst/>
      </c:spPr>
    </c:plotArea>
    <c:legend>
      <c:legendPos val="b"/>
      <c:layout>
        <c:manualLayout>
          <c:xMode val="edge"/>
          <c:yMode val="edge"/>
          <c:x val="3.7931474781868479E-2"/>
          <c:y val="0.83214309810019826"/>
          <c:w val="0.9474543186076303"/>
          <c:h val="0.124653377111307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557209645669287E-2"/>
          <c:y val="1.7121184970399547E-2"/>
          <c:w val="0.92687733759842517"/>
          <c:h val="0.67507746831462423"/>
        </c:manualLayout>
      </c:layout>
      <c:lineChart>
        <c:grouping val="standard"/>
        <c:varyColors val="0"/>
        <c:ser>
          <c:idx val="0"/>
          <c:order val="0"/>
          <c:tx>
            <c:strRef>
              <c:f>Sheet1!$B$1</c:f>
              <c:strCache>
                <c:ptCount val="1"/>
                <c:pt idx="0">
                  <c:v>Annual numbering charge</c:v>
                </c:pt>
              </c:strCache>
            </c:strRef>
          </c:tx>
          <c:spPr>
            <a:ln w="28575" cap="rnd">
              <a:solidFill>
                <a:schemeClr val="accent1"/>
              </a:solidFill>
              <a:round/>
            </a:ln>
            <a:effectLst/>
          </c:spPr>
          <c:marker>
            <c:symbol val="x"/>
            <c:size val="7"/>
            <c:spPr>
              <a:noFill/>
              <a:ln w="9525">
                <a:solidFill>
                  <a:schemeClr val="accent1"/>
                </a:solidFill>
              </a:ln>
              <a:effectLst/>
            </c:spPr>
          </c:marker>
          <c:cat>
            <c:strRef>
              <c:f>Sheet1!$A$2:$A$10</c:f>
              <c:strCache>
                <c:ptCount val="9"/>
                <c:pt idx="0">
                  <c:v>2006-07</c:v>
                </c:pt>
                <c:pt idx="1">
                  <c:v>2007-08</c:v>
                </c:pt>
                <c:pt idx="2">
                  <c:v>2008-09</c:v>
                </c:pt>
                <c:pt idx="3">
                  <c:v>2009-10</c:v>
                </c:pt>
                <c:pt idx="4">
                  <c:v>2010-11</c:v>
                </c:pt>
                <c:pt idx="5">
                  <c:v>2011-12</c:v>
                </c:pt>
                <c:pt idx="6">
                  <c:v>2012-13</c:v>
                </c:pt>
                <c:pt idx="7">
                  <c:v>2013-14</c:v>
                </c:pt>
                <c:pt idx="8">
                  <c:v>2014-15</c:v>
                </c:pt>
              </c:strCache>
            </c:strRef>
          </c:cat>
          <c:val>
            <c:numRef>
              <c:f>Sheet1!$B$2:$B$10</c:f>
              <c:numCache>
                <c:formatCode>General</c:formatCode>
                <c:ptCount val="9"/>
                <c:pt idx="0">
                  <c:v>60</c:v>
                </c:pt>
                <c:pt idx="1">
                  <c:v>60</c:v>
                </c:pt>
                <c:pt idx="2">
                  <c:v>59.9</c:v>
                </c:pt>
                <c:pt idx="3">
                  <c:v>60</c:v>
                </c:pt>
                <c:pt idx="4">
                  <c:v>60</c:v>
                </c:pt>
                <c:pt idx="5">
                  <c:v>60</c:v>
                </c:pt>
                <c:pt idx="6">
                  <c:v>60</c:v>
                </c:pt>
                <c:pt idx="7">
                  <c:v>60</c:v>
                </c:pt>
                <c:pt idx="8">
                  <c:v>60</c:v>
                </c:pt>
              </c:numCache>
            </c:numRef>
          </c:val>
          <c:smooth val="0"/>
        </c:ser>
        <c:ser>
          <c:idx val="1"/>
          <c:order val="1"/>
          <c:tx>
            <c:strRef>
              <c:f>Sheet1!$C$1</c:f>
              <c:strCache>
                <c:ptCount val="1"/>
                <c:pt idx="0">
                  <c:v>Apparatus licence tax</c:v>
                </c:pt>
              </c:strCache>
            </c:strRef>
          </c:tx>
          <c:spPr>
            <a:ln w="28575" cap="rnd">
              <a:solidFill>
                <a:schemeClr val="accent2"/>
              </a:solidFill>
              <a:round/>
            </a:ln>
            <a:effectLst/>
          </c:spPr>
          <c:marker>
            <c:symbol val="diamond"/>
            <c:size val="8"/>
            <c:spPr>
              <a:solidFill>
                <a:schemeClr val="accent2"/>
              </a:solidFill>
              <a:ln w="9525">
                <a:solidFill>
                  <a:schemeClr val="accent2"/>
                </a:solidFill>
              </a:ln>
              <a:effectLst/>
            </c:spPr>
          </c:marker>
          <c:cat>
            <c:strRef>
              <c:f>Sheet1!$A$2:$A$10</c:f>
              <c:strCache>
                <c:ptCount val="9"/>
                <c:pt idx="0">
                  <c:v>2006-07</c:v>
                </c:pt>
                <c:pt idx="1">
                  <c:v>2007-08</c:v>
                </c:pt>
                <c:pt idx="2">
                  <c:v>2008-09</c:v>
                </c:pt>
                <c:pt idx="3">
                  <c:v>2009-10</c:v>
                </c:pt>
                <c:pt idx="4">
                  <c:v>2010-11</c:v>
                </c:pt>
                <c:pt idx="5">
                  <c:v>2011-12</c:v>
                </c:pt>
                <c:pt idx="6">
                  <c:v>2012-13</c:v>
                </c:pt>
                <c:pt idx="7">
                  <c:v>2013-14</c:v>
                </c:pt>
                <c:pt idx="8">
                  <c:v>2014-15</c:v>
                </c:pt>
              </c:strCache>
            </c:strRef>
          </c:cat>
          <c:val>
            <c:numRef>
              <c:f>Sheet1!$C$2:$C$10</c:f>
              <c:numCache>
                <c:formatCode>General</c:formatCode>
                <c:ptCount val="9"/>
                <c:pt idx="0">
                  <c:v>129.9</c:v>
                </c:pt>
                <c:pt idx="1">
                  <c:v>142.9</c:v>
                </c:pt>
                <c:pt idx="2">
                  <c:v>150.30000000000001</c:v>
                </c:pt>
                <c:pt idx="3">
                  <c:v>153.9</c:v>
                </c:pt>
                <c:pt idx="4">
                  <c:v>161.9</c:v>
                </c:pt>
                <c:pt idx="5">
                  <c:v>146</c:v>
                </c:pt>
                <c:pt idx="6">
                  <c:v>119</c:v>
                </c:pt>
                <c:pt idx="7">
                  <c:v>171</c:v>
                </c:pt>
                <c:pt idx="8">
                  <c:v>149.1</c:v>
                </c:pt>
              </c:numCache>
            </c:numRef>
          </c:val>
          <c:smooth val="0"/>
        </c:ser>
        <c:ser>
          <c:idx val="2"/>
          <c:order val="2"/>
          <c:tx>
            <c:strRef>
              <c:f>Sheet1!$D$1</c:f>
              <c:strCache>
                <c:ptCount val="1"/>
                <c:pt idx="0">
                  <c:v>Spectrum licence tax</c:v>
                </c:pt>
              </c:strCache>
            </c:strRef>
          </c:tx>
          <c:spPr>
            <a:ln w="28575" cap="rnd">
              <a:solidFill>
                <a:schemeClr val="accent3"/>
              </a:solidFill>
              <a:round/>
            </a:ln>
            <a:effectLst/>
          </c:spPr>
          <c:marker>
            <c:symbol val="star"/>
            <c:size val="6"/>
            <c:spPr>
              <a:noFill/>
              <a:ln w="9525">
                <a:solidFill>
                  <a:schemeClr val="accent3"/>
                </a:solidFill>
              </a:ln>
              <a:effectLst/>
            </c:spPr>
          </c:marker>
          <c:cat>
            <c:strRef>
              <c:f>Sheet1!$A$2:$A$10</c:f>
              <c:strCache>
                <c:ptCount val="9"/>
                <c:pt idx="0">
                  <c:v>2006-07</c:v>
                </c:pt>
                <c:pt idx="1">
                  <c:v>2007-08</c:v>
                </c:pt>
                <c:pt idx="2">
                  <c:v>2008-09</c:v>
                </c:pt>
                <c:pt idx="3">
                  <c:v>2009-10</c:v>
                </c:pt>
                <c:pt idx="4">
                  <c:v>2010-11</c:v>
                </c:pt>
                <c:pt idx="5">
                  <c:v>2011-12</c:v>
                </c:pt>
                <c:pt idx="6">
                  <c:v>2012-13</c:v>
                </c:pt>
                <c:pt idx="7">
                  <c:v>2013-14</c:v>
                </c:pt>
                <c:pt idx="8">
                  <c:v>2014-15</c:v>
                </c:pt>
              </c:strCache>
            </c:strRef>
          </c:cat>
          <c:val>
            <c:numRef>
              <c:f>Sheet1!$D$2:$D$10</c:f>
              <c:numCache>
                <c:formatCode>General</c:formatCode>
                <c:ptCount val="9"/>
                <c:pt idx="0">
                  <c:v>0.3</c:v>
                </c:pt>
                <c:pt idx="1">
                  <c:v>0.3</c:v>
                </c:pt>
                <c:pt idx="2">
                  <c:v>0.5</c:v>
                </c:pt>
                <c:pt idx="3">
                  <c:v>0.3</c:v>
                </c:pt>
                <c:pt idx="4">
                  <c:v>0.4</c:v>
                </c:pt>
                <c:pt idx="5">
                  <c:v>0.5</c:v>
                </c:pt>
                <c:pt idx="6">
                  <c:v>0.3</c:v>
                </c:pt>
                <c:pt idx="7">
                  <c:v>0.3</c:v>
                </c:pt>
                <c:pt idx="8">
                  <c:v>0.4</c:v>
                </c:pt>
              </c:numCache>
            </c:numRef>
          </c:val>
          <c:smooth val="0"/>
        </c:ser>
        <c:ser>
          <c:idx val="3"/>
          <c:order val="3"/>
          <c:tx>
            <c:strRef>
              <c:f>Sheet1!$E$1</c:f>
              <c:strCache>
                <c:ptCount val="1"/>
                <c:pt idx="0">
                  <c:v>Broadcasting licence fees and datacasting charge</c:v>
                </c:pt>
              </c:strCache>
            </c:strRef>
          </c:tx>
          <c:spPr>
            <a:ln w="28575" cap="rnd">
              <a:solidFill>
                <a:schemeClr val="accent4"/>
              </a:solidFill>
              <a:round/>
            </a:ln>
            <a:effectLst/>
          </c:spPr>
          <c:marker>
            <c:symbol val="circle"/>
            <c:size val="7"/>
            <c:spPr>
              <a:solidFill>
                <a:schemeClr val="accent4"/>
              </a:solidFill>
              <a:ln w="9525">
                <a:solidFill>
                  <a:schemeClr val="accent4"/>
                </a:solidFill>
              </a:ln>
              <a:effectLst/>
            </c:spPr>
          </c:marker>
          <c:cat>
            <c:strRef>
              <c:f>Sheet1!$A$2:$A$10</c:f>
              <c:strCache>
                <c:ptCount val="9"/>
                <c:pt idx="0">
                  <c:v>2006-07</c:v>
                </c:pt>
                <c:pt idx="1">
                  <c:v>2007-08</c:v>
                </c:pt>
                <c:pt idx="2">
                  <c:v>2008-09</c:v>
                </c:pt>
                <c:pt idx="3">
                  <c:v>2009-10</c:v>
                </c:pt>
                <c:pt idx="4">
                  <c:v>2010-11</c:v>
                </c:pt>
                <c:pt idx="5">
                  <c:v>2011-12</c:v>
                </c:pt>
                <c:pt idx="6">
                  <c:v>2012-13</c:v>
                </c:pt>
                <c:pt idx="7">
                  <c:v>2013-14</c:v>
                </c:pt>
                <c:pt idx="8">
                  <c:v>2014-15</c:v>
                </c:pt>
              </c:strCache>
            </c:strRef>
          </c:cat>
          <c:val>
            <c:numRef>
              <c:f>Sheet1!$E$2:$E$10</c:f>
              <c:numCache>
                <c:formatCode>General</c:formatCode>
                <c:ptCount val="9"/>
                <c:pt idx="0">
                  <c:v>275.7</c:v>
                </c:pt>
                <c:pt idx="1">
                  <c:v>288.2</c:v>
                </c:pt>
                <c:pt idx="2">
                  <c:v>341</c:v>
                </c:pt>
                <c:pt idx="3">
                  <c:v>241.4</c:v>
                </c:pt>
                <c:pt idx="4">
                  <c:v>150.4</c:v>
                </c:pt>
                <c:pt idx="5">
                  <c:v>231.2</c:v>
                </c:pt>
                <c:pt idx="6">
                  <c:v>167.4</c:v>
                </c:pt>
                <c:pt idx="7">
                  <c:v>157.19999999999999</c:v>
                </c:pt>
                <c:pt idx="8">
                  <c:v>185.4</c:v>
                </c:pt>
              </c:numCache>
            </c:numRef>
          </c:val>
          <c:smooth val="0"/>
        </c:ser>
        <c:ser>
          <c:idx val="4"/>
          <c:order val="4"/>
          <c:tx>
            <c:strRef>
              <c:f>Sheet1!$F$1</c:f>
              <c:strCache>
                <c:ptCount val="1"/>
                <c:pt idx="0">
                  <c:v>Annual carrier licence charge</c:v>
                </c:pt>
              </c:strCache>
            </c:strRef>
          </c:tx>
          <c:spPr>
            <a:ln w="28575" cap="rnd">
              <a:solidFill>
                <a:schemeClr val="accent5"/>
              </a:solidFill>
              <a:round/>
            </a:ln>
            <a:effectLst/>
          </c:spPr>
          <c:marker>
            <c:symbol val="circle"/>
            <c:size val="7"/>
            <c:spPr>
              <a:solidFill>
                <a:schemeClr val="accent5"/>
              </a:solidFill>
              <a:ln w="9525">
                <a:solidFill>
                  <a:schemeClr val="accent5"/>
                </a:solidFill>
              </a:ln>
              <a:effectLst/>
            </c:spPr>
          </c:marker>
          <c:cat>
            <c:strRef>
              <c:f>Sheet1!$A$2:$A$10</c:f>
              <c:strCache>
                <c:ptCount val="9"/>
                <c:pt idx="0">
                  <c:v>2006-07</c:v>
                </c:pt>
                <c:pt idx="1">
                  <c:v>2007-08</c:v>
                </c:pt>
                <c:pt idx="2">
                  <c:v>2008-09</c:v>
                </c:pt>
                <c:pt idx="3">
                  <c:v>2009-10</c:v>
                </c:pt>
                <c:pt idx="4">
                  <c:v>2010-11</c:v>
                </c:pt>
                <c:pt idx="5">
                  <c:v>2011-12</c:v>
                </c:pt>
                <c:pt idx="6">
                  <c:v>2012-13</c:v>
                </c:pt>
                <c:pt idx="7">
                  <c:v>2013-14</c:v>
                </c:pt>
                <c:pt idx="8">
                  <c:v>2014-15</c:v>
                </c:pt>
              </c:strCache>
            </c:strRef>
          </c:cat>
          <c:val>
            <c:numRef>
              <c:f>Sheet1!$F$2:$F$10</c:f>
              <c:numCache>
                <c:formatCode>General</c:formatCode>
                <c:ptCount val="9"/>
                <c:pt idx="0">
                  <c:v>33.700000000000003</c:v>
                </c:pt>
                <c:pt idx="1">
                  <c:v>37</c:v>
                </c:pt>
                <c:pt idx="2">
                  <c:v>36.200000000000003</c:v>
                </c:pt>
                <c:pt idx="3">
                  <c:v>39.5</c:v>
                </c:pt>
                <c:pt idx="4">
                  <c:v>37.700000000000003</c:v>
                </c:pt>
                <c:pt idx="5">
                  <c:v>38.1</c:v>
                </c:pt>
                <c:pt idx="6">
                  <c:v>38.9</c:v>
                </c:pt>
                <c:pt idx="7">
                  <c:v>38.299999999999997</c:v>
                </c:pt>
                <c:pt idx="8">
                  <c:v>38.700000000000003</c:v>
                </c:pt>
              </c:numCache>
            </c:numRef>
          </c:val>
          <c:smooth val="0"/>
        </c:ser>
        <c:ser>
          <c:idx val="5"/>
          <c:order val="5"/>
          <c:tx>
            <c:strRef>
              <c:f>Sheet1!$G$1</c:f>
              <c:strCache>
                <c:ptCount val="1"/>
                <c:pt idx="0">
                  <c:v>Telco industry levy</c:v>
                </c:pt>
              </c:strCache>
            </c:strRef>
          </c:tx>
          <c:spPr>
            <a:ln w="28575" cap="rnd">
              <a:solidFill>
                <a:schemeClr val="accent6"/>
              </a:solidFill>
              <a:round/>
            </a:ln>
            <a:effectLst/>
          </c:spPr>
          <c:marker>
            <c:symbol val="square"/>
            <c:size val="5"/>
            <c:spPr>
              <a:solidFill>
                <a:schemeClr val="accent6"/>
              </a:solidFill>
              <a:ln w="9525">
                <a:solidFill>
                  <a:schemeClr val="accent6"/>
                </a:solidFill>
              </a:ln>
              <a:effectLst/>
            </c:spPr>
          </c:marker>
          <c:cat>
            <c:strRef>
              <c:f>Sheet1!$A$2:$A$10</c:f>
              <c:strCache>
                <c:ptCount val="9"/>
                <c:pt idx="0">
                  <c:v>2006-07</c:v>
                </c:pt>
                <c:pt idx="1">
                  <c:v>2007-08</c:v>
                </c:pt>
                <c:pt idx="2">
                  <c:v>2008-09</c:v>
                </c:pt>
                <c:pt idx="3">
                  <c:v>2009-10</c:v>
                </c:pt>
                <c:pt idx="4">
                  <c:v>2010-11</c:v>
                </c:pt>
                <c:pt idx="5">
                  <c:v>2011-12</c:v>
                </c:pt>
                <c:pt idx="6">
                  <c:v>2012-13</c:v>
                </c:pt>
                <c:pt idx="7">
                  <c:v>2013-14</c:v>
                </c:pt>
                <c:pt idx="8">
                  <c:v>2014-15</c:v>
                </c:pt>
              </c:strCache>
            </c:strRef>
          </c:cat>
          <c:val>
            <c:numRef>
              <c:f>Sheet1!$G$2:$G$10</c:f>
              <c:numCache>
                <c:formatCode>General</c:formatCode>
                <c:ptCount val="9"/>
                <c:pt idx="0">
                  <c:v>181.9</c:v>
                </c:pt>
                <c:pt idx="1">
                  <c:v>170.2</c:v>
                </c:pt>
                <c:pt idx="2">
                  <c:v>160.69999999999999</c:v>
                </c:pt>
                <c:pt idx="3">
                  <c:v>160.69999999999999</c:v>
                </c:pt>
                <c:pt idx="4">
                  <c:v>160.69999999999999</c:v>
                </c:pt>
                <c:pt idx="5">
                  <c:v>160.9</c:v>
                </c:pt>
                <c:pt idx="6">
                  <c:v>145.30000000000001</c:v>
                </c:pt>
                <c:pt idx="7">
                  <c:v>220.8</c:v>
                </c:pt>
                <c:pt idx="8">
                  <c:v>221</c:v>
                </c:pt>
              </c:numCache>
            </c:numRef>
          </c:val>
          <c:smooth val="0"/>
        </c:ser>
        <c:dLbls>
          <c:showLegendKey val="0"/>
          <c:showVal val="0"/>
          <c:showCatName val="0"/>
          <c:showSerName val="0"/>
          <c:showPercent val="0"/>
          <c:showBubbleSize val="0"/>
        </c:dLbls>
        <c:marker val="1"/>
        <c:smooth val="0"/>
        <c:axId val="286477896"/>
        <c:axId val="286478288"/>
      </c:lineChart>
      <c:catAx>
        <c:axId val="28647789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dirty="0" smtClean="0"/>
                  <a:t>Financial years</a:t>
                </a:r>
                <a:endParaRPr lang="en-AU" sz="800" dirty="0"/>
              </a:p>
            </c:rich>
          </c:tx>
          <c:layout>
            <c:manualLayout>
              <c:xMode val="edge"/>
              <c:yMode val="edge"/>
              <c:x val="0.48752417076641252"/>
              <c:y val="0.7430307043429443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6478288"/>
        <c:crosses val="autoZero"/>
        <c:auto val="1"/>
        <c:lblAlgn val="ctr"/>
        <c:lblOffset val="100"/>
        <c:noMultiLvlLbl val="0"/>
      </c:catAx>
      <c:valAx>
        <c:axId val="286478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dirty="0" smtClean="0"/>
                  <a:t>$’millions</a:t>
                </a:r>
                <a:endParaRPr lang="en-AU" sz="800" dirty="0"/>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6477896"/>
        <c:crosses val="autoZero"/>
        <c:crossBetween val="between"/>
      </c:valAx>
      <c:spPr>
        <a:noFill/>
        <a:ln>
          <a:noFill/>
        </a:ln>
        <a:effectLst/>
      </c:spPr>
    </c:plotArea>
    <c:legend>
      <c:legendPos val="b"/>
      <c:layout>
        <c:manualLayout>
          <c:xMode val="edge"/>
          <c:yMode val="edge"/>
          <c:x val="3.7931474781868479E-2"/>
          <c:y val="0.83214309810019826"/>
          <c:w val="0.9474543186076303"/>
          <c:h val="0.124653377111307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F585EE9E20F942A35BE6D6D12CE284" ma:contentTypeVersion="0" ma:contentTypeDescription="Create a new document." ma:contentTypeScope="" ma:versionID="933249710d4465955d7daabd7abd2a3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5D39C-B893-4D0A-BDF4-67A0722FBB4D}">
  <ds:schemaRefs>
    <ds:schemaRef ds:uri="http://schemas.microsoft.com/sharepoint/v3/contenttype/forms"/>
  </ds:schemaRefs>
</ds:datastoreItem>
</file>

<file path=customXml/itemProps2.xml><?xml version="1.0" encoding="utf-8"?>
<ds:datastoreItem xmlns:ds="http://schemas.openxmlformats.org/officeDocument/2006/customXml" ds:itemID="{49C5EF60-E314-4A53-A216-3B0745C5D34A}">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B509A8D8-CF8E-460F-AEAC-A8DF34B056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D8D8EAE-17D9-4A84-8E92-001C5A81C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40176</Words>
  <Characters>229009</Characters>
  <Application>Microsoft Office Word</Application>
  <DocSecurity>0</DocSecurity>
  <Lines>1908</Lines>
  <Paragraphs>537</Paragraphs>
  <ScaleCrop>false</ScaleCrop>
  <HeadingPairs>
    <vt:vector size="2" baseType="variant">
      <vt:variant>
        <vt:lpstr>Title</vt:lpstr>
      </vt:variant>
      <vt:variant>
        <vt:i4>1</vt:i4>
      </vt:variant>
    </vt:vector>
  </HeadingPairs>
  <TitlesOfParts>
    <vt:vector size="1" baseType="lpstr">
      <vt:lpstr>ACMA Review Draft Report 6 May</vt:lpstr>
    </vt:vector>
  </TitlesOfParts>
  <Company/>
  <LinksUpToDate>false</LinksUpToDate>
  <CharactersWithSpaces>268648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ACMA Review Draft Report 6 May</dc:title>
  <dc:subject/>
  <dc:creator/>
  <cp:keywords/>
  <dc:description/>
  <cp:lastModifiedBy/>
  <cp:revision>1</cp:revision>
  <dcterms:created xsi:type="dcterms:W3CDTF">2016-05-06T05:54:00Z</dcterms:created>
  <dcterms:modified xsi:type="dcterms:W3CDTF">2016-05-06T05:54:00Z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0x010100DFF585EE9E20F942A35BE6D6D12CE284</vt:lpwstr>
  </property>
  <property fmtid="{D5CDD505-2E9C-101B-9397-08002B2CF9AE}" pid="3" name="TrimRevisionNumber">
    <vt:i4>3</vt:i4>
  </property>
</Properties>
</file>