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121FFC" w14:textId="77777777" w:rsidR="00471D95" w:rsidRDefault="00B10FEC" w:rsidP="00B10FEC">
      <w:pPr>
        <w:spacing w:after="480"/>
      </w:pPr>
      <w:bookmarkStart w:id="0" w:name="_Hlk481682412"/>
      <w:bookmarkEnd w:id="0"/>
      <w:r w:rsidRPr="005F0F56">
        <w:rPr>
          <w:noProof/>
          <w:lang w:eastAsia="en-AU"/>
        </w:rPr>
        <w:drawing>
          <wp:inline distT="0" distB="0" distL="0" distR="0" wp14:anchorId="03E4DF41" wp14:editId="7E55694C">
            <wp:extent cx="1152000" cy="471600"/>
            <wp:effectExtent l="0" t="0" r="0" b="5080"/>
            <wp:docPr id="14" name="Picture 14" descr="Logo: plum&#10;&#10;plumconsulting.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UM RG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2000" cy="471600"/>
                    </a:xfrm>
                    <a:prstGeom prst="rect">
                      <a:avLst/>
                    </a:prstGeom>
                  </pic:spPr>
                </pic:pic>
              </a:graphicData>
            </a:graphic>
          </wp:inline>
        </w:drawing>
      </w:r>
    </w:p>
    <w:p w14:paraId="7D61C123" w14:textId="77777777" w:rsidR="00B10FEC" w:rsidRPr="00824D40" w:rsidRDefault="00B10FEC" w:rsidP="00824D40">
      <w:pPr>
        <w:pStyle w:val="Heading1"/>
        <w:shd w:val="clear" w:color="auto" w:fill="7030A0"/>
        <w:ind w:hanging="1418"/>
        <w:rPr>
          <w:color w:val="FFFFFF" w:themeColor="background1"/>
        </w:rPr>
      </w:pPr>
      <w:r>
        <w:tab/>
      </w:r>
      <w:r w:rsidR="00824D40" w:rsidRPr="00824D40">
        <w:rPr>
          <w:color w:val="FFFFFF" w:themeColor="background1"/>
        </w:rPr>
        <w:fldChar w:fldCharType="begin"/>
      </w:r>
      <w:r w:rsidR="00824D40" w:rsidRPr="00824D40">
        <w:rPr>
          <w:color w:val="FFFFFF" w:themeColor="background1"/>
        </w:rPr>
        <w:instrText xml:space="preserve"> DOCPROPERTY "Title" \* MERGEFORMAT </w:instrText>
      </w:r>
      <w:r w:rsidR="00824D40" w:rsidRPr="00824D40">
        <w:rPr>
          <w:color w:val="FFFFFF" w:themeColor="background1"/>
        </w:rPr>
        <w:fldChar w:fldCharType="separate"/>
      </w:r>
      <w:r w:rsidRPr="00824D40">
        <w:rPr>
          <w:color w:val="FFFFFF" w:themeColor="background1"/>
        </w:rPr>
        <w:t>Coexistence of terrestrial and satellite services at 26 GHz</w:t>
      </w:r>
      <w:r w:rsidR="00824D40" w:rsidRPr="00824D40">
        <w:rPr>
          <w:color w:val="FFFFFF" w:themeColor="background1"/>
        </w:rPr>
        <w:fldChar w:fldCharType="end"/>
      </w:r>
    </w:p>
    <w:p w14:paraId="2A3B5D91" w14:textId="77777777" w:rsidR="00B10FEC" w:rsidRPr="00824D40" w:rsidRDefault="00B10FEC" w:rsidP="00824D40">
      <w:pPr>
        <w:pStyle w:val="Subtitle"/>
        <w:shd w:val="clear" w:color="auto" w:fill="7030A0"/>
        <w:tabs>
          <w:tab w:val="left" w:pos="0"/>
        </w:tabs>
        <w:spacing w:before="0" w:after="0"/>
        <w:ind w:right="-1134" w:hanging="1418"/>
        <w:rPr>
          <w:rFonts w:ascii="Segoe UI" w:hAnsi="Segoe UI" w:cs="Segoe UI"/>
          <w:b/>
        </w:rPr>
      </w:pPr>
      <w:r w:rsidRPr="00824D40">
        <w:rPr>
          <w:rFonts w:asciiTheme="majorHAnsi" w:hAnsiTheme="majorHAnsi"/>
        </w:rPr>
        <w:tab/>
      </w:r>
      <w:r w:rsidRPr="00824D40">
        <w:rPr>
          <w:rFonts w:ascii="Segoe UI" w:hAnsi="Segoe UI" w:cs="Segoe UI"/>
          <w:b/>
        </w:rPr>
        <w:fldChar w:fldCharType="begin"/>
      </w:r>
      <w:r w:rsidRPr="00824D40">
        <w:rPr>
          <w:rFonts w:ascii="Segoe UI" w:hAnsi="Segoe UI" w:cs="Segoe UI"/>
          <w:b/>
        </w:rPr>
        <w:instrText xml:space="preserve"> DOCPROPERTY "Date" \* MERGEFORMAT </w:instrText>
      </w:r>
      <w:r w:rsidRPr="00824D40">
        <w:rPr>
          <w:rFonts w:ascii="Segoe UI" w:hAnsi="Segoe UI" w:cs="Segoe UI"/>
          <w:b/>
        </w:rPr>
        <w:fldChar w:fldCharType="separate"/>
      </w:r>
      <w:r w:rsidRPr="00824D40">
        <w:rPr>
          <w:rFonts w:ascii="Segoe UI" w:hAnsi="Segoe UI" w:cs="Segoe UI"/>
          <w:b/>
        </w:rPr>
        <w:t>September 2019</w:t>
      </w:r>
      <w:r w:rsidRPr="00824D40">
        <w:rPr>
          <w:rFonts w:ascii="Segoe UI" w:hAnsi="Segoe UI" w:cs="Segoe UI"/>
          <w:b/>
        </w:rPr>
        <w:fldChar w:fldCharType="end"/>
      </w:r>
    </w:p>
    <w:p w14:paraId="42815546" w14:textId="77777777" w:rsidR="00B10FEC" w:rsidRPr="00824D40" w:rsidRDefault="00B10FEC" w:rsidP="00824D40">
      <w:pPr>
        <w:pStyle w:val="Authors"/>
        <w:shd w:val="clear" w:color="auto" w:fill="7030A0"/>
        <w:tabs>
          <w:tab w:val="left" w:pos="0"/>
        </w:tabs>
        <w:ind w:right="-1134" w:hanging="1418"/>
        <w:rPr>
          <w:rFonts w:ascii="Segoe UI" w:hAnsi="Segoe UI" w:cs="Segoe UI"/>
        </w:rPr>
      </w:pPr>
      <w:r w:rsidRPr="00824D40">
        <w:rPr>
          <w:rFonts w:ascii="Segoe UI" w:hAnsi="Segoe UI" w:cs="Segoe UI"/>
        </w:rPr>
        <w:tab/>
      </w:r>
      <w:r w:rsidRPr="00824D40">
        <w:rPr>
          <w:rFonts w:ascii="Segoe UI" w:hAnsi="Segoe UI" w:cs="Segoe UI"/>
          <w:noProof/>
          <w:lang w:val="en-AU" w:eastAsia="en-AU"/>
        </w:rPr>
        <w:drawing>
          <wp:inline distT="0" distB="0" distL="0" distR="0" wp14:anchorId="2DB57AA7" wp14:editId="262F1DD4">
            <wp:extent cx="1091565" cy="24130"/>
            <wp:effectExtent l="0" t="0" r="0" b="0"/>
            <wp:docPr id="18" name="Picture 18" descr="Whit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91565" cy="24130"/>
                    </a:xfrm>
                    <a:prstGeom prst="rect">
                      <a:avLst/>
                    </a:prstGeom>
                    <a:noFill/>
                  </pic:spPr>
                </pic:pic>
              </a:graphicData>
            </a:graphic>
          </wp:inline>
        </w:drawing>
      </w:r>
    </w:p>
    <w:p w14:paraId="76B130D9" w14:textId="77777777" w:rsidR="00B10FEC" w:rsidRPr="00824D40" w:rsidRDefault="00B10FEC" w:rsidP="00824D40">
      <w:pPr>
        <w:pStyle w:val="Authors"/>
        <w:shd w:val="clear" w:color="auto" w:fill="7030A0"/>
        <w:tabs>
          <w:tab w:val="left" w:pos="0"/>
        </w:tabs>
        <w:ind w:right="-1134" w:hanging="1418"/>
        <w:rPr>
          <w:rFonts w:ascii="Segoe UI" w:hAnsi="Segoe UI" w:cs="Segoe UI"/>
          <w:sz w:val="12"/>
        </w:rPr>
      </w:pPr>
    </w:p>
    <w:p w14:paraId="06ABED8C" w14:textId="77777777" w:rsidR="00B10FEC" w:rsidRPr="00824D40" w:rsidRDefault="00B10FEC" w:rsidP="00824D40">
      <w:pPr>
        <w:pStyle w:val="Authors"/>
        <w:shd w:val="clear" w:color="auto" w:fill="7030A0"/>
        <w:tabs>
          <w:tab w:val="left" w:pos="0"/>
        </w:tabs>
        <w:spacing w:before="840"/>
        <w:ind w:right="-1134" w:hanging="1418"/>
        <w:rPr>
          <w:rFonts w:ascii="Segoe UI" w:hAnsi="Segoe UI" w:cs="Segoe UI"/>
          <w:b/>
        </w:rPr>
      </w:pPr>
      <w:r w:rsidRPr="00824D40">
        <w:rPr>
          <w:rFonts w:ascii="Segoe UI" w:hAnsi="Segoe UI" w:cs="Segoe UI"/>
        </w:rPr>
        <w:tab/>
      </w:r>
      <w:r w:rsidRPr="00824D40">
        <w:rPr>
          <w:rFonts w:ascii="Segoe UI" w:hAnsi="Segoe UI" w:cs="Segoe UI"/>
          <w:b/>
        </w:rPr>
        <w:fldChar w:fldCharType="begin"/>
      </w:r>
      <w:r w:rsidRPr="00824D40">
        <w:rPr>
          <w:rFonts w:ascii="Segoe UI" w:hAnsi="Segoe UI" w:cs="Segoe UI"/>
          <w:b/>
        </w:rPr>
        <w:instrText xml:space="preserve"> DOCPROPERTY "Author Names" \* MERGEFORMAT </w:instrText>
      </w:r>
      <w:r w:rsidRPr="00824D40">
        <w:rPr>
          <w:rFonts w:ascii="Segoe UI" w:hAnsi="Segoe UI" w:cs="Segoe UI"/>
          <w:b/>
        </w:rPr>
        <w:fldChar w:fldCharType="separate"/>
      </w:r>
      <w:r w:rsidRPr="00824D40">
        <w:rPr>
          <w:rFonts w:ascii="Segoe UI" w:hAnsi="Segoe UI" w:cs="Segoe UI"/>
          <w:b/>
        </w:rPr>
        <w:t>Richard Rudd</w:t>
      </w:r>
    </w:p>
    <w:p w14:paraId="0CC4B8F4" w14:textId="77777777" w:rsidR="00B10FEC" w:rsidRPr="00824D40" w:rsidRDefault="00B10FEC" w:rsidP="00824D40">
      <w:pPr>
        <w:pStyle w:val="Authors"/>
        <w:shd w:val="clear" w:color="auto" w:fill="7030A0"/>
        <w:tabs>
          <w:tab w:val="left" w:pos="0"/>
        </w:tabs>
        <w:spacing w:before="840"/>
        <w:ind w:right="-1134" w:hanging="1418"/>
        <w:rPr>
          <w:rFonts w:ascii="Segoe UI" w:hAnsi="Segoe UI" w:cs="Segoe UI"/>
          <w:b/>
        </w:rPr>
      </w:pPr>
      <w:r w:rsidRPr="00824D40">
        <w:rPr>
          <w:rFonts w:ascii="Segoe UI" w:hAnsi="Segoe UI" w:cs="Segoe UI"/>
          <w:b/>
        </w:rPr>
        <w:tab/>
      </w:r>
      <w:proofErr w:type="spellStart"/>
      <w:r w:rsidRPr="00824D40">
        <w:rPr>
          <w:rFonts w:ascii="Segoe UI" w:hAnsi="Segoe UI" w:cs="Segoe UI"/>
          <w:b/>
        </w:rPr>
        <w:t>Selcuk</w:t>
      </w:r>
      <w:proofErr w:type="spellEnd"/>
      <w:r w:rsidRPr="00824D40">
        <w:rPr>
          <w:rFonts w:ascii="Segoe UI" w:hAnsi="Segoe UI" w:cs="Segoe UI"/>
          <w:b/>
        </w:rPr>
        <w:t xml:space="preserve"> </w:t>
      </w:r>
      <w:proofErr w:type="spellStart"/>
      <w:r w:rsidRPr="00824D40">
        <w:rPr>
          <w:rFonts w:ascii="Segoe UI" w:hAnsi="Segoe UI" w:cs="Segoe UI"/>
          <w:b/>
        </w:rPr>
        <w:t>Kirtay</w:t>
      </w:r>
      <w:proofErr w:type="spellEnd"/>
    </w:p>
    <w:p w14:paraId="71F818BE" w14:textId="77777777" w:rsidR="00B10FEC" w:rsidRPr="00B10FEC" w:rsidRDefault="00B10FEC" w:rsidP="00824D40">
      <w:pPr>
        <w:pStyle w:val="Authors"/>
        <w:shd w:val="clear" w:color="auto" w:fill="7030A0"/>
        <w:tabs>
          <w:tab w:val="left" w:pos="0"/>
        </w:tabs>
        <w:spacing w:before="840"/>
        <w:ind w:right="-1134" w:hanging="1418"/>
        <w:rPr>
          <w:rFonts w:ascii="Segoe UI" w:hAnsi="Segoe UI" w:cs="Segoe UI"/>
          <w:b/>
          <w:color w:val="auto"/>
        </w:rPr>
      </w:pPr>
      <w:r w:rsidRPr="00824D40">
        <w:rPr>
          <w:rFonts w:ascii="Segoe UI" w:hAnsi="Segoe UI" w:cs="Segoe UI"/>
          <w:b/>
        </w:rPr>
        <w:tab/>
        <w:t>Val Jervis</w:t>
      </w:r>
      <w:r w:rsidRPr="00824D40">
        <w:rPr>
          <w:rFonts w:ascii="Segoe UI" w:hAnsi="Segoe UI" w:cs="Segoe UI"/>
          <w:b/>
        </w:rPr>
        <w:fldChar w:fldCharType="end"/>
      </w:r>
      <w:r w:rsidRPr="00B10FEC">
        <w:rPr>
          <w:rFonts w:ascii="Segoe UI" w:hAnsi="Segoe UI" w:cs="Segoe UI"/>
          <w:b/>
          <w:color w:val="auto"/>
        </w:rPr>
        <w:t xml:space="preserve"> </w:t>
      </w:r>
    </w:p>
    <w:p w14:paraId="55DA2264" w14:textId="77777777" w:rsidR="00B10FEC" w:rsidRDefault="00B10FEC" w:rsidP="00B10FEC">
      <w:pPr>
        <w:ind w:left="-1418"/>
      </w:pPr>
      <w:r>
        <w:rPr>
          <w:noProof/>
          <w:lang w:eastAsia="en-AU"/>
        </w:rPr>
        <w:drawing>
          <wp:inline distT="0" distB="0" distL="0" distR="0" wp14:anchorId="78981A97" wp14:editId="7E41051E">
            <wp:extent cx="7529885" cy="6345141"/>
            <wp:effectExtent l="0" t="0" r="0" b="0"/>
            <wp:docPr id="30" name="Picture 30" descr="decorative"/>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8885" cy="6361152"/>
                    </a:xfrm>
                    <a:prstGeom prst="rect">
                      <a:avLst/>
                    </a:prstGeom>
                  </pic:spPr>
                </pic:pic>
              </a:graphicData>
            </a:graphic>
          </wp:inline>
        </w:drawing>
      </w:r>
    </w:p>
    <w:p w14:paraId="2C66296D" w14:textId="77777777" w:rsidR="00B10FEC" w:rsidRPr="00EA6C67" w:rsidRDefault="00B10FEC" w:rsidP="00B10FEC">
      <w:pPr>
        <w:pStyle w:val="Base"/>
        <w:rPr>
          <w:rFonts w:cs="Segoe UI"/>
          <w:b/>
          <w:color w:val="7030A0"/>
          <w:sz w:val="19"/>
          <w:szCs w:val="19"/>
        </w:rPr>
      </w:pPr>
      <w:r w:rsidRPr="00EA6C67">
        <w:rPr>
          <w:rFonts w:cs="Segoe UI"/>
          <w:b/>
          <w:color w:val="7030A0"/>
          <w:sz w:val="19"/>
          <w:szCs w:val="19"/>
        </w:rPr>
        <w:t>plumconsulting.co.uk</w:t>
      </w:r>
    </w:p>
    <w:p w14:paraId="664FFEEE" w14:textId="77777777" w:rsidR="00B10FEC" w:rsidRDefault="00B10FEC" w:rsidP="00B10FEC"/>
    <w:p w14:paraId="25F3E37A" w14:textId="77777777" w:rsidR="00B10FEC" w:rsidRDefault="00B10FEC" w:rsidP="00B10FEC">
      <w:pPr>
        <w:sectPr w:rsidR="00B10FEC" w:rsidSect="00DC068B">
          <w:pgSz w:w="11906" w:h="16838"/>
          <w:pgMar w:top="709" w:right="0" w:bottom="1135" w:left="1440" w:header="708" w:footer="283" w:gutter="0"/>
          <w:cols w:space="708"/>
          <w:docGrid w:linePitch="360"/>
        </w:sectPr>
      </w:pPr>
    </w:p>
    <w:p w14:paraId="186A9232" w14:textId="77777777" w:rsidR="00B10FEC" w:rsidRPr="00B40ED9" w:rsidRDefault="00B10FEC" w:rsidP="00B10FEC">
      <w:r w:rsidRPr="00B40ED9">
        <w:rPr>
          <w:noProof/>
          <w:lang w:eastAsia="en-AU"/>
        </w:rPr>
        <w:lastRenderedPageBreak/>
        <w:drawing>
          <wp:inline distT="0" distB="0" distL="0" distR="0" wp14:anchorId="1F6E5041" wp14:editId="660986EE">
            <wp:extent cx="899160" cy="24384"/>
            <wp:effectExtent l="0" t="0" r="0" b="0"/>
            <wp:docPr id="31" name="Picture 31" descr="Coloured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PECTRUM BAR 25MM RG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9160" cy="24384"/>
                    </a:xfrm>
                    <a:prstGeom prst="rect">
                      <a:avLst/>
                    </a:prstGeom>
                  </pic:spPr>
                </pic:pic>
              </a:graphicData>
            </a:graphic>
          </wp:inline>
        </w:drawing>
      </w:r>
    </w:p>
    <w:p w14:paraId="4B773798" w14:textId="77777777" w:rsidR="00B10FEC" w:rsidRPr="00EA6C67" w:rsidRDefault="00B10FEC" w:rsidP="00B10FEC">
      <w:pPr>
        <w:pStyle w:val="Heading2notshowing"/>
        <w:rPr>
          <w:color w:val="7030A0"/>
        </w:rPr>
      </w:pPr>
      <w:r w:rsidRPr="00EA6C67">
        <w:rPr>
          <w:color w:val="7030A0"/>
        </w:rPr>
        <w:t>About Plum</w:t>
      </w:r>
    </w:p>
    <w:p w14:paraId="379C9B3C" w14:textId="77777777" w:rsidR="00B10FEC" w:rsidRPr="00B40ED9" w:rsidRDefault="00B10FEC" w:rsidP="00DE3BEE">
      <w:pPr>
        <w:pStyle w:val="Normal-disclaimerpage"/>
      </w:pPr>
      <w:r w:rsidRPr="00B40ED9">
        <w:t>Plum is an independent consulting firm, focused on the telecommunications, media, technology, and adjacent sectors.</w:t>
      </w:r>
      <w:r w:rsidR="00232CCD">
        <w:t xml:space="preserve"> </w:t>
      </w:r>
      <w:r w:rsidRPr="00B40ED9">
        <w:t>We apply extensive industry knowledge, consulting experience, and rigorous analysis to address challenges and opportunities across regulatory, radio spectrum, economic, commercial, and technology domains.</w:t>
      </w:r>
    </w:p>
    <w:p w14:paraId="0DFC1E8C" w14:textId="77777777" w:rsidR="00B10FEC" w:rsidRPr="00B40ED9" w:rsidRDefault="00B10FEC" w:rsidP="00B10FEC">
      <w:r w:rsidRPr="00B40ED9">
        <w:rPr>
          <w:noProof/>
          <w:lang w:eastAsia="en-AU"/>
        </w:rPr>
        <w:drawing>
          <wp:inline distT="0" distB="0" distL="0" distR="0" wp14:anchorId="168A56F1" wp14:editId="54362667">
            <wp:extent cx="899160" cy="24384"/>
            <wp:effectExtent l="0" t="0" r="0" b="0"/>
            <wp:docPr id="22" name="Picture 22" descr="Coloured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PECTRUM BAR 25MM RG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9160" cy="24384"/>
                    </a:xfrm>
                    <a:prstGeom prst="rect">
                      <a:avLst/>
                    </a:prstGeom>
                  </pic:spPr>
                </pic:pic>
              </a:graphicData>
            </a:graphic>
          </wp:inline>
        </w:drawing>
      </w:r>
    </w:p>
    <w:p w14:paraId="1C2C9ADB" w14:textId="77777777" w:rsidR="00B10FEC" w:rsidRPr="00EA6C67" w:rsidRDefault="00B10FEC" w:rsidP="00B10FEC">
      <w:pPr>
        <w:pStyle w:val="Heading2notshowing"/>
        <w:rPr>
          <w:color w:val="7030A0"/>
        </w:rPr>
      </w:pPr>
      <w:r w:rsidRPr="00EA6C67">
        <w:rPr>
          <w:color w:val="7030A0"/>
        </w:rPr>
        <w:t>About this study</w:t>
      </w:r>
    </w:p>
    <w:p w14:paraId="763D8DA9" w14:textId="77777777" w:rsidR="00F63D35" w:rsidRDefault="00B10FEC" w:rsidP="00DE3BEE">
      <w:pPr>
        <w:pStyle w:val="Normal-disclaimerpage"/>
      </w:pPr>
      <w:r w:rsidRPr="00B40ED9">
        <w:t>This study is undertaken for DCA and provides a critical review of sharing issues concerning the use of 27</w:t>
      </w:r>
      <w:r w:rsidR="00377E47">
        <w:t>—</w:t>
      </w:r>
      <w:r w:rsidRPr="00B40ED9">
        <w:t>27.5 GHz band by IMT services and their impact on FSS uplinks</w:t>
      </w:r>
      <w:r w:rsidR="00F63D35">
        <w:br w:type="page"/>
      </w:r>
    </w:p>
    <w:p w14:paraId="32707EE3" w14:textId="77777777" w:rsidR="005113AA" w:rsidRPr="00EA6C67" w:rsidRDefault="005113AA" w:rsidP="00943D91">
      <w:pPr>
        <w:pStyle w:val="Heading2notshowing"/>
        <w:rPr>
          <w:color w:val="7030A0"/>
        </w:rPr>
      </w:pPr>
      <w:r w:rsidRPr="00EA6C67">
        <w:rPr>
          <w:color w:val="7030A0"/>
        </w:rPr>
        <w:lastRenderedPageBreak/>
        <w:t>Contents</w:t>
      </w:r>
    </w:p>
    <w:p w14:paraId="07B39449" w14:textId="48B3AB91" w:rsidR="003F5D9A" w:rsidRDefault="003D193C">
      <w:pPr>
        <w:pStyle w:val="TOC1"/>
        <w:rPr>
          <w:rFonts w:asciiTheme="minorHAnsi" w:eastAsiaTheme="minorEastAsia" w:hAnsiTheme="minorHAnsi"/>
          <w:b w:val="0"/>
          <w:color w:val="auto"/>
          <w:sz w:val="22"/>
          <w:lang w:eastAsia="en-AU"/>
        </w:rPr>
      </w:pPr>
      <w:r>
        <w:rPr>
          <w:rFonts w:ascii="Calibri" w:eastAsia="PMingLiU" w:hAnsi="Calibri" w:cs="Mangal"/>
          <w:color w:val="0F293A"/>
          <w:sz w:val="24"/>
        </w:rPr>
        <w:fldChar w:fldCharType="begin"/>
      </w:r>
      <w:r>
        <w:rPr>
          <w:rFonts w:ascii="Calibri" w:eastAsia="PMingLiU" w:hAnsi="Calibri" w:cs="Mangal"/>
          <w:color w:val="0F293A"/>
          <w:sz w:val="24"/>
        </w:rPr>
        <w:instrText xml:space="preserve"> TOC \h \z \t "Heading 2,1,Heading 3,2,Heading 4,3" </w:instrText>
      </w:r>
      <w:r>
        <w:rPr>
          <w:rFonts w:ascii="Calibri" w:eastAsia="PMingLiU" w:hAnsi="Calibri" w:cs="Mangal"/>
          <w:color w:val="0F293A"/>
          <w:sz w:val="24"/>
        </w:rPr>
        <w:fldChar w:fldCharType="separate"/>
      </w:r>
      <w:hyperlink w:anchor="_Toc21429712" w:history="1">
        <w:r w:rsidR="003F5D9A" w:rsidRPr="00FC4CF3">
          <w:rPr>
            <w:rStyle w:val="Hyperlink"/>
          </w:rPr>
          <w:t>Summary</w:t>
        </w:r>
        <w:r w:rsidR="003F5D9A">
          <w:rPr>
            <w:webHidden/>
          </w:rPr>
          <w:tab/>
        </w:r>
        <w:r w:rsidR="003F5D9A">
          <w:rPr>
            <w:webHidden/>
          </w:rPr>
          <w:fldChar w:fldCharType="begin"/>
        </w:r>
        <w:r w:rsidR="003F5D9A">
          <w:rPr>
            <w:webHidden/>
          </w:rPr>
          <w:instrText xml:space="preserve"> PAGEREF _Toc21429712 \h </w:instrText>
        </w:r>
        <w:r w:rsidR="003F5D9A">
          <w:rPr>
            <w:webHidden/>
          </w:rPr>
        </w:r>
        <w:r w:rsidR="003F5D9A">
          <w:rPr>
            <w:webHidden/>
          </w:rPr>
          <w:fldChar w:fldCharType="separate"/>
        </w:r>
        <w:r w:rsidR="003F5D9A">
          <w:rPr>
            <w:webHidden/>
          </w:rPr>
          <w:t>5</w:t>
        </w:r>
        <w:r w:rsidR="003F5D9A">
          <w:rPr>
            <w:webHidden/>
          </w:rPr>
          <w:fldChar w:fldCharType="end"/>
        </w:r>
      </w:hyperlink>
    </w:p>
    <w:p w14:paraId="0F4C6959" w14:textId="28666835" w:rsidR="003F5D9A" w:rsidRDefault="009D475F">
      <w:pPr>
        <w:pStyle w:val="TOC1"/>
        <w:rPr>
          <w:rFonts w:asciiTheme="minorHAnsi" w:eastAsiaTheme="minorEastAsia" w:hAnsiTheme="minorHAnsi"/>
          <w:b w:val="0"/>
          <w:color w:val="auto"/>
          <w:sz w:val="22"/>
          <w:lang w:eastAsia="en-AU"/>
        </w:rPr>
      </w:pPr>
      <w:hyperlink w:anchor="_Toc21429713" w:history="1">
        <w:r w:rsidR="003F5D9A" w:rsidRPr="00FC4CF3">
          <w:rPr>
            <w:rStyle w:val="Hyperlink"/>
          </w:rPr>
          <w:t>1.</w:t>
        </w:r>
        <w:r w:rsidR="003F5D9A">
          <w:rPr>
            <w:rFonts w:asciiTheme="minorHAnsi" w:eastAsiaTheme="minorEastAsia" w:hAnsiTheme="minorHAnsi"/>
            <w:b w:val="0"/>
            <w:color w:val="auto"/>
            <w:sz w:val="22"/>
            <w:lang w:eastAsia="en-AU"/>
          </w:rPr>
          <w:tab/>
        </w:r>
        <w:r w:rsidR="003F5D9A" w:rsidRPr="00FC4CF3">
          <w:rPr>
            <w:rStyle w:val="Hyperlink"/>
          </w:rPr>
          <w:t>Introduction</w:t>
        </w:r>
        <w:r w:rsidR="003F5D9A">
          <w:rPr>
            <w:webHidden/>
          </w:rPr>
          <w:tab/>
        </w:r>
        <w:r w:rsidR="003F5D9A">
          <w:rPr>
            <w:webHidden/>
          </w:rPr>
          <w:fldChar w:fldCharType="begin"/>
        </w:r>
        <w:r w:rsidR="003F5D9A">
          <w:rPr>
            <w:webHidden/>
          </w:rPr>
          <w:instrText xml:space="preserve"> PAGEREF _Toc21429713 \h </w:instrText>
        </w:r>
        <w:r w:rsidR="003F5D9A">
          <w:rPr>
            <w:webHidden/>
          </w:rPr>
        </w:r>
        <w:r w:rsidR="003F5D9A">
          <w:rPr>
            <w:webHidden/>
          </w:rPr>
          <w:fldChar w:fldCharType="separate"/>
        </w:r>
        <w:r w:rsidR="003F5D9A">
          <w:rPr>
            <w:webHidden/>
          </w:rPr>
          <w:t>6</w:t>
        </w:r>
        <w:r w:rsidR="003F5D9A">
          <w:rPr>
            <w:webHidden/>
          </w:rPr>
          <w:fldChar w:fldCharType="end"/>
        </w:r>
      </w:hyperlink>
    </w:p>
    <w:p w14:paraId="017230FC" w14:textId="44300052" w:rsidR="003F5D9A" w:rsidRDefault="009D475F">
      <w:pPr>
        <w:pStyle w:val="TOC2"/>
        <w:rPr>
          <w:rFonts w:asciiTheme="minorHAnsi" w:eastAsiaTheme="minorEastAsia" w:hAnsiTheme="minorHAnsi"/>
          <w:sz w:val="22"/>
          <w:lang w:eastAsia="en-AU"/>
        </w:rPr>
      </w:pPr>
      <w:hyperlink w:anchor="_Toc21429714" w:history="1">
        <w:r w:rsidR="003F5D9A" w:rsidRPr="00FC4CF3">
          <w:rPr>
            <w:rStyle w:val="Hyperlink"/>
          </w:rPr>
          <w:t>1.1</w:t>
        </w:r>
        <w:r w:rsidR="003F5D9A">
          <w:rPr>
            <w:rFonts w:asciiTheme="minorHAnsi" w:eastAsiaTheme="minorEastAsia" w:hAnsiTheme="minorHAnsi"/>
            <w:sz w:val="22"/>
            <w:lang w:eastAsia="en-AU"/>
          </w:rPr>
          <w:tab/>
        </w:r>
        <w:r w:rsidR="003F5D9A" w:rsidRPr="00FC4CF3">
          <w:rPr>
            <w:rStyle w:val="Hyperlink"/>
          </w:rPr>
          <w:t>Background</w:t>
        </w:r>
        <w:r w:rsidR="003F5D9A">
          <w:rPr>
            <w:webHidden/>
          </w:rPr>
          <w:tab/>
        </w:r>
        <w:r w:rsidR="003F5D9A">
          <w:rPr>
            <w:webHidden/>
          </w:rPr>
          <w:fldChar w:fldCharType="begin"/>
        </w:r>
        <w:r w:rsidR="003F5D9A">
          <w:rPr>
            <w:webHidden/>
          </w:rPr>
          <w:instrText xml:space="preserve"> PAGEREF _Toc21429714 \h </w:instrText>
        </w:r>
        <w:r w:rsidR="003F5D9A">
          <w:rPr>
            <w:webHidden/>
          </w:rPr>
        </w:r>
        <w:r w:rsidR="003F5D9A">
          <w:rPr>
            <w:webHidden/>
          </w:rPr>
          <w:fldChar w:fldCharType="separate"/>
        </w:r>
        <w:r w:rsidR="003F5D9A">
          <w:rPr>
            <w:webHidden/>
          </w:rPr>
          <w:t>6</w:t>
        </w:r>
        <w:r w:rsidR="003F5D9A">
          <w:rPr>
            <w:webHidden/>
          </w:rPr>
          <w:fldChar w:fldCharType="end"/>
        </w:r>
      </w:hyperlink>
    </w:p>
    <w:p w14:paraId="14CDE920" w14:textId="70F5EAEF" w:rsidR="003F5D9A" w:rsidRDefault="009D475F">
      <w:pPr>
        <w:pStyle w:val="TOC1"/>
        <w:rPr>
          <w:rFonts w:asciiTheme="minorHAnsi" w:eastAsiaTheme="minorEastAsia" w:hAnsiTheme="minorHAnsi"/>
          <w:b w:val="0"/>
          <w:color w:val="auto"/>
          <w:sz w:val="22"/>
          <w:lang w:eastAsia="en-AU"/>
        </w:rPr>
      </w:pPr>
      <w:hyperlink w:anchor="_Toc21429715" w:history="1">
        <w:r w:rsidR="003F5D9A" w:rsidRPr="00FC4CF3">
          <w:rPr>
            <w:rStyle w:val="Hyperlink"/>
          </w:rPr>
          <w:t>2.</w:t>
        </w:r>
        <w:r w:rsidR="003F5D9A">
          <w:rPr>
            <w:rFonts w:asciiTheme="minorHAnsi" w:eastAsiaTheme="minorEastAsia" w:hAnsiTheme="minorHAnsi"/>
            <w:b w:val="0"/>
            <w:color w:val="auto"/>
            <w:sz w:val="22"/>
            <w:lang w:eastAsia="en-AU"/>
          </w:rPr>
          <w:tab/>
        </w:r>
        <w:r w:rsidR="003F5D9A" w:rsidRPr="00FC4CF3">
          <w:rPr>
            <w:rStyle w:val="Hyperlink"/>
          </w:rPr>
          <w:t>Analysis of key issues raised in NBN and ACMA technical studies</w:t>
        </w:r>
        <w:r w:rsidR="003F5D9A">
          <w:rPr>
            <w:webHidden/>
          </w:rPr>
          <w:tab/>
        </w:r>
        <w:r w:rsidR="003F5D9A">
          <w:rPr>
            <w:webHidden/>
          </w:rPr>
          <w:fldChar w:fldCharType="begin"/>
        </w:r>
        <w:r w:rsidR="003F5D9A">
          <w:rPr>
            <w:webHidden/>
          </w:rPr>
          <w:instrText xml:space="preserve"> PAGEREF _Toc21429715 \h </w:instrText>
        </w:r>
        <w:r w:rsidR="003F5D9A">
          <w:rPr>
            <w:webHidden/>
          </w:rPr>
        </w:r>
        <w:r w:rsidR="003F5D9A">
          <w:rPr>
            <w:webHidden/>
          </w:rPr>
          <w:fldChar w:fldCharType="separate"/>
        </w:r>
        <w:r w:rsidR="003F5D9A">
          <w:rPr>
            <w:webHidden/>
          </w:rPr>
          <w:t>8</w:t>
        </w:r>
        <w:r w:rsidR="003F5D9A">
          <w:rPr>
            <w:webHidden/>
          </w:rPr>
          <w:fldChar w:fldCharType="end"/>
        </w:r>
      </w:hyperlink>
    </w:p>
    <w:p w14:paraId="3A751F3B" w14:textId="2AB6824B" w:rsidR="003F5D9A" w:rsidRDefault="009D475F">
      <w:pPr>
        <w:pStyle w:val="TOC2"/>
        <w:rPr>
          <w:rFonts w:asciiTheme="minorHAnsi" w:eastAsiaTheme="minorEastAsia" w:hAnsiTheme="minorHAnsi"/>
          <w:sz w:val="22"/>
          <w:lang w:eastAsia="en-AU"/>
        </w:rPr>
      </w:pPr>
      <w:hyperlink w:anchor="_Toc21429716" w:history="1">
        <w:r w:rsidR="003F5D9A" w:rsidRPr="00FC4CF3">
          <w:rPr>
            <w:rStyle w:val="Hyperlink"/>
          </w:rPr>
          <w:t>2.1</w:t>
        </w:r>
        <w:r w:rsidR="003F5D9A">
          <w:rPr>
            <w:rFonts w:asciiTheme="minorHAnsi" w:eastAsiaTheme="minorEastAsia" w:hAnsiTheme="minorHAnsi"/>
            <w:sz w:val="22"/>
            <w:lang w:eastAsia="en-AU"/>
          </w:rPr>
          <w:tab/>
        </w:r>
        <w:r w:rsidR="003F5D9A" w:rsidRPr="00FC4CF3">
          <w:rPr>
            <w:rStyle w:val="Hyperlink"/>
          </w:rPr>
          <w:t>Comparison of ACMA and NBN analysis assumptions and result</w:t>
        </w:r>
        <w:r w:rsidR="003F5D9A">
          <w:rPr>
            <w:webHidden/>
          </w:rPr>
          <w:tab/>
        </w:r>
        <w:r w:rsidR="003F5D9A">
          <w:rPr>
            <w:webHidden/>
          </w:rPr>
          <w:fldChar w:fldCharType="begin"/>
        </w:r>
        <w:r w:rsidR="003F5D9A">
          <w:rPr>
            <w:webHidden/>
          </w:rPr>
          <w:instrText xml:space="preserve"> PAGEREF _Toc21429716 \h </w:instrText>
        </w:r>
        <w:r w:rsidR="003F5D9A">
          <w:rPr>
            <w:webHidden/>
          </w:rPr>
        </w:r>
        <w:r w:rsidR="003F5D9A">
          <w:rPr>
            <w:webHidden/>
          </w:rPr>
          <w:fldChar w:fldCharType="separate"/>
        </w:r>
        <w:r w:rsidR="003F5D9A">
          <w:rPr>
            <w:webHidden/>
          </w:rPr>
          <w:t>9</w:t>
        </w:r>
        <w:r w:rsidR="003F5D9A">
          <w:rPr>
            <w:webHidden/>
          </w:rPr>
          <w:fldChar w:fldCharType="end"/>
        </w:r>
      </w:hyperlink>
    </w:p>
    <w:p w14:paraId="3A3BFF07" w14:textId="59F68C44" w:rsidR="003F5D9A" w:rsidRDefault="009D475F">
      <w:pPr>
        <w:pStyle w:val="TOC3"/>
        <w:tabs>
          <w:tab w:val="left" w:pos="1920"/>
        </w:tabs>
        <w:rPr>
          <w:rFonts w:asciiTheme="minorHAnsi" w:eastAsiaTheme="minorEastAsia" w:hAnsiTheme="minorHAnsi"/>
          <w:noProof/>
          <w:sz w:val="22"/>
          <w:lang w:eastAsia="en-AU"/>
        </w:rPr>
      </w:pPr>
      <w:hyperlink w:anchor="_Toc21429717" w:history="1">
        <w:r w:rsidR="003F5D9A" w:rsidRPr="00FC4CF3">
          <w:rPr>
            <w:rStyle w:val="Hyperlink"/>
            <w:noProof/>
          </w:rPr>
          <w:t>2.1.1</w:t>
        </w:r>
        <w:r w:rsidR="003F5D9A">
          <w:rPr>
            <w:rFonts w:asciiTheme="minorHAnsi" w:eastAsiaTheme="minorEastAsia" w:hAnsiTheme="minorHAnsi"/>
            <w:noProof/>
            <w:sz w:val="22"/>
            <w:lang w:eastAsia="en-AU"/>
          </w:rPr>
          <w:tab/>
        </w:r>
        <w:r w:rsidR="003F5D9A" w:rsidRPr="00FC4CF3">
          <w:rPr>
            <w:rStyle w:val="Hyperlink"/>
            <w:noProof/>
          </w:rPr>
          <w:t>General modelling issues</w:t>
        </w:r>
        <w:r w:rsidR="003F5D9A">
          <w:rPr>
            <w:noProof/>
            <w:webHidden/>
          </w:rPr>
          <w:tab/>
        </w:r>
        <w:r w:rsidR="003F5D9A">
          <w:rPr>
            <w:noProof/>
            <w:webHidden/>
          </w:rPr>
          <w:fldChar w:fldCharType="begin"/>
        </w:r>
        <w:r w:rsidR="003F5D9A">
          <w:rPr>
            <w:noProof/>
            <w:webHidden/>
          </w:rPr>
          <w:instrText xml:space="preserve"> PAGEREF _Toc21429717 \h </w:instrText>
        </w:r>
        <w:r w:rsidR="003F5D9A">
          <w:rPr>
            <w:noProof/>
            <w:webHidden/>
          </w:rPr>
        </w:r>
        <w:r w:rsidR="003F5D9A">
          <w:rPr>
            <w:noProof/>
            <w:webHidden/>
          </w:rPr>
          <w:fldChar w:fldCharType="separate"/>
        </w:r>
        <w:r w:rsidR="003F5D9A">
          <w:rPr>
            <w:noProof/>
            <w:webHidden/>
          </w:rPr>
          <w:t>11</w:t>
        </w:r>
        <w:r w:rsidR="003F5D9A">
          <w:rPr>
            <w:noProof/>
            <w:webHidden/>
          </w:rPr>
          <w:fldChar w:fldCharType="end"/>
        </w:r>
      </w:hyperlink>
    </w:p>
    <w:p w14:paraId="2AB37095" w14:textId="66D0B5BF" w:rsidR="003F5D9A" w:rsidRDefault="009D475F">
      <w:pPr>
        <w:pStyle w:val="TOC3"/>
        <w:tabs>
          <w:tab w:val="left" w:pos="1920"/>
        </w:tabs>
        <w:rPr>
          <w:rFonts w:asciiTheme="minorHAnsi" w:eastAsiaTheme="minorEastAsia" w:hAnsiTheme="minorHAnsi"/>
          <w:noProof/>
          <w:sz w:val="22"/>
          <w:lang w:eastAsia="en-AU"/>
        </w:rPr>
      </w:pPr>
      <w:hyperlink w:anchor="_Toc21429718" w:history="1">
        <w:r w:rsidR="003F5D9A" w:rsidRPr="00FC4CF3">
          <w:rPr>
            <w:rStyle w:val="Hyperlink"/>
            <w:noProof/>
          </w:rPr>
          <w:t>2.1.2</w:t>
        </w:r>
        <w:r w:rsidR="003F5D9A">
          <w:rPr>
            <w:rFonts w:asciiTheme="minorHAnsi" w:eastAsiaTheme="minorEastAsia" w:hAnsiTheme="minorHAnsi"/>
            <w:noProof/>
            <w:sz w:val="22"/>
            <w:lang w:eastAsia="en-AU"/>
          </w:rPr>
          <w:tab/>
        </w:r>
        <w:r w:rsidR="003F5D9A" w:rsidRPr="00FC4CF3">
          <w:rPr>
            <w:rStyle w:val="Hyperlink"/>
            <w:noProof/>
          </w:rPr>
          <w:t>Satellite G/T</w:t>
        </w:r>
        <w:r w:rsidR="003F5D9A">
          <w:rPr>
            <w:noProof/>
            <w:webHidden/>
          </w:rPr>
          <w:tab/>
        </w:r>
        <w:r w:rsidR="003F5D9A">
          <w:rPr>
            <w:noProof/>
            <w:webHidden/>
          </w:rPr>
          <w:fldChar w:fldCharType="begin"/>
        </w:r>
        <w:r w:rsidR="003F5D9A">
          <w:rPr>
            <w:noProof/>
            <w:webHidden/>
          </w:rPr>
          <w:instrText xml:space="preserve"> PAGEREF _Toc21429718 \h </w:instrText>
        </w:r>
        <w:r w:rsidR="003F5D9A">
          <w:rPr>
            <w:noProof/>
            <w:webHidden/>
          </w:rPr>
        </w:r>
        <w:r w:rsidR="003F5D9A">
          <w:rPr>
            <w:noProof/>
            <w:webHidden/>
          </w:rPr>
          <w:fldChar w:fldCharType="separate"/>
        </w:r>
        <w:r w:rsidR="003F5D9A">
          <w:rPr>
            <w:noProof/>
            <w:webHidden/>
          </w:rPr>
          <w:t>12</w:t>
        </w:r>
        <w:r w:rsidR="003F5D9A">
          <w:rPr>
            <w:noProof/>
            <w:webHidden/>
          </w:rPr>
          <w:fldChar w:fldCharType="end"/>
        </w:r>
      </w:hyperlink>
    </w:p>
    <w:p w14:paraId="40F2D115" w14:textId="5015810D" w:rsidR="003F5D9A" w:rsidRDefault="009D475F">
      <w:pPr>
        <w:pStyle w:val="TOC3"/>
        <w:tabs>
          <w:tab w:val="left" w:pos="1920"/>
        </w:tabs>
        <w:rPr>
          <w:rFonts w:asciiTheme="minorHAnsi" w:eastAsiaTheme="minorEastAsia" w:hAnsiTheme="minorHAnsi"/>
          <w:noProof/>
          <w:sz w:val="22"/>
          <w:lang w:eastAsia="en-AU"/>
        </w:rPr>
      </w:pPr>
      <w:hyperlink w:anchor="_Toc21429719" w:history="1">
        <w:r w:rsidR="003F5D9A" w:rsidRPr="00FC4CF3">
          <w:rPr>
            <w:rStyle w:val="Hyperlink"/>
            <w:noProof/>
          </w:rPr>
          <w:t>2.1.3</w:t>
        </w:r>
        <w:r w:rsidR="003F5D9A">
          <w:rPr>
            <w:rFonts w:asciiTheme="minorHAnsi" w:eastAsiaTheme="minorEastAsia" w:hAnsiTheme="minorHAnsi"/>
            <w:noProof/>
            <w:sz w:val="22"/>
            <w:lang w:eastAsia="en-AU"/>
          </w:rPr>
          <w:tab/>
        </w:r>
        <w:r w:rsidR="003F5D9A" w:rsidRPr="00FC4CF3">
          <w:rPr>
            <w:rStyle w:val="Hyperlink"/>
            <w:noProof/>
          </w:rPr>
          <w:t>Satellite receiver protection criterion</w:t>
        </w:r>
        <w:r w:rsidR="003F5D9A">
          <w:rPr>
            <w:noProof/>
            <w:webHidden/>
          </w:rPr>
          <w:tab/>
        </w:r>
        <w:r w:rsidR="003F5D9A">
          <w:rPr>
            <w:noProof/>
            <w:webHidden/>
          </w:rPr>
          <w:fldChar w:fldCharType="begin"/>
        </w:r>
        <w:r w:rsidR="003F5D9A">
          <w:rPr>
            <w:noProof/>
            <w:webHidden/>
          </w:rPr>
          <w:instrText xml:space="preserve"> PAGEREF _Toc21429719 \h </w:instrText>
        </w:r>
        <w:r w:rsidR="003F5D9A">
          <w:rPr>
            <w:noProof/>
            <w:webHidden/>
          </w:rPr>
        </w:r>
        <w:r w:rsidR="003F5D9A">
          <w:rPr>
            <w:noProof/>
            <w:webHidden/>
          </w:rPr>
          <w:fldChar w:fldCharType="separate"/>
        </w:r>
        <w:r w:rsidR="003F5D9A">
          <w:rPr>
            <w:noProof/>
            <w:webHidden/>
          </w:rPr>
          <w:t>12</w:t>
        </w:r>
        <w:r w:rsidR="003F5D9A">
          <w:rPr>
            <w:noProof/>
            <w:webHidden/>
          </w:rPr>
          <w:fldChar w:fldCharType="end"/>
        </w:r>
      </w:hyperlink>
    </w:p>
    <w:p w14:paraId="3E4BDB03" w14:textId="488180E3" w:rsidR="003F5D9A" w:rsidRDefault="009D475F">
      <w:pPr>
        <w:pStyle w:val="TOC3"/>
        <w:tabs>
          <w:tab w:val="left" w:pos="1920"/>
        </w:tabs>
        <w:rPr>
          <w:rFonts w:asciiTheme="minorHAnsi" w:eastAsiaTheme="minorEastAsia" w:hAnsiTheme="minorHAnsi"/>
          <w:noProof/>
          <w:sz w:val="22"/>
          <w:lang w:eastAsia="en-AU"/>
        </w:rPr>
      </w:pPr>
      <w:hyperlink w:anchor="_Toc21429720" w:history="1">
        <w:r w:rsidR="003F5D9A" w:rsidRPr="00FC4CF3">
          <w:rPr>
            <w:rStyle w:val="Hyperlink"/>
            <w:noProof/>
          </w:rPr>
          <w:t>2.1.4</w:t>
        </w:r>
        <w:r w:rsidR="003F5D9A">
          <w:rPr>
            <w:rFonts w:asciiTheme="minorHAnsi" w:eastAsiaTheme="minorEastAsia" w:hAnsiTheme="minorHAnsi"/>
            <w:noProof/>
            <w:sz w:val="22"/>
            <w:lang w:eastAsia="en-AU"/>
          </w:rPr>
          <w:tab/>
        </w:r>
        <w:r w:rsidR="003F5D9A" w:rsidRPr="00FC4CF3">
          <w:rPr>
            <w:rStyle w:val="Hyperlink"/>
            <w:noProof/>
          </w:rPr>
          <w:t>IMT hotspot deployment density</w:t>
        </w:r>
        <w:r w:rsidR="003F5D9A">
          <w:rPr>
            <w:noProof/>
            <w:webHidden/>
          </w:rPr>
          <w:tab/>
        </w:r>
        <w:r w:rsidR="003F5D9A">
          <w:rPr>
            <w:noProof/>
            <w:webHidden/>
          </w:rPr>
          <w:fldChar w:fldCharType="begin"/>
        </w:r>
        <w:r w:rsidR="003F5D9A">
          <w:rPr>
            <w:noProof/>
            <w:webHidden/>
          </w:rPr>
          <w:instrText xml:space="preserve"> PAGEREF _Toc21429720 \h </w:instrText>
        </w:r>
        <w:r w:rsidR="003F5D9A">
          <w:rPr>
            <w:noProof/>
            <w:webHidden/>
          </w:rPr>
        </w:r>
        <w:r w:rsidR="003F5D9A">
          <w:rPr>
            <w:noProof/>
            <w:webHidden/>
          </w:rPr>
          <w:fldChar w:fldCharType="separate"/>
        </w:r>
        <w:r w:rsidR="003F5D9A">
          <w:rPr>
            <w:noProof/>
            <w:webHidden/>
          </w:rPr>
          <w:t>12</w:t>
        </w:r>
        <w:r w:rsidR="003F5D9A">
          <w:rPr>
            <w:noProof/>
            <w:webHidden/>
          </w:rPr>
          <w:fldChar w:fldCharType="end"/>
        </w:r>
      </w:hyperlink>
    </w:p>
    <w:p w14:paraId="7F1DC765" w14:textId="630FD970" w:rsidR="003F5D9A" w:rsidRDefault="009D475F">
      <w:pPr>
        <w:pStyle w:val="TOC3"/>
        <w:tabs>
          <w:tab w:val="left" w:pos="1920"/>
        </w:tabs>
        <w:rPr>
          <w:rFonts w:asciiTheme="minorHAnsi" w:eastAsiaTheme="minorEastAsia" w:hAnsiTheme="minorHAnsi"/>
          <w:noProof/>
          <w:sz w:val="22"/>
          <w:lang w:eastAsia="en-AU"/>
        </w:rPr>
      </w:pPr>
      <w:hyperlink w:anchor="_Toc21429721" w:history="1">
        <w:r w:rsidR="003F5D9A" w:rsidRPr="00FC4CF3">
          <w:rPr>
            <w:rStyle w:val="Hyperlink"/>
            <w:noProof/>
          </w:rPr>
          <w:t>2.1.5</w:t>
        </w:r>
        <w:r w:rsidR="003F5D9A">
          <w:rPr>
            <w:rFonts w:asciiTheme="minorHAnsi" w:eastAsiaTheme="minorEastAsia" w:hAnsiTheme="minorHAnsi"/>
            <w:noProof/>
            <w:sz w:val="22"/>
            <w:lang w:eastAsia="en-AU"/>
          </w:rPr>
          <w:tab/>
        </w:r>
        <w:r w:rsidR="003F5D9A" w:rsidRPr="00FC4CF3">
          <w:rPr>
            <w:rStyle w:val="Hyperlink"/>
            <w:noProof/>
          </w:rPr>
          <w:t>IMT BS and UE transmit power</w:t>
        </w:r>
        <w:r w:rsidR="003F5D9A">
          <w:rPr>
            <w:noProof/>
            <w:webHidden/>
          </w:rPr>
          <w:tab/>
        </w:r>
        <w:r w:rsidR="003F5D9A">
          <w:rPr>
            <w:noProof/>
            <w:webHidden/>
          </w:rPr>
          <w:fldChar w:fldCharType="begin"/>
        </w:r>
        <w:r w:rsidR="003F5D9A">
          <w:rPr>
            <w:noProof/>
            <w:webHidden/>
          </w:rPr>
          <w:instrText xml:space="preserve"> PAGEREF _Toc21429721 \h </w:instrText>
        </w:r>
        <w:r w:rsidR="003F5D9A">
          <w:rPr>
            <w:noProof/>
            <w:webHidden/>
          </w:rPr>
        </w:r>
        <w:r w:rsidR="003F5D9A">
          <w:rPr>
            <w:noProof/>
            <w:webHidden/>
          </w:rPr>
          <w:fldChar w:fldCharType="separate"/>
        </w:r>
        <w:r w:rsidR="003F5D9A">
          <w:rPr>
            <w:noProof/>
            <w:webHidden/>
          </w:rPr>
          <w:t>13</w:t>
        </w:r>
        <w:r w:rsidR="003F5D9A">
          <w:rPr>
            <w:noProof/>
            <w:webHidden/>
          </w:rPr>
          <w:fldChar w:fldCharType="end"/>
        </w:r>
      </w:hyperlink>
    </w:p>
    <w:p w14:paraId="34776E92" w14:textId="78C9BB44" w:rsidR="003F5D9A" w:rsidRDefault="009D475F">
      <w:pPr>
        <w:pStyle w:val="TOC3"/>
        <w:tabs>
          <w:tab w:val="left" w:pos="1920"/>
        </w:tabs>
        <w:rPr>
          <w:rFonts w:asciiTheme="minorHAnsi" w:eastAsiaTheme="minorEastAsia" w:hAnsiTheme="minorHAnsi"/>
          <w:noProof/>
          <w:sz w:val="22"/>
          <w:lang w:eastAsia="en-AU"/>
        </w:rPr>
      </w:pPr>
      <w:hyperlink w:anchor="_Toc21429722" w:history="1">
        <w:r w:rsidR="003F5D9A" w:rsidRPr="00FC4CF3">
          <w:rPr>
            <w:rStyle w:val="Hyperlink"/>
            <w:noProof/>
          </w:rPr>
          <w:t>2.1.6</w:t>
        </w:r>
        <w:r w:rsidR="003F5D9A">
          <w:rPr>
            <w:rFonts w:asciiTheme="minorHAnsi" w:eastAsiaTheme="minorEastAsia" w:hAnsiTheme="minorHAnsi"/>
            <w:noProof/>
            <w:sz w:val="22"/>
            <w:lang w:eastAsia="en-AU"/>
          </w:rPr>
          <w:tab/>
        </w:r>
        <w:r w:rsidR="003F5D9A" w:rsidRPr="00FC4CF3">
          <w:rPr>
            <w:rStyle w:val="Hyperlink"/>
            <w:noProof/>
          </w:rPr>
          <w:t>IMT UE body loss</w:t>
        </w:r>
        <w:r w:rsidR="003F5D9A">
          <w:rPr>
            <w:noProof/>
            <w:webHidden/>
          </w:rPr>
          <w:tab/>
        </w:r>
        <w:r w:rsidR="003F5D9A">
          <w:rPr>
            <w:noProof/>
            <w:webHidden/>
          </w:rPr>
          <w:fldChar w:fldCharType="begin"/>
        </w:r>
        <w:r w:rsidR="003F5D9A">
          <w:rPr>
            <w:noProof/>
            <w:webHidden/>
          </w:rPr>
          <w:instrText xml:space="preserve"> PAGEREF _Toc21429722 \h </w:instrText>
        </w:r>
        <w:r w:rsidR="003F5D9A">
          <w:rPr>
            <w:noProof/>
            <w:webHidden/>
          </w:rPr>
        </w:r>
        <w:r w:rsidR="003F5D9A">
          <w:rPr>
            <w:noProof/>
            <w:webHidden/>
          </w:rPr>
          <w:fldChar w:fldCharType="separate"/>
        </w:r>
        <w:r w:rsidR="003F5D9A">
          <w:rPr>
            <w:noProof/>
            <w:webHidden/>
          </w:rPr>
          <w:t>14</w:t>
        </w:r>
        <w:r w:rsidR="003F5D9A">
          <w:rPr>
            <w:noProof/>
            <w:webHidden/>
          </w:rPr>
          <w:fldChar w:fldCharType="end"/>
        </w:r>
      </w:hyperlink>
    </w:p>
    <w:p w14:paraId="64D99AB3" w14:textId="60A7461A" w:rsidR="003F5D9A" w:rsidRDefault="009D475F">
      <w:pPr>
        <w:pStyle w:val="TOC3"/>
        <w:tabs>
          <w:tab w:val="left" w:pos="1920"/>
        </w:tabs>
        <w:rPr>
          <w:rFonts w:asciiTheme="minorHAnsi" w:eastAsiaTheme="minorEastAsia" w:hAnsiTheme="minorHAnsi"/>
          <w:noProof/>
          <w:sz w:val="22"/>
          <w:lang w:eastAsia="en-AU"/>
        </w:rPr>
      </w:pPr>
      <w:hyperlink w:anchor="_Toc21429723" w:history="1">
        <w:r w:rsidR="003F5D9A" w:rsidRPr="00FC4CF3">
          <w:rPr>
            <w:rStyle w:val="Hyperlink"/>
            <w:noProof/>
          </w:rPr>
          <w:t>2.1.7</w:t>
        </w:r>
        <w:r w:rsidR="003F5D9A">
          <w:rPr>
            <w:rFonts w:asciiTheme="minorHAnsi" w:eastAsiaTheme="minorEastAsia" w:hAnsiTheme="minorHAnsi"/>
            <w:noProof/>
            <w:sz w:val="22"/>
            <w:lang w:eastAsia="en-AU"/>
          </w:rPr>
          <w:tab/>
        </w:r>
        <w:r w:rsidR="003F5D9A" w:rsidRPr="00FC4CF3">
          <w:rPr>
            <w:rStyle w:val="Hyperlink"/>
            <w:noProof/>
          </w:rPr>
          <w:t>Polarisation isolation</w:t>
        </w:r>
        <w:r w:rsidR="003F5D9A">
          <w:rPr>
            <w:noProof/>
            <w:webHidden/>
          </w:rPr>
          <w:tab/>
        </w:r>
        <w:r w:rsidR="003F5D9A">
          <w:rPr>
            <w:noProof/>
            <w:webHidden/>
          </w:rPr>
          <w:fldChar w:fldCharType="begin"/>
        </w:r>
        <w:r w:rsidR="003F5D9A">
          <w:rPr>
            <w:noProof/>
            <w:webHidden/>
          </w:rPr>
          <w:instrText xml:space="preserve"> PAGEREF _Toc21429723 \h </w:instrText>
        </w:r>
        <w:r w:rsidR="003F5D9A">
          <w:rPr>
            <w:noProof/>
            <w:webHidden/>
          </w:rPr>
        </w:r>
        <w:r w:rsidR="003F5D9A">
          <w:rPr>
            <w:noProof/>
            <w:webHidden/>
          </w:rPr>
          <w:fldChar w:fldCharType="separate"/>
        </w:r>
        <w:r w:rsidR="003F5D9A">
          <w:rPr>
            <w:noProof/>
            <w:webHidden/>
          </w:rPr>
          <w:t>14</w:t>
        </w:r>
        <w:r w:rsidR="003F5D9A">
          <w:rPr>
            <w:noProof/>
            <w:webHidden/>
          </w:rPr>
          <w:fldChar w:fldCharType="end"/>
        </w:r>
      </w:hyperlink>
    </w:p>
    <w:p w14:paraId="0B109FB2" w14:textId="22EA6A76" w:rsidR="003F5D9A" w:rsidRDefault="009D475F">
      <w:pPr>
        <w:pStyle w:val="TOC3"/>
        <w:tabs>
          <w:tab w:val="left" w:pos="1920"/>
        </w:tabs>
        <w:rPr>
          <w:rFonts w:asciiTheme="minorHAnsi" w:eastAsiaTheme="minorEastAsia" w:hAnsiTheme="minorHAnsi"/>
          <w:noProof/>
          <w:sz w:val="22"/>
          <w:lang w:eastAsia="en-AU"/>
        </w:rPr>
      </w:pPr>
      <w:hyperlink w:anchor="_Toc21429724" w:history="1">
        <w:r w:rsidR="003F5D9A" w:rsidRPr="00FC4CF3">
          <w:rPr>
            <w:rStyle w:val="Hyperlink"/>
            <w:noProof/>
          </w:rPr>
          <w:t>2.1.8</w:t>
        </w:r>
        <w:r w:rsidR="003F5D9A">
          <w:rPr>
            <w:rFonts w:asciiTheme="minorHAnsi" w:eastAsiaTheme="minorEastAsia" w:hAnsiTheme="minorHAnsi"/>
            <w:noProof/>
            <w:sz w:val="22"/>
            <w:lang w:eastAsia="en-AU"/>
          </w:rPr>
          <w:tab/>
        </w:r>
        <w:r w:rsidR="003F5D9A" w:rsidRPr="00FC4CF3">
          <w:rPr>
            <w:rStyle w:val="Hyperlink"/>
            <w:noProof/>
          </w:rPr>
          <w:t>IMT Network loading factor / average BS activity</w:t>
        </w:r>
        <w:r w:rsidR="003F5D9A">
          <w:rPr>
            <w:noProof/>
            <w:webHidden/>
          </w:rPr>
          <w:tab/>
        </w:r>
        <w:r w:rsidR="003F5D9A">
          <w:rPr>
            <w:noProof/>
            <w:webHidden/>
          </w:rPr>
          <w:fldChar w:fldCharType="begin"/>
        </w:r>
        <w:r w:rsidR="003F5D9A">
          <w:rPr>
            <w:noProof/>
            <w:webHidden/>
          </w:rPr>
          <w:instrText xml:space="preserve"> PAGEREF _Toc21429724 \h </w:instrText>
        </w:r>
        <w:r w:rsidR="003F5D9A">
          <w:rPr>
            <w:noProof/>
            <w:webHidden/>
          </w:rPr>
        </w:r>
        <w:r w:rsidR="003F5D9A">
          <w:rPr>
            <w:noProof/>
            <w:webHidden/>
          </w:rPr>
          <w:fldChar w:fldCharType="separate"/>
        </w:r>
        <w:r w:rsidR="003F5D9A">
          <w:rPr>
            <w:noProof/>
            <w:webHidden/>
          </w:rPr>
          <w:t>14</w:t>
        </w:r>
        <w:r w:rsidR="003F5D9A">
          <w:rPr>
            <w:noProof/>
            <w:webHidden/>
          </w:rPr>
          <w:fldChar w:fldCharType="end"/>
        </w:r>
      </w:hyperlink>
    </w:p>
    <w:p w14:paraId="17CB1AE7" w14:textId="2E826CD0" w:rsidR="003F5D9A" w:rsidRDefault="009D475F">
      <w:pPr>
        <w:pStyle w:val="TOC3"/>
        <w:tabs>
          <w:tab w:val="left" w:pos="1920"/>
        </w:tabs>
        <w:rPr>
          <w:rFonts w:asciiTheme="minorHAnsi" w:eastAsiaTheme="minorEastAsia" w:hAnsiTheme="minorHAnsi"/>
          <w:noProof/>
          <w:sz w:val="22"/>
          <w:lang w:eastAsia="en-AU"/>
        </w:rPr>
      </w:pPr>
      <w:hyperlink w:anchor="_Toc21429725" w:history="1">
        <w:r w:rsidR="003F5D9A" w:rsidRPr="00FC4CF3">
          <w:rPr>
            <w:rStyle w:val="Hyperlink"/>
            <w:noProof/>
          </w:rPr>
          <w:t>2.1.9</w:t>
        </w:r>
        <w:r w:rsidR="003F5D9A">
          <w:rPr>
            <w:rFonts w:asciiTheme="minorHAnsi" w:eastAsiaTheme="minorEastAsia" w:hAnsiTheme="minorHAnsi"/>
            <w:noProof/>
            <w:sz w:val="22"/>
            <w:lang w:eastAsia="en-AU"/>
          </w:rPr>
          <w:tab/>
        </w:r>
        <w:r w:rsidR="003F5D9A" w:rsidRPr="00FC4CF3">
          <w:rPr>
            <w:rStyle w:val="Hyperlink"/>
            <w:noProof/>
          </w:rPr>
          <w:t>IMT BS TDD activity factor (Uplink to downlink ratio)</w:t>
        </w:r>
        <w:r w:rsidR="003F5D9A">
          <w:rPr>
            <w:noProof/>
            <w:webHidden/>
          </w:rPr>
          <w:tab/>
        </w:r>
        <w:r w:rsidR="003F5D9A">
          <w:rPr>
            <w:noProof/>
            <w:webHidden/>
          </w:rPr>
          <w:fldChar w:fldCharType="begin"/>
        </w:r>
        <w:r w:rsidR="003F5D9A">
          <w:rPr>
            <w:noProof/>
            <w:webHidden/>
          </w:rPr>
          <w:instrText xml:space="preserve"> PAGEREF _Toc21429725 \h </w:instrText>
        </w:r>
        <w:r w:rsidR="003F5D9A">
          <w:rPr>
            <w:noProof/>
            <w:webHidden/>
          </w:rPr>
        </w:r>
        <w:r w:rsidR="003F5D9A">
          <w:rPr>
            <w:noProof/>
            <w:webHidden/>
          </w:rPr>
          <w:fldChar w:fldCharType="separate"/>
        </w:r>
        <w:r w:rsidR="003F5D9A">
          <w:rPr>
            <w:noProof/>
            <w:webHidden/>
          </w:rPr>
          <w:t>14</w:t>
        </w:r>
        <w:r w:rsidR="003F5D9A">
          <w:rPr>
            <w:noProof/>
            <w:webHidden/>
          </w:rPr>
          <w:fldChar w:fldCharType="end"/>
        </w:r>
      </w:hyperlink>
    </w:p>
    <w:p w14:paraId="65D3BBF9" w14:textId="262A1C91" w:rsidR="003F5D9A" w:rsidRDefault="009D475F">
      <w:pPr>
        <w:pStyle w:val="TOC3"/>
        <w:tabs>
          <w:tab w:val="left" w:pos="1920"/>
        </w:tabs>
        <w:rPr>
          <w:rFonts w:asciiTheme="minorHAnsi" w:eastAsiaTheme="minorEastAsia" w:hAnsiTheme="minorHAnsi"/>
          <w:noProof/>
          <w:sz w:val="22"/>
          <w:lang w:eastAsia="en-AU"/>
        </w:rPr>
      </w:pPr>
      <w:hyperlink w:anchor="_Toc21429726" w:history="1">
        <w:r w:rsidR="003F5D9A" w:rsidRPr="00FC4CF3">
          <w:rPr>
            <w:rStyle w:val="Hyperlink"/>
            <w:noProof/>
          </w:rPr>
          <w:t>2.1.10</w:t>
        </w:r>
        <w:r w:rsidR="003F5D9A">
          <w:rPr>
            <w:rFonts w:asciiTheme="minorHAnsi" w:eastAsiaTheme="minorEastAsia" w:hAnsiTheme="minorHAnsi"/>
            <w:noProof/>
            <w:sz w:val="22"/>
            <w:lang w:eastAsia="en-AU"/>
          </w:rPr>
          <w:tab/>
        </w:r>
        <w:r w:rsidR="003F5D9A" w:rsidRPr="00FC4CF3">
          <w:rPr>
            <w:rStyle w:val="Hyperlink"/>
            <w:noProof/>
          </w:rPr>
          <w:t>IMT BS antenna height</w:t>
        </w:r>
        <w:r w:rsidR="003F5D9A">
          <w:rPr>
            <w:noProof/>
            <w:webHidden/>
          </w:rPr>
          <w:tab/>
        </w:r>
        <w:r w:rsidR="003F5D9A">
          <w:rPr>
            <w:noProof/>
            <w:webHidden/>
          </w:rPr>
          <w:fldChar w:fldCharType="begin"/>
        </w:r>
        <w:r w:rsidR="003F5D9A">
          <w:rPr>
            <w:noProof/>
            <w:webHidden/>
          </w:rPr>
          <w:instrText xml:space="preserve"> PAGEREF _Toc21429726 \h </w:instrText>
        </w:r>
        <w:r w:rsidR="003F5D9A">
          <w:rPr>
            <w:noProof/>
            <w:webHidden/>
          </w:rPr>
        </w:r>
        <w:r w:rsidR="003F5D9A">
          <w:rPr>
            <w:noProof/>
            <w:webHidden/>
          </w:rPr>
          <w:fldChar w:fldCharType="separate"/>
        </w:r>
        <w:r w:rsidR="003F5D9A">
          <w:rPr>
            <w:noProof/>
            <w:webHidden/>
          </w:rPr>
          <w:t>14</w:t>
        </w:r>
        <w:r w:rsidR="003F5D9A">
          <w:rPr>
            <w:noProof/>
            <w:webHidden/>
          </w:rPr>
          <w:fldChar w:fldCharType="end"/>
        </w:r>
      </w:hyperlink>
    </w:p>
    <w:p w14:paraId="06DF382C" w14:textId="4D0A7415" w:rsidR="003F5D9A" w:rsidRDefault="009D475F">
      <w:pPr>
        <w:pStyle w:val="TOC3"/>
        <w:tabs>
          <w:tab w:val="left" w:pos="1920"/>
        </w:tabs>
        <w:rPr>
          <w:rFonts w:asciiTheme="minorHAnsi" w:eastAsiaTheme="minorEastAsia" w:hAnsiTheme="minorHAnsi"/>
          <w:noProof/>
          <w:sz w:val="22"/>
          <w:lang w:eastAsia="en-AU"/>
        </w:rPr>
      </w:pPr>
      <w:hyperlink w:anchor="_Toc21429727" w:history="1">
        <w:r w:rsidR="003F5D9A" w:rsidRPr="00FC4CF3">
          <w:rPr>
            <w:rStyle w:val="Hyperlink"/>
            <w:noProof/>
          </w:rPr>
          <w:t>2.1.11</w:t>
        </w:r>
        <w:r w:rsidR="003F5D9A">
          <w:rPr>
            <w:rFonts w:asciiTheme="minorHAnsi" w:eastAsiaTheme="minorEastAsia" w:hAnsiTheme="minorHAnsi"/>
            <w:noProof/>
            <w:sz w:val="22"/>
            <w:lang w:eastAsia="en-AU"/>
          </w:rPr>
          <w:tab/>
        </w:r>
        <w:r w:rsidR="003F5D9A" w:rsidRPr="00FC4CF3">
          <w:rPr>
            <w:rStyle w:val="Hyperlink"/>
            <w:noProof/>
          </w:rPr>
          <w:t>IMT BS and UE antenna array size and grating lobes</w:t>
        </w:r>
        <w:r w:rsidR="003F5D9A">
          <w:rPr>
            <w:noProof/>
            <w:webHidden/>
          </w:rPr>
          <w:tab/>
        </w:r>
        <w:r w:rsidR="003F5D9A">
          <w:rPr>
            <w:noProof/>
            <w:webHidden/>
          </w:rPr>
          <w:fldChar w:fldCharType="begin"/>
        </w:r>
        <w:r w:rsidR="003F5D9A">
          <w:rPr>
            <w:noProof/>
            <w:webHidden/>
          </w:rPr>
          <w:instrText xml:space="preserve"> PAGEREF _Toc21429727 \h </w:instrText>
        </w:r>
        <w:r w:rsidR="003F5D9A">
          <w:rPr>
            <w:noProof/>
            <w:webHidden/>
          </w:rPr>
        </w:r>
        <w:r w:rsidR="003F5D9A">
          <w:rPr>
            <w:noProof/>
            <w:webHidden/>
          </w:rPr>
          <w:fldChar w:fldCharType="separate"/>
        </w:r>
        <w:r w:rsidR="003F5D9A">
          <w:rPr>
            <w:noProof/>
            <w:webHidden/>
          </w:rPr>
          <w:t>15</w:t>
        </w:r>
        <w:r w:rsidR="003F5D9A">
          <w:rPr>
            <w:noProof/>
            <w:webHidden/>
          </w:rPr>
          <w:fldChar w:fldCharType="end"/>
        </w:r>
      </w:hyperlink>
    </w:p>
    <w:p w14:paraId="3C7A9500" w14:textId="70EDC140" w:rsidR="003F5D9A" w:rsidRDefault="009D475F">
      <w:pPr>
        <w:pStyle w:val="TOC2"/>
        <w:rPr>
          <w:rFonts w:asciiTheme="minorHAnsi" w:eastAsiaTheme="minorEastAsia" w:hAnsiTheme="minorHAnsi"/>
          <w:sz w:val="22"/>
          <w:lang w:eastAsia="en-AU"/>
        </w:rPr>
      </w:pPr>
      <w:hyperlink w:anchor="_Toc21429728" w:history="1">
        <w:r w:rsidR="003F5D9A" w:rsidRPr="00FC4CF3">
          <w:rPr>
            <w:rStyle w:val="Hyperlink"/>
          </w:rPr>
          <w:t>2.2</w:t>
        </w:r>
        <w:r w:rsidR="003F5D9A">
          <w:rPr>
            <w:rFonts w:asciiTheme="minorHAnsi" w:eastAsiaTheme="minorEastAsia" w:hAnsiTheme="minorHAnsi"/>
            <w:sz w:val="22"/>
            <w:lang w:eastAsia="en-AU"/>
          </w:rPr>
          <w:tab/>
        </w:r>
        <w:r w:rsidR="003F5D9A" w:rsidRPr="00FC4CF3">
          <w:rPr>
            <w:rStyle w:val="Hyperlink"/>
          </w:rPr>
          <w:t>Implications for I/N predictions</w:t>
        </w:r>
        <w:r w:rsidR="003F5D9A">
          <w:rPr>
            <w:webHidden/>
          </w:rPr>
          <w:tab/>
        </w:r>
        <w:r w:rsidR="003F5D9A">
          <w:rPr>
            <w:webHidden/>
          </w:rPr>
          <w:fldChar w:fldCharType="begin"/>
        </w:r>
        <w:r w:rsidR="003F5D9A">
          <w:rPr>
            <w:webHidden/>
          </w:rPr>
          <w:instrText xml:space="preserve"> PAGEREF _Toc21429728 \h </w:instrText>
        </w:r>
        <w:r w:rsidR="003F5D9A">
          <w:rPr>
            <w:webHidden/>
          </w:rPr>
        </w:r>
        <w:r w:rsidR="003F5D9A">
          <w:rPr>
            <w:webHidden/>
          </w:rPr>
          <w:fldChar w:fldCharType="separate"/>
        </w:r>
        <w:r w:rsidR="003F5D9A">
          <w:rPr>
            <w:webHidden/>
          </w:rPr>
          <w:t>15</w:t>
        </w:r>
        <w:r w:rsidR="003F5D9A">
          <w:rPr>
            <w:webHidden/>
          </w:rPr>
          <w:fldChar w:fldCharType="end"/>
        </w:r>
      </w:hyperlink>
    </w:p>
    <w:p w14:paraId="45B2F080" w14:textId="31052456" w:rsidR="003F5D9A" w:rsidRDefault="009D475F">
      <w:pPr>
        <w:pStyle w:val="TOC2"/>
        <w:rPr>
          <w:rFonts w:asciiTheme="minorHAnsi" w:eastAsiaTheme="minorEastAsia" w:hAnsiTheme="minorHAnsi"/>
          <w:sz w:val="22"/>
          <w:lang w:eastAsia="en-AU"/>
        </w:rPr>
      </w:pPr>
      <w:hyperlink w:anchor="_Toc21429729" w:history="1">
        <w:r w:rsidR="003F5D9A" w:rsidRPr="00FC4CF3">
          <w:rPr>
            <w:rStyle w:val="Hyperlink"/>
          </w:rPr>
          <w:t>2.3</w:t>
        </w:r>
        <w:r w:rsidR="003F5D9A">
          <w:rPr>
            <w:rFonts w:asciiTheme="minorHAnsi" w:eastAsiaTheme="minorEastAsia" w:hAnsiTheme="minorHAnsi"/>
            <w:sz w:val="22"/>
            <w:lang w:eastAsia="en-AU"/>
          </w:rPr>
          <w:tab/>
        </w:r>
        <w:r w:rsidR="003F5D9A" w:rsidRPr="00FC4CF3">
          <w:rPr>
            <w:rStyle w:val="Hyperlink"/>
          </w:rPr>
          <w:t>Deterministic calculations</w:t>
        </w:r>
        <w:r w:rsidR="003F5D9A">
          <w:rPr>
            <w:webHidden/>
          </w:rPr>
          <w:tab/>
        </w:r>
        <w:r w:rsidR="003F5D9A">
          <w:rPr>
            <w:webHidden/>
          </w:rPr>
          <w:fldChar w:fldCharType="begin"/>
        </w:r>
        <w:r w:rsidR="003F5D9A">
          <w:rPr>
            <w:webHidden/>
          </w:rPr>
          <w:instrText xml:space="preserve"> PAGEREF _Toc21429729 \h </w:instrText>
        </w:r>
        <w:r w:rsidR="003F5D9A">
          <w:rPr>
            <w:webHidden/>
          </w:rPr>
        </w:r>
        <w:r w:rsidR="003F5D9A">
          <w:rPr>
            <w:webHidden/>
          </w:rPr>
          <w:fldChar w:fldCharType="separate"/>
        </w:r>
        <w:r w:rsidR="003F5D9A">
          <w:rPr>
            <w:webHidden/>
          </w:rPr>
          <w:t>16</w:t>
        </w:r>
        <w:r w:rsidR="003F5D9A">
          <w:rPr>
            <w:webHidden/>
          </w:rPr>
          <w:fldChar w:fldCharType="end"/>
        </w:r>
      </w:hyperlink>
    </w:p>
    <w:p w14:paraId="7CC12D9F" w14:textId="31E6C4DC" w:rsidR="003F5D9A" w:rsidRDefault="009D475F">
      <w:pPr>
        <w:pStyle w:val="TOC1"/>
        <w:rPr>
          <w:rFonts w:asciiTheme="minorHAnsi" w:eastAsiaTheme="minorEastAsia" w:hAnsiTheme="minorHAnsi"/>
          <w:b w:val="0"/>
          <w:color w:val="auto"/>
          <w:sz w:val="22"/>
          <w:lang w:eastAsia="en-AU"/>
        </w:rPr>
      </w:pPr>
      <w:hyperlink w:anchor="_Toc21429730" w:history="1">
        <w:r w:rsidR="003F5D9A" w:rsidRPr="00FC4CF3">
          <w:rPr>
            <w:rStyle w:val="Hyperlink"/>
          </w:rPr>
          <w:t>3.</w:t>
        </w:r>
        <w:r w:rsidR="003F5D9A">
          <w:rPr>
            <w:rFonts w:asciiTheme="minorHAnsi" w:eastAsiaTheme="minorEastAsia" w:hAnsiTheme="minorHAnsi"/>
            <w:b w:val="0"/>
            <w:color w:val="auto"/>
            <w:sz w:val="22"/>
            <w:lang w:eastAsia="en-AU"/>
          </w:rPr>
          <w:tab/>
        </w:r>
        <w:r w:rsidR="003F5D9A" w:rsidRPr="00FC4CF3">
          <w:rPr>
            <w:rStyle w:val="Hyperlink"/>
          </w:rPr>
          <w:t>Licence conditions and proposed mitigation</w:t>
        </w:r>
        <w:r w:rsidR="003F5D9A">
          <w:rPr>
            <w:webHidden/>
          </w:rPr>
          <w:tab/>
        </w:r>
        <w:r w:rsidR="003F5D9A">
          <w:rPr>
            <w:webHidden/>
          </w:rPr>
          <w:fldChar w:fldCharType="begin"/>
        </w:r>
        <w:r w:rsidR="003F5D9A">
          <w:rPr>
            <w:webHidden/>
          </w:rPr>
          <w:instrText xml:space="preserve"> PAGEREF _Toc21429730 \h </w:instrText>
        </w:r>
        <w:r w:rsidR="003F5D9A">
          <w:rPr>
            <w:webHidden/>
          </w:rPr>
        </w:r>
        <w:r w:rsidR="003F5D9A">
          <w:rPr>
            <w:webHidden/>
          </w:rPr>
          <w:fldChar w:fldCharType="separate"/>
        </w:r>
        <w:r w:rsidR="003F5D9A">
          <w:rPr>
            <w:webHidden/>
          </w:rPr>
          <w:t>19</w:t>
        </w:r>
        <w:r w:rsidR="003F5D9A">
          <w:rPr>
            <w:webHidden/>
          </w:rPr>
          <w:fldChar w:fldCharType="end"/>
        </w:r>
      </w:hyperlink>
    </w:p>
    <w:p w14:paraId="1A0025C6" w14:textId="1013F908" w:rsidR="003F5D9A" w:rsidRDefault="009D475F">
      <w:pPr>
        <w:pStyle w:val="TOC2"/>
        <w:rPr>
          <w:rFonts w:asciiTheme="minorHAnsi" w:eastAsiaTheme="minorEastAsia" w:hAnsiTheme="minorHAnsi"/>
          <w:sz w:val="22"/>
          <w:lang w:eastAsia="en-AU"/>
        </w:rPr>
      </w:pPr>
      <w:hyperlink w:anchor="_Toc21429731" w:history="1">
        <w:r w:rsidR="003F5D9A" w:rsidRPr="00FC4CF3">
          <w:rPr>
            <w:rStyle w:val="Hyperlink"/>
          </w:rPr>
          <w:t>3.1</w:t>
        </w:r>
        <w:r w:rsidR="003F5D9A">
          <w:rPr>
            <w:rFonts w:asciiTheme="minorHAnsi" w:eastAsiaTheme="minorEastAsia" w:hAnsiTheme="minorHAnsi"/>
            <w:sz w:val="22"/>
            <w:lang w:eastAsia="en-AU"/>
          </w:rPr>
          <w:tab/>
        </w:r>
        <w:r w:rsidR="003F5D9A" w:rsidRPr="00FC4CF3">
          <w:rPr>
            <w:rStyle w:val="Hyperlink"/>
          </w:rPr>
          <w:t>Licensing approach</w:t>
        </w:r>
        <w:r w:rsidR="003F5D9A">
          <w:rPr>
            <w:webHidden/>
          </w:rPr>
          <w:tab/>
        </w:r>
        <w:r w:rsidR="003F5D9A">
          <w:rPr>
            <w:webHidden/>
          </w:rPr>
          <w:fldChar w:fldCharType="begin"/>
        </w:r>
        <w:r w:rsidR="003F5D9A">
          <w:rPr>
            <w:webHidden/>
          </w:rPr>
          <w:instrText xml:space="preserve"> PAGEREF _Toc21429731 \h </w:instrText>
        </w:r>
        <w:r w:rsidR="003F5D9A">
          <w:rPr>
            <w:webHidden/>
          </w:rPr>
        </w:r>
        <w:r w:rsidR="003F5D9A">
          <w:rPr>
            <w:webHidden/>
          </w:rPr>
          <w:fldChar w:fldCharType="separate"/>
        </w:r>
        <w:r w:rsidR="003F5D9A">
          <w:rPr>
            <w:webHidden/>
          </w:rPr>
          <w:t>19</w:t>
        </w:r>
        <w:r w:rsidR="003F5D9A">
          <w:rPr>
            <w:webHidden/>
          </w:rPr>
          <w:fldChar w:fldCharType="end"/>
        </w:r>
      </w:hyperlink>
    </w:p>
    <w:p w14:paraId="12B5DDE5" w14:textId="14E3378D" w:rsidR="003F5D9A" w:rsidRDefault="009D475F">
      <w:pPr>
        <w:pStyle w:val="TOC2"/>
        <w:rPr>
          <w:rFonts w:asciiTheme="minorHAnsi" w:eastAsiaTheme="minorEastAsia" w:hAnsiTheme="minorHAnsi"/>
          <w:sz w:val="22"/>
          <w:lang w:eastAsia="en-AU"/>
        </w:rPr>
      </w:pPr>
      <w:hyperlink w:anchor="_Toc21429732" w:history="1">
        <w:r w:rsidR="003F5D9A" w:rsidRPr="00FC4CF3">
          <w:rPr>
            <w:rStyle w:val="Hyperlink"/>
          </w:rPr>
          <w:t>3.2</w:t>
        </w:r>
        <w:r w:rsidR="003F5D9A">
          <w:rPr>
            <w:rFonts w:asciiTheme="minorHAnsi" w:eastAsiaTheme="minorEastAsia" w:hAnsiTheme="minorHAnsi"/>
            <w:sz w:val="22"/>
            <w:lang w:eastAsia="en-AU"/>
          </w:rPr>
          <w:tab/>
        </w:r>
        <w:r w:rsidR="003F5D9A" w:rsidRPr="00FC4CF3">
          <w:rPr>
            <w:rStyle w:val="Hyperlink"/>
          </w:rPr>
          <w:t>Licence duration</w:t>
        </w:r>
        <w:r w:rsidR="003F5D9A">
          <w:rPr>
            <w:webHidden/>
          </w:rPr>
          <w:tab/>
        </w:r>
        <w:r w:rsidR="003F5D9A">
          <w:rPr>
            <w:webHidden/>
          </w:rPr>
          <w:fldChar w:fldCharType="begin"/>
        </w:r>
        <w:r w:rsidR="003F5D9A">
          <w:rPr>
            <w:webHidden/>
          </w:rPr>
          <w:instrText xml:space="preserve"> PAGEREF _Toc21429732 \h </w:instrText>
        </w:r>
        <w:r w:rsidR="003F5D9A">
          <w:rPr>
            <w:webHidden/>
          </w:rPr>
        </w:r>
        <w:r w:rsidR="003F5D9A">
          <w:rPr>
            <w:webHidden/>
          </w:rPr>
          <w:fldChar w:fldCharType="separate"/>
        </w:r>
        <w:r w:rsidR="003F5D9A">
          <w:rPr>
            <w:webHidden/>
          </w:rPr>
          <w:t>20</w:t>
        </w:r>
        <w:r w:rsidR="003F5D9A">
          <w:rPr>
            <w:webHidden/>
          </w:rPr>
          <w:fldChar w:fldCharType="end"/>
        </w:r>
      </w:hyperlink>
    </w:p>
    <w:p w14:paraId="660E602C" w14:textId="5FEB0D9E" w:rsidR="003F5D9A" w:rsidRDefault="009D475F">
      <w:pPr>
        <w:pStyle w:val="TOC2"/>
        <w:rPr>
          <w:rFonts w:asciiTheme="minorHAnsi" w:eastAsiaTheme="minorEastAsia" w:hAnsiTheme="minorHAnsi"/>
          <w:sz w:val="22"/>
          <w:lang w:eastAsia="en-AU"/>
        </w:rPr>
      </w:pPr>
      <w:hyperlink w:anchor="_Toc21429733" w:history="1">
        <w:r w:rsidR="003F5D9A" w:rsidRPr="00FC4CF3">
          <w:rPr>
            <w:rStyle w:val="Hyperlink"/>
          </w:rPr>
          <w:t>3.3</w:t>
        </w:r>
        <w:r w:rsidR="003F5D9A">
          <w:rPr>
            <w:rFonts w:asciiTheme="minorHAnsi" w:eastAsiaTheme="minorEastAsia" w:hAnsiTheme="minorHAnsi"/>
            <w:sz w:val="22"/>
            <w:lang w:eastAsia="en-AU"/>
          </w:rPr>
          <w:tab/>
        </w:r>
        <w:r w:rsidR="003F5D9A" w:rsidRPr="00FC4CF3">
          <w:rPr>
            <w:rStyle w:val="Hyperlink"/>
          </w:rPr>
          <w:t>Licence conditions</w:t>
        </w:r>
        <w:r w:rsidR="003F5D9A">
          <w:rPr>
            <w:webHidden/>
          </w:rPr>
          <w:tab/>
        </w:r>
        <w:r w:rsidR="003F5D9A">
          <w:rPr>
            <w:webHidden/>
          </w:rPr>
          <w:fldChar w:fldCharType="begin"/>
        </w:r>
        <w:r w:rsidR="003F5D9A">
          <w:rPr>
            <w:webHidden/>
          </w:rPr>
          <w:instrText xml:space="preserve"> PAGEREF _Toc21429733 \h </w:instrText>
        </w:r>
        <w:r w:rsidR="003F5D9A">
          <w:rPr>
            <w:webHidden/>
          </w:rPr>
        </w:r>
        <w:r w:rsidR="003F5D9A">
          <w:rPr>
            <w:webHidden/>
          </w:rPr>
          <w:fldChar w:fldCharType="separate"/>
        </w:r>
        <w:r w:rsidR="003F5D9A">
          <w:rPr>
            <w:webHidden/>
          </w:rPr>
          <w:t>20</w:t>
        </w:r>
        <w:r w:rsidR="003F5D9A">
          <w:rPr>
            <w:webHidden/>
          </w:rPr>
          <w:fldChar w:fldCharType="end"/>
        </w:r>
      </w:hyperlink>
    </w:p>
    <w:p w14:paraId="508C6AD9" w14:textId="414B08CE" w:rsidR="003F5D9A" w:rsidRDefault="009D475F">
      <w:pPr>
        <w:pStyle w:val="TOC1"/>
        <w:rPr>
          <w:rFonts w:asciiTheme="minorHAnsi" w:eastAsiaTheme="minorEastAsia" w:hAnsiTheme="minorHAnsi"/>
          <w:b w:val="0"/>
          <w:color w:val="auto"/>
          <w:sz w:val="22"/>
          <w:lang w:eastAsia="en-AU"/>
        </w:rPr>
      </w:pPr>
      <w:hyperlink w:anchor="_Toc21429734" w:history="1">
        <w:r w:rsidR="003F5D9A" w:rsidRPr="00FC4CF3">
          <w:rPr>
            <w:rStyle w:val="Hyperlink"/>
          </w:rPr>
          <w:t>4.</w:t>
        </w:r>
        <w:r w:rsidR="003F5D9A">
          <w:rPr>
            <w:rFonts w:asciiTheme="minorHAnsi" w:eastAsiaTheme="minorEastAsia" w:hAnsiTheme="minorHAnsi"/>
            <w:b w:val="0"/>
            <w:color w:val="auto"/>
            <w:sz w:val="22"/>
            <w:lang w:eastAsia="en-AU"/>
          </w:rPr>
          <w:tab/>
        </w:r>
        <w:r w:rsidR="003F5D9A" w:rsidRPr="00FC4CF3">
          <w:rPr>
            <w:rStyle w:val="Hyperlink"/>
          </w:rPr>
          <w:t>Conclusions and recommendations</w:t>
        </w:r>
        <w:r w:rsidR="003F5D9A">
          <w:rPr>
            <w:webHidden/>
          </w:rPr>
          <w:tab/>
        </w:r>
        <w:r w:rsidR="003F5D9A">
          <w:rPr>
            <w:webHidden/>
          </w:rPr>
          <w:fldChar w:fldCharType="begin"/>
        </w:r>
        <w:r w:rsidR="003F5D9A">
          <w:rPr>
            <w:webHidden/>
          </w:rPr>
          <w:instrText xml:space="preserve"> PAGEREF _Toc21429734 \h </w:instrText>
        </w:r>
        <w:r w:rsidR="003F5D9A">
          <w:rPr>
            <w:webHidden/>
          </w:rPr>
        </w:r>
        <w:r w:rsidR="003F5D9A">
          <w:rPr>
            <w:webHidden/>
          </w:rPr>
          <w:fldChar w:fldCharType="separate"/>
        </w:r>
        <w:r w:rsidR="003F5D9A">
          <w:rPr>
            <w:webHidden/>
          </w:rPr>
          <w:t>22</w:t>
        </w:r>
        <w:r w:rsidR="003F5D9A">
          <w:rPr>
            <w:webHidden/>
          </w:rPr>
          <w:fldChar w:fldCharType="end"/>
        </w:r>
      </w:hyperlink>
    </w:p>
    <w:p w14:paraId="35EBF221" w14:textId="6711304E" w:rsidR="003F5D9A" w:rsidRDefault="009D475F">
      <w:pPr>
        <w:pStyle w:val="TOC1"/>
        <w:rPr>
          <w:rFonts w:asciiTheme="minorHAnsi" w:eastAsiaTheme="minorEastAsia" w:hAnsiTheme="minorHAnsi"/>
          <w:b w:val="0"/>
          <w:color w:val="auto"/>
          <w:sz w:val="22"/>
          <w:lang w:eastAsia="en-AU"/>
        </w:rPr>
      </w:pPr>
      <w:hyperlink w:anchor="_Toc21429735" w:history="1">
        <w:r w:rsidR="003F5D9A" w:rsidRPr="00FC4CF3">
          <w:rPr>
            <w:rStyle w:val="Hyperlink"/>
          </w:rPr>
          <w:t>Appendix A—The ‘Sky Muster’ satellite system</w:t>
        </w:r>
        <w:r w:rsidR="003F5D9A">
          <w:rPr>
            <w:webHidden/>
          </w:rPr>
          <w:tab/>
        </w:r>
        <w:r w:rsidR="003F5D9A">
          <w:rPr>
            <w:webHidden/>
          </w:rPr>
          <w:fldChar w:fldCharType="begin"/>
        </w:r>
        <w:r w:rsidR="003F5D9A">
          <w:rPr>
            <w:webHidden/>
          </w:rPr>
          <w:instrText xml:space="preserve"> PAGEREF _Toc21429735 \h </w:instrText>
        </w:r>
        <w:r w:rsidR="003F5D9A">
          <w:rPr>
            <w:webHidden/>
          </w:rPr>
        </w:r>
        <w:r w:rsidR="003F5D9A">
          <w:rPr>
            <w:webHidden/>
          </w:rPr>
          <w:fldChar w:fldCharType="separate"/>
        </w:r>
        <w:r w:rsidR="003F5D9A">
          <w:rPr>
            <w:webHidden/>
          </w:rPr>
          <w:t>23</w:t>
        </w:r>
        <w:r w:rsidR="003F5D9A">
          <w:rPr>
            <w:webHidden/>
          </w:rPr>
          <w:fldChar w:fldCharType="end"/>
        </w:r>
      </w:hyperlink>
    </w:p>
    <w:p w14:paraId="37B4BA06" w14:textId="2AB8BCE0" w:rsidR="003F5D9A" w:rsidRDefault="009D475F">
      <w:pPr>
        <w:pStyle w:val="TOC1"/>
        <w:rPr>
          <w:rFonts w:asciiTheme="minorHAnsi" w:eastAsiaTheme="minorEastAsia" w:hAnsiTheme="minorHAnsi"/>
          <w:b w:val="0"/>
          <w:color w:val="auto"/>
          <w:sz w:val="22"/>
          <w:lang w:eastAsia="en-AU"/>
        </w:rPr>
      </w:pPr>
      <w:hyperlink w:anchor="_Toc21429736" w:history="1">
        <w:r w:rsidR="003F5D9A" w:rsidRPr="00FC4CF3">
          <w:rPr>
            <w:rStyle w:val="Hyperlink"/>
          </w:rPr>
          <w:t>Appendix B—Terrestrial use of 26 GHz</w:t>
        </w:r>
        <w:r w:rsidR="003F5D9A">
          <w:rPr>
            <w:webHidden/>
          </w:rPr>
          <w:tab/>
        </w:r>
        <w:r w:rsidR="003F5D9A">
          <w:rPr>
            <w:webHidden/>
          </w:rPr>
          <w:fldChar w:fldCharType="begin"/>
        </w:r>
        <w:r w:rsidR="003F5D9A">
          <w:rPr>
            <w:webHidden/>
          </w:rPr>
          <w:instrText xml:space="preserve"> PAGEREF _Toc21429736 \h </w:instrText>
        </w:r>
        <w:r w:rsidR="003F5D9A">
          <w:rPr>
            <w:webHidden/>
          </w:rPr>
        </w:r>
        <w:r w:rsidR="003F5D9A">
          <w:rPr>
            <w:webHidden/>
          </w:rPr>
          <w:fldChar w:fldCharType="separate"/>
        </w:r>
        <w:r w:rsidR="003F5D9A">
          <w:rPr>
            <w:webHidden/>
          </w:rPr>
          <w:t>28</w:t>
        </w:r>
        <w:r w:rsidR="003F5D9A">
          <w:rPr>
            <w:webHidden/>
          </w:rPr>
          <w:fldChar w:fldCharType="end"/>
        </w:r>
      </w:hyperlink>
    </w:p>
    <w:p w14:paraId="2B515072" w14:textId="0D4FA621" w:rsidR="003F5D9A" w:rsidRDefault="009D475F">
      <w:pPr>
        <w:pStyle w:val="TOC2"/>
        <w:rPr>
          <w:rFonts w:asciiTheme="minorHAnsi" w:eastAsiaTheme="minorEastAsia" w:hAnsiTheme="minorHAnsi"/>
          <w:sz w:val="22"/>
          <w:lang w:eastAsia="en-AU"/>
        </w:rPr>
      </w:pPr>
      <w:hyperlink w:anchor="_Toc21429737" w:history="1">
        <w:r w:rsidR="003F5D9A" w:rsidRPr="00FC4CF3">
          <w:rPr>
            <w:rStyle w:val="Hyperlink"/>
          </w:rPr>
          <w:t>B.1</w:t>
        </w:r>
        <w:r w:rsidR="003F5D9A">
          <w:rPr>
            <w:rFonts w:asciiTheme="minorHAnsi" w:eastAsiaTheme="minorEastAsia" w:hAnsiTheme="minorHAnsi"/>
            <w:sz w:val="22"/>
            <w:lang w:eastAsia="en-AU"/>
          </w:rPr>
          <w:tab/>
        </w:r>
        <w:r w:rsidR="003F5D9A" w:rsidRPr="00FC4CF3">
          <w:rPr>
            <w:rStyle w:val="Hyperlink"/>
          </w:rPr>
          <w:t>Introduction</w:t>
        </w:r>
        <w:r w:rsidR="003F5D9A">
          <w:rPr>
            <w:webHidden/>
          </w:rPr>
          <w:tab/>
        </w:r>
        <w:r w:rsidR="003F5D9A">
          <w:rPr>
            <w:webHidden/>
          </w:rPr>
          <w:fldChar w:fldCharType="begin"/>
        </w:r>
        <w:r w:rsidR="003F5D9A">
          <w:rPr>
            <w:webHidden/>
          </w:rPr>
          <w:instrText xml:space="preserve"> PAGEREF _Toc21429737 \h </w:instrText>
        </w:r>
        <w:r w:rsidR="003F5D9A">
          <w:rPr>
            <w:webHidden/>
          </w:rPr>
        </w:r>
        <w:r w:rsidR="003F5D9A">
          <w:rPr>
            <w:webHidden/>
          </w:rPr>
          <w:fldChar w:fldCharType="separate"/>
        </w:r>
        <w:r w:rsidR="003F5D9A">
          <w:rPr>
            <w:webHidden/>
          </w:rPr>
          <w:t>28</w:t>
        </w:r>
        <w:r w:rsidR="003F5D9A">
          <w:rPr>
            <w:webHidden/>
          </w:rPr>
          <w:fldChar w:fldCharType="end"/>
        </w:r>
      </w:hyperlink>
    </w:p>
    <w:p w14:paraId="6987FE34" w14:textId="37D840A1" w:rsidR="003F5D9A" w:rsidRDefault="009D475F">
      <w:pPr>
        <w:pStyle w:val="TOC2"/>
        <w:rPr>
          <w:rFonts w:asciiTheme="minorHAnsi" w:eastAsiaTheme="minorEastAsia" w:hAnsiTheme="minorHAnsi"/>
          <w:sz w:val="22"/>
          <w:lang w:eastAsia="en-AU"/>
        </w:rPr>
      </w:pPr>
      <w:hyperlink w:anchor="_Toc21429738" w:history="1">
        <w:r w:rsidR="003F5D9A" w:rsidRPr="00FC4CF3">
          <w:rPr>
            <w:rStyle w:val="Hyperlink"/>
          </w:rPr>
          <w:t>B.2</w:t>
        </w:r>
        <w:r w:rsidR="003F5D9A">
          <w:rPr>
            <w:rFonts w:asciiTheme="minorHAnsi" w:eastAsiaTheme="minorEastAsia" w:hAnsiTheme="minorHAnsi"/>
            <w:sz w:val="22"/>
            <w:lang w:eastAsia="en-AU"/>
          </w:rPr>
          <w:tab/>
        </w:r>
        <w:r w:rsidR="003F5D9A" w:rsidRPr="00FC4CF3">
          <w:rPr>
            <w:rStyle w:val="Hyperlink"/>
          </w:rPr>
          <w:t>eMBB services</w:t>
        </w:r>
        <w:r w:rsidR="003F5D9A">
          <w:rPr>
            <w:webHidden/>
          </w:rPr>
          <w:tab/>
        </w:r>
        <w:r w:rsidR="003F5D9A">
          <w:rPr>
            <w:webHidden/>
          </w:rPr>
          <w:fldChar w:fldCharType="begin"/>
        </w:r>
        <w:r w:rsidR="003F5D9A">
          <w:rPr>
            <w:webHidden/>
          </w:rPr>
          <w:instrText xml:space="preserve"> PAGEREF _Toc21429738 \h </w:instrText>
        </w:r>
        <w:r w:rsidR="003F5D9A">
          <w:rPr>
            <w:webHidden/>
          </w:rPr>
        </w:r>
        <w:r w:rsidR="003F5D9A">
          <w:rPr>
            <w:webHidden/>
          </w:rPr>
          <w:fldChar w:fldCharType="separate"/>
        </w:r>
        <w:r w:rsidR="003F5D9A">
          <w:rPr>
            <w:webHidden/>
          </w:rPr>
          <w:t>28</w:t>
        </w:r>
        <w:r w:rsidR="003F5D9A">
          <w:rPr>
            <w:webHidden/>
          </w:rPr>
          <w:fldChar w:fldCharType="end"/>
        </w:r>
      </w:hyperlink>
    </w:p>
    <w:p w14:paraId="212FF419" w14:textId="6FFECDF5" w:rsidR="003F5D9A" w:rsidRDefault="009D475F">
      <w:pPr>
        <w:pStyle w:val="TOC2"/>
        <w:rPr>
          <w:rFonts w:asciiTheme="minorHAnsi" w:eastAsiaTheme="minorEastAsia" w:hAnsiTheme="minorHAnsi"/>
          <w:sz w:val="22"/>
          <w:lang w:eastAsia="en-AU"/>
        </w:rPr>
      </w:pPr>
      <w:hyperlink w:anchor="_Toc21429739" w:history="1">
        <w:r w:rsidR="003F5D9A" w:rsidRPr="00FC4CF3">
          <w:rPr>
            <w:rStyle w:val="Hyperlink"/>
          </w:rPr>
          <w:t>B.3</w:t>
        </w:r>
        <w:r w:rsidR="003F5D9A">
          <w:rPr>
            <w:rFonts w:asciiTheme="minorHAnsi" w:eastAsiaTheme="minorEastAsia" w:hAnsiTheme="minorHAnsi"/>
            <w:sz w:val="22"/>
            <w:lang w:eastAsia="en-AU"/>
          </w:rPr>
          <w:tab/>
        </w:r>
        <w:r w:rsidR="003F5D9A" w:rsidRPr="00FC4CF3">
          <w:rPr>
            <w:rStyle w:val="Hyperlink"/>
          </w:rPr>
          <w:t>Services for vertical sectors</w:t>
        </w:r>
        <w:r w:rsidR="003F5D9A">
          <w:rPr>
            <w:webHidden/>
          </w:rPr>
          <w:tab/>
        </w:r>
        <w:r w:rsidR="003F5D9A">
          <w:rPr>
            <w:webHidden/>
          </w:rPr>
          <w:fldChar w:fldCharType="begin"/>
        </w:r>
        <w:r w:rsidR="003F5D9A">
          <w:rPr>
            <w:webHidden/>
          </w:rPr>
          <w:instrText xml:space="preserve"> PAGEREF _Toc21429739 \h </w:instrText>
        </w:r>
        <w:r w:rsidR="003F5D9A">
          <w:rPr>
            <w:webHidden/>
          </w:rPr>
        </w:r>
        <w:r w:rsidR="003F5D9A">
          <w:rPr>
            <w:webHidden/>
          </w:rPr>
          <w:fldChar w:fldCharType="separate"/>
        </w:r>
        <w:r w:rsidR="003F5D9A">
          <w:rPr>
            <w:webHidden/>
          </w:rPr>
          <w:t>29</w:t>
        </w:r>
        <w:r w:rsidR="003F5D9A">
          <w:rPr>
            <w:webHidden/>
          </w:rPr>
          <w:fldChar w:fldCharType="end"/>
        </w:r>
      </w:hyperlink>
    </w:p>
    <w:p w14:paraId="47B42971" w14:textId="6F91C474" w:rsidR="003F5D9A" w:rsidRDefault="009D475F">
      <w:pPr>
        <w:pStyle w:val="TOC2"/>
        <w:rPr>
          <w:rFonts w:asciiTheme="minorHAnsi" w:eastAsiaTheme="minorEastAsia" w:hAnsiTheme="minorHAnsi"/>
          <w:sz w:val="22"/>
          <w:lang w:eastAsia="en-AU"/>
        </w:rPr>
      </w:pPr>
      <w:hyperlink w:anchor="_Toc21429740" w:history="1">
        <w:r w:rsidR="003F5D9A" w:rsidRPr="00FC4CF3">
          <w:rPr>
            <w:rStyle w:val="Hyperlink"/>
          </w:rPr>
          <w:t>B.4</w:t>
        </w:r>
        <w:r w:rsidR="003F5D9A">
          <w:rPr>
            <w:rFonts w:asciiTheme="minorHAnsi" w:eastAsiaTheme="minorEastAsia" w:hAnsiTheme="minorHAnsi"/>
            <w:sz w:val="22"/>
            <w:lang w:eastAsia="en-AU"/>
          </w:rPr>
          <w:tab/>
        </w:r>
        <w:r w:rsidR="003F5D9A" w:rsidRPr="00FC4CF3">
          <w:rPr>
            <w:rStyle w:val="Hyperlink"/>
          </w:rPr>
          <w:t>Public safety</w:t>
        </w:r>
        <w:r w:rsidR="003F5D9A">
          <w:rPr>
            <w:webHidden/>
          </w:rPr>
          <w:tab/>
        </w:r>
        <w:r w:rsidR="003F5D9A">
          <w:rPr>
            <w:webHidden/>
          </w:rPr>
          <w:fldChar w:fldCharType="begin"/>
        </w:r>
        <w:r w:rsidR="003F5D9A">
          <w:rPr>
            <w:webHidden/>
          </w:rPr>
          <w:instrText xml:space="preserve"> PAGEREF _Toc21429740 \h </w:instrText>
        </w:r>
        <w:r w:rsidR="003F5D9A">
          <w:rPr>
            <w:webHidden/>
          </w:rPr>
        </w:r>
        <w:r w:rsidR="003F5D9A">
          <w:rPr>
            <w:webHidden/>
          </w:rPr>
          <w:fldChar w:fldCharType="separate"/>
        </w:r>
        <w:r w:rsidR="003F5D9A">
          <w:rPr>
            <w:webHidden/>
          </w:rPr>
          <w:t>29</w:t>
        </w:r>
        <w:r w:rsidR="003F5D9A">
          <w:rPr>
            <w:webHidden/>
          </w:rPr>
          <w:fldChar w:fldCharType="end"/>
        </w:r>
      </w:hyperlink>
    </w:p>
    <w:p w14:paraId="65A69D07" w14:textId="23CF1A12" w:rsidR="003F5D9A" w:rsidRDefault="009D475F">
      <w:pPr>
        <w:pStyle w:val="TOC2"/>
        <w:rPr>
          <w:rFonts w:asciiTheme="minorHAnsi" w:eastAsiaTheme="minorEastAsia" w:hAnsiTheme="minorHAnsi"/>
          <w:sz w:val="22"/>
          <w:lang w:eastAsia="en-AU"/>
        </w:rPr>
      </w:pPr>
      <w:hyperlink w:anchor="_Toc21429741" w:history="1">
        <w:r w:rsidR="003F5D9A" w:rsidRPr="00FC4CF3">
          <w:rPr>
            <w:rStyle w:val="Hyperlink"/>
          </w:rPr>
          <w:t>4.2</w:t>
        </w:r>
        <w:r w:rsidR="003F5D9A">
          <w:rPr>
            <w:rFonts w:asciiTheme="minorHAnsi" w:eastAsiaTheme="minorEastAsia" w:hAnsiTheme="minorHAnsi"/>
            <w:sz w:val="22"/>
            <w:lang w:eastAsia="en-AU"/>
          </w:rPr>
          <w:tab/>
        </w:r>
        <w:r w:rsidR="003F5D9A" w:rsidRPr="00FC4CF3">
          <w:rPr>
            <w:rStyle w:val="Hyperlink"/>
          </w:rPr>
          <w:t>Backhauling</w:t>
        </w:r>
        <w:r w:rsidR="003F5D9A">
          <w:rPr>
            <w:webHidden/>
          </w:rPr>
          <w:tab/>
        </w:r>
        <w:r w:rsidR="003F5D9A">
          <w:rPr>
            <w:webHidden/>
          </w:rPr>
          <w:fldChar w:fldCharType="begin"/>
        </w:r>
        <w:r w:rsidR="003F5D9A">
          <w:rPr>
            <w:webHidden/>
          </w:rPr>
          <w:instrText xml:space="preserve"> PAGEREF _Toc21429741 \h </w:instrText>
        </w:r>
        <w:r w:rsidR="003F5D9A">
          <w:rPr>
            <w:webHidden/>
          </w:rPr>
        </w:r>
        <w:r w:rsidR="003F5D9A">
          <w:rPr>
            <w:webHidden/>
          </w:rPr>
          <w:fldChar w:fldCharType="separate"/>
        </w:r>
        <w:r w:rsidR="003F5D9A">
          <w:rPr>
            <w:webHidden/>
          </w:rPr>
          <w:t>29</w:t>
        </w:r>
        <w:r w:rsidR="003F5D9A">
          <w:rPr>
            <w:webHidden/>
          </w:rPr>
          <w:fldChar w:fldCharType="end"/>
        </w:r>
      </w:hyperlink>
    </w:p>
    <w:p w14:paraId="43E31299" w14:textId="04D956E9" w:rsidR="003F5D9A" w:rsidRDefault="009D475F">
      <w:pPr>
        <w:pStyle w:val="TOC1"/>
        <w:rPr>
          <w:rFonts w:asciiTheme="minorHAnsi" w:eastAsiaTheme="minorEastAsia" w:hAnsiTheme="minorHAnsi"/>
          <w:b w:val="0"/>
          <w:color w:val="auto"/>
          <w:sz w:val="22"/>
          <w:lang w:eastAsia="en-AU"/>
        </w:rPr>
      </w:pPr>
      <w:hyperlink w:anchor="_Toc21429742" w:history="1">
        <w:r w:rsidR="003F5D9A" w:rsidRPr="00FC4CF3">
          <w:rPr>
            <w:rStyle w:val="Hyperlink"/>
          </w:rPr>
          <w:t>Appendix C—Overview of TG5/1 studies</w:t>
        </w:r>
        <w:r w:rsidR="003F5D9A">
          <w:rPr>
            <w:webHidden/>
          </w:rPr>
          <w:tab/>
        </w:r>
        <w:r w:rsidR="003F5D9A">
          <w:rPr>
            <w:webHidden/>
          </w:rPr>
          <w:fldChar w:fldCharType="begin"/>
        </w:r>
        <w:r w:rsidR="003F5D9A">
          <w:rPr>
            <w:webHidden/>
          </w:rPr>
          <w:instrText xml:space="preserve"> PAGEREF _Toc21429742 \h </w:instrText>
        </w:r>
        <w:r w:rsidR="003F5D9A">
          <w:rPr>
            <w:webHidden/>
          </w:rPr>
        </w:r>
        <w:r w:rsidR="003F5D9A">
          <w:rPr>
            <w:webHidden/>
          </w:rPr>
          <w:fldChar w:fldCharType="separate"/>
        </w:r>
        <w:r w:rsidR="003F5D9A">
          <w:rPr>
            <w:webHidden/>
          </w:rPr>
          <w:t>30</w:t>
        </w:r>
        <w:r w:rsidR="003F5D9A">
          <w:rPr>
            <w:webHidden/>
          </w:rPr>
          <w:fldChar w:fldCharType="end"/>
        </w:r>
      </w:hyperlink>
    </w:p>
    <w:p w14:paraId="794D577D" w14:textId="2F1DC24D" w:rsidR="003F5D9A" w:rsidRDefault="009D475F">
      <w:pPr>
        <w:pStyle w:val="TOC2"/>
        <w:rPr>
          <w:rFonts w:asciiTheme="minorHAnsi" w:eastAsiaTheme="minorEastAsia" w:hAnsiTheme="minorHAnsi"/>
          <w:sz w:val="22"/>
          <w:lang w:eastAsia="en-AU"/>
        </w:rPr>
      </w:pPr>
      <w:hyperlink w:anchor="_Toc21429743" w:history="1">
        <w:r w:rsidR="003F5D9A" w:rsidRPr="00FC4CF3">
          <w:rPr>
            <w:rStyle w:val="Hyperlink"/>
          </w:rPr>
          <w:t>C.1</w:t>
        </w:r>
        <w:r w:rsidR="003F5D9A">
          <w:rPr>
            <w:rFonts w:asciiTheme="minorHAnsi" w:eastAsiaTheme="minorEastAsia" w:hAnsiTheme="minorHAnsi"/>
            <w:sz w:val="22"/>
            <w:lang w:eastAsia="en-AU"/>
          </w:rPr>
          <w:tab/>
        </w:r>
        <w:r w:rsidR="003F5D9A" w:rsidRPr="00FC4CF3">
          <w:rPr>
            <w:rStyle w:val="Hyperlink"/>
          </w:rPr>
          <w:t>Input assumptions (terrestrial)</w:t>
        </w:r>
        <w:r w:rsidR="003F5D9A">
          <w:rPr>
            <w:webHidden/>
          </w:rPr>
          <w:tab/>
        </w:r>
        <w:r w:rsidR="003F5D9A">
          <w:rPr>
            <w:webHidden/>
          </w:rPr>
          <w:fldChar w:fldCharType="begin"/>
        </w:r>
        <w:r w:rsidR="003F5D9A">
          <w:rPr>
            <w:webHidden/>
          </w:rPr>
          <w:instrText xml:space="preserve"> PAGEREF _Toc21429743 \h </w:instrText>
        </w:r>
        <w:r w:rsidR="003F5D9A">
          <w:rPr>
            <w:webHidden/>
          </w:rPr>
        </w:r>
        <w:r w:rsidR="003F5D9A">
          <w:rPr>
            <w:webHidden/>
          </w:rPr>
          <w:fldChar w:fldCharType="separate"/>
        </w:r>
        <w:r w:rsidR="003F5D9A">
          <w:rPr>
            <w:webHidden/>
          </w:rPr>
          <w:t>30</w:t>
        </w:r>
        <w:r w:rsidR="003F5D9A">
          <w:rPr>
            <w:webHidden/>
          </w:rPr>
          <w:fldChar w:fldCharType="end"/>
        </w:r>
      </w:hyperlink>
    </w:p>
    <w:p w14:paraId="2722436F" w14:textId="11D525F7" w:rsidR="003F5D9A" w:rsidRDefault="009D475F">
      <w:pPr>
        <w:pStyle w:val="TOC2"/>
        <w:rPr>
          <w:rFonts w:asciiTheme="minorHAnsi" w:eastAsiaTheme="minorEastAsia" w:hAnsiTheme="minorHAnsi"/>
          <w:sz w:val="22"/>
          <w:lang w:eastAsia="en-AU"/>
        </w:rPr>
      </w:pPr>
      <w:hyperlink w:anchor="_Toc21429744" w:history="1">
        <w:r w:rsidR="003F5D9A" w:rsidRPr="00FC4CF3">
          <w:rPr>
            <w:rStyle w:val="Hyperlink"/>
          </w:rPr>
          <w:t>C.2</w:t>
        </w:r>
        <w:r w:rsidR="003F5D9A">
          <w:rPr>
            <w:rFonts w:asciiTheme="minorHAnsi" w:eastAsiaTheme="minorEastAsia" w:hAnsiTheme="minorHAnsi"/>
            <w:sz w:val="22"/>
            <w:lang w:eastAsia="en-AU"/>
          </w:rPr>
          <w:tab/>
        </w:r>
        <w:r w:rsidR="003F5D9A" w:rsidRPr="00FC4CF3">
          <w:rPr>
            <w:rStyle w:val="Hyperlink"/>
          </w:rPr>
          <w:t>Input assumptions (satellite)</w:t>
        </w:r>
        <w:r w:rsidR="003F5D9A">
          <w:rPr>
            <w:webHidden/>
          </w:rPr>
          <w:tab/>
        </w:r>
        <w:r w:rsidR="003F5D9A">
          <w:rPr>
            <w:webHidden/>
          </w:rPr>
          <w:fldChar w:fldCharType="begin"/>
        </w:r>
        <w:r w:rsidR="003F5D9A">
          <w:rPr>
            <w:webHidden/>
          </w:rPr>
          <w:instrText xml:space="preserve"> PAGEREF _Toc21429744 \h </w:instrText>
        </w:r>
        <w:r w:rsidR="003F5D9A">
          <w:rPr>
            <w:webHidden/>
          </w:rPr>
        </w:r>
        <w:r w:rsidR="003F5D9A">
          <w:rPr>
            <w:webHidden/>
          </w:rPr>
          <w:fldChar w:fldCharType="separate"/>
        </w:r>
        <w:r w:rsidR="003F5D9A">
          <w:rPr>
            <w:webHidden/>
          </w:rPr>
          <w:t>33</w:t>
        </w:r>
        <w:r w:rsidR="003F5D9A">
          <w:rPr>
            <w:webHidden/>
          </w:rPr>
          <w:fldChar w:fldCharType="end"/>
        </w:r>
      </w:hyperlink>
    </w:p>
    <w:p w14:paraId="6881B7E3" w14:textId="1D831303" w:rsidR="003F5D9A" w:rsidRDefault="009D475F">
      <w:pPr>
        <w:pStyle w:val="TOC2"/>
        <w:rPr>
          <w:rFonts w:asciiTheme="minorHAnsi" w:eastAsiaTheme="minorEastAsia" w:hAnsiTheme="minorHAnsi"/>
          <w:sz w:val="22"/>
          <w:lang w:eastAsia="en-AU"/>
        </w:rPr>
      </w:pPr>
      <w:hyperlink w:anchor="_Toc21429745" w:history="1">
        <w:r w:rsidR="003F5D9A" w:rsidRPr="00FC4CF3">
          <w:rPr>
            <w:rStyle w:val="Hyperlink"/>
          </w:rPr>
          <w:t>C.3</w:t>
        </w:r>
        <w:r w:rsidR="003F5D9A">
          <w:rPr>
            <w:rFonts w:asciiTheme="minorHAnsi" w:eastAsiaTheme="minorEastAsia" w:hAnsiTheme="minorHAnsi"/>
            <w:sz w:val="22"/>
            <w:lang w:eastAsia="en-AU"/>
          </w:rPr>
          <w:tab/>
        </w:r>
        <w:r w:rsidR="003F5D9A" w:rsidRPr="00FC4CF3">
          <w:rPr>
            <w:rStyle w:val="Hyperlink"/>
          </w:rPr>
          <w:t>Modelling</w:t>
        </w:r>
        <w:r w:rsidR="003F5D9A">
          <w:rPr>
            <w:webHidden/>
          </w:rPr>
          <w:tab/>
        </w:r>
        <w:r w:rsidR="003F5D9A">
          <w:rPr>
            <w:webHidden/>
          </w:rPr>
          <w:fldChar w:fldCharType="begin"/>
        </w:r>
        <w:r w:rsidR="003F5D9A">
          <w:rPr>
            <w:webHidden/>
          </w:rPr>
          <w:instrText xml:space="preserve"> PAGEREF _Toc21429745 \h </w:instrText>
        </w:r>
        <w:r w:rsidR="003F5D9A">
          <w:rPr>
            <w:webHidden/>
          </w:rPr>
        </w:r>
        <w:r w:rsidR="003F5D9A">
          <w:rPr>
            <w:webHidden/>
          </w:rPr>
          <w:fldChar w:fldCharType="separate"/>
        </w:r>
        <w:r w:rsidR="003F5D9A">
          <w:rPr>
            <w:webHidden/>
          </w:rPr>
          <w:t>35</w:t>
        </w:r>
        <w:r w:rsidR="003F5D9A">
          <w:rPr>
            <w:webHidden/>
          </w:rPr>
          <w:fldChar w:fldCharType="end"/>
        </w:r>
      </w:hyperlink>
    </w:p>
    <w:p w14:paraId="53787301" w14:textId="1C70DCCA" w:rsidR="003F5D9A" w:rsidRDefault="009D475F">
      <w:pPr>
        <w:pStyle w:val="TOC3"/>
        <w:tabs>
          <w:tab w:val="left" w:pos="1920"/>
        </w:tabs>
        <w:rPr>
          <w:rFonts w:asciiTheme="minorHAnsi" w:eastAsiaTheme="minorEastAsia" w:hAnsiTheme="minorHAnsi"/>
          <w:noProof/>
          <w:sz w:val="22"/>
          <w:lang w:eastAsia="en-AU"/>
        </w:rPr>
      </w:pPr>
      <w:hyperlink w:anchor="_Toc21429746" w:history="1">
        <w:r w:rsidR="003F5D9A" w:rsidRPr="00FC4CF3">
          <w:rPr>
            <w:rStyle w:val="Hyperlink"/>
            <w:noProof/>
          </w:rPr>
          <w:t>C.3.1</w:t>
        </w:r>
        <w:r w:rsidR="003F5D9A">
          <w:rPr>
            <w:rFonts w:asciiTheme="minorHAnsi" w:eastAsiaTheme="minorEastAsia" w:hAnsiTheme="minorHAnsi"/>
            <w:noProof/>
            <w:sz w:val="22"/>
            <w:lang w:eastAsia="en-AU"/>
          </w:rPr>
          <w:tab/>
        </w:r>
        <w:r w:rsidR="003F5D9A" w:rsidRPr="00FC4CF3">
          <w:rPr>
            <w:rStyle w:val="Hyperlink"/>
            <w:noProof/>
          </w:rPr>
          <w:t>Input assumptions</w:t>
        </w:r>
        <w:r w:rsidR="003F5D9A">
          <w:rPr>
            <w:noProof/>
            <w:webHidden/>
          </w:rPr>
          <w:tab/>
        </w:r>
        <w:r w:rsidR="003F5D9A">
          <w:rPr>
            <w:noProof/>
            <w:webHidden/>
          </w:rPr>
          <w:fldChar w:fldCharType="begin"/>
        </w:r>
        <w:r w:rsidR="003F5D9A">
          <w:rPr>
            <w:noProof/>
            <w:webHidden/>
          </w:rPr>
          <w:instrText xml:space="preserve"> PAGEREF _Toc21429746 \h </w:instrText>
        </w:r>
        <w:r w:rsidR="003F5D9A">
          <w:rPr>
            <w:noProof/>
            <w:webHidden/>
          </w:rPr>
        </w:r>
        <w:r w:rsidR="003F5D9A">
          <w:rPr>
            <w:noProof/>
            <w:webHidden/>
          </w:rPr>
          <w:fldChar w:fldCharType="separate"/>
        </w:r>
        <w:r w:rsidR="003F5D9A">
          <w:rPr>
            <w:noProof/>
            <w:webHidden/>
          </w:rPr>
          <w:t>36</w:t>
        </w:r>
        <w:r w:rsidR="003F5D9A">
          <w:rPr>
            <w:noProof/>
            <w:webHidden/>
          </w:rPr>
          <w:fldChar w:fldCharType="end"/>
        </w:r>
      </w:hyperlink>
    </w:p>
    <w:p w14:paraId="4EE0CAA6" w14:textId="2E2EB782" w:rsidR="003F5D9A" w:rsidRDefault="009D475F">
      <w:pPr>
        <w:pStyle w:val="TOC3"/>
        <w:tabs>
          <w:tab w:val="left" w:pos="1920"/>
        </w:tabs>
        <w:rPr>
          <w:rFonts w:asciiTheme="minorHAnsi" w:eastAsiaTheme="minorEastAsia" w:hAnsiTheme="minorHAnsi"/>
          <w:noProof/>
          <w:sz w:val="22"/>
          <w:lang w:eastAsia="en-AU"/>
        </w:rPr>
      </w:pPr>
      <w:hyperlink w:anchor="_Toc21429747" w:history="1">
        <w:r w:rsidR="003F5D9A" w:rsidRPr="00FC4CF3">
          <w:rPr>
            <w:rStyle w:val="Hyperlink"/>
            <w:noProof/>
          </w:rPr>
          <w:t>C.3.2</w:t>
        </w:r>
        <w:r w:rsidR="003F5D9A">
          <w:rPr>
            <w:rFonts w:asciiTheme="minorHAnsi" w:eastAsiaTheme="minorEastAsia" w:hAnsiTheme="minorHAnsi"/>
            <w:noProof/>
            <w:sz w:val="22"/>
            <w:lang w:eastAsia="en-AU"/>
          </w:rPr>
          <w:tab/>
        </w:r>
        <w:r w:rsidR="003F5D9A" w:rsidRPr="00FC4CF3">
          <w:rPr>
            <w:rStyle w:val="Hyperlink"/>
            <w:noProof/>
          </w:rPr>
          <w:t>Methodology</w:t>
        </w:r>
        <w:r w:rsidR="003F5D9A">
          <w:rPr>
            <w:noProof/>
            <w:webHidden/>
          </w:rPr>
          <w:tab/>
        </w:r>
        <w:r w:rsidR="003F5D9A">
          <w:rPr>
            <w:noProof/>
            <w:webHidden/>
          </w:rPr>
          <w:fldChar w:fldCharType="begin"/>
        </w:r>
        <w:r w:rsidR="003F5D9A">
          <w:rPr>
            <w:noProof/>
            <w:webHidden/>
          </w:rPr>
          <w:instrText xml:space="preserve"> PAGEREF _Toc21429747 \h </w:instrText>
        </w:r>
        <w:r w:rsidR="003F5D9A">
          <w:rPr>
            <w:noProof/>
            <w:webHidden/>
          </w:rPr>
        </w:r>
        <w:r w:rsidR="003F5D9A">
          <w:rPr>
            <w:noProof/>
            <w:webHidden/>
          </w:rPr>
          <w:fldChar w:fldCharType="separate"/>
        </w:r>
        <w:r w:rsidR="003F5D9A">
          <w:rPr>
            <w:noProof/>
            <w:webHidden/>
          </w:rPr>
          <w:t>36</w:t>
        </w:r>
        <w:r w:rsidR="003F5D9A">
          <w:rPr>
            <w:noProof/>
            <w:webHidden/>
          </w:rPr>
          <w:fldChar w:fldCharType="end"/>
        </w:r>
      </w:hyperlink>
    </w:p>
    <w:p w14:paraId="20CB219E" w14:textId="56F2C6C1" w:rsidR="003F5D9A" w:rsidRDefault="009D475F">
      <w:pPr>
        <w:pStyle w:val="TOC3"/>
        <w:tabs>
          <w:tab w:val="left" w:pos="1920"/>
        </w:tabs>
        <w:rPr>
          <w:rFonts w:asciiTheme="minorHAnsi" w:eastAsiaTheme="minorEastAsia" w:hAnsiTheme="minorHAnsi"/>
          <w:noProof/>
          <w:sz w:val="22"/>
          <w:lang w:eastAsia="en-AU"/>
        </w:rPr>
      </w:pPr>
      <w:hyperlink w:anchor="_Toc21429748" w:history="1">
        <w:r w:rsidR="003F5D9A" w:rsidRPr="00FC4CF3">
          <w:rPr>
            <w:rStyle w:val="Hyperlink"/>
            <w:noProof/>
          </w:rPr>
          <w:t>C.3.3</w:t>
        </w:r>
        <w:r w:rsidR="003F5D9A">
          <w:rPr>
            <w:rFonts w:asciiTheme="minorHAnsi" w:eastAsiaTheme="minorEastAsia" w:hAnsiTheme="minorHAnsi"/>
            <w:noProof/>
            <w:sz w:val="22"/>
            <w:lang w:eastAsia="en-AU"/>
          </w:rPr>
          <w:tab/>
        </w:r>
        <w:r w:rsidR="003F5D9A" w:rsidRPr="00FC4CF3">
          <w:rPr>
            <w:rStyle w:val="Hyperlink"/>
            <w:noProof/>
          </w:rPr>
          <w:t>Outcome</w:t>
        </w:r>
        <w:r w:rsidR="003F5D9A">
          <w:rPr>
            <w:noProof/>
            <w:webHidden/>
          </w:rPr>
          <w:tab/>
        </w:r>
        <w:r w:rsidR="003F5D9A">
          <w:rPr>
            <w:noProof/>
            <w:webHidden/>
          </w:rPr>
          <w:fldChar w:fldCharType="begin"/>
        </w:r>
        <w:r w:rsidR="003F5D9A">
          <w:rPr>
            <w:noProof/>
            <w:webHidden/>
          </w:rPr>
          <w:instrText xml:space="preserve"> PAGEREF _Toc21429748 \h </w:instrText>
        </w:r>
        <w:r w:rsidR="003F5D9A">
          <w:rPr>
            <w:noProof/>
            <w:webHidden/>
          </w:rPr>
        </w:r>
        <w:r w:rsidR="003F5D9A">
          <w:rPr>
            <w:noProof/>
            <w:webHidden/>
          </w:rPr>
          <w:fldChar w:fldCharType="separate"/>
        </w:r>
        <w:r w:rsidR="003F5D9A">
          <w:rPr>
            <w:noProof/>
            <w:webHidden/>
          </w:rPr>
          <w:t>36</w:t>
        </w:r>
        <w:r w:rsidR="003F5D9A">
          <w:rPr>
            <w:noProof/>
            <w:webHidden/>
          </w:rPr>
          <w:fldChar w:fldCharType="end"/>
        </w:r>
      </w:hyperlink>
    </w:p>
    <w:p w14:paraId="2BD55FAD" w14:textId="6D1860AA" w:rsidR="003F5D9A" w:rsidRDefault="009D475F">
      <w:pPr>
        <w:pStyle w:val="TOC3"/>
        <w:tabs>
          <w:tab w:val="left" w:pos="1920"/>
        </w:tabs>
        <w:rPr>
          <w:rFonts w:asciiTheme="minorHAnsi" w:eastAsiaTheme="minorEastAsia" w:hAnsiTheme="minorHAnsi"/>
          <w:noProof/>
          <w:sz w:val="22"/>
          <w:lang w:eastAsia="en-AU"/>
        </w:rPr>
      </w:pPr>
      <w:hyperlink w:anchor="_Toc21429749" w:history="1">
        <w:r w:rsidR="003F5D9A" w:rsidRPr="00FC4CF3">
          <w:rPr>
            <w:rStyle w:val="Hyperlink"/>
            <w:noProof/>
          </w:rPr>
          <w:t>C.3.4</w:t>
        </w:r>
        <w:r w:rsidR="003F5D9A">
          <w:rPr>
            <w:rFonts w:asciiTheme="minorHAnsi" w:eastAsiaTheme="minorEastAsia" w:hAnsiTheme="minorHAnsi"/>
            <w:noProof/>
            <w:sz w:val="22"/>
            <w:lang w:eastAsia="en-AU"/>
          </w:rPr>
          <w:tab/>
        </w:r>
        <w:r w:rsidR="003F5D9A" w:rsidRPr="00FC4CF3">
          <w:rPr>
            <w:rStyle w:val="Hyperlink"/>
            <w:noProof/>
          </w:rPr>
          <w:t>ACMA Submissions to TG 5/1</w:t>
        </w:r>
        <w:r w:rsidR="003F5D9A">
          <w:rPr>
            <w:noProof/>
            <w:webHidden/>
          </w:rPr>
          <w:tab/>
        </w:r>
        <w:r w:rsidR="003F5D9A">
          <w:rPr>
            <w:noProof/>
            <w:webHidden/>
          </w:rPr>
          <w:fldChar w:fldCharType="begin"/>
        </w:r>
        <w:r w:rsidR="003F5D9A">
          <w:rPr>
            <w:noProof/>
            <w:webHidden/>
          </w:rPr>
          <w:instrText xml:space="preserve"> PAGEREF _Toc21429749 \h </w:instrText>
        </w:r>
        <w:r w:rsidR="003F5D9A">
          <w:rPr>
            <w:noProof/>
            <w:webHidden/>
          </w:rPr>
        </w:r>
        <w:r w:rsidR="003F5D9A">
          <w:rPr>
            <w:noProof/>
            <w:webHidden/>
          </w:rPr>
          <w:fldChar w:fldCharType="separate"/>
        </w:r>
        <w:r w:rsidR="003F5D9A">
          <w:rPr>
            <w:noProof/>
            <w:webHidden/>
          </w:rPr>
          <w:t>36</w:t>
        </w:r>
        <w:r w:rsidR="003F5D9A">
          <w:rPr>
            <w:noProof/>
            <w:webHidden/>
          </w:rPr>
          <w:fldChar w:fldCharType="end"/>
        </w:r>
      </w:hyperlink>
    </w:p>
    <w:p w14:paraId="33C428F2" w14:textId="1739D537" w:rsidR="003F5D9A" w:rsidRDefault="009D475F">
      <w:pPr>
        <w:pStyle w:val="TOC1"/>
        <w:rPr>
          <w:rFonts w:asciiTheme="minorHAnsi" w:eastAsiaTheme="minorEastAsia" w:hAnsiTheme="minorHAnsi"/>
          <w:b w:val="0"/>
          <w:color w:val="auto"/>
          <w:sz w:val="22"/>
          <w:lang w:eastAsia="en-AU"/>
        </w:rPr>
      </w:pPr>
      <w:hyperlink w:anchor="_Toc21429750" w:history="1">
        <w:r w:rsidR="003F5D9A" w:rsidRPr="00FC4CF3">
          <w:rPr>
            <w:rStyle w:val="Hyperlink"/>
          </w:rPr>
          <w:t>Appendix D—Brief on Europe and North America</w:t>
        </w:r>
        <w:r w:rsidR="003F5D9A">
          <w:rPr>
            <w:webHidden/>
          </w:rPr>
          <w:tab/>
        </w:r>
        <w:r w:rsidR="003F5D9A">
          <w:rPr>
            <w:webHidden/>
          </w:rPr>
          <w:fldChar w:fldCharType="begin"/>
        </w:r>
        <w:r w:rsidR="003F5D9A">
          <w:rPr>
            <w:webHidden/>
          </w:rPr>
          <w:instrText xml:space="preserve"> PAGEREF _Toc21429750 \h </w:instrText>
        </w:r>
        <w:r w:rsidR="003F5D9A">
          <w:rPr>
            <w:webHidden/>
          </w:rPr>
        </w:r>
        <w:r w:rsidR="003F5D9A">
          <w:rPr>
            <w:webHidden/>
          </w:rPr>
          <w:fldChar w:fldCharType="separate"/>
        </w:r>
        <w:r w:rsidR="003F5D9A">
          <w:rPr>
            <w:webHidden/>
          </w:rPr>
          <w:t>39</w:t>
        </w:r>
        <w:r w:rsidR="003F5D9A">
          <w:rPr>
            <w:webHidden/>
          </w:rPr>
          <w:fldChar w:fldCharType="end"/>
        </w:r>
      </w:hyperlink>
    </w:p>
    <w:p w14:paraId="07638F21" w14:textId="26E645C9" w:rsidR="003F5D9A" w:rsidRDefault="009D475F">
      <w:pPr>
        <w:pStyle w:val="TOC1"/>
        <w:rPr>
          <w:rFonts w:asciiTheme="minorHAnsi" w:eastAsiaTheme="minorEastAsia" w:hAnsiTheme="minorHAnsi"/>
          <w:b w:val="0"/>
          <w:color w:val="auto"/>
          <w:sz w:val="22"/>
          <w:lang w:eastAsia="en-AU"/>
        </w:rPr>
      </w:pPr>
      <w:hyperlink w:anchor="_Toc21429751" w:history="1">
        <w:r w:rsidR="003F5D9A" w:rsidRPr="00FC4CF3">
          <w:rPr>
            <w:rStyle w:val="Hyperlink"/>
          </w:rPr>
          <w:t>Appendix E—Detailed discussion of parameter assumptions</w:t>
        </w:r>
        <w:r w:rsidR="003F5D9A">
          <w:rPr>
            <w:webHidden/>
          </w:rPr>
          <w:tab/>
        </w:r>
        <w:r w:rsidR="003F5D9A">
          <w:rPr>
            <w:webHidden/>
          </w:rPr>
          <w:fldChar w:fldCharType="begin"/>
        </w:r>
        <w:r w:rsidR="003F5D9A">
          <w:rPr>
            <w:webHidden/>
          </w:rPr>
          <w:instrText xml:space="preserve"> PAGEREF _Toc21429751 \h </w:instrText>
        </w:r>
        <w:r w:rsidR="003F5D9A">
          <w:rPr>
            <w:webHidden/>
          </w:rPr>
        </w:r>
        <w:r w:rsidR="003F5D9A">
          <w:rPr>
            <w:webHidden/>
          </w:rPr>
          <w:fldChar w:fldCharType="separate"/>
        </w:r>
        <w:r w:rsidR="003F5D9A">
          <w:rPr>
            <w:webHidden/>
          </w:rPr>
          <w:t>40</w:t>
        </w:r>
        <w:r w:rsidR="003F5D9A">
          <w:rPr>
            <w:webHidden/>
          </w:rPr>
          <w:fldChar w:fldCharType="end"/>
        </w:r>
      </w:hyperlink>
    </w:p>
    <w:p w14:paraId="117695D8" w14:textId="49B9C049" w:rsidR="003F5D9A" w:rsidRDefault="009D475F">
      <w:pPr>
        <w:pStyle w:val="TOC2"/>
        <w:rPr>
          <w:rFonts w:asciiTheme="minorHAnsi" w:eastAsiaTheme="minorEastAsia" w:hAnsiTheme="minorHAnsi"/>
          <w:sz w:val="22"/>
          <w:lang w:eastAsia="en-AU"/>
        </w:rPr>
      </w:pPr>
      <w:hyperlink w:anchor="_Toc21429752" w:history="1">
        <w:r w:rsidR="003F5D9A" w:rsidRPr="00FC4CF3">
          <w:rPr>
            <w:rStyle w:val="Hyperlink"/>
          </w:rPr>
          <w:t>E.1</w:t>
        </w:r>
        <w:r w:rsidR="003F5D9A">
          <w:rPr>
            <w:rFonts w:asciiTheme="minorHAnsi" w:eastAsiaTheme="minorEastAsia" w:hAnsiTheme="minorHAnsi"/>
            <w:sz w:val="22"/>
            <w:lang w:eastAsia="en-AU"/>
          </w:rPr>
          <w:tab/>
        </w:r>
        <w:r w:rsidR="003F5D9A" w:rsidRPr="00FC4CF3">
          <w:rPr>
            <w:rStyle w:val="Hyperlink"/>
          </w:rPr>
          <w:t>Satellite G/T figure</w:t>
        </w:r>
        <w:r w:rsidR="003F5D9A">
          <w:rPr>
            <w:webHidden/>
          </w:rPr>
          <w:tab/>
        </w:r>
        <w:r w:rsidR="003F5D9A">
          <w:rPr>
            <w:webHidden/>
          </w:rPr>
          <w:fldChar w:fldCharType="begin"/>
        </w:r>
        <w:r w:rsidR="003F5D9A">
          <w:rPr>
            <w:webHidden/>
          </w:rPr>
          <w:instrText xml:space="preserve"> PAGEREF _Toc21429752 \h </w:instrText>
        </w:r>
        <w:r w:rsidR="003F5D9A">
          <w:rPr>
            <w:webHidden/>
          </w:rPr>
        </w:r>
        <w:r w:rsidR="003F5D9A">
          <w:rPr>
            <w:webHidden/>
          </w:rPr>
          <w:fldChar w:fldCharType="separate"/>
        </w:r>
        <w:r w:rsidR="003F5D9A">
          <w:rPr>
            <w:webHidden/>
          </w:rPr>
          <w:t>40</w:t>
        </w:r>
        <w:r w:rsidR="003F5D9A">
          <w:rPr>
            <w:webHidden/>
          </w:rPr>
          <w:fldChar w:fldCharType="end"/>
        </w:r>
      </w:hyperlink>
    </w:p>
    <w:p w14:paraId="0D5F436F" w14:textId="24B19C52" w:rsidR="003F5D9A" w:rsidRDefault="009D475F">
      <w:pPr>
        <w:pStyle w:val="TOC2"/>
        <w:rPr>
          <w:rFonts w:asciiTheme="minorHAnsi" w:eastAsiaTheme="minorEastAsia" w:hAnsiTheme="minorHAnsi"/>
          <w:sz w:val="22"/>
          <w:lang w:eastAsia="en-AU"/>
        </w:rPr>
      </w:pPr>
      <w:hyperlink w:anchor="_Toc21429753" w:history="1">
        <w:r w:rsidR="003F5D9A" w:rsidRPr="00FC4CF3">
          <w:rPr>
            <w:rStyle w:val="Hyperlink"/>
          </w:rPr>
          <w:t>E.2</w:t>
        </w:r>
        <w:r w:rsidR="003F5D9A">
          <w:rPr>
            <w:rFonts w:asciiTheme="minorHAnsi" w:eastAsiaTheme="minorEastAsia" w:hAnsiTheme="minorHAnsi"/>
            <w:sz w:val="22"/>
            <w:lang w:eastAsia="en-AU"/>
          </w:rPr>
          <w:tab/>
        </w:r>
        <w:r w:rsidR="003F5D9A" w:rsidRPr="00FC4CF3">
          <w:rPr>
            <w:rStyle w:val="Hyperlink"/>
          </w:rPr>
          <w:t>Protection criteria</w:t>
        </w:r>
        <w:r w:rsidR="003F5D9A">
          <w:rPr>
            <w:webHidden/>
          </w:rPr>
          <w:tab/>
        </w:r>
        <w:r w:rsidR="003F5D9A">
          <w:rPr>
            <w:webHidden/>
          </w:rPr>
          <w:fldChar w:fldCharType="begin"/>
        </w:r>
        <w:r w:rsidR="003F5D9A">
          <w:rPr>
            <w:webHidden/>
          </w:rPr>
          <w:instrText xml:space="preserve"> PAGEREF _Toc21429753 \h </w:instrText>
        </w:r>
        <w:r w:rsidR="003F5D9A">
          <w:rPr>
            <w:webHidden/>
          </w:rPr>
        </w:r>
        <w:r w:rsidR="003F5D9A">
          <w:rPr>
            <w:webHidden/>
          </w:rPr>
          <w:fldChar w:fldCharType="separate"/>
        </w:r>
        <w:r w:rsidR="003F5D9A">
          <w:rPr>
            <w:webHidden/>
          </w:rPr>
          <w:t>42</w:t>
        </w:r>
        <w:r w:rsidR="003F5D9A">
          <w:rPr>
            <w:webHidden/>
          </w:rPr>
          <w:fldChar w:fldCharType="end"/>
        </w:r>
      </w:hyperlink>
    </w:p>
    <w:p w14:paraId="1AAAA323" w14:textId="1FFE8781" w:rsidR="003F5D9A" w:rsidRDefault="009D475F">
      <w:pPr>
        <w:pStyle w:val="TOC2"/>
        <w:rPr>
          <w:rFonts w:asciiTheme="minorHAnsi" w:eastAsiaTheme="minorEastAsia" w:hAnsiTheme="minorHAnsi"/>
          <w:sz w:val="22"/>
          <w:lang w:eastAsia="en-AU"/>
        </w:rPr>
      </w:pPr>
      <w:hyperlink w:anchor="_Toc21429754" w:history="1">
        <w:r w:rsidR="003F5D9A" w:rsidRPr="00FC4CF3">
          <w:rPr>
            <w:rStyle w:val="Hyperlink"/>
          </w:rPr>
          <w:t>E.3</w:t>
        </w:r>
        <w:r w:rsidR="003F5D9A">
          <w:rPr>
            <w:rFonts w:asciiTheme="minorHAnsi" w:eastAsiaTheme="minorEastAsia" w:hAnsiTheme="minorHAnsi"/>
            <w:sz w:val="22"/>
            <w:lang w:eastAsia="en-AU"/>
          </w:rPr>
          <w:tab/>
        </w:r>
        <w:r w:rsidR="003F5D9A" w:rsidRPr="00FC4CF3">
          <w:rPr>
            <w:rStyle w:val="Hyperlink"/>
          </w:rPr>
          <w:t>IMT terminal density</w:t>
        </w:r>
        <w:r w:rsidR="003F5D9A">
          <w:rPr>
            <w:webHidden/>
          </w:rPr>
          <w:tab/>
        </w:r>
        <w:r w:rsidR="003F5D9A">
          <w:rPr>
            <w:webHidden/>
          </w:rPr>
          <w:fldChar w:fldCharType="begin"/>
        </w:r>
        <w:r w:rsidR="003F5D9A">
          <w:rPr>
            <w:webHidden/>
          </w:rPr>
          <w:instrText xml:space="preserve"> PAGEREF _Toc21429754 \h </w:instrText>
        </w:r>
        <w:r w:rsidR="003F5D9A">
          <w:rPr>
            <w:webHidden/>
          </w:rPr>
        </w:r>
        <w:r w:rsidR="003F5D9A">
          <w:rPr>
            <w:webHidden/>
          </w:rPr>
          <w:fldChar w:fldCharType="separate"/>
        </w:r>
        <w:r w:rsidR="003F5D9A">
          <w:rPr>
            <w:webHidden/>
          </w:rPr>
          <w:t>44</w:t>
        </w:r>
        <w:r w:rsidR="003F5D9A">
          <w:rPr>
            <w:webHidden/>
          </w:rPr>
          <w:fldChar w:fldCharType="end"/>
        </w:r>
      </w:hyperlink>
    </w:p>
    <w:p w14:paraId="1F4136D4" w14:textId="6AE6D88C" w:rsidR="003F5D9A" w:rsidRDefault="009D475F">
      <w:pPr>
        <w:pStyle w:val="TOC2"/>
        <w:rPr>
          <w:rFonts w:asciiTheme="minorHAnsi" w:eastAsiaTheme="minorEastAsia" w:hAnsiTheme="minorHAnsi"/>
          <w:sz w:val="22"/>
          <w:lang w:eastAsia="en-AU"/>
        </w:rPr>
      </w:pPr>
      <w:hyperlink w:anchor="_Toc21429755" w:history="1">
        <w:r w:rsidR="003F5D9A" w:rsidRPr="00FC4CF3">
          <w:rPr>
            <w:rStyle w:val="Hyperlink"/>
          </w:rPr>
          <w:t>E.4</w:t>
        </w:r>
        <w:r w:rsidR="003F5D9A">
          <w:rPr>
            <w:rFonts w:asciiTheme="minorHAnsi" w:eastAsiaTheme="minorEastAsia" w:hAnsiTheme="minorHAnsi"/>
            <w:sz w:val="22"/>
            <w:lang w:eastAsia="en-AU"/>
          </w:rPr>
          <w:tab/>
        </w:r>
        <w:r w:rsidR="003F5D9A" w:rsidRPr="00FC4CF3">
          <w:rPr>
            <w:rStyle w:val="Hyperlink"/>
          </w:rPr>
          <w:t>IMT BS and UE transmit power</w:t>
        </w:r>
        <w:r w:rsidR="003F5D9A">
          <w:rPr>
            <w:webHidden/>
          </w:rPr>
          <w:tab/>
        </w:r>
        <w:r w:rsidR="003F5D9A">
          <w:rPr>
            <w:webHidden/>
          </w:rPr>
          <w:fldChar w:fldCharType="begin"/>
        </w:r>
        <w:r w:rsidR="003F5D9A">
          <w:rPr>
            <w:webHidden/>
          </w:rPr>
          <w:instrText xml:space="preserve"> PAGEREF _Toc21429755 \h </w:instrText>
        </w:r>
        <w:r w:rsidR="003F5D9A">
          <w:rPr>
            <w:webHidden/>
          </w:rPr>
        </w:r>
        <w:r w:rsidR="003F5D9A">
          <w:rPr>
            <w:webHidden/>
          </w:rPr>
          <w:fldChar w:fldCharType="separate"/>
        </w:r>
        <w:r w:rsidR="003F5D9A">
          <w:rPr>
            <w:webHidden/>
          </w:rPr>
          <w:t>45</w:t>
        </w:r>
        <w:r w:rsidR="003F5D9A">
          <w:rPr>
            <w:webHidden/>
          </w:rPr>
          <w:fldChar w:fldCharType="end"/>
        </w:r>
      </w:hyperlink>
    </w:p>
    <w:p w14:paraId="23E136F0" w14:textId="4019B5AE" w:rsidR="003F5D9A" w:rsidRDefault="009D475F">
      <w:pPr>
        <w:pStyle w:val="TOC2"/>
        <w:rPr>
          <w:rFonts w:asciiTheme="minorHAnsi" w:eastAsiaTheme="minorEastAsia" w:hAnsiTheme="minorHAnsi"/>
          <w:sz w:val="22"/>
          <w:lang w:eastAsia="en-AU"/>
        </w:rPr>
      </w:pPr>
      <w:hyperlink w:anchor="_Toc21429756" w:history="1">
        <w:r w:rsidR="003F5D9A" w:rsidRPr="00FC4CF3">
          <w:rPr>
            <w:rStyle w:val="Hyperlink"/>
          </w:rPr>
          <w:t>E.5</w:t>
        </w:r>
        <w:r w:rsidR="003F5D9A">
          <w:rPr>
            <w:rFonts w:asciiTheme="minorHAnsi" w:eastAsiaTheme="minorEastAsia" w:hAnsiTheme="minorHAnsi"/>
            <w:sz w:val="22"/>
            <w:lang w:eastAsia="en-AU"/>
          </w:rPr>
          <w:tab/>
        </w:r>
        <w:r w:rsidR="003F5D9A" w:rsidRPr="00FC4CF3">
          <w:rPr>
            <w:rStyle w:val="Hyperlink"/>
          </w:rPr>
          <w:t>IMT UE body loss</w:t>
        </w:r>
        <w:r w:rsidR="003F5D9A">
          <w:rPr>
            <w:webHidden/>
          </w:rPr>
          <w:tab/>
        </w:r>
        <w:r w:rsidR="003F5D9A">
          <w:rPr>
            <w:webHidden/>
          </w:rPr>
          <w:fldChar w:fldCharType="begin"/>
        </w:r>
        <w:r w:rsidR="003F5D9A">
          <w:rPr>
            <w:webHidden/>
          </w:rPr>
          <w:instrText xml:space="preserve"> PAGEREF _Toc21429756 \h </w:instrText>
        </w:r>
        <w:r w:rsidR="003F5D9A">
          <w:rPr>
            <w:webHidden/>
          </w:rPr>
        </w:r>
        <w:r w:rsidR="003F5D9A">
          <w:rPr>
            <w:webHidden/>
          </w:rPr>
          <w:fldChar w:fldCharType="separate"/>
        </w:r>
        <w:r w:rsidR="003F5D9A">
          <w:rPr>
            <w:webHidden/>
          </w:rPr>
          <w:t>46</w:t>
        </w:r>
        <w:r w:rsidR="003F5D9A">
          <w:rPr>
            <w:webHidden/>
          </w:rPr>
          <w:fldChar w:fldCharType="end"/>
        </w:r>
      </w:hyperlink>
    </w:p>
    <w:p w14:paraId="12055973" w14:textId="05A2282D" w:rsidR="003F5D9A" w:rsidRDefault="009D475F">
      <w:pPr>
        <w:pStyle w:val="TOC2"/>
        <w:rPr>
          <w:rFonts w:asciiTheme="minorHAnsi" w:eastAsiaTheme="minorEastAsia" w:hAnsiTheme="minorHAnsi"/>
          <w:sz w:val="22"/>
          <w:lang w:eastAsia="en-AU"/>
        </w:rPr>
      </w:pPr>
      <w:hyperlink w:anchor="_Toc21429757" w:history="1">
        <w:r w:rsidR="003F5D9A" w:rsidRPr="00FC4CF3">
          <w:rPr>
            <w:rStyle w:val="Hyperlink"/>
          </w:rPr>
          <w:t>E.6</w:t>
        </w:r>
        <w:r w:rsidR="003F5D9A">
          <w:rPr>
            <w:rFonts w:asciiTheme="minorHAnsi" w:eastAsiaTheme="minorEastAsia" w:hAnsiTheme="minorHAnsi"/>
            <w:sz w:val="22"/>
            <w:lang w:eastAsia="en-AU"/>
          </w:rPr>
          <w:tab/>
        </w:r>
        <w:r w:rsidR="003F5D9A" w:rsidRPr="00FC4CF3">
          <w:rPr>
            <w:rStyle w:val="Hyperlink"/>
          </w:rPr>
          <w:t>Polarisation discrimination</w:t>
        </w:r>
        <w:r w:rsidR="003F5D9A">
          <w:rPr>
            <w:webHidden/>
          </w:rPr>
          <w:tab/>
        </w:r>
        <w:r w:rsidR="003F5D9A">
          <w:rPr>
            <w:webHidden/>
          </w:rPr>
          <w:fldChar w:fldCharType="begin"/>
        </w:r>
        <w:r w:rsidR="003F5D9A">
          <w:rPr>
            <w:webHidden/>
          </w:rPr>
          <w:instrText xml:space="preserve"> PAGEREF _Toc21429757 \h </w:instrText>
        </w:r>
        <w:r w:rsidR="003F5D9A">
          <w:rPr>
            <w:webHidden/>
          </w:rPr>
        </w:r>
        <w:r w:rsidR="003F5D9A">
          <w:rPr>
            <w:webHidden/>
          </w:rPr>
          <w:fldChar w:fldCharType="separate"/>
        </w:r>
        <w:r w:rsidR="003F5D9A">
          <w:rPr>
            <w:webHidden/>
          </w:rPr>
          <w:t>46</w:t>
        </w:r>
        <w:r w:rsidR="003F5D9A">
          <w:rPr>
            <w:webHidden/>
          </w:rPr>
          <w:fldChar w:fldCharType="end"/>
        </w:r>
      </w:hyperlink>
    </w:p>
    <w:p w14:paraId="72455675" w14:textId="2D051C80" w:rsidR="003F5D9A" w:rsidRDefault="009D475F">
      <w:pPr>
        <w:pStyle w:val="TOC2"/>
        <w:rPr>
          <w:rFonts w:asciiTheme="minorHAnsi" w:eastAsiaTheme="minorEastAsia" w:hAnsiTheme="minorHAnsi"/>
          <w:sz w:val="22"/>
          <w:lang w:eastAsia="en-AU"/>
        </w:rPr>
      </w:pPr>
      <w:hyperlink w:anchor="_Toc21429758" w:history="1">
        <w:r w:rsidR="003F5D9A" w:rsidRPr="00FC4CF3">
          <w:rPr>
            <w:rStyle w:val="Hyperlink"/>
          </w:rPr>
          <w:t>E.7</w:t>
        </w:r>
        <w:r w:rsidR="003F5D9A">
          <w:rPr>
            <w:rFonts w:asciiTheme="minorHAnsi" w:eastAsiaTheme="minorEastAsia" w:hAnsiTheme="minorHAnsi"/>
            <w:sz w:val="22"/>
            <w:lang w:eastAsia="en-AU"/>
          </w:rPr>
          <w:tab/>
        </w:r>
        <w:r w:rsidR="003F5D9A" w:rsidRPr="00FC4CF3">
          <w:rPr>
            <w:rStyle w:val="Hyperlink"/>
          </w:rPr>
          <w:t>IMT Network loading factor / average BS activity</w:t>
        </w:r>
        <w:r w:rsidR="003F5D9A">
          <w:rPr>
            <w:webHidden/>
          </w:rPr>
          <w:tab/>
        </w:r>
        <w:r w:rsidR="003F5D9A">
          <w:rPr>
            <w:webHidden/>
          </w:rPr>
          <w:fldChar w:fldCharType="begin"/>
        </w:r>
        <w:r w:rsidR="003F5D9A">
          <w:rPr>
            <w:webHidden/>
          </w:rPr>
          <w:instrText xml:space="preserve"> PAGEREF _Toc21429758 \h </w:instrText>
        </w:r>
        <w:r w:rsidR="003F5D9A">
          <w:rPr>
            <w:webHidden/>
          </w:rPr>
        </w:r>
        <w:r w:rsidR="003F5D9A">
          <w:rPr>
            <w:webHidden/>
          </w:rPr>
          <w:fldChar w:fldCharType="separate"/>
        </w:r>
        <w:r w:rsidR="003F5D9A">
          <w:rPr>
            <w:webHidden/>
          </w:rPr>
          <w:t>46</w:t>
        </w:r>
        <w:r w:rsidR="003F5D9A">
          <w:rPr>
            <w:webHidden/>
          </w:rPr>
          <w:fldChar w:fldCharType="end"/>
        </w:r>
      </w:hyperlink>
    </w:p>
    <w:p w14:paraId="6912C3DB" w14:textId="00BF7BE7" w:rsidR="003F5D9A" w:rsidRDefault="009D475F">
      <w:pPr>
        <w:pStyle w:val="TOC2"/>
        <w:rPr>
          <w:rFonts w:asciiTheme="minorHAnsi" w:eastAsiaTheme="minorEastAsia" w:hAnsiTheme="minorHAnsi"/>
          <w:sz w:val="22"/>
          <w:lang w:eastAsia="en-AU"/>
        </w:rPr>
      </w:pPr>
      <w:hyperlink w:anchor="_Toc21429759" w:history="1">
        <w:r w:rsidR="003F5D9A" w:rsidRPr="00FC4CF3">
          <w:rPr>
            <w:rStyle w:val="Hyperlink"/>
          </w:rPr>
          <w:t>E.8</w:t>
        </w:r>
        <w:r w:rsidR="003F5D9A">
          <w:rPr>
            <w:rFonts w:asciiTheme="minorHAnsi" w:eastAsiaTheme="minorEastAsia" w:hAnsiTheme="minorHAnsi"/>
            <w:sz w:val="22"/>
            <w:lang w:eastAsia="en-AU"/>
          </w:rPr>
          <w:tab/>
        </w:r>
        <w:r w:rsidR="003F5D9A" w:rsidRPr="00FC4CF3">
          <w:rPr>
            <w:rStyle w:val="Hyperlink"/>
          </w:rPr>
          <w:t>IMT BS activity factor (Uplink to downlink ratio)</w:t>
        </w:r>
        <w:r w:rsidR="003F5D9A">
          <w:rPr>
            <w:webHidden/>
          </w:rPr>
          <w:tab/>
        </w:r>
        <w:r w:rsidR="003F5D9A">
          <w:rPr>
            <w:webHidden/>
          </w:rPr>
          <w:fldChar w:fldCharType="begin"/>
        </w:r>
        <w:r w:rsidR="003F5D9A">
          <w:rPr>
            <w:webHidden/>
          </w:rPr>
          <w:instrText xml:space="preserve"> PAGEREF _Toc21429759 \h </w:instrText>
        </w:r>
        <w:r w:rsidR="003F5D9A">
          <w:rPr>
            <w:webHidden/>
          </w:rPr>
        </w:r>
        <w:r w:rsidR="003F5D9A">
          <w:rPr>
            <w:webHidden/>
          </w:rPr>
          <w:fldChar w:fldCharType="separate"/>
        </w:r>
        <w:r w:rsidR="003F5D9A">
          <w:rPr>
            <w:webHidden/>
          </w:rPr>
          <w:t>47</w:t>
        </w:r>
        <w:r w:rsidR="003F5D9A">
          <w:rPr>
            <w:webHidden/>
          </w:rPr>
          <w:fldChar w:fldCharType="end"/>
        </w:r>
      </w:hyperlink>
    </w:p>
    <w:p w14:paraId="0FF0A46B" w14:textId="343BD337" w:rsidR="003F5D9A" w:rsidRDefault="009D475F">
      <w:pPr>
        <w:pStyle w:val="TOC2"/>
        <w:rPr>
          <w:rFonts w:asciiTheme="minorHAnsi" w:eastAsiaTheme="minorEastAsia" w:hAnsiTheme="minorHAnsi"/>
          <w:sz w:val="22"/>
          <w:lang w:eastAsia="en-AU"/>
        </w:rPr>
      </w:pPr>
      <w:hyperlink w:anchor="_Toc21429760" w:history="1">
        <w:r w:rsidR="003F5D9A" w:rsidRPr="00FC4CF3">
          <w:rPr>
            <w:rStyle w:val="Hyperlink"/>
          </w:rPr>
          <w:t>E.9</w:t>
        </w:r>
        <w:r w:rsidR="003F5D9A">
          <w:rPr>
            <w:rFonts w:asciiTheme="minorHAnsi" w:eastAsiaTheme="minorEastAsia" w:hAnsiTheme="minorHAnsi"/>
            <w:sz w:val="22"/>
            <w:lang w:eastAsia="en-AU"/>
          </w:rPr>
          <w:tab/>
        </w:r>
        <w:r w:rsidR="003F5D9A" w:rsidRPr="00FC4CF3">
          <w:rPr>
            <w:rStyle w:val="Hyperlink"/>
          </w:rPr>
          <w:t>IMT BS antenna height</w:t>
        </w:r>
        <w:r w:rsidR="003F5D9A">
          <w:rPr>
            <w:webHidden/>
          </w:rPr>
          <w:tab/>
        </w:r>
        <w:r w:rsidR="003F5D9A">
          <w:rPr>
            <w:webHidden/>
          </w:rPr>
          <w:fldChar w:fldCharType="begin"/>
        </w:r>
        <w:r w:rsidR="003F5D9A">
          <w:rPr>
            <w:webHidden/>
          </w:rPr>
          <w:instrText xml:space="preserve"> PAGEREF _Toc21429760 \h </w:instrText>
        </w:r>
        <w:r w:rsidR="003F5D9A">
          <w:rPr>
            <w:webHidden/>
          </w:rPr>
        </w:r>
        <w:r w:rsidR="003F5D9A">
          <w:rPr>
            <w:webHidden/>
          </w:rPr>
          <w:fldChar w:fldCharType="separate"/>
        </w:r>
        <w:r w:rsidR="003F5D9A">
          <w:rPr>
            <w:webHidden/>
          </w:rPr>
          <w:t>48</w:t>
        </w:r>
        <w:r w:rsidR="003F5D9A">
          <w:rPr>
            <w:webHidden/>
          </w:rPr>
          <w:fldChar w:fldCharType="end"/>
        </w:r>
      </w:hyperlink>
    </w:p>
    <w:p w14:paraId="1DE05A04" w14:textId="51FAD32B" w:rsidR="003F5D9A" w:rsidRDefault="009D475F">
      <w:pPr>
        <w:pStyle w:val="TOC1"/>
        <w:rPr>
          <w:rFonts w:asciiTheme="minorHAnsi" w:eastAsiaTheme="minorEastAsia" w:hAnsiTheme="minorHAnsi"/>
          <w:b w:val="0"/>
          <w:color w:val="auto"/>
          <w:sz w:val="22"/>
          <w:lang w:eastAsia="en-AU"/>
        </w:rPr>
      </w:pPr>
      <w:hyperlink w:anchor="_Toc21429761" w:history="1">
        <w:r w:rsidR="003F5D9A" w:rsidRPr="00FC4CF3">
          <w:rPr>
            <w:rStyle w:val="Hyperlink"/>
          </w:rPr>
          <w:t>Appendix F—Glossary</w:t>
        </w:r>
        <w:r w:rsidR="003F5D9A">
          <w:rPr>
            <w:webHidden/>
          </w:rPr>
          <w:tab/>
        </w:r>
        <w:r w:rsidR="003F5D9A">
          <w:rPr>
            <w:webHidden/>
          </w:rPr>
          <w:fldChar w:fldCharType="begin"/>
        </w:r>
        <w:r w:rsidR="003F5D9A">
          <w:rPr>
            <w:webHidden/>
          </w:rPr>
          <w:instrText xml:space="preserve"> PAGEREF _Toc21429761 \h </w:instrText>
        </w:r>
        <w:r w:rsidR="003F5D9A">
          <w:rPr>
            <w:webHidden/>
          </w:rPr>
        </w:r>
        <w:r w:rsidR="003F5D9A">
          <w:rPr>
            <w:webHidden/>
          </w:rPr>
          <w:fldChar w:fldCharType="separate"/>
        </w:r>
        <w:r w:rsidR="003F5D9A">
          <w:rPr>
            <w:webHidden/>
          </w:rPr>
          <w:t>51</w:t>
        </w:r>
        <w:r w:rsidR="003F5D9A">
          <w:rPr>
            <w:webHidden/>
          </w:rPr>
          <w:fldChar w:fldCharType="end"/>
        </w:r>
      </w:hyperlink>
    </w:p>
    <w:p w14:paraId="6F7DC164" w14:textId="3157931D" w:rsidR="00F63D35" w:rsidRDefault="003D193C" w:rsidP="00F63D35">
      <w:r>
        <w:fldChar w:fldCharType="end"/>
      </w:r>
    </w:p>
    <w:p w14:paraId="46710FA4" w14:textId="77777777" w:rsidR="00585C00" w:rsidRPr="006228CD" w:rsidRDefault="00585C00" w:rsidP="000E3BF4">
      <w:pPr>
        <w:rPr>
          <w:rFonts w:ascii="Calibri" w:eastAsia="PMingLiU" w:hAnsi="Calibri" w:cs="Mangal"/>
          <w:b/>
          <w:color w:val="7030A0"/>
          <w:sz w:val="24"/>
        </w:rPr>
      </w:pPr>
      <w:r w:rsidRPr="006228CD">
        <w:rPr>
          <w:rFonts w:ascii="Calibri" w:eastAsia="PMingLiU" w:hAnsi="Calibri" w:cs="Mangal"/>
          <w:b/>
          <w:color w:val="7030A0"/>
          <w:sz w:val="24"/>
        </w:rPr>
        <w:t>Tables and figures</w:t>
      </w:r>
    </w:p>
    <w:p w14:paraId="74CFFB65" w14:textId="1C8F4F25" w:rsidR="003F5D9A" w:rsidRDefault="00585C00">
      <w:pPr>
        <w:pStyle w:val="TOC4"/>
        <w:rPr>
          <w:rFonts w:asciiTheme="minorHAnsi" w:eastAsiaTheme="minorEastAsia" w:hAnsiTheme="minorHAnsi"/>
          <w:noProof/>
          <w:sz w:val="22"/>
          <w:lang w:eastAsia="en-AU"/>
        </w:rPr>
      </w:pPr>
      <w:r w:rsidRPr="005113AA">
        <w:rPr>
          <w:rFonts w:ascii="Calibri" w:eastAsia="PMingLiU" w:hAnsi="Calibri" w:cs="Mangal"/>
        </w:rPr>
        <w:fldChar w:fldCharType="begin"/>
      </w:r>
      <w:r w:rsidRPr="005113AA">
        <w:rPr>
          <w:rFonts w:ascii="Calibri" w:eastAsia="PMingLiU" w:hAnsi="Calibri" w:cs="Mangal"/>
        </w:rPr>
        <w:instrText xml:space="preserve"> TOC \h \z \t "Table/figure heading,4,Table heading,4" </w:instrText>
      </w:r>
      <w:r w:rsidRPr="005113AA">
        <w:rPr>
          <w:rFonts w:ascii="Calibri" w:eastAsia="PMingLiU" w:hAnsi="Calibri" w:cs="Mangal"/>
        </w:rPr>
        <w:fldChar w:fldCharType="separate"/>
      </w:r>
      <w:hyperlink w:anchor="_Toc21429762" w:history="1">
        <w:r w:rsidR="003F5D9A" w:rsidRPr="00C55BB0">
          <w:rPr>
            <w:rStyle w:val="Hyperlink"/>
            <w:noProof/>
          </w:rPr>
          <w:t>Figure 1.1: Areas where additional conditions would apply to apparatus licences (purple) and to both apparatus and spectrum licences (yellow)</w:t>
        </w:r>
        <w:r w:rsidR="003F5D9A">
          <w:rPr>
            <w:noProof/>
            <w:webHidden/>
          </w:rPr>
          <w:tab/>
        </w:r>
        <w:r w:rsidR="003F5D9A">
          <w:rPr>
            <w:noProof/>
            <w:webHidden/>
          </w:rPr>
          <w:fldChar w:fldCharType="begin"/>
        </w:r>
        <w:r w:rsidR="003F5D9A">
          <w:rPr>
            <w:noProof/>
            <w:webHidden/>
          </w:rPr>
          <w:instrText xml:space="preserve"> PAGEREF _Toc21429762 \h </w:instrText>
        </w:r>
        <w:r w:rsidR="003F5D9A">
          <w:rPr>
            <w:noProof/>
            <w:webHidden/>
          </w:rPr>
        </w:r>
        <w:r w:rsidR="003F5D9A">
          <w:rPr>
            <w:noProof/>
            <w:webHidden/>
          </w:rPr>
          <w:fldChar w:fldCharType="separate"/>
        </w:r>
        <w:r w:rsidR="003F5D9A">
          <w:rPr>
            <w:noProof/>
            <w:webHidden/>
          </w:rPr>
          <w:t>7</w:t>
        </w:r>
        <w:r w:rsidR="003F5D9A">
          <w:rPr>
            <w:noProof/>
            <w:webHidden/>
          </w:rPr>
          <w:fldChar w:fldCharType="end"/>
        </w:r>
      </w:hyperlink>
    </w:p>
    <w:p w14:paraId="69EC4D2C" w14:textId="56ACCEDD" w:rsidR="003F5D9A" w:rsidRDefault="009D475F">
      <w:pPr>
        <w:pStyle w:val="TOC4"/>
        <w:rPr>
          <w:rFonts w:asciiTheme="minorHAnsi" w:eastAsiaTheme="minorEastAsia" w:hAnsiTheme="minorHAnsi"/>
          <w:noProof/>
          <w:sz w:val="22"/>
          <w:lang w:eastAsia="en-AU"/>
        </w:rPr>
      </w:pPr>
      <w:hyperlink w:anchor="_Toc21429763" w:history="1">
        <w:r w:rsidR="003F5D9A" w:rsidRPr="00C55BB0">
          <w:rPr>
            <w:rStyle w:val="Hyperlink"/>
            <w:noProof/>
          </w:rPr>
          <w:t>Table 2.1: Assumed parameters and calculated margins</w:t>
        </w:r>
        <w:r w:rsidR="003F5D9A">
          <w:rPr>
            <w:noProof/>
            <w:webHidden/>
          </w:rPr>
          <w:tab/>
        </w:r>
        <w:r w:rsidR="003F5D9A">
          <w:rPr>
            <w:noProof/>
            <w:webHidden/>
          </w:rPr>
          <w:fldChar w:fldCharType="begin"/>
        </w:r>
        <w:r w:rsidR="003F5D9A">
          <w:rPr>
            <w:noProof/>
            <w:webHidden/>
          </w:rPr>
          <w:instrText xml:space="preserve"> PAGEREF _Toc21429763 \h </w:instrText>
        </w:r>
        <w:r w:rsidR="003F5D9A">
          <w:rPr>
            <w:noProof/>
            <w:webHidden/>
          </w:rPr>
        </w:r>
        <w:r w:rsidR="003F5D9A">
          <w:rPr>
            <w:noProof/>
            <w:webHidden/>
          </w:rPr>
          <w:fldChar w:fldCharType="separate"/>
        </w:r>
        <w:r w:rsidR="003F5D9A">
          <w:rPr>
            <w:noProof/>
            <w:webHidden/>
          </w:rPr>
          <w:t>9</w:t>
        </w:r>
        <w:r w:rsidR="003F5D9A">
          <w:rPr>
            <w:noProof/>
            <w:webHidden/>
          </w:rPr>
          <w:fldChar w:fldCharType="end"/>
        </w:r>
      </w:hyperlink>
    </w:p>
    <w:p w14:paraId="29597803" w14:textId="6470C8D3" w:rsidR="003F5D9A" w:rsidRDefault="009D475F">
      <w:pPr>
        <w:pStyle w:val="TOC4"/>
        <w:rPr>
          <w:rFonts w:asciiTheme="minorHAnsi" w:eastAsiaTheme="minorEastAsia" w:hAnsiTheme="minorHAnsi"/>
          <w:noProof/>
          <w:sz w:val="22"/>
          <w:lang w:eastAsia="en-AU"/>
        </w:rPr>
      </w:pPr>
      <w:hyperlink w:anchor="_Toc21429764" w:history="1">
        <w:r w:rsidR="003F5D9A" w:rsidRPr="00C55BB0">
          <w:rPr>
            <w:rStyle w:val="Hyperlink"/>
            <w:noProof/>
          </w:rPr>
          <w:t>Figure 2.1: Population density and gateway uplink beam contours (Source Australian Bureau of Statistics with Plum overlay)</w:t>
        </w:r>
        <w:r w:rsidR="003F5D9A">
          <w:rPr>
            <w:noProof/>
            <w:webHidden/>
          </w:rPr>
          <w:tab/>
        </w:r>
        <w:r w:rsidR="003F5D9A">
          <w:rPr>
            <w:noProof/>
            <w:webHidden/>
          </w:rPr>
          <w:fldChar w:fldCharType="begin"/>
        </w:r>
        <w:r w:rsidR="003F5D9A">
          <w:rPr>
            <w:noProof/>
            <w:webHidden/>
          </w:rPr>
          <w:instrText xml:space="preserve"> PAGEREF _Toc21429764 \h </w:instrText>
        </w:r>
        <w:r w:rsidR="003F5D9A">
          <w:rPr>
            <w:noProof/>
            <w:webHidden/>
          </w:rPr>
        </w:r>
        <w:r w:rsidR="003F5D9A">
          <w:rPr>
            <w:noProof/>
            <w:webHidden/>
          </w:rPr>
          <w:fldChar w:fldCharType="separate"/>
        </w:r>
        <w:r w:rsidR="003F5D9A">
          <w:rPr>
            <w:noProof/>
            <w:webHidden/>
          </w:rPr>
          <w:t>13</w:t>
        </w:r>
        <w:r w:rsidR="003F5D9A">
          <w:rPr>
            <w:noProof/>
            <w:webHidden/>
          </w:rPr>
          <w:fldChar w:fldCharType="end"/>
        </w:r>
      </w:hyperlink>
    </w:p>
    <w:p w14:paraId="685DDB90" w14:textId="363F3713" w:rsidR="003F5D9A" w:rsidRDefault="009D475F">
      <w:pPr>
        <w:pStyle w:val="TOC4"/>
        <w:rPr>
          <w:rFonts w:asciiTheme="minorHAnsi" w:eastAsiaTheme="minorEastAsia" w:hAnsiTheme="minorHAnsi"/>
          <w:noProof/>
          <w:sz w:val="22"/>
          <w:lang w:eastAsia="en-AU"/>
        </w:rPr>
      </w:pPr>
      <w:hyperlink w:anchor="_Toc21429765" w:history="1">
        <w:r w:rsidR="003F5D9A" w:rsidRPr="00C55BB0">
          <w:rPr>
            <w:rStyle w:val="Hyperlink"/>
            <w:noProof/>
          </w:rPr>
          <w:t>Table 2.2: Single-entry interference analysis (Plum and NBN assumptions)</w:t>
        </w:r>
        <w:r w:rsidR="003F5D9A">
          <w:rPr>
            <w:noProof/>
            <w:webHidden/>
          </w:rPr>
          <w:tab/>
        </w:r>
        <w:r w:rsidR="003F5D9A">
          <w:rPr>
            <w:noProof/>
            <w:webHidden/>
          </w:rPr>
          <w:fldChar w:fldCharType="begin"/>
        </w:r>
        <w:r w:rsidR="003F5D9A">
          <w:rPr>
            <w:noProof/>
            <w:webHidden/>
          </w:rPr>
          <w:instrText xml:space="preserve"> PAGEREF _Toc21429765 \h </w:instrText>
        </w:r>
        <w:r w:rsidR="003F5D9A">
          <w:rPr>
            <w:noProof/>
            <w:webHidden/>
          </w:rPr>
        </w:r>
        <w:r w:rsidR="003F5D9A">
          <w:rPr>
            <w:noProof/>
            <w:webHidden/>
          </w:rPr>
          <w:fldChar w:fldCharType="separate"/>
        </w:r>
        <w:r w:rsidR="003F5D9A">
          <w:rPr>
            <w:noProof/>
            <w:webHidden/>
          </w:rPr>
          <w:t>16</w:t>
        </w:r>
        <w:r w:rsidR="003F5D9A">
          <w:rPr>
            <w:noProof/>
            <w:webHidden/>
          </w:rPr>
          <w:fldChar w:fldCharType="end"/>
        </w:r>
      </w:hyperlink>
    </w:p>
    <w:p w14:paraId="73BD004C" w14:textId="390C3AD9" w:rsidR="003F5D9A" w:rsidRDefault="009D475F">
      <w:pPr>
        <w:pStyle w:val="TOC4"/>
        <w:rPr>
          <w:rFonts w:asciiTheme="minorHAnsi" w:eastAsiaTheme="minorEastAsia" w:hAnsiTheme="minorHAnsi"/>
          <w:noProof/>
          <w:sz w:val="22"/>
          <w:lang w:eastAsia="en-AU"/>
        </w:rPr>
      </w:pPr>
      <w:hyperlink w:anchor="_Toc21429766" w:history="1">
        <w:r w:rsidR="003F5D9A" w:rsidRPr="00C55BB0">
          <w:rPr>
            <w:rStyle w:val="Hyperlink"/>
            <w:noProof/>
          </w:rPr>
          <w:t>Table 2.3: Worst-case single-entry calculations</w:t>
        </w:r>
        <w:r w:rsidR="003F5D9A">
          <w:rPr>
            <w:noProof/>
            <w:webHidden/>
          </w:rPr>
          <w:tab/>
        </w:r>
        <w:r w:rsidR="003F5D9A">
          <w:rPr>
            <w:noProof/>
            <w:webHidden/>
          </w:rPr>
          <w:fldChar w:fldCharType="begin"/>
        </w:r>
        <w:r w:rsidR="003F5D9A">
          <w:rPr>
            <w:noProof/>
            <w:webHidden/>
          </w:rPr>
          <w:instrText xml:space="preserve"> PAGEREF _Toc21429766 \h </w:instrText>
        </w:r>
        <w:r w:rsidR="003F5D9A">
          <w:rPr>
            <w:noProof/>
            <w:webHidden/>
          </w:rPr>
        </w:r>
        <w:r w:rsidR="003F5D9A">
          <w:rPr>
            <w:noProof/>
            <w:webHidden/>
          </w:rPr>
          <w:fldChar w:fldCharType="separate"/>
        </w:r>
        <w:r w:rsidR="003F5D9A">
          <w:rPr>
            <w:noProof/>
            <w:webHidden/>
          </w:rPr>
          <w:t>17</w:t>
        </w:r>
        <w:r w:rsidR="003F5D9A">
          <w:rPr>
            <w:noProof/>
            <w:webHidden/>
          </w:rPr>
          <w:fldChar w:fldCharType="end"/>
        </w:r>
      </w:hyperlink>
    </w:p>
    <w:p w14:paraId="34C14D69" w14:textId="751824A5" w:rsidR="003F5D9A" w:rsidRDefault="009D475F">
      <w:pPr>
        <w:pStyle w:val="TOC4"/>
        <w:rPr>
          <w:rFonts w:asciiTheme="minorHAnsi" w:eastAsiaTheme="minorEastAsia" w:hAnsiTheme="minorHAnsi"/>
          <w:noProof/>
          <w:sz w:val="22"/>
          <w:lang w:eastAsia="en-AU"/>
        </w:rPr>
      </w:pPr>
      <w:hyperlink w:anchor="_Toc21429767" w:history="1">
        <w:r w:rsidR="003F5D9A" w:rsidRPr="00C55BB0">
          <w:rPr>
            <w:rStyle w:val="Hyperlink"/>
            <w:noProof/>
          </w:rPr>
          <w:t>Figure 1: Categories of wireless broadband use</w:t>
        </w:r>
        <w:r w:rsidR="003F5D9A">
          <w:rPr>
            <w:noProof/>
            <w:webHidden/>
          </w:rPr>
          <w:tab/>
        </w:r>
        <w:r w:rsidR="003F5D9A">
          <w:rPr>
            <w:noProof/>
            <w:webHidden/>
          </w:rPr>
          <w:fldChar w:fldCharType="begin"/>
        </w:r>
        <w:r w:rsidR="003F5D9A">
          <w:rPr>
            <w:noProof/>
            <w:webHidden/>
          </w:rPr>
          <w:instrText xml:space="preserve"> PAGEREF _Toc21429767 \h </w:instrText>
        </w:r>
        <w:r w:rsidR="003F5D9A">
          <w:rPr>
            <w:noProof/>
            <w:webHidden/>
          </w:rPr>
        </w:r>
        <w:r w:rsidR="003F5D9A">
          <w:rPr>
            <w:noProof/>
            <w:webHidden/>
          </w:rPr>
          <w:fldChar w:fldCharType="separate"/>
        </w:r>
        <w:r w:rsidR="003F5D9A">
          <w:rPr>
            <w:noProof/>
            <w:webHidden/>
          </w:rPr>
          <w:t>19</w:t>
        </w:r>
        <w:r w:rsidR="003F5D9A">
          <w:rPr>
            <w:noProof/>
            <w:webHidden/>
          </w:rPr>
          <w:fldChar w:fldCharType="end"/>
        </w:r>
      </w:hyperlink>
    </w:p>
    <w:p w14:paraId="76C37AE6" w14:textId="31212220" w:rsidR="003F5D9A" w:rsidRDefault="009D475F">
      <w:pPr>
        <w:pStyle w:val="TOC4"/>
        <w:rPr>
          <w:rFonts w:asciiTheme="minorHAnsi" w:eastAsiaTheme="minorEastAsia" w:hAnsiTheme="minorHAnsi"/>
          <w:noProof/>
          <w:sz w:val="22"/>
          <w:lang w:eastAsia="en-AU"/>
        </w:rPr>
      </w:pPr>
      <w:hyperlink w:anchor="_Toc21429768" w:history="1">
        <w:r w:rsidR="003F5D9A" w:rsidRPr="00C55BB0">
          <w:rPr>
            <w:rStyle w:val="Hyperlink"/>
            <w:noProof/>
          </w:rPr>
          <w:t>Figure A.1: Sky muster downlink footprints  (Source: https://www.nbnco.com.au/blog/the-nbn-project/five-questions-with-nbns-satellite-program-director)</w:t>
        </w:r>
        <w:r w:rsidR="003F5D9A">
          <w:rPr>
            <w:noProof/>
            <w:webHidden/>
          </w:rPr>
          <w:tab/>
        </w:r>
        <w:r w:rsidR="003F5D9A">
          <w:rPr>
            <w:noProof/>
            <w:webHidden/>
          </w:rPr>
          <w:fldChar w:fldCharType="begin"/>
        </w:r>
        <w:r w:rsidR="003F5D9A">
          <w:rPr>
            <w:noProof/>
            <w:webHidden/>
          </w:rPr>
          <w:instrText xml:space="preserve"> PAGEREF _Toc21429768 \h </w:instrText>
        </w:r>
        <w:r w:rsidR="003F5D9A">
          <w:rPr>
            <w:noProof/>
            <w:webHidden/>
          </w:rPr>
        </w:r>
        <w:r w:rsidR="003F5D9A">
          <w:rPr>
            <w:noProof/>
            <w:webHidden/>
          </w:rPr>
          <w:fldChar w:fldCharType="separate"/>
        </w:r>
        <w:r w:rsidR="003F5D9A">
          <w:rPr>
            <w:noProof/>
            <w:webHidden/>
          </w:rPr>
          <w:t>23</w:t>
        </w:r>
        <w:r w:rsidR="003F5D9A">
          <w:rPr>
            <w:noProof/>
            <w:webHidden/>
          </w:rPr>
          <w:fldChar w:fldCharType="end"/>
        </w:r>
      </w:hyperlink>
    </w:p>
    <w:p w14:paraId="444ECDE1" w14:textId="075D5AAD" w:rsidR="003F5D9A" w:rsidRDefault="009D475F">
      <w:pPr>
        <w:pStyle w:val="TOC4"/>
        <w:rPr>
          <w:rFonts w:asciiTheme="minorHAnsi" w:eastAsiaTheme="minorEastAsia" w:hAnsiTheme="minorHAnsi"/>
          <w:noProof/>
          <w:sz w:val="22"/>
          <w:lang w:eastAsia="en-AU"/>
        </w:rPr>
      </w:pPr>
      <w:hyperlink w:anchor="_Toc21429769" w:history="1">
        <w:r w:rsidR="003F5D9A" w:rsidRPr="00C55BB0">
          <w:rPr>
            <w:rStyle w:val="Hyperlink"/>
            <w:noProof/>
          </w:rPr>
          <w:t>Figure A.2: Correspondence between downlink beams and gateway earth stations  (Source: https://birrraus.com/2016/06/05/what-are-sky-muster-spot-beams/)</w:t>
        </w:r>
        <w:r w:rsidR="003F5D9A">
          <w:rPr>
            <w:noProof/>
            <w:webHidden/>
          </w:rPr>
          <w:tab/>
        </w:r>
        <w:r w:rsidR="003F5D9A">
          <w:rPr>
            <w:noProof/>
            <w:webHidden/>
          </w:rPr>
          <w:fldChar w:fldCharType="begin"/>
        </w:r>
        <w:r w:rsidR="003F5D9A">
          <w:rPr>
            <w:noProof/>
            <w:webHidden/>
          </w:rPr>
          <w:instrText xml:space="preserve"> PAGEREF _Toc21429769 \h </w:instrText>
        </w:r>
        <w:r w:rsidR="003F5D9A">
          <w:rPr>
            <w:noProof/>
            <w:webHidden/>
          </w:rPr>
        </w:r>
        <w:r w:rsidR="003F5D9A">
          <w:rPr>
            <w:noProof/>
            <w:webHidden/>
          </w:rPr>
          <w:fldChar w:fldCharType="separate"/>
        </w:r>
        <w:r w:rsidR="003F5D9A">
          <w:rPr>
            <w:noProof/>
            <w:webHidden/>
          </w:rPr>
          <w:t>24</w:t>
        </w:r>
        <w:r w:rsidR="003F5D9A">
          <w:rPr>
            <w:noProof/>
            <w:webHidden/>
          </w:rPr>
          <w:fldChar w:fldCharType="end"/>
        </w:r>
      </w:hyperlink>
    </w:p>
    <w:p w14:paraId="1E3D0230" w14:textId="7827DDBC" w:rsidR="003F5D9A" w:rsidRDefault="009D475F">
      <w:pPr>
        <w:pStyle w:val="TOC4"/>
        <w:rPr>
          <w:rFonts w:asciiTheme="minorHAnsi" w:eastAsiaTheme="minorEastAsia" w:hAnsiTheme="minorHAnsi"/>
          <w:noProof/>
          <w:sz w:val="22"/>
          <w:lang w:eastAsia="en-AU"/>
        </w:rPr>
      </w:pPr>
      <w:hyperlink w:anchor="_Toc21429770" w:history="1">
        <w:r w:rsidR="003F5D9A" w:rsidRPr="00C55BB0">
          <w:rPr>
            <w:rStyle w:val="Hyperlink"/>
            <w:noProof/>
          </w:rPr>
          <w:t>Table C.1: IMT parameters (Document 5-1/36, February 2017)</w:t>
        </w:r>
        <w:r w:rsidR="003F5D9A">
          <w:rPr>
            <w:noProof/>
            <w:webHidden/>
          </w:rPr>
          <w:tab/>
        </w:r>
        <w:r w:rsidR="003F5D9A">
          <w:rPr>
            <w:noProof/>
            <w:webHidden/>
          </w:rPr>
          <w:fldChar w:fldCharType="begin"/>
        </w:r>
        <w:r w:rsidR="003F5D9A">
          <w:rPr>
            <w:noProof/>
            <w:webHidden/>
          </w:rPr>
          <w:instrText xml:space="preserve"> PAGEREF _Toc21429770 \h </w:instrText>
        </w:r>
        <w:r w:rsidR="003F5D9A">
          <w:rPr>
            <w:noProof/>
            <w:webHidden/>
          </w:rPr>
        </w:r>
        <w:r w:rsidR="003F5D9A">
          <w:rPr>
            <w:noProof/>
            <w:webHidden/>
          </w:rPr>
          <w:fldChar w:fldCharType="separate"/>
        </w:r>
        <w:r w:rsidR="003F5D9A">
          <w:rPr>
            <w:noProof/>
            <w:webHidden/>
          </w:rPr>
          <w:t>30</w:t>
        </w:r>
        <w:r w:rsidR="003F5D9A">
          <w:rPr>
            <w:noProof/>
            <w:webHidden/>
          </w:rPr>
          <w:fldChar w:fldCharType="end"/>
        </w:r>
      </w:hyperlink>
    </w:p>
    <w:p w14:paraId="2589AFED" w14:textId="66A9CFD2" w:rsidR="003F5D9A" w:rsidRDefault="009D475F">
      <w:pPr>
        <w:pStyle w:val="TOC4"/>
        <w:rPr>
          <w:rFonts w:asciiTheme="minorHAnsi" w:eastAsiaTheme="minorEastAsia" w:hAnsiTheme="minorHAnsi"/>
          <w:noProof/>
          <w:sz w:val="22"/>
          <w:lang w:eastAsia="en-AU"/>
        </w:rPr>
      </w:pPr>
      <w:hyperlink w:anchor="_Toc21429771" w:history="1">
        <w:r w:rsidR="003F5D9A" w:rsidRPr="00C55BB0">
          <w:rPr>
            <w:rStyle w:val="Hyperlink"/>
            <w:noProof/>
          </w:rPr>
          <w:t>Table C.1A: IMT Parameters (Base Stations)</w:t>
        </w:r>
        <w:r w:rsidR="003F5D9A">
          <w:rPr>
            <w:noProof/>
            <w:webHidden/>
          </w:rPr>
          <w:tab/>
        </w:r>
        <w:r w:rsidR="003F5D9A">
          <w:rPr>
            <w:noProof/>
            <w:webHidden/>
          </w:rPr>
          <w:fldChar w:fldCharType="begin"/>
        </w:r>
        <w:r w:rsidR="003F5D9A">
          <w:rPr>
            <w:noProof/>
            <w:webHidden/>
          </w:rPr>
          <w:instrText xml:space="preserve"> PAGEREF _Toc21429771 \h </w:instrText>
        </w:r>
        <w:r w:rsidR="003F5D9A">
          <w:rPr>
            <w:noProof/>
            <w:webHidden/>
          </w:rPr>
        </w:r>
        <w:r w:rsidR="003F5D9A">
          <w:rPr>
            <w:noProof/>
            <w:webHidden/>
          </w:rPr>
          <w:fldChar w:fldCharType="separate"/>
        </w:r>
        <w:r w:rsidR="003F5D9A">
          <w:rPr>
            <w:noProof/>
            <w:webHidden/>
          </w:rPr>
          <w:t>31</w:t>
        </w:r>
        <w:r w:rsidR="003F5D9A">
          <w:rPr>
            <w:noProof/>
            <w:webHidden/>
          </w:rPr>
          <w:fldChar w:fldCharType="end"/>
        </w:r>
      </w:hyperlink>
    </w:p>
    <w:p w14:paraId="2E2ECB53" w14:textId="0F12277D" w:rsidR="003F5D9A" w:rsidRDefault="009D475F">
      <w:pPr>
        <w:pStyle w:val="TOC4"/>
        <w:rPr>
          <w:rFonts w:asciiTheme="minorHAnsi" w:eastAsiaTheme="minorEastAsia" w:hAnsiTheme="minorHAnsi"/>
          <w:noProof/>
          <w:sz w:val="22"/>
          <w:lang w:eastAsia="en-AU"/>
        </w:rPr>
      </w:pPr>
      <w:hyperlink w:anchor="_Toc21429772" w:history="1">
        <w:r w:rsidR="003F5D9A" w:rsidRPr="00C55BB0">
          <w:rPr>
            <w:rStyle w:val="Hyperlink"/>
            <w:noProof/>
          </w:rPr>
          <w:t>Table C.1B: IMT Parameters (User Equipment)</w:t>
        </w:r>
        <w:r w:rsidR="003F5D9A">
          <w:rPr>
            <w:noProof/>
            <w:webHidden/>
          </w:rPr>
          <w:tab/>
        </w:r>
        <w:r w:rsidR="003F5D9A">
          <w:rPr>
            <w:noProof/>
            <w:webHidden/>
          </w:rPr>
          <w:fldChar w:fldCharType="begin"/>
        </w:r>
        <w:r w:rsidR="003F5D9A">
          <w:rPr>
            <w:noProof/>
            <w:webHidden/>
          </w:rPr>
          <w:instrText xml:space="preserve"> PAGEREF _Toc21429772 \h </w:instrText>
        </w:r>
        <w:r w:rsidR="003F5D9A">
          <w:rPr>
            <w:noProof/>
            <w:webHidden/>
          </w:rPr>
        </w:r>
        <w:r w:rsidR="003F5D9A">
          <w:rPr>
            <w:noProof/>
            <w:webHidden/>
          </w:rPr>
          <w:fldChar w:fldCharType="separate"/>
        </w:r>
        <w:r w:rsidR="003F5D9A">
          <w:rPr>
            <w:noProof/>
            <w:webHidden/>
          </w:rPr>
          <w:t>32</w:t>
        </w:r>
        <w:r w:rsidR="003F5D9A">
          <w:rPr>
            <w:noProof/>
            <w:webHidden/>
          </w:rPr>
          <w:fldChar w:fldCharType="end"/>
        </w:r>
      </w:hyperlink>
    </w:p>
    <w:p w14:paraId="543AF9C8" w14:textId="03A61D6D" w:rsidR="003F5D9A" w:rsidRDefault="009D475F">
      <w:pPr>
        <w:pStyle w:val="TOC4"/>
        <w:rPr>
          <w:rFonts w:asciiTheme="minorHAnsi" w:eastAsiaTheme="minorEastAsia" w:hAnsiTheme="minorHAnsi"/>
          <w:noProof/>
          <w:sz w:val="22"/>
          <w:lang w:eastAsia="en-AU"/>
        </w:rPr>
      </w:pPr>
      <w:hyperlink w:anchor="_Toc21429773" w:history="1">
        <w:r w:rsidR="003F5D9A" w:rsidRPr="00C55BB0">
          <w:rPr>
            <w:rStyle w:val="Hyperlink"/>
            <w:noProof/>
          </w:rPr>
          <w:t>Table C.2: FSS uplink parameters (Document 5-1/89, May 2017)</w:t>
        </w:r>
        <w:r w:rsidR="003F5D9A">
          <w:rPr>
            <w:noProof/>
            <w:webHidden/>
          </w:rPr>
          <w:tab/>
        </w:r>
        <w:r w:rsidR="003F5D9A">
          <w:rPr>
            <w:noProof/>
            <w:webHidden/>
          </w:rPr>
          <w:fldChar w:fldCharType="begin"/>
        </w:r>
        <w:r w:rsidR="003F5D9A">
          <w:rPr>
            <w:noProof/>
            <w:webHidden/>
          </w:rPr>
          <w:instrText xml:space="preserve"> PAGEREF _Toc21429773 \h </w:instrText>
        </w:r>
        <w:r w:rsidR="003F5D9A">
          <w:rPr>
            <w:noProof/>
            <w:webHidden/>
          </w:rPr>
        </w:r>
        <w:r w:rsidR="003F5D9A">
          <w:rPr>
            <w:noProof/>
            <w:webHidden/>
          </w:rPr>
          <w:fldChar w:fldCharType="separate"/>
        </w:r>
        <w:r w:rsidR="003F5D9A">
          <w:rPr>
            <w:noProof/>
            <w:webHidden/>
          </w:rPr>
          <w:t>33</w:t>
        </w:r>
        <w:r w:rsidR="003F5D9A">
          <w:rPr>
            <w:noProof/>
            <w:webHidden/>
          </w:rPr>
          <w:fldChar w:fldCharType="end"/>
        </w:r>
      </w:hyperlink>
    </w:p>
    <w:p w14:paraId="758D4432" w14:textId="484CB6D5" w:rsidR="003F5D9A" w:rsidRDefault="009D475F">
      <w:pPr>
        <w:pStyle w:val="TOC4"/>
        <w:rPr>
          <w:rFonts w:asciiTheme="minorHAnsi" w:eastAsiaTheme="minorEastAsia" w:hAnsiTheme="minorHAnsi"/>
          <w:noProof/>
          <w:sz w:val="22"/>
          <w:lang w:eastAsia="en-AU"/>
        </w:rPr>
      </w:pPr>
      <w:hyperlink w:anchor="_Toc21429774" w:history="1">
        <w:r w:rsidR="003F5D9A" w:rsidRPr="00C55BB0">
          <w:rPr>
            <w:rStyle w:val="Hyperlink"/>
            <w:noProof/>
          </w:rPr>
          <w:t>Table C.3: Assumed FSS protection criteria (Attachment 3 to Annex 3 to TG 5/1’s final Chairman’s report, Document 5-1/478, September 2018)</w:t>
        </w:r>
        <w:r w:rsidR="003F5D9A">
          <w:rPr>
            <w:noProof/>
            <w:webHidden/>
          </w:rPr>
          <w:tab/>
        </w:r>
        <w:r w:rsidR="003F5D9A">
          <w:rPr>
            <w:noProof/>
            <w:webHidden/>
          </w:rPr>
          <w:fldChar w:fldCharType="begin"/>
        </w:r>
        <w:r w:rsidR="003F5D9A">
          <w:rPr>
            <w:noProof/>
            <w:webHidden/>
          </w:rPr>
          <w:instrText xml:space="preserve"> PAGEREF _Toc21429774 \h </w:instrText>
        </w:r>
        <w:r w:rsidR="003F5D9A">
          <w:rPr>
            <w:noProof/>
            <w:webHidden/>
          </w:rPr>
        </w:r>
        <w:r w:rsidR="003F5D9A">
          <w:rPr>
            <w:noProof/>
            <w:webHidden/>
          </w:rPr>
          <w:fldChar w:fldCharType="separate"/>
        </w:r>
        <w:r w:rsidR="003F5D9A">
          <w:rPr>
            <w:noProof/>
            <w:webHidden/>
          </w:rPr>
          <w:t>34</w:t>
        </w:r>
        <w:r w:rsidR="003F5D9A">
          <w:rPr>
            <w:noProof/>
            <w:webHidden/>
          </w:rPr>
          <w:fldChar w:fldCharType="end"/>
        </w:r>
      </w:hyperlink>
    </w:p>
    <w:p w14:paraId="477E2A80" w14:textId="691DDE82" w:rsidR="003F5D9A" w:rsidRDefault="009D475F">
      <w:pPr>
        <w:pStyle w:val="TOC4"/>
        <w:rPr>
          <w:rFonts w:asciiTheme="minorHAnsi" w:eastAsiaTheme="minorEastAsia" w:hAnsiTheme="minorHAnsi"/>
          <w:noProof/>
          <w:sz w:val="22"/>
          <w:lang w:eastAsia="en-AU"/>
        </w:rPr>
      </w:pPr>
      <w:hyperlink w:anchor="_Toc21429775" w:history="1">
        <w:r w:rsidR="003F5D9A" w:rsidRPr="00C55BB0">
          <w:rPr>
            <w:rStyle w:val="Hyperlink"/>
            <w:noProof/>
          </w:rPr>
          <w:t>Figure E.1: : Showing different Sky Muster spot-beam sizes (source: http://proceedings.kaconf.org/papers/2015/bsw_1.pdf)</w:t>
        </w:r>
        <w:r w:rsidR="003F5D9A">
          <w:rPr>
            <w:noProof/>
            <w:webHidden/>
          </w:rPr>
          <w:tab/>
        </w:r>
        <w:r w:rsidR="003F5D9A">
          <w:rPr>
            <w:noProof/>
            <w:webHidden/>
          </w:rPr>
          <w:fldChar w:fldCharType="begin"/>
        </w:r>
        <w:r w:rsidR="003F5D9A">
          <w:rPr>
            <w:noProof/>
            <w:webHidden/>
          </w:rPr>
          <w:instrText xml:space="preserve"> PAGEREF _Toc21429775 \h </w:instrText>
        </w:r>
        <w:r w:rsidR="003F5D9A">
          <w:rPr>
            <w:noProof/>
            <w:webHidden/>
          </w:rPr>
        </w:r>
        <w:r w:rsidR="003F5D9A">
          <w:rPr>
            <w:noProof/>
            <w:webHidden/>
          </w:rPr>
          <w:fldChar w:fldCharType="separate"/>
        </w:r>
        <w:r w:rsidR="003F5D9A">
          <w:rPr>
            <w:noProof/>
            <w:webHidden/>
          </w:rPr>
          <w:t>41</w:t>
        </w:r>
        <w:r w:rsidR="003F5D9A">
          <w:rPr>
            <w:noProof/>
            <w:webHidden/>
          </w:rPr>
          <w:fldChar w:fldCharType="end"/>
        </w:r>
      </w:hyperlink>
    </w:p>
    <w:p w14:paraId="4E313F8C" w14:textId="30E9C2DC" w:rsidR="003F5D9A" w:rsidRDefault="009D475F">
      <w:pPr>
        <w:pStyle w:val="TOC4"/>
        <w:rPr>
          <w:rFonts w:asciiTheme="minorHAnsi" w:eastAsiaTheme="minorEastAsia" w:hAnsiTheme="minorHAnsi"/>
          <w:noProof/>
          <w:sz w:val="22"/>
          <w:lang w:eastAsia="en-AU"/>
        </w:rPr>
      </w:pPr>
      <w:hyperlink w:anchor="_Toc21429776" w:history="1">
        <w:r w:rsidR="003F5D9A" w:rsidRPr="00C55BB0">
          <w:rPr>
            <w:rStyle w:val="Hyperlink"/>
            <w:noProof/>
          </w:rPr>
          <w:t>Figure E.2: Pre-launch image of Sky Muster satellite (launch (source: https://www.gizmodo.com.au/2016/04/nbn-has-launched-its-sky-muster-broadband-service-for-regional-areas/ )</w:t>
        </w:r>
        <w:r w:rsidR="003F5D9A">
          <w:rPr>
            <w:noProof/>
            <w:webHidden/>
          </w:rPr>
          <w:tab/>
        </w:r>
        <w:r w:rsidR="003F5D9A">
          <w:rPr>
            <w:noProof/>
            <w:webHidden/>
          </w:rPr>
          <w:fldChar w:fldCharType="begin"/>
        </w:r>
        <w:r w:rsidR="003F5D9A">
          <w:rPr>
            <w:noProof/>
            <w:webHidden/>
          </w:rPr>
          <w:instrText xml:space="preserve"> PAGEREF _Toc21429776 \h </w:instrText>
        </w:r>
        <w:r w:rsidR="003F5D9A">
          <w:rPr>
            <w:noProof/>
            <w:webHidden/>
          </w:rPr>
        </w:r>
        <w:r w:rsidR="003F5D9A">
          <w:rPr>
            <w:noProof/>
            <w:webHidden/>
          </w:rPr>
          <w:fldChar w:fldCharType="separate"/>
        </w:r>
        <w:r w:rsidR="003F5D9A">
          <w:rPr>
            <w:noProof/>
            <w:webHidden/>
          </w:rPr>
          <w:t>42</w:t>
        </w:r>
        <w:r w:rsidR="003F5D9A">
          <w:rPr>
            <w:noProof/>
            <w:webHidden/>
          </w:rPr>
          <w:fldChar w:fldCharType="end"/>
        </w:r>
      </w:hyperlink>
    </w:p>
    <w:p w14:paraId="525FCFE6" w14:textId="5DC09971" w:rsidR="003F5D9A" w:rsidRDefault="009D475F">
      <w:pPr>
        <w:pStyle w:val="TOC4"/>
        <w:rPr>
          <w:rFonts w:asciiTheme="minorHAnsi" w:eastAsiaTheme="minorEastAsia" w:hAnsiTheme="minorHAnsi"/>
          <w:noProof/>
          <w:sz w:val="22"/>
          <w:lang w:eastAsia="en-AU"/>
        </w:rPr>
      </w:pPr>
      <w:hyperlink w:anchor="_Toc21429777" w:history="1">
        <w:r w:rsidR="003F5D9A" w:rsidRPr="00C55BB0">
          <w:rPr>
            <w:rStyle w:val="Hyperlink"/>
            <w:noProof/>
          </w:rPr>
          <w:t>Table E.1: Data rates for different video applications</w:t>
        </w:r>
        <w:r w:rsidR="003F5D9A">
          <w:rPr>
            <w:noProof/>
            <w:webHidden/>
          </w:rPr>
          <w:tab/>
        </w:r>
        <w:r w:rsidR="003F5D9A">
          <w:rPr>
            <w:noProof/>
            <w:webHidden/>
          </w:rPr>
          <w:fldChar w:fldCharType="begin"/>
        </w:r>
        <w:r w:rsidR="003F5D9A">
          <w:rPr>
            <w:noProof/>
            <w:webHidden/>
          </w:rPr>
          <w:instrText xml:space="preserve"> PAGEREF _Toc21429777 \h </w:instrText>
        </w:r>
        <w:r w:rsidR="003F5D9A">
          <w:rPr>
            <w:noProof/>
            <w:webHidden/>
          </w:rPr>
        </w:r>
        <w:r w:rsidR="003F5D9A">
          <w:rPr>
            <w:noProof/>
            <w:webHidden/>
          </w:rPr>
          <w:fldChar w:fldCharType="separate"/>
        </w:r>
        <w:r w:rsidR="003F5D9A">
          <w:rPr>
            <w:noProof/>
            <w:webHidden/>
          </w:rPr>
          <w:t>44</w:t>
        </w:r>
        <w:r w:rsidR="003F5D9A">
          <w:rPr>
            <w:noProof/>
            <w:webHidden/>
          </w:rPr>
          <w:fldChar w:fldCharType="end"/>
        </w:r>
      </w:hyperlink>
    </w:p>
    <w:p w14:paraId="40B795ED" w14:textId="127D4DDE" w:rsidR="003F5D9A" w:rsidRDefault="009D475F">
      <w:pPr>
        <w:pStyle w:val="TOC4"/>
        <w:rPr>
          <w:rFonts w:asciiTheme="minorHAnsi" w:eastAsiaTheme="minorEastAsia" w:hAnsiTheme="minorHAnsi"/>
          <w:noProof/>
          <w:sz w:val="22"/>
          <w:lang w:eastAsia="en-AU"/>
        </w:rPr>
      </w:pPr>
      <w:hyperlink w:anchor="_Toc21429778" w:history="1">
        <w:r w:rsidR="003F5D9A" w:rsidRPr="00C55BB0">
          <w:rPr>
            <w:rStyle w:val="Hyperlink"/>
            <w:noProof/>
          </w:rPr>
          <w:t>Table E.2: Connection density for different areas</w:t>
        </w:r>
        <w:r w:rsidR="003F5D9A">
          <w:rPr>
            <w:noProof/>
            <w:webHidden/>
          </w:rPr>
          <w:tab/>
        </w:r>
        <w:r w:rsidR="003F5D9A">
          <w:rPr>
            <w:noProof/>
            <w:webHidden/>
          </w:rPr>
          <w:fldChar w:fldCharType="begin"/>
        </w:r>
        <w:r w:rsidR="003F5D9A">
          <w:rPr>
            <w:noProof/>
            <w:webHidden/>
          </w:rPr>
          <w:instrText xml:space="preserve"> PAGEREF _Toc21429778 \h </w:instrText>
        </w:r>
        <w:r w:rsidR="003F5D9A">
          <w:rPr>
            <w:noProof/>
            <w:webHidden/>
          </w:rPr>
        </w:r>
        <w:r w:rsidR="003F5D9A">
          <w:rPr>
            <w:noProof/>
            <w:webHidden/>
          </w:rPr>
          <w:fldChar w:fldCharType="separate"/>
        </w:r>
        <w:r w:rsidR="003F5D9A">
          <w:rPr>
            <w:noProof/>
            <w:webHidden/>
          </w:rPr>
          <w:t>44</w:t>
        </w:r>
        <w:r w:rsidR="003F5D9A">
          <w:rPr>
            <w:noProof/>
            <w:webHidden/>
          </w:rPr>
          <w:fldChar w:fldCharType="end"/>
        </w:r>
      </w:hyperlink>
    </w:p>
    <w:p w14:paraId="5DFF8A19" w14:textId="6CFA0AC3" w:rsidR="003F5D9A" w:rsidRDefault="009D475F">
      <w:pPr>
        <w:pStyle w:val="TOC4"/>
        <w:rPr>
          <w:rFonts w:asciiTheme="minorHAnsi" w:eastAsiaTheme="minorEastAsia" w:hAnsiTheme="minorHAnsi"/>
          <w:noProof/>
          <w:sz w:val="22"/>
          <w:lang w:eastAsia="en-AU"/>
        </w:rPr>
      </w:pPr>
      <w:hyperlink w:anchor="_Toc21429779" w:history="1">
        <w:r w:rsidR="003F5D9A" w:rsidRPr="00C55BB0">
          <w:rPr>
            <w:rStyle w:val="Hyperlink"/>
            <w:noProof/>
          </w:rPr>
          <w:t>Table E.3: Requirements for automotive services</w:t>
        </w:r>
        <w:r w:rsidR="003F5D9A">
          <w:rPr>
            <w:noProof/>
            <w:webHidden/>
          </w:rPr>
          <w:tab/>
        </w:r>
        <w:r w:rsidR="003F5D9A">
          <w:rPr>
            <w:noProof/>
            <w:webHidden/>
          </w:rPr>
          <w:fldChar w:fldCharType="begin"/>
        </w:r>
        <w:r w:rsidR="003F5D9A">
          <w:rPr>
            <w:noProof/>
            <w:webHidden/>
          </w:rPr>
          <w:instrText xml:space="preserve"> PAGEREF _Toc21429779 \h </w:instrText>
        </w:r>
        <w:r w:rsidR="003F5D9A">
          <w:rPr>
            <w:noProof/>
            <w:webHidden/>
          </w:rPr>
        </w:r>
        <w:r w:rsidR="003F5D9A">
          <w:rPr>
            <w:noProof/>
            <w:webHidden/>
          </w:rPr>
          <w:fldChar w:fldCharType="separate"/>
        </w:r>
        <w:r w:rsidR="003F5D9A">
          <w:rPr>
            <w:noProof/>
            <w:webHidden/>
          </w:rPr>
          <w:t>47</w:t>
        </w:r>
        <w:r w:rsidR="003F5D9A">
          <w:rPr>
            <w:noProof/>
            <w:webHidden/>
          </w:rPr>
          <w:fldChar w:fldCharType="end"/>
        </w:r>
      </w:hyperlink>
    </w:p>
    <w:p w14:paraId="2F61DB97" w14:textId="421757BA" w:rsidR="003F5D9A" w:rsidRDefault="009D475F">
      <w:pPr>
        <w:pStyle w:val="TOC4"/>
        <w:rPr>
          <w:rFonts w:asciiTheme="minorHAnsi" w:eastAsiaTheme="minorEastAsia" w:hAnsiTheme="minorHAnsi"/>
          <w:noProof/>
          <w:sz w:val="22"/>
          <w:lang w:eastAsia="en-AU"/>
        </w:rPr>
      </w:pPr>
      <w:hyperlink w:anchor="_Toc21429780" w:history="1">
        <w:r w:rsidR="003F5D9A" w:rsidRPr="00C55BB0">
          <w:rPr>
            <w:rStyle w:val="Hyperlink"/>
            <w:noProof/>
          </w:rPr>
          <w:t>Table E.4: Technical requirements for manufacturing / Industrial automation</w:t>
        </w:r>
        <w:r w:rsidR="003F5D9A">
          <w:rPr>
            <w:noProof/>
            <w:webHidden/>
          </w:rPr>
          <w:tab/>
        </w:r>
        <w:r w:rsidR="003F5D9A">
          <w:rPr>
            <w:noProof/>
            <w:webHidden/>
          </w:rPr>
          <w:fldChar w:fldCharType="begin"/>
        </w:r>
        <w:r w:rsidR="003F5D9A">
          <w:rPr>
            <w:noProof/>
            <w:webHidden/>
          </w:rPr>
          <w:instrText xml:space="preserve"> PAGEREF _Toc21429780 \h </w:instrText>
        </w:r>
        <w:r w:rsidR="003F5D9A">
          <w:rPr>
            <w:noProof/>
            <w:webHidden/>
          </w:rPr>
        </w:r>
        <w:r w:rsidR="003F5D9A">
          <w:rPr>
            <w:noProof/>
            <w:webHidden/>
          </w:rPr>
          <w:fldChar w:fldCharType="separate"/>
        </w:r>
        <w:r w:rsidR="003F5D9A">
          <w:rPr>
            <w:noProof/>
            <w:webHidden/>
          </w:rPr>
          <w:t>48</w:t>
        </w:r>
        <w:r w:rsidR="003F5D9A">
          <w:rPr>
            <w:noProof/>
            <w:webHidden/>
          </w:rPr>
          <w:fldChar w:fldCharType="end"/>
        </w:r>
      </w:hyperlink>
    </w:p>
    <w:p w14:paraId="58320905" w14:textId="6CE0885C" w:rsidR="003F5D9A" w:rsidRDefault="009D475F">
      <w:pPr>
        <w:pStyle w:val="TOC4"/>
        <w:rPr>
          <w:rFonts w:asciiTheme="minorHAnsi" w:eastAsiaTheme="minorEastAsia" w:hAnsiTheme="minorHAnsi"/>
          <w:noProof/>
          <w:sz w:val="22"/>
          <w:lang w:eastAsia="en-AU"/>
        </w:rPr>
      </w:pPr>
      <w:hyperlink w:anchor="_Toc21429781" w:history="1">
        <w:r w:rsidR="003F5D9A" w:rsidRPr="00C55BB0">
          <w:rPr>
            <w:rStyle w:val="Hyperlink"/>
            <w:noProof/>
          </w:rPr>
          <w:t>Table E.5: Requirements for smart city services</w:t>
        </w:r>
        <w:r w:rsidR="003F5D9A">
          <w:rPr>
            <w:noProof/>
            <w:webHidden/>
          </w:rPr>
          <w:tab/>
        </w:r>
        <w:r w:rsidR="003F5D9A">
          <w:rPr>
            <w:noProof/>
            <w:webHidden/>
          </w:rPr>
          <w:fldChar w:fldCharType="begin"/>
        </w:r>
        <w:r w:rsidR="003F5D9A">
          <w:rPr>
            <w:noProof/>
            <w:webHidden/>
          </w:rPr>
          <w:instrText xml:space="preserve"> PAGEREF _Toc21429781 \h </w:instrText>
        </w:r>
        <w:r w:rsidR="003F5D9A">
          <w:rPr>
            <w:noProof/>
            <w:webHidden/>
          </w:rPr>
        </w:r>
        <w:r w:rsidR="003F5D9A">
          <w:rPr>
            <w:noProof/>
            <w:webHidden/>
          </w:rPr>
          <w:fldChar w:fldCharType="separate"/>
        </w:r>
        <w:r w:rsidR="003F5D9A">
          <w:rPr>
            <w:noProof/>
            <w:webHidden/>
          </w:rPr>
          <w:t>48</w:t>
        </w:r>
        <w:r w:rsidR="003F5D9A">
          <w:rPr>
            <w:noProof/>
            <w:webHidden/>
          </w:rPr>
          <w:fldChar w:fldCharType="end"/>
        </w:r>
      </w:hyperlink>
    </w:p>
    <w:p w14:paraId="1290E481" w14:textId="0D7D81EB" w:rsidR="003F5D9A" w:rsidRDefault="009D475F">
      <w:pPr>
        <w:pStyle w:val="TOC4"/>
        <w:rPr>
          <w:rFonts w:asciiTheme="minorHAnsi" w:eastAsiaTheme="minorEastAsia" w:hAnsiTheme="minorHAnsi"/>
          <w:noProof/>
          <w:sz w:val="22"/>
          <w:lang w:eastAsia="en-AU"/>
        </w:rPr>
      </w:pPr>
      <w:hyperlink w:anchor="_Toc21429782" w:history="1">
        <w:r w:rsidR="003F5D9A" w:rsidRPr="00C55BB0">
          <w:rPr>
            <w:rStyle w:val="Hyperlink"/>
            <w:noProof/>
          </w:rPr>
          <w:t>Figure E.3: Qualcomm QTM052 module, showing 1 x 4 antenna elements (source Techinsights.com, https://osch.oss-cn-shanghai.aliyuncs.com/blogContentFile/1562306596954.pdf)</w:t>
        </w:r>
        <w:r w:rsidR="003F5D9A">
          <w:rPr>
            <w:noProof/>
            <w:webHidden/>
          </w:rPr>
          <w:tab/>
        </w:r>
        <w:r w:rsidR="003F5D9A">
          <w:rPr>
            <w:noProof/>
            <w:webHidden/>
          </w:rPr>
          <w:fldChar w:fldCharType="begin"/>
        </w:r>
        <w:r w:rsidR="003F5D9A">
          <w:rPr>
            <w:noProof/>
            <w:webHidden/>
          </w:rPr>
          <w:instrText xml:space="preserve"> PAGEREF _Toc21429782 \h </w:instrText>
        </w:r>
        <w:r w:rsidR="003F5D9A">
          <w:rPr>
            <w:noProof/>
            <w:webHidden/>
          </w:rPr>
        </w:r>
        <w:r w:rsidR="003F5D9A">
          <w:rPr>
            <w:noProof/>
            <w:webHidden/>
          </w:rPr>
          <w:fldChar w:fldCharType="separate"/>
        </w:r>
        <w:r w:rsidR="003F5D9A">
          <w:rPr>
            <w:noProof/>
            <w:webHidden/>
          </w:rPr>
          <w:t>49</w:t>
        </w:r>
        <w:r w:rsidR="003F5D9A">
          <w:rPr>
            <w:noProof/>
            <w:webHidden/>
          </w:rPr>
          <w:fldChar w:fldCharType="end"/>
        </w:r>
      </w:hyperlink>
    </w:p>
    <w:p w14:paraId="5B9ADA9D" w14:textId="0CFBF678" w:rsidR="003F5D9A" w:rsidRDefault="009D475F">
      <w:pPr>
        <w:pStyle w:val="TOC4"/>
        <w:rPr>
          <w:rFonts w:asciiTheme="minorHAnsi" w:eastAsiaTheme="minorEastAsia" w:hAnsiTheme="minorHAnsi"/>
          <w:noProof/>
          <w:sz w:val="22"/>
          <w:lang w:eastAsia="en-AU"/>
        </w:rPr>
      </w:pPr>
      <w:hyperlink w:anchor="_Toc21429783" w:history="1">
        <w:r w:rsidR="003F5D9A" w:rsidRPr="00C55BB0">
          <w:rPr>
            <w:rStyle w:val="Hyperlink"/>
            <w:noProof/>
          </w:rPr>
          <w:t>Table E.6: Typical Commercial TDD mMIMO Base Stations</w:t>
        </w:r>
        <w:r w:rsidR="003F5D9A">
          <w:rPr>
            <w:noProof/>
            <w:webHidden/>
          </w:rPr>
          <w:tab/>
        </w:r>
        <w:r w:rsidR="003F5D9A">
          <w:rPr>
            <w:noProof/>
            <w:webHidden/>
          </w:rPr>
          <w:fldChar w:fldCharType="begin"/>
        </w:r>
        <w:r w:rsidR="003F5D9A">
          <w:rPr>
            <w:noProof/>
            <w:webHidden/>
          </w:rPr>
          <w:instrText xml:space="preserve"> PAGEREF _Toc21429783 \h </w:instrText>
        </w:r>
        <w:r w:rsidR="003F5D9A">
          <w:rPr>
            <w:noProof/>
            <w:webHidden/>
          </w:rPr>
        </w:r>
        <w:r w:rsidR="003F5D9A">
          <w:rPr>
            <w:noProof/>
            <w:webHidden/>
          </w:rPr>
          <w:fldChar w:fldCharType="separate"/>
        </w:r>
        <w:r w:rsidR="003F5D9A">
          <w:rPr>
            <w:noProof/>
            <w:webHidden/>
          </w:rPr>
          <w:t>49</w:t>
        </w:r>
        <w:r w:rsidR="003F5D9A">
          <w:rPr>
            <w:noProof/>
            <w:webHidden/>
          </w:rPr>
          <w:fldChar w:fldCharType="end"/>
        </w:r>
      </w:hyperlink>
    </w:p>
    <w:p w14:paraId="5EC1AA40" w14:textId="3E789B18" w:rsidR="003F5D9A" w:rsidRDefault="009D475F">
      <w:pPr>
        <w:pStyle w:val="TOC4"/>
        <w:rPr>
          <w:rFonts w:asciiTheme="minorHAnsi" w:eastAsiaTheme="minorEastAsia" w:hAnsiTheme="minorHAnsi"/>
          <w:noProof/>
          <w:sz w:val="22"/>
          <w:lang w:eastAsia="en-AU"/>
        </w:rPr>
      </w:pPr>
      <w:hyperlink w:anchor="_Toc21429784" w:history="1">
        <w:r w:rsidR="003F5D9A" w:rsidRPr="00C55BB0">
          <w:rPr>
            <w:rStyle w:val="Hyperlink"/>
            <w:noProof/>
          </w:rPr>
          <w:t>Figure E.4: 8 x 16 antenna arrays for 28 GHz base station. Source: Fujitsu (https://www.fujitsu.com/global/about/resources/news/press-releases/2018/1129-01.html )</w:t>
        </w:r>
        <w:r w:rsidR="003F5D9A">
          <w:rPr>
            <w:noProof/>
            <w:webHidden/>
          </w:rPr>
          <w:tab/>
        </w:r>
        <w:r w:rsidR="003F5D9A">
          <w:rPr>
            <w:noProof/>
            <w:webHidden/>
          </w:rPr>
          <w:fldChar w:fldCharType="begin"/>
        </w:r>
        <w:r w:rsidR="003F5D9A">
          <w:rPr>
            <w:noProof/>
            <w:webHidden/>
          </w:rPr>
          <w:instrText xml:space="preserve"> PAGEREF _Toc21429784 \h </w:instrText>
        </w:r>
        <w:r w:rsidR="003F5D9A">
          <w:rPr>
            <w:noProof/>
            <w:webHidden/>
          </w:rPr>
        </w:r>
        <w:r w:rsidR="003F5D9A">
          <w:rPr>
            <w:noProof/>
            <w:webHidden/>
          </w:rPr>
          <w:fldChar w:fldCharType="separate"/>
        </w:r>
        <w:r w:rsidR="003F5D9A">
          <w:rPr>
            <w:noProof/>
            <w:webHidden/>
          </w:rPr>
          <w:t>50</w:t>
        </w:r>
        <w:r w:rsidR="003F5D9A">
          <w:rPr>
            <w:noProof/>
            <w:webHidden/>
          </w:rPr>
          <w:fldChar w:fldCharType="end"/>
        </w:r>
      </w:hyperlink>
    </w:p>
    <w:p w14:paraId="2FB14990" w14:textId="08EFDBCD" w:rsidR="005113AA" w:rsidRPr="005113AA" w:rsidRDefault="00585C00" w:rsidP="00585C00">
      <w:pPr>
        <w:rPr>
          <w:rFonts w:ascii="Calibri" w:eastAsia="PMingLiU" w:hAnsi="Calibri" w:cs="Mangal"/>
        </w:rPr>
      </w:pPr>
      <w:r w:rsidRPr="005113AA">
        <w:rPr>
          <w:rFonts w:ascii="Calibri" w:eastAsia="PMingLiU" w:hAnsi="Calibri" w:cs="Mangal"/>
        </w:rPr>
        <w:fldChar w:fldCharType="end"/>
      </w:r>
    </w:p>
    <w:p w14:paraId="3F5FD495" w14:textId="77777777" w:rsidR="005113AA" w:rsidRPr="005113AA" w:rsidRDefault="005113AA" w:rsidP="005113AA">
      <w:pPr>
        <w:rPr>
          <w:rFonts w:ascii="Calibri" w:eastAsia="PMingLiU" w:hAnsi="Calibri" w:cs="Mangal"/>
        </w:rPr>
      </w:pPr>
      <w:r w:rsidRPr="005113AA">
        <w:rPr>
          <w:rFonts w:ascii="Calibri" w:eastAsia="PMingLiU" w:hAnsi="Calibri" w:cs="Mangal"/>
        </w:rPr>
        <w:br w:type="page"/>
      </w:r>
    </w:p>
    <w:p w14:paraId="5A6B259A" w14:textId="77777777" w:rsidR="00DE3BEE" w:rsidRPr="006228CD" w:rsidRDefault="00DE3BEE" w:rsidP="00DE3BEE">
      <w:pPr>
        <w:pStyle w:val="Heading2"/>
        <w:rPr>
          <w:color w:val="7030A0"/>
        </w:rPr>
      </w:pPr>
      <w:bookmarkStart w:id="1" w:name="Start"/>
      <w:bookmarkStart w:id="2" w:name="_Toc19230531"/>
      <w:bookmarkStart w:id="3" w:name="_Toc21429712"/>
      <w:r w:rsidRPr="006228CD">
        <w:rPr>
          <w:color w:val="7030A0"/>
        </w:rPr>
        <w:lastRenderedPageBreak/>
        <w:t>Summary</w:t>
      </w:r>
      <w:bookmarkEnd w:id="1"/>
      <w:bookmarkEnd w:id="2"/>
      <w:bookmarkEnd w:id="3"/>
    </w:p>
    <w:p w14:paraId="5B8E7E1A" w14:textId="77777777" w:rsidR="00DE3BEE" w:rsidRPr="00A133CF" w:rsidRDefault="00DE3BEE" w:rsidP="00DE3BEE">
      <w:r w:rsidRPr="00A133CF">
        <w:t>This report was commissioned by DCA to provide an independent assessment of the risk of interference to the NBN Co. Sky Muster satellite system from new spectrum assignments proposed by ACMA.</w:t>
      </w:r>
    </w:p>
    <w:p w14:paraId="0488A0A3" w14:textId="77777777" w:rsidR="00DE3BEE" w:rsidRPr="00A133CF" w:rsidRDefault="00DE3BEE" w:rsidP="00DE3BEE">
      <w:r w:rsidRPr="00A133CF">
        <w:t>A detailed technical review of the ACMA modelling, and responses to it by NBN Co. has been undertaken.</w:t>
      </w:r>
    </w:p>
    <w:p w14:paraId="088743FE" w14:textId="77777777" w:rsidR="00DE3BEE" w:rsidRPr="00A133CF" w:rsidRDefault="00DE3BEE" w:rsidP="00DE3BEE">
      <w:r w:rsidRPr="00A133CF">
        <w:t>The study concludes that the risk of interference is insignificant and that the mitigating licence conditions proposed by ACMA are appropriate, although these might impose modest constraints on some deployments.</w:t>
      </w:r>
    </w:p>
    <w:p w14:paraId="48481248" w14:textId="77777777" w:rsidR="00DE3BEE" w:rsidRDefault="00DE3BEE">
      <w:pPr>
        <w:spacing w:after="160" w:line="259" w:lineRule="auto"/>
      </w:pPr>
      <w:r>
        <w:br w:type="page"/>
      </w:r>
    </w:p>
    <w:p w14:paraId="0FF2380A" w14:textId="77777777" w:rsidR="00DE3BEE" w:rsidRPr="006228CD" w:rsidRDefault="00DE3BEE" w:rsidP="00DE3BEE">
      <w:pPr>
        <w:pStyle w:val="Heading2"/>
        <w:rPr>
          <w:color w:val="7030A0"/>
        </w:rPr>
      </w:pPr>
      <w:bookmarkStart w:id="4" w:name="_Toc19230532"/>
      <w:bookmarkStart w:id="5" w:name="_Toc21429713"/>
      <w:r w:rsidRPr="006228CD">
        <w:rPr>
          <w:color w:val="7030A0"/>
        </w:rPr>
        <w:lastRenderedPageBreak/>
        <w:t>1.</w:t>
      </w:r>
      <w:r w:rsidRPr="006228CD">
        <w:rPr>
          <w:color w:val="7030A0"/>
        </w:rPr>
        <w:tab/>
        <w:t>Introduction</w:t>
      </w:r>
      <w:bookmarkEnd w:id="4"/>
      <w:bookmarkEnd w:id="5"/>
    </w:p>
    <w:p w14:paraId="5A5C8FFA" w14:textId="77777777" w:rsidR="00DE3BEE" w:rsidRPr="00A133CF" w:rsidRDefault="00DE3BEE" w:rsidP="00DE3BEE">
      <w:r w:rsidRPr="00A133CF">
        <w:t>It is proposed, by the ACMA, to reallocate spectrum in the 26 GHz band for use by 5G wireless broadband services.</w:t>
      </w:r>
      <w:r w:rsidR="00232CCD">
        <w:t xml:space="preserve"> </w:t>
      </w:r>
      <w:r w:rsidRPr="00A133CF">
        <w:t>Part of this spectrum (27.0-27.5 GHz) is currently used to provide uplinks from ten Australian Earth Stations to the two geostationary satellites forming the ‘Sky Muster’ network operated by NBN Co, ‘NBN’.</w:t>
      </w:r>
    </w:p>
    <w:p w14:paraId="2C0C5A70" w14:textId="77777777" w:rsidR="00DE3BEE" w:rsidRPr="00A133CF" w:rsidRDefault="00DE3BEE" w:rsidP="00DE3BEE">
      <w:r w:rsidRPr="00A133CF">
        <w:t>Although ACMA modelling previously submitted to ITU-R Task Group 5/1 suggests that there is no risk of interference to the satellite uplinks from new terrestrial services, NBN have undertaken a separate analysis which indicated that such interference is possible.</w:t>
      </w:r>
    </w:p>
    <w:p w14:paraId="70F654C0" w14:textId="77777777" w:rsidR="00DE3BEE" w:rsidRPr="00A133CF" w:rsidRDefault="00DE3BEE" w:rsidP="00DE3BEE">
      <w:r w:rsidRPr="00A133CF">
        <w:t>The DCA has commissioned this study to review all relevant material, to make an independent assessment of the risk of interference to NBN’s satellite services, and to comment on the proposed mitigating measures.</w:t>
      </w:r>
    </w:p>
    <w:p w14:paraId="351E3054" w14:textId="77777777" w:rsidR="00D848F2" w:rsidRDefault="00DE3BEE" w:rsidP="00DE3BEE">
      <w:pPr>
        <w:shd w:val="clear" w:color="auto" w:fill="E4E4E4"/>
      </w:pPr>
      <w:r w:rsidRPr="00A133CF">
        <w:t>Plum Consulting have substantial experience in undertaking detailed statistical and deterministic modelling of complex spectrum sharing situations involving terrestrial systems and both GSO and NGSO satellite systems. These studies have been undertaken for regulators and for both terrestrial and satellite network operators. Plum staff were closely involved in developing the new propagation models (P.2108 and P.2109) used in the work of TG5/1, and have been undertaking propagation measurements at 26 GHz for several years</w:t>
      </w:r>
      <w:r w:rsidR="00D848F2">
        <w:t>.</w:t>
      </w:r>
    </w:p>
    <w:p w14:paraId="6230D39D" w14:textId="77777777" w:rsidR="00DE3BEE" w:rsidRPr="005407FA" w:rsidRDefault="00DE3BEE" w:rsidP="00DE3BEE">
      <w:pPr>
        <w:pStyle w:val="Heading3"/>
        <w:rPr>
          <w:color w:val="7030A0"/>
        </w:rPr>
      </w:pPr>
      <w:bookmarkStart w:id="6" w:name="_Toc19230533"/>
      <w:bookmarkStart w:id="7" w:name="_Toc21429714"/>
      <w:r w:rsidRPr="005407FA">
        <w:rPr>
          <w:color w:val="7030A0"/>
        </w:rPr>
        <w:t>1.1</w:t>
      </w:r>
      <w:r w:rsidRPr="005407FA">
        <w:rPr>
          <w:color w:val="7030A0"/>
        </w:rPr>
        <w:tab/>
        <w:t>Background</w:t>
      </w:r>
      <w:bookmarkEnd w:id="6"/>
      <w:bookmarkEnd w:id="7"/>
    </w:p>
    <w:p w14:paraId="06332AB8" w14:textId="77777777" w:rsidR="00DE3BEE" w:rsidRPr="00A133CF" w:rsidRDefault="00DE3BEE" w:rsidP="00DE3BEE">
      <w:r w:rsidRPr="00A133CF">
        <w:t>In September 2018, the ACMA published an Options Paper (‘Wireless broadband in the 26 GHz band’</w:t>
      </w:r>
      <w:r w:rsidRPr="00DE3BEE">
        <w:rPr>
          <w:vertAlign w:val="superscript"/>
        </w:rPr>
        <w:footnoteReference w:id="1"/>
      </w:r>
      <w:r w:rsidRPr="00A133CF">
        <w:t xml:space="preserve"> ). This formed the subject of a consultation that closed on 2nd November 2018.</w:t>
      </w:r>
    </w:p>
    <w:p w14:paraId="73FA91E8" w14:textId="77777777" w:rsidR="00DE3BEE" w:rsidRPr="00A133CF" w:rsidRDefault="00DE3BEE" w:rsidP="00DE3BEE">
      <w:r w:rsidRPr="00A133CF">
        <w:t>The Options Paper noted that, if the 26 GHz band were to be released for wireless broadband services, a risk would exist of interference being caused to FSS uplinks operating above 27.0 GHz.</w:t>
      </w:r>
      <w:r w:rsidR="00232CCD">
        <w:t xml:space="preserve"> </w:t>
      </w:r>
      <w:r w:rsidRPr="00A133CF">
        <w:t>Appendix 1 of the Paper notes that:</w:t>
      </w:r>
    </w:p>
    <w:p w14:paraId="6EBC72E8" w14:textId="77777777" w:rsidR="00DE3BEE" w:rsidRPr="00A133CF" w:rsidRDefault="00DE3BEE" w:rsidP="00DE3BEE">
      <w:r w:rsidRPr="00A133CF">
        <w:t>“</w:t>
      </w:r>
      <w:r w:rsidRPr="005756DC">
        <w:rPr>
          <w:i/>
        </w:rPr>
        <w:t>Australia has […] made a number of contributions to TG 5/1 in relation to coexistence between IMT-2020</w:t>
      </w:r>
      <w:r w:rsidRPr="005756DC">
        <w:rPr>
          <w:i/>
          <w:vertAlign w:val="superscript"/>
        </w:rPr>
        <w:footnoteReference w:id="2"/>
      </w:r>
      <w:r w:rsidRPr="005756DC">
        <w:rPr>
          <w:i/>
        </w:rPr>
        <w:t xml:space="preserve"> and FSS</w:t>
      </w:r>
      <w:r w:rsidRPr="00DE3BEE">
        <w:rPr>
          <w:vertAlign w:val="superscript"/>
        </w:rPr>
        <w:footnoteReference w:id="3"/>
      </w:r>
      <w:r w:rsidRPr="00A133CF">
        <w:t xml:space="preserve"> </w:t>
      </w:r>
      <w:r w:rsidRPr="005756DC">
        <w:rPr>
          <w:i/>
        </w:rPr>
        <w:t>(E-s).</w:t>
      </w:r>
      <w:r w:rsidR="00232CCD" w:rsidRPr="005756DC">
        <w:rPr>
          <w:i/>
        </w:rPr>
        <w:t xml:space="preserve"> </w:t>
      </w:r>
      <w:r w:rsidRPr="005756DC">
        <w:rPr>
          <w:i/>
        </w:rPr>
        <w:t>These contributions include a statistically-based sharing study, which considers the aggregate effect of IMT-2020 deployments at all locations across parts of the Earth that are visible to a satellite</w:t>
      </w:r>
      <w:r w:rsidRPr="00A133CF">
        <w:t>.”</w:t>
      </w:r>
    </w:p>
    <w:p w14:paraId="4E911169" w14:textId="77777777" w:rsidR="00DE3BEE" w:rsidRPr="00A133CF" w:rsidRDefault="00DE3BEE" w:rsidP="00DE3BEE">
      <w:r w:rsidRPr="00A133CF">
        <w:t>“</w:t>
      </w:r>
      <w:r w:rsidRPr="005756DC">
        <w:rPr>
          <w:i/>
        </w:rPr>
        <w:t>The results of this Australian study indicate that the aggregate interference level will be at least 31 dB below the satellite system noise level, indicating that coexistence is feasible. These results are generally in line with other studies considering IMT-2020/FSS coexistence (as detailed in Table 6 below).</w:t>
      </w:r>
      <w:r w:rsidRPr="00A133CF">
        <w:t>”</w:t>
      </w:r>
    </w:p>
    <w:p w14:paraId="2E55CEF9" w14:textId="77777777" w:rsidR="00DE3BEE" w:rsidRPr="00A133CF" w:rsidRDefault="00DE3BEE" w:rsidP="00DE3BEE">
      <w:r w:rsidRPr="00A133CF">
        <w:t>In October 2018, a domestic working group was set up to study inter-service coexistence issues, particularly with respect to the (passive) EESS at 24 GHz and the FSS (uplink) above 27.0 GHz. This group worked largely by correspondence, concluding in February 2019.</w:t>
      </w:r>
    </w:p>
    <w:p w14:paraId="2CF1FA87" w14:textId="77777777" w:rsidR="00DE3BEE" w:rsidRPr="00A133CF" w:rsidRDefault="00DE3BEE" w:rsidP="00DE3BEE">
      <w:r w:rsidRPr="00A133CF">
        <w:t>One of the respondents to the consultation on the Options Paper was NBN Co, who operate the Sky Muster satellite system. This uses a pair of high-throughput satellites at locations on the GSO arc of 140°E and 145°E. Uplink (gateway) links to the satellite operate above 27 GHz from 10 Earth Station sites, located across Australia. NBN set out a number of concerns regarding the ACMA modelling submitted to TG5/1. The gist of the concerns is that (</w:t>
      </w:r>
      <w:proofErr w:type="spellStart"/>
      <w:r w:rsidRPr="00A133CF">
        <w:t>i</w:t>
      </w:r>
      <w:proofErr w:type="spellEnd"/>
      <w:r w:rsidRPr="00A133CF">
        <w:t xml:space="preserve">) the parameters assumed for the FSS underestimate the </w:t>
      </w:r>
      <w:r w:rsidRPr="00A133CF">
        <w:lastRenderedPageBreak/>
        <w:t>sensitivity of the uplink to interference and (ii) that the characteristics used in modelling future broadband services at 26 GHz are not realistic. Undertaking their own modelling using revised parameters they asserted</w:t>
      </w:r>
      <w:r w:rsidRPr="00DE3BEE">
        <w:rPr>
          <w:vertAlign w:val="superscript"/>
        </w:rPr>
        <w:footnoteReference w:id="4"/>
      </w:r>
      <w:r w:rsidRPr="00A133CF">
        <w:t xml:space="preserve"> that interference may be significantly in excess of the satellite noise level, rather than 31dB below it</w:t>
      </w:r>
      <w:r>
        <w:t>.</w:t>
      </w:r>
    </w:p>
    <w:p w14:paraId="5A24DF3D" w14:textId="77777777" w:rsidR="00DE3BEE" w:rsidRPr="00A133CF" w:rsidRDefault="00DE3BEE" w:rsidP="00DE3BEE">
      <w:r w:rsidRPr="00A133CF">
        <w:t>In April 2019 a ‘Decision paper’ (‘</w:t>
      </w:r>
      <w:r w:rsidRPr="00D848F2">
        <w:rPr>
          <w:i/>
        </w:rPr>
        <w:t>Future use of the 26 GHz band—Planning decisions and preliminary views</w:t>
      </w:r>
      <w:r w:rsidRPr="00A133CF">
        <w:t>”</w:t>
      </w:r>
      <w:r w:rsidRPr="00DE3BEE">
        <w:rPr>
          <w:vertAlign w:val="superscript"/>
        </w:rPr>
        <w:footnoteReference w:id="5"/>
      </w:r>
      <w:r w:rsidRPr="00A133CF">
        <w:t>) was released by the ACMA, proposing a strategy for the entire range 24.25–27.5 GHz (the ‘wider 26 GHz band’). This set out an intention to licence the sub-band 25.1–27.5 GHz, by auction, in 34 geographical areas, and in 100 MHz blocks. Annex B of the document summarises the work of the group on inter-service sharing issues, while Annex C describes the ACMA response to the NBN’s modelling; although ACMA continue to assert that the risk of interference is low, a number of additional mitigating measures relating to base station and fixed UE antenna pointing are proposed.</w:t>
      </w:r>
      <w:r w:rsidR="00232CCD">
        <w:t xml:space="preserve"> </w:t>
      </w:r>
      <w:r w:rsidRPr="00A133CF">
        <w:t>Annex F sets out the two areas (southern Western Australia and Tasmania) where the additional conditions will apply to spectrum licences and the ten areas where such conditions will apply to apparatus licences.</w:t>
      </w:r>
    </w:p>
    <w:p w14:paraId="53950AF7" w14:textId="77777777" w:rsidR="00DE3BEE" w:rsidRPr="00A133CF" w:rsidRDefault="00DE3BEE" w:rsidP="00232CCD">
      <w:pPr>
        <w:pStyle w:val="Tablefigureheading"/>
      </w:pPr>
      <w:bookmarkStart w:id="8" w:name="_Toc21429762"/>
      <w:r w:rsidRPr="00A133CF">
        <w:t xml:space="preserve">Figure </w:t>
      </w:r>
      <w:r w:rsidR="009D475F">
        <w:fldChar w:fldCharType="begin"/>
      </w:r>
      <w:r w:rsidR="009D475F">
        <w:instrText xml:space="preserve"> STYLEREF 1 \s </w:instrText>
      </w:r>
      <w:r w:rsidR="009D475F">
        <w:fldChar w:fldCharType="separate"/>
      </w:r>
      <w:r w:rsidRPr="00A133CF">
        <w:t>1</w:t>
      </w:r>
      <w:r w:rsidR="009D475F">
        <w:fldChar w:fldCharType="end"/>
      </w:r>
      <w:r w:rsidRPr="00A133CF">
        <w:t>.</w:t>
      </w:r>
      <w:r w:rsidR="009D475F">
        <w:fldChar w:fldCharType="begin"/>
      </w:r>
      <w:r w:rsidR="009D475F">
        <w:instrText xml:space="preserve"> SEQ Figure \* ARABIC \s 1 </w:instrText>
      </w:r>
      <w:r w:rsidR="009D475F">
        <w:fldChar w:fldCharType="separate"/>
      </w:r>
      <w:r w:rsidRPr="00A133CF">
        <w:t>1</w:t>
      </w:r>
      <w:r w:rsidR="009D475F">
        <w:fldChar w:fldCharType="end"/>
      </w:r>
      <w:r w:rsidRPr="00A133CF">
        <w:t>: Areas where additional conditions would apply to apparatus licences (purple) and to both apparatus and spectrum licences (yellow)</w:t>
      </w:r>
      <w:bookmarkEnd w:id="8"/>
    </w:p>
    <w:p w14:paraId="17D27D79" w14:textId="77777777" w:rsidR="00DE3BEE" w:rsidRPr="00A133CF" w:rsidRDefault="00DE3BEE" w:rsidP="00DE3BEE">
      <w:r w:rsidRPr="00A133CF">
        <w:rPr>
          <w:noProof/>
          <w:lang w:eastAsia="en-AU"/>
        </w:rPr>
        <w:drawing>
          <wp:inline distT="0" distB="0" distL="0" distR="0" wp14:anchorId="3C6C28DE" wp14:editId="1C689242">
            <wp:extent cx="4977442" cy="3080274"/>
            <wp:effectExtent l="0" t="0" r="0" b="6350"/>
            <wp:docPr id="12" name="Picture 12" descr="Figure 1.1: Areas where additional conditions would apply to apparatus licences (purple) and to both apparatus and spectrum licences (yellow).&#10;&#10;In Western Australia there are three areas marked in purple—two along the coastline and one inner south middle—and one yellow area on the southern part of Western Australia along the coastline.&#10;&#10;In Tasmania there is one yellow are that covers most of the state from the bottom.&#10;&#10;In South Australia there is one purple area around the Adelaide area.&#10;&#10;In New South Wales there are three purpose spots—one on the border of South Australia and crossing into South Australia, One at the border of Victoria along the coastline and one at the top of New South Wales in the middle along the Queensland border.&#10;&#10;There is one purple spot in Queensland inland to the south.&#10;&#10;There are yellow lines around the outskirts of Australia mainly along the east coast—Victoria, New South Wales and Queensland—  along Western Australia up north along the coast and around Tasmania and South Australia.&#10;&#10;There are scattered yellow spots particularly in New South Wa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0276" cy="3088216"/>
                    </a:xfrm>
                    <a:prstGeom prst="rect">
                      <a:avLst/>
                    </a:prstGeom>
                    <a:noFill/>
                  </pic:spPr>
                </pic:pic>
              </a:graphicData>
            </a:graphic>
          </wp:inline>
        </w:drawing>
      </w:r>
    </w:p>
    <w:p w14:paraId="01245956" w14:textId="77777777" w:rsidR="00DE3BEE" w:rsidRPr="00A133CF" w:rsidRDefault="00DE3BEE" w:rsidP="00DE3BEE">
      <w:r w:rsidRPr="00A133CF">
        <w:t>In May 2019, ACMA published a draft ‘Reallocation Recommendation’</w:t>
      </w:r>
      <w:r w:rsidRPr="005756DC">
        <w:rPr>
          <w:vertAlign w:val="superscript"/>
        </w:rPr>
        <w:footnoteReference w:id="6"/>
      </w:r>
      <w:r w:rsidR="00232CCD">
        <w:t xml:space="preserve"> </w:t>
      </w:r>
      <w:r w:rsidRPr="00A133CF">
        <w:t>and accompanying Written Notice. This Recommendation confirms the intention to apply the ‘additional conditions’ set out in the decision paper to licences in Tasmania and Southern Western Australia. The public consultation on these proposals for the band closed on 6th June 2019.</w:t>
      </w:r>
    </w:p>
    <w:p w14:paraId="6A83EB91" w14:textId="77777777" w:rsidR="00D848F2" w:rsidRDefault="00DE3BEE" w:rsidP="00DE3BEE">
      <w:r w:rsidRPr="00A133CF">
        <w:t>In the remaining sections, we consider the detail of the technical modelling undertaken, the choice of the parameter values suggested by each party and the appropriateness of the mitigating measures proposed by ACMA</w:t>
      </w:r>
      <w:r w:rsidR="00D848F2">
        <w:t>.</w:t>
      </w:r>
    </w:p>
    <w:p w14:paraId="61F103C6" w14:textId="77777777" w:rsidR="00DE3BEE" w:rsidRPr="005407FA" w:rsidRDefault="00232CCD" w:rsidP="00232CCD">
      <w:pPr>
        <w:pStyle w:val="Heading2"/>
        <w:rPr>
          <w:color w:val="7030A0"/>
        </w:rPr>
      </w:pPr>
      <w:bookmarkStart w:id="9" w:name="_Toc19230534"/>
      <w:bookmarkStart w:id="10" w:name="_Toc21429715"/>
      <w:r w:rsidRPr="005407FA">
        <w:rPr>
          <w:color w:val="7030A0"/>
        </w:rPr>
        <w:lastRenderedPageBreak/>
        <w:t>2.</w:t>
      </w:r>
      <w:r w:rsidRPr="005407FA">
        <w:rPr>
          <w:color w:val="7030A0"/>
        </w:rPr>
        <w:tab/>
      </w:r>
      <w:r w:rsidR="00DE3BEE" w:rsidRPr="005407FA">
        <w:rPr>
          <w:color w:val="7030A0"/>
        </w:rPr>
        <w:t>Analysis of key issues raised in NBN and ACMA technical studies</w:t>
      </w:r>
      <w:bookmarkEnd w:id="9"/>
      <w:bookmarkEnd w:id="10"/>
    </w:p>
    <w:p w14:paraId="762AB006" w14:textId="17AD20AB" w:rsidR="00DE3BEE" w:rsidRPr="00A133CF" w:rsidRDefault="00DE3BEE" w:rsidP="00DE3BEE">
      <w:r w:rsidRPr="00A133CF">
        <w:t>ACMA’s first contribution to TG 5/1 regarding interference from IMT BS and UE transmitters into FSS satellite receivers was in September 2017.</w:t>
      </w:r>
      <w:r w:rsidR="00232CCD">
        <w:t xml:space="preserve"> </w:t>
      </w:r>
      <w:r w:rsidRPr="00A133CF">
        <w:t>In the submission, ACMA undertook a detailed statistical simulation analysis to model the impact of aggregate interference using modelling parameters and analysis methodology agreed within TG 5/1.</w:t>
      </w:r>
      <w:r w:rsidR="00232CCD">
        <w:t xml:space="preserve"> </w:t>
      </w:r>
      <w:r w:rsidRPr="00A133CF">
        <w:t>There were two subsequent submissions, in January and April 2018, providing updates on the analysis.</w:t>
      </w:r>
      <w:r w:rsidR="00232CCD">
        <w:t xml:space="preserve"> </w:t>
      </w:r>
      <w:r w:rsidRPr="00A133CF">
        <w:t>ACMA’s analysis results suggested that calculated I/N ratios were well below the assumed I/N threshold levels and significant protection margins existed.</w:t>
      </w:r>
      <w:r w:rsidR="00232CCD">
        <w:t xml:space="preserve"> </w:t>
      </w:r>
      <w:r w:rsidRPr="00A133CF">
        <w:t>Therefore, it was concluded that the co-channel spectrum sharing within 27</w:t>
      </w:r>
      <w:r w:rsidR="00ED7E78">
        <w:t>–</w:t>
      </w:r>
      <w:r w:rsidRPr="00A133CF">
        <w:t>27.5 GHz would be feasible between IMT and FSS networks.</w:t>
      </w:r>
      <w:r w:rsidR="00232CCD">
        <w:t xml:space="preserve"> </w:t>
      </w:r>
      <w:r w:rsidRPr="00A133CF">
        <w:t xml:space="preserve">A more detailed overview of these submissions together with the summary of modelling assumptions is provided in </w:t>
      </w:r>
      <w:hyperlink w:anchor="_Appendix_C—Overview_of" w:history="1">
        <w:r w:rsidR="00ED7E78" w:rsidRPr="00DF0DE7">
          <w:rPr>
            <w:rStyle w:val="Hyperlink"/>
          </w:rPr>
          <w:t>Appendix C</w:t>
        </w:r>
      </w:hyperlink>
      <w:r w:rsidRPr="00A133CF">
        <w:t>.</w:t>
      </w:r>
    </w:p>
    <w:p w14:paraId="5EAFC200" w14:textId="77777777" w:rsidR="00DE3BEE" w:rsidRPr="00A133CF" w:rsidRDefault="00DE3BEE" w:rsidP="00DE3BEE">
      <w:r w:rsidRPr="00A133CF">
        <w:t>The outcome of ACMA’s TG 5/1 submissions were reflected in the ‘Options’ paper published in September 2018 which was the subject of a consultation closed in November 2018.</w:t>
      </w:r>
      <w:r w:rsidR="00232CCD">
        <w:t xml:space="preserve"> </w:t>
      </w:r>
      <w:r w:rsidRPr="00A133CF">
        <w:t>NBN was one of the respondents and provided its views on the feasibility of sharing between its Sky Muster network and future IMT systems. In the same timescale, a technical Working Group was convened in which all interested parties (including NBN) were able to explore technical issues in detail.</w:t>
      </w:r>
    </w:p>
    <w:p w14:paraId="17B26287" w14:textId="77777777" w:rsidR="00DE3BEE" w:rsidRPr="00A133CF" w:rsidRDefault="00DE3BEE" w:rsidP="00DE3BEE">
      <w:r w:rsidRPr="00A133CF">
        <w:t>In its formal submission in response to the consultation, NBN primarily argued that studies submitted to TG 5/1 were generic and did not reflect the NBN’s Sky Muster network characteristics.</w:t>
      </w:r>
      <w:r w:rsidR="00232CCD">
        <w:t xml:space="preserve"> </w:t>
      </w:r>
      <w:r w:rsidRPr="00A133CF">
        <w:t>It was also argued that the implications of IMT network parameters differing from those assumed in TG 5/1 studies needed to be examined when assessing the potential for sharing.</w:t>
      </w:r>
      <w:r w:rsidR="00232CCD">
        <w:t xml:space="preserve"> </w:t>
      </w:r>
      <w:r w:rsidRPr="00A133CF">
        <w:t>Consequently, NBN submitted its own analysis based on re-running the ACMA compatibility model studies with revised (‘re-baselined’) parameters for NBN’s Sky Muster system and performing sensitivity analyses with different IMT parameter values.</w:t>
      </w:r>
      <w:r w:rsidR="00232CCD">
        <w:t xml:space="preserve"> </w:t>
      </w:r>
      <w:r w:rsidRPr="00A133CF">
        <w:t>The results of NBN’s analysis showed that the protection margin calculated in ACMA’s TG 5/1 submissions would be reduced significantly (from 32 dB to 10 dB) if the re-baselined satellite parameters were incorporated.</w:t>
      </w:r>
      <w:r w:rsidR="00232CCD">
        <w:t xml:space="preserve"> </w:t>
      </w:r>
      <w:r w:rsidRPr="00A133CF">
        <w:t>Furthermore, it was shown, as part of the sensitivity analysis, that sharing would not be feasible with certain modified IMT system parameters (it was predicted that the assumed I/N criterion would be exceeded by a significant margin of 11 dB).</w:t>
      </w:r>
    </w:p>
    <w:p w14:paraId="317A976E" w14:textId="77777777" w:rsidR="00D848F2" w:rsidRDefault="00DE3BEE" w:rsidP="00DE3BEE">
      <w:r w:rsidRPr="00A133CF">
        <w:t>In the remainder of this section, a comparison of modelling assumptions and results is provided.</w:t>
      </w:r>
      <w:r w:rsidR="00232CCD">
        <w:t xml:space="preserve"> </w:t>
      </w:r>
      <w:r w:rsidRPr="00A133CF">
        <w:t>This is followed by the analysis of key points identified from both set of calculations</w:t>
      </w:r>
      <w:r w:rsidR="00D848F2">
        <w:t>.</w:t>
      </w:r>
    </w:p>
    <w:p w14:paraId="47102E41" w14:textId="77777777" w:rsidR="00DE3BEE" w:rsidRPr="005407FA" w:rsidRDefault="00232CCD" w:rsidP="00232CCD">
      <w:pPr>
        <w:pStyle w:val="Heading3"/>
        <w:rPr>
          <w:color w:val="7030A0"/>
        </w:rPr>
      </w:pPr>
      <w:bookmarkStart w:id="11" w:name="_Toc19230535"/>
      <w:bookmarkStart w:id="12" w:name="_Toc21429716"/>
      <w:r w:rsidRPr="005407FA">
        <w:rPr>
          <w:color w:val="7030A0"/>
        </w:rPr>
        <w:lastRenderedPageBreak/>
        <w:t>2.1</w:t>
      </w:r>
      <w:r w:rsidRPr="005407FA">
        <w:rPr>
          <w:color w:val="7030A0"/>
        </w:rPr>
        <w:tab/>
      </w:r>
      <w:r w:rsidR="00DE3BEE" w:rsidRPr="005407FA">
        <w:rPr>
          <w:color w:val="7030A0"/>
        </w:rPr>
        <w:t>Comparison of ACMA and NBN analysis assumptions and result</w:t>
      </w:r>
      <w:bookmarkEnd w:id="11"/>
      <w:bookmarkEnd w:id="12"/>
    </w:p>
    <w:p w14:paraId="52CB3E8A" w14:textId="77777777" w:rsidR="00DE3BEE" w:rsidRPr="00A133CF" w:rsidRDefault="00DE3BEE" w:rsidP="00AD085B">
      <w:pPr>
        <w:keepNext/>
      </w:pPr>
      <w:r w:rsidRPr="00A133CF">
        <w:fldChar w:fldCharType="begin"/>
      </w:r>
      <w:r w:rsidRPr="00A133CF">
        <w:instrText xml:space="preserve"> REF _Ref16577952 </w:instrText>
      </w:r>
      <w:r>
        <w:instrText xml:space="preserve"> \* MERGEFORMAT </w:instrText>
      </w:r>
      <w:r w:rsidRPr="00A133CF">
        <w:fldChar w:fldCharType="separate"/>
      </w:r>
      <w:r w:rsidRPr="00A133CF">
        <w:t>Table 2.1</w:t>
      </w:r>
      <w:r w:rsidRPr="00A133CF">
        <w:fldChar w:fldCharType="end"/>
      </w:r>
      <w:r w:rsidRPr="00A133CF">
        <w:t xml:space="preserve"> provides the list of assumed key parameter values together with the calculated protection margins based on ACMA’s analysis and NBN’s response.</w:t>
      </w:r>
    </w:p>
    <w:p w14:paraId="5A2B268C" w14:textId="77777777" w:rsidR="00DE3BEE" w:rsidRPr="00A133CF" w:rsidRDefault="00DE3BEE" w:rsidP="00232CCD">
      <w:pPr>
        <w:pStyle w:val="Tablefigureheading"/>
      </w:pPr>
      <w:bookmarkStart w:id="13" w:name="_Ref16577952"/>
      <w:bookmarkStart w:id="14" w:name="_Toc21429763"/>
      <w:r w:rsidRPr="00A133CF">
        <w:t xml:space="preserve">Table </w:t>
      </w:r>
      <w:r w:rsidR="009D475F">
        <w:fldChar w:fldCharType="begin"/>
      </w:r>
      <w:r w:rsidR="009D475F">
        <w:instrText xml:space="preserve"> STYLEREF 1 \s </w:instrText>
      </w:r>
      <w:r w:rsidR="009D475F">
        <w:fldChar w:fldCharType="separate"/>
      </w:r>
      <w:r w:rsidRPr="00A133CF">
        <w:t>2</w:t>
      </w:r>
      <w:r w:rsidR="009D475F">
        <w:fldChar w:fldCharType="end"/>
      </w:r>
      <w:r w:rsidRPr="00A133CF">
        <w:t>.</w:t>
      </w:r>
      <w:r w:rsidR="009D475F">
        <w:fldChar w:fldCharType="begin"/>
      </w:r>
      <w:r w:rsidR="009D475F">
        <w:instrText xml:space="preserve"> SEQ Table \* ARABIC \s 1 </w:instrText>
      </w:r>
      <w:r w:rsidR="009D475F">
        <w:fldChar w:fldCharType="separate"/>
      </w:r>
      <w:r w:rsidRPr="00A133CF">
        <w:t>1</w:t>
      </w:r>
      <w:r w:rsidR="009D475F">
        <w:fldChar w:fldCharType="end"/>
      </w:r>
      <w:bookmarkEnd w:id="13"/>
      <w:r w:rsidRPr="00A133CF">
        <w:t>: Assumed parameters and calculated margins</w:t>
      </w:r>
      <w:bookmarkEnd w:id="14"/>
    </w:p>
    <w:tbl>
      <w:tblPr>
        <w:tblStyle w:val="PlumTable"/>
        <w:tblW w:w="9638" w:type="dxa"/>
        <w:tblLayout w:type="fixed"/>
        <w:tblLook w:val="0420" w:firstRow="1" w:lastRow="0" w:firstColumn="0" w:lastColumn="0" w:noHBand="0" w:noVBand="1"/>
        <w:tblDescription w:val="Table 2.1: Assumed parameters and calculated margins"/>
      </w:tblPr>
      <w:tblGrid>
        <w:gridCol w:w="2253"/>
        <w:gridCol w:w="2127"/>
        <w:gridCol w:w="2126"/>
        <w:gridCol w:w="3132"/>
      </w:tblGrid>
      <w:tr w:rsidR="00DE3BEE" w:rsidRPr="00A133CF" w14:paraId="5654E839" w14:textId="77777777" w:rsidTr="00232CCD">
        <w:trPr>
          <w:cnfStyle w:val="100000000000" w:firstRow="1" w:lastRow="0" w:firstColumn="0" w:lastColumn="0" w:oddVBand="0" w:evenVBand="0" w:oddHBand="0" w:evenHBand="0" w:firstRowFirstColumn="0" w:firstRowLastColumn="0" w:lastRowFirstColumn="0" w:lastRowLastColumn="0"/>
          <w:tblHeader/>
        </w:trPr>
        <w:tc>
          <w:tcPr>
            <w:tcW w:w="2253" w:type="dxa"/>
            <w:tcBorders>
              <w:bottom w:val="single" w:sz="12" w:space="0" w:color="FFFFFF"/>
            </w:tcBorders>
            <w:shd w:val="clear" w:color="auto" w:fill="4F2683"/>
          </w:tcPr>
          <w:p w14:paraId="4472B0B6" w14:textId="77777777" w:rsidR="00DE3BEE" w:rsidRPr="00A133CF" w:rsidRDefault="00DE3BEE" w:rsidP="001A5D45">
            <w:pPr>
              <w:pStyle w:val="Tablerowcolumnheading"/>
            </w:pPr>
            <w:r w:rsidRPr="00A133CF">
              <w:t>Parameter</w:t>
            </w:r>
          </w:p>
        </w:tc>
        <w:tc>
          <w:tcPr>
            <w:tcW w:w="2127" w:type="dxa"/>
            <w:tcBorders>
              <w:bottom w:val="single" w:sz="12" w:space="0" w:color="FFFFFF"/>
            </w:tcBorders>
            <w:shd w:val="clear" w:color="auto" w:fill="4F2683"/>
          </w:tcPr>
          <w:p w14:paraId="7EF20683" w14:textId="77777777" w:rsidR="00DE3BEE" w:rsidRPr="00A133CF" w:rsidRDefault="00DE3BEE" w:rsidP="001A5D45">
            <w:pPr>
              <w:pStyle w:val="Tablerowcolumnheading"/>
            </w:pPr>
            <w:r w:rsidRPr="00A133CF">
              <w:t xml:space="preserve">ACMA </w:t>
            </w:r>
            <w:r w:rsidRPr="00A133CF">
              <w:br/>
              <w:t xml:space="preserve">(Study E in </w:t>
            </w:r>
            <w:r w:rsidRPr="00A133CF">
              <w:br/>
              <w:t>TG 5/1 Document 5-1/478)</w:t>
            </w:r>
          </w:p>
        </w:tc>
        <w:tc>
          <w:tcPr>
            <w:tcW w:w="2126" w:type="dxa"/>
            <w:tcBorders>
              <w:bottom w:val="single" w:sz="12" w:space="0" w:color="FFFFFF"/>
            </w:tcBorders>
            <w:shd w:val="clear" w:color="auto" w:fill="4F2683"/>
          </w:tcPr>
          <w:p w14:paraId="25F0CBF9" w14:textId="77777777" w:rsidR="00DE3BEE" w:rsidRPr="00A133CF" w:rsidRDefault="00DE3BEE" w:rsidP="001A5D45">
            <w:pPr>
              <w:pStyle w:val="Tablerowcolumnheading"/>
            </w:pPr>
            <w:r w:rsidRPr="00A133CF">
              <w:t>NBN</w:t>
            </w:r>
          </w:p>
          <w:p w14:paraId="21CDD704" w14:textId="77777777" w:rsidR="00DE3BEE" w:rsidRPr="00A133CF" w:rsidRDefault="00DE3BEE" w:rsidP="001A5D45">
            <w:pPr>
              <w:pStyle w:val="Tablerowcolumnheading"/>
            </w:pPr>
            <w:r w:rsidRPr="00A133CF">
              <w:t>(Response to ACMA’s consultation on Options Paper)</w:t>
            </w:r>
            <w:r w:rsidRPr="00232CCD">
              <w:rPr>
                <w:vertAlign w:val="superscript"/>
              </w:rPr>
              <w:footnoteReference w:id="7"/>
            </w:r>
          </w:p>
        </w:tc>
        <w:tc>
          <w:tcPr>
            <w:tcW w:w="3132" w:type="dxa"/>
            <w:tcBorders>
              <w:bottom w:val="single" w:sz="12" w:space="0" w:color="FFFFFF"/>
            </w:tcBorders>
            <w:shd w:val="clear" w:color="auto" w:fill="4F2683"/>
          </w:tcPr>
          <w:p w14:paraId="70BE79D6" w14:textId="77777777" w:rsidR="00DE3BEE" w:rsidRPr="00A133CF" w:rsidRDefault="00DE3BEE" w:rsidP="001A5D45">
            <w:pPr>
              <w:pStyle w:val="Tablerowcolumnheading"/>
            </w:pPr>
            <w:r w:rsidRPr="00A133CF">
              <w:t>Comments</w:t>
            </w:r>
          </w:p>
        </w:tc>
      </w:tr>
      <w:tr w:rsidR="00DE3BEE" w:rsidRPr="00A133CF" w14:paraId="7882CAC5" w14:textId="77777777" w:rsidTr="00232CCD">
        <w:tc>
          <w:tcPr>
            <w:tcW w:w="2253" w:type="dxa"/>
            <w:tcBorders>
              <w:right w:val="nil"/>
            </w:tcBorders>
          </w:tcPr>
          <w:p w14:paraId="125DB8B0" w14:textId="77777777" w:rsidR="00DE3BEE" w:rsidRPr="00A133CF" w:rsidRDefault="00232CCD" w:rsidP="001A5D45">
            <w:pPr>
              <w:pStyle w:val="Tabletext"/>
            </w:pPr>
            <w:r>
              <w:t>Key parameter assumptions</w:t>
            </w:r>
          </w:p>
        </w:tc>
        <w:tc>
          <w:tcPr>
            <w:tcW w:w="2127" w:type="dxa"/>
            <w:tcBorders>
              <w:left w:val="nil"/>
              <w:right w:val="nil"/>
            </w:tcBorders>
          </w:tcPr>
          <w:p w14:paraId="3082F395" w14:textId="77777777" w:rsidR="00DE3BEE" w:rsidRPr="00A133CF" w:rsidRDefault="00DE3BEE" w:rsidP="001A5D45">
            <w:pPr>
              <w:pStyle w:val="Tabletext"/>
            </w:pPr>
          </w:p>
        </w:tc>
        <w:tc>
          <w:tcPr>
            <w:tcW w:w="2126" w:type="dxa"/>
            <w:tcBorders>
              <w:left w:val="nil"/>
              <w:right w:val="nil"/>
            </w:tcBorders>
          </w:tcPr>
          <w:p w14:paraId="2AC76516" w14:textId="77777777" w:rsidR="00DE3BEE" w:rsidRPr="00A133CF" w:rsidRDefault="00DE3BEE" w:rsidP="001A5D45">
            <w:pPr>
              <w:pStyle w:val="Tabletext"/>
            </w:pPr>
            <w:r w:rsidRPr="00A133CF">
              <w:t>-</w:t>
            </w:r>
          </w:p>
        </w:tc>
        <w:tc>
          <w:tcPr>
            <w:tcW w:w="3132" w:type="dxa"/>
            <w:tcBorders>
              <w:left w:val="nil"/>
            </w:tcBorders>
          </w:tcPr>
          <w:p w14:paraId="3E7DBB2F" w14:textId="77777777" w:rsidR="00DE3BEE" w:rsidRPr="00A133CF" w:rsidRDefault="00DE3BEE" w:rsidP="001A5D45">
            <w:pPr>
              <w:pStyle w:val="Tabletext"/>
            </w:pPr>
          </w:p>
        </w:tc>
      </w:tr>
      <w:tr w:rsidR="00232CCD" w:rsidRPr="00A133CF" w14:paraId="746A1A20" w14:textId="77777777" w:rsidTr="00377E47">
        <w:trPr>
          <w:cnfStyle w:val="000000010000" w:firstRow="0" w:lastRow="0" w:firstColumn="0" w:lastColumn="0" w:oddVBand="0" w:evenVBand="0" w:oddHBand="0" w:evenHBand="1" w:firstRowFirstColumn="0" w:firstRowLastColumn="0" w:lastRowFirstColumn="0" w:lastRowLastColumn="0"/>
        </w:trPr>
        <w:tc>
          <w:tcPr>
            <w:tcW w:w="2253" w:type="dxa"/>
          </w:tcPr>
          <w:p w14:paraId="4CA9D975" w14:textId="77777777" w:rsidR="00232CCD" w:rsidRPr="00A133CF" w:rsidRDefault="00232CCD" w:rsidP="001A5D45">
            <w:pPr>
              <w:pStyle w:val="Tabletext"/>
            </w:pPr>
            <w:r w:rsidRPr="00A133CF">
              <w:t>Satellite Receive Antenna Gain</w:t>
            </w:r>
          </w:p>
        </w:tc>
        <w:tc>
          <w:tcPr>
            <w:tcW w:w="2127" w:type="dxa"/>
          </w:tcPr>
          <w:p w14:paraId="2B083AF1" w14:textId="77777777" w:rsidR="00232CCD" w:rsidRPr="00A133CF" w:rsidRDefault="00232CCD" w:rsidP="001A5D45">
            <w:pPr>
              <w:pStyle w:val="Tabletext"/>
            </w:pPr>
            <w:r w:rsidRPr="00A133CF">
              <w:t xml:space="preserve">46.6 </w:t>
            </w:r>
            <w:proofErr w:type="spellStart"/>
            <w:r w:rsidRPr="00A133CF">
              <w:t>dBi</w:t>
            </w:r>
            <w:proofErr w:type="spellEnd"/>
          </w:p>
        </w:tc>
        <w:tc>
          <w:tcPr>
            <w:tcW w:w="2126" w:type="dxa"/>
          </w:tcPr>
          <w:p w14:paraId="75C9F66E" w14:textId="77777777" w:rsidR="00232CCD" w:rsidRPr="00A133CF" w:rsidRDefault="00232CCD" w:rsidP="001A5D45">
            <w:pPr>
              <w:pStyle w:val="Tabletext"/>
            </w:pPr>
          </w:p>
        </w:tc>
        <w:tc>
          <w:tcPr>
            <w:tcW w:w="3132" w:type="dxa"/>
          </w:tcPr>
          <w:p w14:paraId="5FFFD3B8" w14:textId="77777777" w:rsidR="00232CCD" w:rsidRPr="00A133CF" w:rsidRDefault="00232CCD" w:rsidP="001A5D45">
            <w:pPr>
              <w:pStyle w:val="Tabletext"/>
            </w:pPr>
          </w:p>
        </w:tc>
      </w:tr>
      <w:tr w:rsidR="00232CCD" w:rsidRPr="00A133CF" w14:paraId="2C512BF9" w14:textId="77777777" w:rsidTr="00377E47">
        <w:tc>
          <w:tcPr>
            <w:tcW w:w="2253" w:type="dxa"/>
          </w:tcPr>
          <w:p w14:paraId="25792720" w14:textId="77777777" w:rsidR="00232CCD" w:rsidRPr="00A133CF" w:rsidRDefault="00232CCD" w:rsidP="001A5D45">
            <w:pPr>
              <w:pStyle w:val="Tabletext"/>
            </w:pPr>
            <w:r w:rsidRPr="00A133CF">
              <w:t>Noise temperature</w:t>
            </w:r>
          </w:p>
        </w:tc>
        <w:tc>
          <w:tcPr>
            <w:tcW w:w="2127" w:type="dxa"/>
          </w:tcPr>
          <w:p w14:paraId="33DEC6E0" w14:textId="77777777" w:rsidR="00232CCD" w:rsidRPr="00A133CF" w:rsidRDefault="00232CCD" w:rsidP="001A5D45">
            <w:pPr>
              <w:pStyle w:val="Tabletext"/>
            </w:pPr>
            <w:r w:rsidRPr="00A133CF">
              <w:t>400 K</w:t>
            </w:r>
          </w:p>
        </w:tc>
        <w:tc>
          <w:tcPr>
            <w:tcW w:w="2126" w:type="dxa"/>
          </w:tcPr>
          <w:p w14:paraId="04804776" w14:textId="77777777" w:rsidR="00232CCD" w:rsidRPr="00A133CF" w:rsidRDefault="00232CCD" w:rsidP="001A5D45">
            <w:pPr>
              <w:pStyle w:val="Tabletext"/>
            </w:pPr>
            <w:r w:rsidRPr="00A133CF">
              <w:t>-</w:t>
            </w:r>
          </w:p>
        </w:tc>
        <w:tc>
          <w:tcPr>
            <w:tcW w:w="3132" w:type="dxa"/>
          </w:tcPr>
          <w:p w14:paraId="4842234D" w14:textId="77777777" w:rsidR="00232CCD" w:rsidRPr="00A133CF" w:rsidRDefault="00232CCD" w:rsidP="001A5D45">
            <w:pPr>
              <w:pStyle w:val="Tabletext"/>
            </w:pPr>
          </w:p>
        </w:tc>
      </w:tr>
      <w:tr w:rsidR="00232CCD" w:rsidRPr="00A133CF" w14:paraId="2D2789EE" w14:textId="77777777" w:rsidTr="00377E47">
        <w:trPr>
          <w:cnfStyle w:val="000000010000" w:firstRow="0" w:lastRow="0" w:firstColumn="0" w:lastColumn="0" w:oddVBand="0" w:evenVBand="0" w:oddHBand="0" w:evenHBand="1" w:firstRowFirstColumn="0" w:firstRowLastColumn="0" w:lastRowFirstColumn="0" w:lastRowLastColumn="0"/>
        </w:trPr>
        <w:tc>
          <w:tcPr>
            <w:tcW w:w="2253" w:type="dxa"/>
          </w:tcPr>
          <w:p w14:paraId="4110B19E" w14:textId="77777777" w:rsidR="00232CCD" w:rsidRPr="00A133CF" w:rsidRDefault="00232CCD" w:rsidP="001A5D45">
            <w:pPr>
              <w:pStyle w:val="Tabletext"/>
            </w:pPr>
            <w:r w:rsidRPr="00A133CF">
              <w:t>Satellite G/T</w:t>
            </w:r>
          </w:p>
        </w:tc>
        <w:tc>
          <w:tcPr>
            <w:tcW w:w="2127" w:type="dxa"/>
          </w:tcPr>
          <w:p w14:paraId="387AE326" w14:textId="77777777" w:rsidR="00232CCD" w:rsidRPr="00A133CF" w:rsidRDefault="00232CCD" w:rsidP="001A5D45">
            <w:pPr>
              <w:pStyle w:val="Tabletext"/>
            </w:pPr>
            <w:r w:rsidRPr="00A133CF">
              <w:t>20.6 dB/K</w:t>
            </w:r>
          </w:p>
        </w:tc>
        <w:tc>
          <w:tcPr>
            <w:tcW w:w="2126" w:type="dxa"/>
          </w:tcPr>
          <w:p w14:paraId="5D690018" w14:textId="77777777" w:rsidR="00232CCD" w:rsidRPr="00A133CF" w:rsidRDefault="00232CCD" w:rsidP="001A5D45">
            <w:pPr>
              <w:pStyle w:val="Tabletext"/>
            </w:pPr>
            <w:r w:rsidRPr="00A133CF">
              <w:t>30 dB/K</w:t>
            </w:r>
          </w:p>
        </w:tc>
        <w:tc>
          <w:tcPr>
            <w:tcW w:w="3132" w:type="dxa"/>
          </w:tcPr>
          <w:p w14:paraId="20358A03" w14:textId="77777777" w:rsidR="00232CCD" w:rsidRPr="00A133CF" w:rsidRDefault="00232CCD" w:rsidP="001A5D45">
            <w:pPr>
              <w:pStyle w:val="Tabletext"/>
            </w:pPr>
            <w:r w:rsidRPr="00A133CF">
              <w:t>[G/T = Ant Gain (</w:t>
            </w:r>
            <w:proofErr w:type="spellStart"/>
            <w:r w:rsidRPr="00A133CF">
              <w:t>dBi</w:t>
            </w:r>
            <w:proofErr w:type="spellEnd"/>
            <w:r w:rsidRPr="00A133CF">
              <w:t>)</w:t>
            </w:r>
            <w:r w:rsidR="00377E47">
              <w:t>—</w:t>
            </w:r>
            <w:r w:rsidRPr="00A133CF">
              <w:t>10 x log (Noise temp)]</w:t>
            </w:r>
          </w:p>
          <w:p w14:paraId="40FC6124" w14:textId="77777777" w:rsidR="00232CCD" w:rsidRPr="00A133CF" w:rsidRDefault="00232CCD" w:rsidP="001A5D45">
            <w:pPr>
              <w:pStyle w:val="Tabletext"/>
            </w:pPr>
            <w:r w:rsidRPr="00A133CF">
              <w:t>NBN argued that current and future very high throughput satellites will have higher gain.</w:t>
            </w:r>
          </w:p>
        </w:tc>
      </w:tr>
      <w:tr w:rsidR="00232CCD" w:rsidRPr="00A133CF" w14:paraId="71572111" w14:textId="77777777" w:rsidTr="00377E47">
        <w:tc>
          <w:tcPr>
            <w:tcW w:w="2253" w:type="dxa"/>
          </w:tcPr>
          <w:p w14:paraId="60E33FDB" w14:textId="77777777" w:rsidR="00232CCD" w:rsidRPr="00A133CF" w:rsidRDefault="00232CCD" w:rsidP="001A5D45">
            <w:pPr>
              <w:pStyle w:val="Tabletext"/>
            </w:pPr>
            <w:r w:rsidRPr="00A133CF">
              <w:t>Satellite Receiver Protection Criterion (I/N)</w:t>
            </w:r>
          </w:p>
        </w:tc>
        <w:tc>
          <w:tcPr>
            <w:tcW w:w="2127" w:type="dxa"/>
          </w:tcPr>
          <w:p w14:paraId="0915B0F1" w14:textId="77777777" w:rsidR="00232CCD" w:rsidRPr="00A133CF" w:rsidRDefault="00232CCD" w:rsidP="001A5D45">
            <w:pPr>
              <w:pStyle w:val="Tabletext"/>
            </w:pPr>
            <w:r w:rsidRPr="00A133CF">
              <w:t>-6 dB, -10 dB, -12.2 dB</w:t>
            </w:r>
          </w:p>
        </w:tc>
        <w:tc>
          <w:tcPr>
            <w:tcW w:w="2126" w:type="dxa"/>
          </w:tcPr>
          <w:p w14:paraId="2031D51C" w14:textId="77777777" w:rsidR="00232CCD" w:rsidRPr="00A133CF" w:rsidRDefault="00232CCD" w:rsidP="001A5D45">
            <w:pPr>
              <w:pStyle w:val="Tabletext"/>
            </w:pPr>
            <w:r w:rsidRPr="00A133CF">
              <w:t>-12.2 dB</w:t>
            </w:r>
          </w:p>
        </w:tc>
        <w:tc>
          <w:tcPr>
            <w:tcW w:w="3132" w:type="dxa"/>
          </w:tcPr>
          <w:p w14:paraId="32C9588E" w14:textId="77777777" w:rsidR="00232CCD" w:rsidRPr="00A133CF" w:rsidRDefault="00232CCD" w:rsidP="001A5D45">
            <w:pPr>
              <w:pStyle w:val="Tabletext"/>
            </w:pPr>
            <w:r w:rsidRPr="00A133CF">
              <w:t xml:space="preserve">NBN argued that ACMA’s assumed -10 dB criterion associated with 20% of time translates to </w:t>
            </w:r>
            <w:r w:rsidRPr="00A133CF">
              <w:noBreakHyphen/>
              <w:t>12.2 dB to be exceeded for 50% of time.</w:t>
            </w:r>
          </w:p>
        </w:tc>
      </w:tr>
      <w:tr w:rsidR="00232CCD" w:rsidRPr="00A133CF" w14:paraId="77B3C071" w14:textId="77777777" w:rsidTr="00377E47">
        <w:trPr>
          <w:cnfStyle w:val="000000010000" w:firstRow="0" w:lastRow="0" w:firstColumn="0" w:lastColumn="0" w:oddVBand="0" w:evenVBand="0" w:oddHBand="0" w:evenHBand="1" w:firstRowFirstColumn="0" w:firstRowLastColumn="0" w:lastRowFirstColumn="0" w:lastRowLastColumn="0"/>
        </w:trPr>
        <w:tc>
          <w:tcPr>
            <w:tcW w:w="2253" w:type="dxa"/>
          </w:tcPr>
          <w:p w14:paraId="369C6F14" w14:textId="77777777" w:rsidR="00232CCD" w:rsidRPr="00A133CF" w:rsidRDefault="00232CCD" w:rsidP="001A5D45">
            <w:pPr>
              <w:pStyle w:val="Tabletext"/>
            </w:pPr>
            <w:r w:rsidRPr="00A133CF">
              <w:t>IMT BS / UE hotspot deployment density</w:t>
            </w:r>
          </w:p>
        </w:tc>
        <w:tc>
          <w:tcPr>
            <w:tcW w:w="2127" w:type="dxa"/>
          </w:tcPr>
          <w:p w14:paraId="2A5E2D4E" w14:textId="77777777" w:rsidR="00232CCD" w:rsidRPr="00A133CF" w:rsidRDefault="00232CCD" w:rsidP="001A5D45">
            <w:pPr>
              <w:pStyle w:val="Tabletext"/>
            </w:pPr>
            <w:r w:rsidRPr="00A133CF">
              <w:t>30 BSs/km2 (urban)</w:t>
            </w:r>
          </w:p>
          <w:p w14:paraId="79FCD768" w14:textId="77777777" w:rsidR="00232CCD" w:rsidRPr="00A133CF" w:rsidRDefault="00232CCD" w:rsidP="001A5D45">
            <w:pPr>
              <w:pStyle w:val="Tabletext"/>
            </w:pPr>
            <w:r w:rsidRPr="00A133CF">
              <w:t>10 BSs/km2 (suburban)</w:t>
            </w:r>
          </w:p>
          <w:p w14:paraId="73E0BB52" w14:textId="77777777" w:rsidR="00232CCD" w:rsidRPr="00A133CF" w:rsidRDefault="00232CCD" w:rsidP="001A5D45">
            <w:pPr>
              <w:pStyle w:val="Tabletext"/>
            </w:pPr>
            <w:r w:rsidRPr="00A133CF">
              <w:t>1 BS/km2 (suburban open)</w:t>
            </w:r>
          </w:p>
          <w:p w14:paraId="0F7F3373" w14:textId="77777777" w:rsidR="00232CCD" w:rsidRPr="00A133CF" w:rsidRDefault="00232CCD" w:rsidP="001A5D45">
            <w:pPr>
              <w:pStyle w:val="Tabletext"/>
            </w:pPr>
            <w:r w:rsidRPr="00A133CF">
              <w:t>100 UEs/km2 (urban)</w:t>
            </w:r>
          </w:p>
          <w:p w14:paraId="1DE58398" w14:textId="77777777" w:rsidR="00232CCD" w:rsidRPr="00A133CF" w:rsidRDefault="00232CCD" w:rsidP="001A5D45">
            <w:pPr>
              <w:pStyle w:val="Tabletext"/>
            </w:pPr>
            <w:r w:rsidRPr="00A133CF">
              <w:t>30 UEs/km2 (suburban and suburban open)</w:t>
            </w:r>
          </w:p>
        </w:tc>
        <w:tc>
          <w:tcPr>
            <w:tcW w:w="2126" w:type="dxa"/>
          </w:tcPr>
          <w:p w14:paraId="08F61645" w14:textId="77777777" w:rsidR="00232CCD" w:rsidRPr="00A133CF" w:rsidRDefault="00232CCD" w:rsidP="001A5D45">
            <w:pPr>
              <w:pStyle w:val="Tabletext"/>
            </w:pPr>
            <w:r w:rsidRPr="00A133CF">
              <w:t>100 BSs/km2</w:t>
            </w:r>
          </w:p>
          <w:p w14:paraId="63C10372" w14:textId="77777777" w:rsidR="00232CCD" w:rsidRPr="00A133CF" w:rsidRDefault="00232CCD" w:rsidP="001A5D45">
            <w:pPr>
              <w:pStyle w:val="Tabletext"/>
            </w:pPr>
            <w:r w:rsidRPr="00A133CF">
              <w:t>400 UEs/km2</w:t>
            </w:r>
          </w:p>
        </w:tc>
        <w:tc>
          <w:tcPr>
            <w:tcW w:w="3132" w:type="dxa"/>
          </w:tcPr>
          <w:p w14:paraId="7EAE16F5" w14:textId="77777777" w:rsidR="00232CCD" w:rsidRPr="00A133CF" w:rsidRDefault="00232CCD" w:rsidP="001A5D45">
            <w:pPr>
              <w:pStyle w:val="Tabletext"/>
            </w:pPr>
            <w:r w:rsidRPr="00A133CF">
              <w:t>NBN argued that its figures are based on small cell forum research and accommodates uncontrollable and unpredictable nature of IMT deployments.</w:t>
            </w:r>
          </w:p>
        </w:tc>
      </w:tr>
      <w:tr w:rsidR="00232CCD" w:rsidRPr="00A133CF" w14:paraId="2D537BDE" w14:textId="77777777" w:rsidTr="00377E47">
        <w:tc>
          <w:tcPr>
            <w:tcW w:w="2253" w:type="dxa"/>
          </w:tcPr>
          <w:p w14:paraId="45EAB09A" w14:textId="77777777" w:rsidR="00232CCD" w:rsidRPr="00A133CF" w:rsidRDefault="00232CCD" w:rsidP="001A5D45">
            <w:pPr>
              <w:pStyle w:val="Tabletext"/>
            </w:pPr>
            <w:r w:rsidRPr="00A133CF">
              <w:t>IMT BS transmit power</w:t>
            </w:r>
          </w:p>
        </w:tc>
        <w:tc>
          <w:tcPr>
            <w:tcW w:w="2127" w:type="dxa"/>
          </w:tcPr>
          <w:p w14:paraId="5785E008" w14:textId="77777777" w:rsidR="00232CCD" w:rsidRPr="00A133CF" w:rsidRDefault="00232CCD" w:rsidP="001A5D45">
            <w:pPr>
              <w:pStyle w:val="Tabletext"/>
            </w:pPr>
            <w:r w:rsidRPr="00A133CF">
              <w:t xml:space="preserve">2 </w:t>
            </w:r>
            <w:proofErr w:type="spellStart"/>
            <w:r w:rsidRPr="00A133CF">
              <w:t>dBm</w:t>
            </w:r>
            <w:proofErr w:type="spellEnd"/>
            <w:r w:rsidRPr="00A133CF">
              <w:t>/MHz</w:t>
            </w:r>
          </w:p>
        </w:tc>
        <w:tc>
          <w:tcPr>
            <w:tcW w:w="2126" w:type="dxa"/>
          </w:tcPr>
          <w:p w14:paraId="45F075D0" w14:textId="77777777" w:rsidR="00232CCD" w:rsidRPr="00A133CF" w:rsidRDefault="00232CCD" w:rsidP="001A5D45">
            <w:pPr>
              <w:pStyle w:val="Tabletext"/>
            </w:pPr>
            <w:r w:rsidRPr="00A133CF">
              <w:t xml:space="preserve">10 </w:t>
            </w:r>
            <w:proofErr w:type="spellStart"/>
            <w:r w:rsidRPr="00A133CF">
              <w:t>dBm</w:t>
            </w:r>
            <w:proofErr w:type="spellEnd"/>
            <w:r w:rsidRPr="00A133CF">
              <w:t>/MHz</w:t>
            </w:r>
          </w:p>
        </w:tc>
        <w:tc>
          <w:tcPr>
            <w:tcW w:w="3132" w:type="dxa"/>
          </w:tcPr>
          <w:p w14:paraId="34E47D69" w14:textId="77777777" w:rsidR="00232CCD" w:rsidRPr="00A133CF" w:rsidRDefault="00232CCD" w:rsidP="001A5D45">
            <w:pPr>
              <w:pStyle w:val="Tabletext"/>
            </w:pPr>
            <w:r w:rsidRPr="00A133CF">
              <w:t xml:space="preserve">ACMA’s figure is based on power per antenna element= 10 </w:t>
            </w:r>
            <w:proofErr w:type="spellStart"/>
            <w:r w:rsidRPr="00A133CF">
              <w:t>dBm</w:t>
            </w:r>
            <w:proofErr w:type="spellEnd"/>
            <w:r w:rsidRPr="00A133CF">
              <w:t xml:space="preserve">/200 MHz, ACMA’s assumed antenna configuration = 8 x 8 (i.e. 18 dB), array </w:t>
            </w:r>
            <w:proofErr w:type="spellStart"/>
            <w:r w:rsidRPr="00A133CF">
              <w:t>ohmic</w:t>
            </w:r>
            <w:proofErr w:type="spellEnd"/>
            <w:r w:rsidRPr="00A133CF">
              <w:t xml:space="preserve"> loss = 3 dB and bandwidth correction = 23 dB</w:t>
            </w:r>
          </w:p>
          <w:p w14:paraId="3CABFE9C" w14:textId="77777777" w:rsidR="00232CCD" w:rsidRPr="00A133CF" w:rsidRDefault="00232CCD" w:rsidP="001A5D45">
            <w:pPr>
              <w:pStyle w:val="Tabletext"/>
            </w:pPr>
            <w:r w:rsidRPr="00A133CF">
              <w:t xml:space="preserve">NBN argued that 10 </w:t>
            </w:r>
            <w:proofErr w:type="spellStart"/>
            <w:r w:rsidRPr="00A133CF">
              <w:t>dBm</w:t>
            </w:r>
            <w:proofErr w:type="spellEnd"/>
            <w:r w:rsidRPr="00A133CF">
              <w:t>/MHz figure aligns more closely with the 3GPP standards and systems trialled and licensed in Australia.</w:t>
            </w:r>
          </w:p>
        </w:tc>
      </w:tr>
      <w:tr w:rsidR="00232CCD" w:rsidRPr="00A133CF" w14:paraId="4DB9CBAA" w14:textId="77777777" w:rsidTr="00377E47">
        <w:trPr>
          <w:cnfStyle w:val="000000010000" w:firstRow="0" w:lastRow="0" w:firstColumn="0" w:lastColumn="0" w:oddVBand="0" w:evenVBand="0" w:oddHBand="0" w:evenHBand="1" w:firstRowFirstColumn="0" w:firstRowLastColumn="0" w:lastRowFirstColumn="0" w:lastRowLastColumn="0"/>
        </w:trPr>
        <w:tc>
          <w:tcPr>
            <w:tcW w:w="2253" w:type="dxa"/>
          </w:tcPr>
          <w:p w14:paraId="76C3BB47" w14:textId="77777777" w:rsidR="00232CCD" w:rsidRPr="00A133CF" w:rsidRDefault="00232CCD" w:rsidP="001A5D45">
            <w:pPr>
              <w:pStyle w:val="Tabletext"/>
            </w:pPr>
            <w:r w:rsidRPr="00A133CF">
              <w:lastRenderedPageBreak/>
              <w:t>Average UE transmit power</w:t>
            </w:r>
          </w:p>
        </w:tc>
        <w:tc>
          <w:tcPr>
            <w:tcW w:w="2127" w:type="dxa"/>
          </w:tcPr>
          <w:p w14:paraId="4DF48582" w14:textId="77777777" w:rsidR="00232CCD" w:rsidRPr="00A133CF" w:rsidRDefault="00232CCD" w:rsidP="001A5D45">
            <w:pPr>
              <w:pStyle w:val="Tabletext"/>
            </w:pPr>
            <w:r w:rsidRPr="00A133CF">
              <w:t xml:space="preserve">-6.1 </w:t>
            </w:r>
            <w:proofErr w:type="spellStart"/>
            <w:r w:rsidRPr="00A133CF">
              <w:t>dBm</w:t>
            </w:r>
            <w:proofErr w:type="spellEnd"/>
            <w:r w:rsidRPr="00A133CF">
              <w:t xml:space="preserve">/MHz </w:t>
            </w:r>
            <w:r w:rsidRPr="00A133CF">
              <w:br/>
              <w:t>(urban and suburban hotspots)</w:t>
            </w:r>
          </w:p>
          <w:p w14:paraId="38B2A9AA" w14:textId="77777777" w:rsidR="00232CCD" w:rsidRPr="00A133CF" w:rsidRDefault="00232CCD" w:rsidP="001A5D45">
            <w:pPr>
              <w:pStyle w:val="Tabletext"/>
            </w:pPr>
            <w:r w:rsidRPr="00A133CF">
              <w:t xml:space="preserve">-3.6 </w:t>
            </w:r>
            <w:proofErr w:type="spellStart"/>
            <w:r w:rsidRPr="00A133CF">
              <w:t>dBm</w:t>
            </w:r>
            <w:proofErr w:type="spellEnd"/>
            <w:r w:rsidRPr="00A133CF">
              <w:t xml:space="preserve"> </w:t>
            </w:r>
            <w:r w:rsidRPr="00A133CF">
              <w:br/>
              <w:t>(suburban open space hotspots)</w:t>
            </w:r>
          </w:p>
        </w:tc>
        <w:tc>
          <w:tcPr>
            <w:tcW w:w="2126" w:type="dxa"/>
          </w:tcPr>
          <w:p w14:paraId="3923A5A4" w14:textId="77777777" w:rsidR="00232CCD" w:rsidRPr="00A133CF" w:rsidRDefault="00232CCD" w:rsidP="001A5D45">
            <w:pPr>
              <w:pStyle w:val="Tabletext"/>
            </w:pPr>
            <w:r w:rsidRPr="00A133CF">
              <w:t>-</w:t>
            </w:r>
          </w:p>
        </w:tc>
        <w:tc>
          <w:tcPr>
            <w:tcW w:w="3132" w:type="dxa"/>
          </w:tcPr>
          <w:p w14:paraId="279657FA" w14:textId="77777777" w:rsidR="00232CCD" w:rsidRPr="00A133CF" w:rsidRDefault="00232CCD" w:rsidP="001A5D45">
            <w:pPr>
              <w:pStyle w:val="Tabletext"/>
            </w:pPr>
            <w:r w:rsidRPr="00A133CF">
              <w:t>ACMA’s average UE values are based on the implementation of ITU-R M.2101 power control algorithm in the simulation methodology explained in detail in ACMA’s first contr</w:t>
            </w:r>
            <w:r w:rsidR="00BD5767">
              <w:t>ibution to TG 5/1, Document 117</w:t>
            </w:r>
            <w:r w:rsidRPr="00A133CF">
              <w:br/>
              <w:t>(Sept 2017)</w:t>
            </w:r>
          </w:p>
        </w:tc>
      </w:tr>
      <w:tr w:rsidR="00232CCD" w:rsidRPr="00A133CF" w14:paraId="0B647732" w14:textId="77777777" w:rsidTr="00377E47">
        <w:tc>
          <w:tcPr>
            <w:tcW w:w="2253" w:type="dxa"/>
          </w:tcPr>
          <w:p w14:paraId="6BC71B49" w14:textId="77777777" w:rsidR="00232CCD" w:rsidRPr="00A133CF" w:rsidRDefault="00232CCD" w:rsidP="001A5D45">
            <w:pPr>
              <w:pStyle w:val="Tabletext"/>
            </w:pPr>
            <w:r w:rsidRPr="00A133CF">
              <w:t>IMT UE body loss</w:t>
            </w:r>
          </w:p>
        </w:tc>
        <w:tc>
          <w:tcPr>
            <w:tcW w:w="2127" w:type="dxa"/>
          </w:tcPr>
          <w:p w14:paraId="506EBA40" w14:textId="77777777" w:rsidR="00232CCD" w:rsidRPr="00A133CF" w:rsidRDefault="00232CCD" w:rsidP="001A5D45">
            <w:pPr>
              <w:pStyle w:val="Tabletext"/>
            </w:pPr>
            <w:r w:rsidRPr="00A133CF">
              <w:t>4 dB</w:t>
            </w:r>
          </w:p>
        </w:tc>
        <w:tc>
          <w:tcPr>
            <w:tcW w:w="2126" w:type="dxa"/>
          </w:tcPr>
          <w:p w14:paraId="42EC1778" w14:textId="77777777" w:rsidR="00232CCD" w:rsidRPr="00A133CF" w:rsidRDefault="00232CCD" w:rsidP="001A5D45">
            <w:pPr>
              <w:pStyle w:val="Tabletext"/>
            </w:pPr>
            <w:r w:rsidRPr="00A133CF">
              <w:t>0 dB</w:t>
            </w:r>
          </w:p>
        </w:tc>
        <w:tc>
          <w:tcPr>
            <w:tcW w:w="3132" w:type="dxa"/>
          </w:tcPr>
          <w:p w14:paraId="764D37D9" w14:textId="77777777" w:rsidR="00232CCD" w:rsidRPr="00A133CF" w:rsidRDefault="00232CCD" w:rsidP="001A5D45">
            <w:pPr>
              <w:pStyle w:val="Tabletext"/>
            </w:pPr>
          </w:p>
        </w:tc>
      </w:tr>
      <w:tr w:rsidR="00232CCD" w:rsidRPr="00A133CF" w14:paraId="2E0919E6" w14:textId="77777777" w:rsidTr="00377E47">
        <w:trPr>
          <w:cnfStyle w:val="000000010000" w:firstRow="0" w:lastRow="0" w:firstColumn="0" w:lastColumn="0" w:oddVBand="0" w:evenVBand="0" w:oddHBand="0" w:evenHBand="1" w:firstRowFirstColumn="0" w:firstRowLastColumn="0" w:lastRowFirstColumn="0" w:lastRowLastColumn="0"/>
        </w:trPr>
        <w:tc>
          <w:tcPr>
            <w:tcW w:w="2253" w:type="dxa"/>
          </w:tcPr>
          <w:p w14:paraId="283D7A47" w14:textId="77777777" w:rsidR="00232CCD" w:rsidRPr="00A133CF" w:rsidRDefault="00232CCD" w:rsidP="001A5D45">
            <w:pPr>
              <w:pStyle w:val="Tabletext"/>
            </w:pPr>
            <w:r w:rsidRPr="00A133CF">
              <w:t>Polarisation isolation</w:t>
            </w:r>
          </w:p>
        </w:tc>
        <w:tc>
          <w:tcPr>
            <w:tcW w:w="2127" w:type="dxa"/>
          </w:tcPr>
          <w:p w14:paraId="5988C9B6" w14:textId="77777777" w:rsidR="00232CCD" w:rsidRPr="00A133CF" w:rsidRDefault="00232CCD" w:rsidP="001A5D45">
            <w:pPr>
              <w:pStyle w:val="Tabletext"/>
            </w:pPr>
            <w:r w:rsidRPr="00A133CF">
              <w:t>3 dB</w:t>
            </w:r>
          </w:p>
        </w:tc>
        <w:tc>
          <w:tcPr>
            <w:tcW w:w="2126" w:type="dxa"/>
          </w:tcPr>
          <w:p w14:paraId="6FAF35BD" w14:textId="77777777" w:rsidR="00232CCD" w:rsidRPr="00A133CF" w:rsidRDefault="00232CCD" w:rsidP="001A5D45">
            <w:pPr>
              <w:pStyle w:val="Tabletext"/>
            </w:pPr>
            <w:r w:rsidRPr="00A133CF">
              <w:t>1.5 dB</w:t>
            </w:r>
          </w:p>
        </w:tc>
        <w:tc>
          <w:tcPr>
            <w:tcW w:w="3132" w:type="dxa"/>
          </w:tcPr>
          <w:p w14:paraId="2FAD7FB5" w14:textId="77777777" w:rsidR="00232CCD" w:rsidRPr="00A133CF" w:rsidRDefault="00232CCD" w:rsidP="001A5D45">
            <w:pPr>
              <w:pStyle w:val="Tabletext"/>
            </w:pPr>
          </w:p>
        </w:tc>
      </w:tr>
      <w:tr w:rsidR="00232CCD" w:rsidRPr="00A133CF" w14:paraId="05B9B099" w14:textId="77777777" w:rsidTr="00377E47">
        <w:tc>
          <w:tcPr>
            <w:tcW w:w="2253" w:type="dxa"/>
          </w:tcPr>
          <w:p w14:paraId="2E33498C" w14:textId="77777777" w:rsidR="00232CCD" w:rsidRPr="00A133CF" w:rsidRDefault="00232CCD" w:rsidP="001A5D45">
            <w:pPr>
              <w:pStyle w:val="Tabletext"/>
            </w:pPr>
            <w:r w:rsidRPr="00A133CF">
              <w:t>Network loading factor (Average BS activity)</w:t>
            </w:r>
          </w:p>
        </w:tc>
        <w:tc>
          <w:tcPr>
            <w:tcW w:w="2127" w:type="dxa"/>
          </w:tcPr>
          <w:p w14:paraId="00995428" w14:textId="77777777" w:rsidR="00232CCD" w:rsidRPr="00A133CF" w:rsidRDefault="00232CCD" w:rsidP="001A5D45">
            <w:pPr>
              <w:pStyle w:val="Tabletext"/>
            </w:pPr>
            <w:r w:rsidRPr="00A133CF">
              <w:t>20%</w:t>
            </w:r>
          </w:p>
        </w:tc>
        <w:tc>
          <w:tcPr>
            <w:tcW w:w="2126" w:type="dxa"/>
          </w:tcPr>
          <w:p w14:paraId="153E4346" w14:textId="77777777" w:rsidR="00232CCD" w:rsidRPr="00A133CF" w:rsidRDefault="00232CCD" w:rsidP="001A5D45">
            <w:pPr>
              <w:pStyle w:val="Tabletext"/>
            </w:pPr>
            <w:r w:rsidRPr="00A133CF">
              <w:t>50%</w:t>
            </w:r>
          </w:p>
        </w:tc>
        <w:tc>
          <w:tcPr>
            <w:tcW w:w="3132" w:type="dxa"/>
          </w:tcPr>
          <w:p w14:paraId="10A78583" w14:textId="77777777" w:rsidR="00232CCD" w:rsidRPr="00A133CF" w:rsidRDefault="00232CCD" w:rsidP="001A5D45">
            <w:pPr>
              <w:pStyle w:val="Tabletext"/>
            </w:pPr>
          </w:p>
        </w:tc>
      </w:tr>
      <w:tr w:rsidR="00232CCD" w:rsidRPr="00A133CF" w14:paraId="35B9B227" w14:textId="77777777" w:rsidTr="00377E47">
        <w:trPr>
          <w:cnfStyle w:val="000000010000" w:firstRow="0" w:lastRow="0" w:firstColumn="0" w:lastColumn="0" w:oddVBand="0" w:evenVBand="0" w:oddHBand="0" w:evenHBand="1" w:firstRowFirstColumn="0" w:firstRowLastColumn="0" w:lastRowFirstColumn="0" w:lastRowLastColumn="0"/>
        </w:trPr>
        <w:tc>
          <w:tcPr>
            <w:tcW w:w="2253" w:type="dxa"/>
          </w:tcPr>
          <w:p w14:paraId="3FB889AD" w14:textId="77777777" w:rsidR="00232CCD" w:rsidRPr="00A133CF" w:rsidRDefault="00232CCD" w:rsidP="001A5D45">
            <w:pPr>
              <w:pStyle w:val="Tabletext"/>
            </w:pPr>
            <w:r w:rsidRPr="00A133CF">
              <w:t>BS TDD activity factor</w:t>
            </w:r>
          </w:p>
        </w:tc>
        <w:tc>
          <w:tcPr>
            <w:tcW w:w="2127" w:type="dxa"/>
          </w:tcPr>
          <w:p w14:paraId="25869ADD" w14:textId="77777777" w:rsidR="00232CCD" w:rsidRPr="00A133CF" w:rsidRDefault="00232CCD" w:rsidP="001A5D45">
            <w:pPr>
              <w:pStyle w:val="Tabletext"/>
            </w:pPr>
            <w:r w:rsidRPr="00A133CF">
              <w:t>80%</w:t>
            </w:r>
          </w:p>
        </w:tc>
        <w:tc>
          <w:tcPr>
            <w:tcW w:w="2126" w:type="dxa"/>
          </w:tcPr>
          <w:p w14:paraId="37EFC662" w14:textId="77777777" w:rsidR="00232CCD" w:rsidRPr="00A133CF" w:rsidRDefault="00232CCD" w:rsidP="001A5D45">
            <w:pPr>
              <w:pStyle w:val="Tabletext"/>
            </w:pPr>
            <w:r w:rsidRPr="00A133CF">
              <w:t>60%</w:t>
            </w:r>
          </w:p>
        </w:tc>
        <w:tc>
          <w:tcPr>
            <w:tcW w:w="3132" w:type="dxa"/>
          </w:tcPr>
          <w:p w14:paraId="049A7CFD" w14:textId="77777777" w:rsidR="00232CCD" w:rsidRPr="00A133CF" w:rsidRDefault="00232CCD" w:rsidP="001A5D45">
            <w:pPr>
              <w:pStyle w:val="Tabletext"/>
            </w:pPr>
            <w:r w:rsidRPr="00A133CF">
              <w:t>NBN argued that upload intensive applications can exist.</w:t>
            </w:r>
          </w:p>
        </w:tc>
      </w:tr>
      <w:tr w:rsidR="00232CCD" w:rsidRPr="00A133CF" w14:paraId="697FD4FC" w14:textId="77777777" w:rsidTr="00377E47">
        <w:tc>
          <w:tcPr>
            <w:tcW w:w="2253" w:type="dxa"/>
          </w:tcPr>
          <w:p w14:paraId="2FF45D82" w14:textId="77777777" w:rsidR="00232CCD" w:rsidRPr="00A133CF" w:rsidRDefault="00232CCD" w:rsidP="001A5D45">
            <w:pPr>
              <w:pStyle w:val="Tabletext"/>
            </w:pPr>
            <w:r w:rsidRPr="00A133CF">
              <w:t>BS Antenna height (</w:t>
            </w:r>
            <w:proofErr w:type="spellStart"/>
            <w:r w:rsidRPr="00A133CF">
              <w:t>a.g.l</w:t>
            </w:r>
            <w:proofErr w:type="spellEnd"/>
            <w:r w:rsidRPr="00A133CF">
              <w:t>.)</w:t>
            </w:r>
          </w:p>
        </w:tc>
        <w:tc>
          <w:tcPr>
            <w:tcW w:w="2127" w:type="dxa"/>
          </w:tcPr>
          <w:p w14:paraId="4CB407D0" w14:textId="77777777" w:rsidR="00232CCD" w:rsidRPr="00A133CF" w:rsidRDefault="00232CCD" w:rsidP="001A5D45">
            <w:pPr>
              <w:pStyle w:val="Tabletext"/>
            </w:pPr>
            <w:r w:rsidRPr="00A133CF">
              <w:t xml:space="preserve">6 m </w:t>
            </w:r>
            <w:r w:rsidRPr="00A133CF">
              <w:br/>
              <w:t>(urban/suburban hotspots)</w:t>
            </w:r>
          </w:p>
          <w:p w14:paraId="319C8A42" w14:textId="77777777" w:rsidR="00232CCD" w:rsidRPr="00A133CF" w:rsidRDefault="00232CCD" w:rsidP="001A5D45">
            <w:pPr>
              <w:pStyle w:val="Tabletext"/>
            </w:pPr>
            <w:r w:rsidRPr="00A133CF">
              <w:t xml:space="preserve">15 m </w:t>
            </w:r>
            <w:r w:rsidRPr="00A133CF">
              <w:br/>
              <w:t>(suburban open space hotspot)</w:t>
            </w:r>
          </w:p>
        </w:tc>
        <w:tc>
          <w:tcPr>
            <w:tcW w:w="2126" w:type="dxa"/>
          </w:tcPr>
          <w:p w14:paraId="5D70DBB1" w14:textId="77777777" w:rsidR="00232CCD" w:rsidRPr="00A133CF" w:rsidRDefault="00232CCD" w:rsidP="001A5D45">
            <w:pPr>
              <w:pStyle w:val="Tabletext"/>
            </w:pPr>
            <w:r w:rsidRPr="00A133CF">
              <w:t>30 m</w:t>
            </w:r>
          </w:p>
        </w:tc>
        <w:tc>
          <w:tcPr>
            <w:tcW w:w="3132" w:type="dxa"/>
          </w:tcPr>
          <w:p w14:paraId="4DA90DB6" w14:textId="77777777" w:rsidR="00232CCD" w:rsidRPr="00A133CF" w:rsidRDefault="00232CCD" w:rsidP="001A5D45">
            <w:pPr>
              <w:pStyle w:val="Tabletext"/>
            </w:pPr>
            <w:r w:rsidRPr="00A133CF">
              <w:t>NBN argued that existing infrastructure can be used.</w:t>
            </w:r>
          </w:p>
        </w:tc>
      </w:tr>
      <w:tr w:rsidR="00232CCD" w:rsidRPr="00A133CF" w14:paraId="22A1C795" w14:textId="77777777" w:rsidTr="00232CCD">
        <w:trPr>
          <w:cnfStyle w:val="000000010000" w:firstRow="0" w:lastRow="0" w:firstColumn="0" w:lastColumn="0" w:oddVBand="0" w:evenVBand="0" w:oddHBand="0" w:evenHBand="1" w:firstRowFirstColumn="0" w:firstRowLastColumn="0" w:lastRowFirstColumn="0" w:lastRowLastColumn="0"/>
        </w:trPr>
        <w:tc>
          <w:tcPr>
            <w:tcW w:w="2253" w:type="dxa"/>
            <w:tcBorders>
              <w:bottom w:val="single" w:sz="12" w:space="0" w:color="FFFFFF"/>
            </w:tcBorders>
          </w:tcPr>
          <w:p w14:paraId="681AA787" w14:textId="77777777" w:rsidR="00232CCD" w:rsidRPr="00A133CF" w:rsidRDefault="00232CCD" w:rsidP="001A5D45">
            <w:pPr>
              <w:pStyle w:val="Tabletext"/>
            </w:pPr>
            <w:r w:rsidRPr="00A133CF">
              <w:t>IMT BS and UE antenna array size</w:t>
            </w:r>
          </w:p>
        </w:tc>
        <w:tc>
          <w:tcPr>
            <w:tcW w:w="2127" w:type="dxa"/>
            <w:tcBorders>
              <w:bottom w:val="single" w:sz="12" w:space="0" w:color="FFFFFF"/>
            </w:tcBorders>
          </w:tcPr>
          <w:p w14:paraId="6199DA08" w14:textId="77777777" w:rsidR="00232CCD" w:rsidRPr="00A133CF" w:rsidRDefault="00232CCD" w:rsidP="001A5D45">
            <w:pPr>
              <w:pStyle w:val="Tabletext"/>
            </w:pPr>
            <w:r w:rsidRPr="00A133CF">
              <w:t>8 x 8 (BS)</w:t>
            </w:r>
          </w:p>
          <w:p w14:paraId="664E45A3" w14:textId="77777777" w:rsidR="00232CCD" w:rsidRPr="00A133CF" w:rsidRDefault="00232CCD" w:rsidP="001A5D45">
            <w:pPr>
              <w:pStyle w:val="Tabletext"/>
            </w:pPr>
            <w:r w:rsidRPr="00A133CF">
              <w:t>4 x 4 (UE)</w:t>
            </w:r>
          </w:p>
        </w:tc>
        <w:tc>
          <w:tcPr>
            <w:tcW w:w="2126" w:type="dxa"/>
            <w:tcBorders>
              <w:bottom w:val="single" w:sz="12" w:space="0" w:color="FFFFFF"/>
            </w:tcBorders>
          </w:tcPr>
          <w:p w14:paraId="63D26B29" w14:textId="77777777" w:rsidR="00232CCD" w:rsidRPr="00A133CF" w:rsidRDefault="00232CCD" w:rsidP="001A5D45">
            <w:pPr>
              <w:pStyle w:val="Tabletext"/>
            </w:pPr>
            <w:r w:rsidRPr="00A133CF">
              <w:t>4 x 4 (BS)</w:t>
            </w:r>
          </w:p>
          <w:p w14:paraId="1A65E1C8" w14:textId="77777777" w:rsidR="00232CCD" w:rsidRPr="00A133CF" w:rsidRDefault="00232CCD" w:rsidP="001A5D45">
            <w:pPr>
              <w:pStyle w:val="Tabletext"/>
            </w:pPr>
            <w:r w:rsidRPr="00A133CF">
              <w:t>2 x 2 (UE)</w:t>
            </w:r>
          </w:p>
        </w:tc>
        <w:tc>
          <w:tcPr>
            <w:tcW w:w="3132" w:type="dxa"/>
            <w:tcBorders>
              <w:bottom w:val="single" w:sz="12" w:space="0" w:color="FFFFFF"/>
            </w:tcBorders>
          </w:tcPr>
          <w:p w14:paraId="51937FFC" w14:textId="77777777" w:rsidR="00232CCD" w:rsidRPr="00A133CF" w:rsidRDefault="00232CCD" w:rsidP="001A5D45">
            <w:pPr>
              <w:pStyle w:val="Tabletext"/>
            </w:pPr>
            <w:r w:rsidRPr="00A133CF">
              <w:t xml:space="preserve">NBN argued that smaller antenna arrays will result in higher </w:t>
            </w:r>
            <w:proofErr w:type="spellStart"/>
            <w:r w:rsidRPr="00A133CF">
              <w:t>sidelobes</w:t>
            </w:r>
            <w:proofErr w:type="spellEnd"/>
            <w:r w:rsidRPr="00A133CF">
              <w:t xml:space="preserve"> towards the GSO arc.</w:t>
            </w:r>
          </w:p>
        </w:tc>
      </w:tr>
      <w:tr w:rsidR="00232CCD" w:rsidRPr="00A133CF" w14:paraId="4306DBAD" w14:textId="77777777" w:rsidTr="00232CCD">
        <w:tc>
          <w:tcPr>
            <w:tcW w:w="2253" w:type="dxa"/>
            <w:tcBorders>
              <w:right w:val="nil"/>
            </w:tcBorders>
          </w:tcPr>
          <w:p w14:paraId="33725B39" w14:textId="77777777" w:rsidR="00232CCD" w:rsidRPr="00A133CF" w:rsidRDefault="00232CCD" w:rsidP="001A5D45">
            <w:pPr>
              <w:pStyle w:val="Tabletext"/>
            </w:pPr>
            <w:r>
              <w:t>Results</w:t>
            </w:r>
          </w:p>
        </w:tc>
        <w:tc>
          <w:tcPr>
            <w:tcW w:w="2127" w:type="dxa"/>
            <w:tcBorders>
              <w:left w:val="nil"/>
              <w:right w:val="nil"/>
            </w:tcBorders>
          </w:tcPr>
          <w:p w14:paraId="4522671C" w14:textId="77777777" w:rsidR="00232CCD" w:rsidRPr="00A133CF" w:rsidRDefault="00232CCD" w:rsidP="001A5D45">
            <w:pPr>
              <w:pStyle w:val="Tabletext"/>
            </w:pPr>
          </w:p>
        </w:tc>
        <w:tc>
          <w:tcPr>
            <w:tcW w:w="2126" w:type="dxa"/>
            <w:tcBorders>
              <w:left w:val="nil"/>
              <w:right w:val="nil"/>
            </w:tcBorders>
          </w:tcPr>
          <w:p w14:paraId="53DA6900" w14:textId="77777777" w:rsidR="00232CCD" w:rsidRPr="00A133CF" w:rsidRDefault="00232CCD" w:rsidP="001A5D45">
            <w:pPr>
              <w:pStyle w:val="Tabletext"/>
            </w:pPr>
          </w:p>
        </w:tc>
        <w:tc>
          <w:tcPr>
            <w:tcW w:w="3132" w:type="dxa"/>
            <w:tcBorders>
              <w:left w:val="nil"/>
            </w:tcBorders>
          </w:tcPr>
          <w:p w14:paraId="7CFAF7F1" w14:textId="77777777" w:rsidR="00232CCD" w:rsidRPr="00A133CF" w:rsidRDefault="00232CCD" w:rsidP="001A5D45">
            <w:pPr>
              <w:pStyle w:val="Tabletext"/>
            </w:pPr>
          </w:p>
        </w:tc>
      </w:tr>
      <w:tr w:rsidR="00232CCD" w:rsidRPr="00A133CF" w14:paraId="076E6F57" w14:textId="77777777" w:rsidTr="00377E47">
        <w:trPr>
          <w:cnfStyle w:val="000000010000" w:firstRow="0" w:lastRow="0" w:firstColumn="0" w:lastColumn="0" w:oddVBand="0" w:evenVBand="0" w:oddHBand="0" w:evenHBand="1" w:firstRowFirstColumn="0" w:firstRowLastColumn="0" w:lastRowFirstColumn="0" w:lastRowLastColumn="0"/>
        </w:trPr>
        <w:tc>
          <w:tcPr>
            <w:tcW w:w="2253" w:type="dxa"/>
          </w:tcPr>
          <w:p w14:paraId="792650E3" w14:textId="77777777" w:rsidR="00232CCD" w:rsidRPr="00A133CF" w:rsidRDefault="00232CCD" w:rsidP="001A5D45">
            <w:pPr>
              <w:pStyle w:val="Tabletext"/>
            </w:pPr>
            <w:r w:rsidRPr="00A133CF">
              <w:t xml:space="preserve">Total Aggregate Interference </w:t>
            </w:r>
          </w:p>
        </w:tc>
        <w:tc>
          <w:tcPr>
            <w:tcW w:w="2127" w:type="dxa"/>
          </w:tcPr>
          <w:p w14:paraId="4DFA1AE3" w14:textId="77777777" w:rsidR="00232CCD" w:rsidRPr="00A133CF" w:rsidRDefault="00232CCD" w:rsidP="001A5D45">
            <w:pPr>
              <w:pStyle w:val="Tabletext"/>
            </w:pPr>
            <w:r w:rsidRPr="00A133CF">
              <w:t>-151.8 (</w:t>
            </w:r>
            <w:proofErr w:type="spellStart"/>
            <w:r w:rsidRPr="00A133CF">
              <w:t>dBm</w:t>
            </w:r>
            <w:proofErr w:type="spellEnd"/>
            <w:r w:rsidRPr="00A133CF">
              <w:t>/MHz)</w:t>
            </w:r>
          </w:p>
        </w:tc>
        <w:tc>
          <w:tcPr>
            <w:tcW w:w="2126" w:type="dxa"/>
          </w:tcPr>
          <w:p w14:paraId="0EE64B36" w14:textId="77777777" w:rsidR="00232CCD" w:rsidRPr="00A133CF" w:rsidRDefault="00232CCD" w:rsidP="001A5D45">
            <w:pPr>
              <w:pStyle w:val="Tabletext"/>
            </w:pPr>
            <w:r w:rsidRPr="00A133CF">
              <w:t>-</w:t>
            </w:r>
          </w:p>
        </w:tc>
        <w:tc>
          <w:tcPr>
            <w:tcW w:w="3132" w:type="dxa"/>
          </w:tcPr>
          <w:p w14:paraId="33E01ACE" w14:textId="77777777" w:rsidR="00D848F2" w:rsidRDefault="00232CCD" w:rsidP="001A5D45">
            <w:pPr>
              <w:pStyle w:val="Tabletext"/>
            </w:pPr>
            <w:r w:rsidRPr="00A133CF">
              <w:t>ACMA’s total aggregate interference figure corresponds to aggregation of average BS and UE interference from the satellite’s visible area (145o E) plus the main beam coverage area over Sydney</w:t>
            </w:r>
            <w:r w:rsidRPr="00D848F2">
              <w:rPr>
                <w:vertAlign w:val="superscript"/>
              </w:rPr>
              <w:footnoteReference w:id="8"/>
            </w:r>
            <w:r w:rsidR="00D848F2">
              <w:t>.</w:t>
            </w:r>
          </w:p>
          <w:p w14:paraId="37710F8D" w14:textId="77777777" w:rsidR="00232CCD" w:rsidRPr="00A133CF" w:rsidRDefault="00232CCD" w:rsidP="001A5D45">
            <w:pPr>
              <w:pStyle w:val="Tabletext"/>
            </w:pPr>
            <w:r w:rsidRPr="00A133CF">
              <w:t xml:space="preserve">The results in Table E-8 in </w:t>
            </w:r>
            <w:proofErr w:type="spellStart"/>
            <w:r w:rsidRPr="00A133CF">
              <w:t>Attch</w:t>
            </w:r>
            <w:proofErr w:type="spellEnd"/>
            <w:r w:rsidRPr="00A133CF">
              <w:t>. 3 to Annex 3 of Document 478 show that, for the assumed BS and UE densities, contributions to the total aggregate interference from interferers assumed to be operating within the wide satellite visible area and the small spot main beam area over Sydney are of the same order of magnitude.</w:t>
            </w:r>
          </w:p>
        </w:tc>
      </w:tr>
      <w:tr w:rsidR="00232CCD" w:rsidRPr="00A133CF" w14:paraId="2802D432" w14:textId="77777777" w:rsidTr="00377E47">
        <w:tc>
          <w:tcPr>
            <w:tcW w:w="2253" w:type="dxa"/>
          </w:tcPr>
          <w:p w14:paraId="32B20B49" w14:textId="77777777" w:rsidR="00232CCD" w:rsidRPr="00A133CF" w:rsidRDefault="00232CCD" w:rsidP="001A5D45">
            <w:pPr>
              <w:pStyle w:val="Tabletext"/>
            </w:pPr>
            <w:r w:rsidRPr="00A133CF">
              <w:lastRenderedPageBreak/>
              <w:t>I/N</w:t>
            </w:r>
          </w:p>
        </w:tc>
        <w:tc>
          <w:tcPr>
            <w:tcW w:w="2127" w:type="dxa"/>
          </w:tcPr>
          <w:p w14:paraId="7367CF93" w14:textId="77777777" w:rsidR="00232CCD" w:rsidRPr="00A133CF" w:rsidRDefault="00232CCD" w:rsidP="001A5D45">
            <w:pPr>
              <w:pStyle w:val="Tabletext"/>
            </w:pPr>
            <w:r w:rsidRPr="00A133CF">
              <w:t>-39.2 dB</w:t>
            </w:r>
          </w:p>
        </w:tc>
        <w:tc>
          <w:tcPr>
            <w:tcW w:w="2126" w:type="dxa"/>
          </w:tcPr>
          <w:p w14:paraId="7093355B" w14:textId="77777777" w:rsidR="00232CCD" w:rsidRPr="00A133CF" w:rsidRDefault="00232CCD" w:rsidP="001A5D45">
            <w:pPr>
              <w:pStyle w:val="Tabletext"/>
            </w:pPr>
            <w:r w:rsidRPr="00A133CF">
              <w:t>1 dB</w:t>
            </w:r>
          </w:p>
        </w:tc>
        <w:tc>
          <w:tcPr>
            <w:tcW w:w="3132" w:type="dxa"/>
          </w:tcPr>
          <w:p w14:paraId="5A72E71B" w14:textId="77777777" w:rsidR="00232CCD" w:rsidRPr="00A133CF" w:rsidRDefault="00232CCD" w:rsidP="001A5D45">
            <w:pPr>
              <w:pStyle w:val="Tabletext"/>
            </w:pPr>
            <w:r w:rsidRPr="00A133CF">
              <w:t xml:space="preserve">N = -112.6 </w:t>
            </w:r>
            <w:proofErr w:type="spellStart"/>
            <w:r w:rsidRPr="00A133CF">
              <w:t>dBm</w:t>
            </w:r>
            <w:proofErr w:type="spellEnd"/>
            <w:r w:rsidRPr="00A133CF">
              <w:t>/MHz (T=400 K)</w:t>
            </w:r>
          </w:p>
          <w:p w14:paraId="0518EB2D" w14:textId="77777777" w:rsidR="00232CCD" w:rsidRPr="00A133CF" w:rsidRDefault="00232CCD" w:rsidP="001A5D45">
            <w:pPr>
              <w:pStyle w:val="Tabletext"/>
            </w:pPr>
            <w:r w:rsidRPr="00A133CF">
              <w:t>NBN’s I/N = 1 dB figure is based on their calculation of -11 dB margin compared to the ACMA’s assumed I/N threshold level of -10 dB and combines the impact of assumptions in re</w:t>
            </w:r>
            <w:r w:rsidRPr="00A133CF">
              <w:noBreakHyphen/>
              <w:t>baselining and sensitivity analysis outlined in NBN’s response to ACMA’s consultation.</w:t>
            </w:r>
            <w:r>
              <w:t xml:space="preserve"> </w:t>
            </w:r>
          </w:p>
        </w:tc>
      </w:tr>
      <w:tr w:rsidR="00232CCD" w:rsidRPr="00A133CF" w14:paraId="436F8519" w14:textId="77777777" w:rsidTr="00377E47">
        <w:trPr>
          <w:cnfStyle w:val="000000010000" w:firstRow="0" w:lastRow="0" w:firstColumn="0" w:lastColumn="0" w:oddVBand="0" w:evenVBand="0" w:oddHBand="0" w:evenHBand="1" w:firstRowFirstColumn="0" w:firstRowLastColumn="0" w:lastRowFirstColumn="0" w:lastRowLastColumn="0"/>
        </w:trPr>
        <w:tc>
          <w:tcPr>
            <w:tcW w:w="2253" w:type="dxa"/>
          </w:tcPr>
          <w:p w14:paraId="0F935A82" w14:textId="77777777" w:rsidR="00232CCD" w:rsidRPr="00A133CF" w:rsidRDefault="00232CCD" w:rsidP="001A5D45">
            <w:pPr>
              <w:pStyle w:val="Tabletext"/>
            </w:pPr>
            <w:r w:rsidRPr="00A133CF">
              <w:t>Protection Margin</w:t>
            </w:r>
          </w:p>
        </w:tc>
        <w:tc>
          <w:tcPr>
            <w:tcW w:w="2127" w:type="dxa"/>
          </w:tcPr>
          <w:p w14:paraId="2303E6A0" w14:textId="77777777" w:rsidR="00232CCD" w:rsidRPr="00A133CF" w:rsidRDefault="00232CCD" w:rsidP="001A5D45">
            <w:pPr>
              <w:pStyle w:val="Tabletext"/>
            </w:pPr>
            <w:r w:rsidRPr="00A133CF">
              <w:t xml:space="preserve">33.2 dB for I/N =-6 dB, </w:t>
            </w:r>
          </w:p>
          <w:p w14:paraId="67B340D8" w14:textId="77777777" w:rsidR="00232CCD" w:rsidRPr="00A133CF" w:rsidRDefault="00232CCD" w:rsidP="001A5D45">
            <w:pPr>
              <w:pStyle w:val="Tabletext"/>
            </w:pPr>
            <w:r w:rsidRPr="00A133CF">
              <w:t xml:space="preserve">29.2 dB for I/N=-10 dB, </w:t>
            </w:r>
          </w:p>
          <w:p w14:paraId="62CB8B90" w14:textId="77777777" w:rsidR="00232CCD" w:rsidRPr="00A133CF" w:rsidRDefault="00232CCD" w:rsidP="001A5D45">
            <w:pPr>
              <w:pStyle w:val="Tabletext"/>
            </w:pPr>
            <w:r w:rsidRPr="00A133CF">
              <w:t>27 dB for I/N=-12.2 dB</w:t>
            </w:r>
          </w:p>
        </w:tc>
        <w:tc>
          <w:tcPr>
            <w:tcW w:w="2126" w:type="dxa"/>
          </w:tcPr>
          <w:p w14:paraId="35B5FF23" w14:textId="77777777" w:rsidR="00232CCD" w:rsidRPr="00A133CF" w:rsidRDefault="00232CCD" w:rsidP="001A5D45">
            <w:pPr>
              <w:pStyle w:val="Tabletext"/>
            </w:pPr>
            <w:r w:rsidRPr="00A133CF">
              <w:t xml:space="preserve">-7 dB for I/N =-6 dB, </w:t>
            </w:r>
          </w:p>
          <w:p w14:paraId="2209A3CE" w14:textId="77777777" w:rsidR="00232CCD" w:rsidRPr="00A133CF" w:rsidRDefault="00232CCD" w:rsidP="001A5D45">
            <w:pPr>
              <w:pStyle w:val="Tabletext"/>
            </w:pPr>
            <w:r w:rsidRPr="00A133CF">
              <w:t xml:space="preserve">-11 dB for I/N=-10 dB, </w:t>
            </w:r>
          </w:p>
          <w:p w14:paraId="66DDD141" w14:textId="77777777" w:rsidR="00232CCD" w:rsidRPr="00A133CF" w:rsidRDefault="00232CCD" w:rsidP="001A5D45">
            <w:pPr>
              <w:pStyle w:val="Tabletext"/>
            </w:pPr>
            <w:r w:rsidRPr="00A133CF">
              <w:t>-13.2 dB for I/N=-12.2 dB</w:t>
            </w:r>
          </w:p>
        </w:tc>
        <w:tc>
          <w:tcPr>
            <w:tcW w:w="3132" w:type="dxa"/>
          </w:tcPr>
          <w:p w14:paraId="66B18606" w14:textId="77777777" w:rsidR="00232CCD" w:rsidRPr="00A133CF" w:rsidRDefault="00232CCD" w:rsidP="001A5D45">
            <w:pPr>
              <w:pStyle w:val="Tabletext"/>
            </w:pPr>
          </w:p>
        </w:tc>
      </w:tr>
    </w:tbl>
    <w:p w14:paraId="2851DFA8" w14:textId="77777777" w:rsidR="00DE3BEE" w:rsidRPr="00A133CF" w:rsidRDefault="00DE3BEE" w:rsidP="00DE3BEE">
      <w:r w:rsidRPr="00A133CF">
        <w:t xml:space="preserve">The assumptions and analysis results presented in </w:t>
      </w:r>
      <w:r w:rsidRPr="00A133CF">
        <w:fldChar w:fldCharType="begin"/>
      </w:r>
      <w:r w:rsidRPr="00A133CF">
        <w:instrText xml:space="preserve"> REF _Ref16577952 </w:instrText>
      </w:r>
      <w:r>
        <w:instrText xml:space="preserve"> \* MERGEFORMAT </w:instrText>
      </w:r>
      <w:r w:rsidRPr="00A133CF">
        <w:fldChar w:fldCharType="separate"/>
      </w:r>
      <w:r w:rsidRPr="00A133CF">
        <w:t>Table 2.1</w:t>
      </w:r>
      <w:r w:rsidRPr="00A133CF">
        <w:fldChar w:fldCharType="end"/>
      </w:r>
      <w:r w:rsidRPr="00A133CF">
        <w:t xml:space="preserve"> show significant differences.</w:t>
      </w:r>
      <w:r w:rsidR="00232CCD">
        <w:t xml:space="preserve"> </w:t>
      </w:r>
      <w:r w:rsidRPr="00A133CF">
        <w:t>The NBN’s calculated implicit I/N value of +1 dB in the presence of BS and UE interferers within their satellite main beam is approximately 40 dB higher than that calculated by ACMA for aggregating BS and UE interference from Sydney (which was used, with Tokyo, as an example large population centre for the purposes of modelling) plus the remaining visible area to the satellite assumed to be operating at 145o</w:t>
      </w:r>
      <w:r w:rsidR="00232CCD">
        <w:t xml:space="preserve"> E.</w:t>
      </w:r>
    </w:p>
    <w:p w14:paraId="67FE061F" w14:textId="77777777" w:rsidR="00DE3BEE" w:rsidRPr="00A133CF" w:rsidRDefault="00DE3BEE" w:rsidP="00DE3BEE">
      <w:r w:rsidRPr="00A133CF">
        <w:t>The following sections summarise the positions of both parties on their assumptions, together with an outline of Plum’s opinion. More detailed discussion is provided in</w:t>
      </w:r>
      <w:r w:rsidR="00D848F2">
        <w:t xml:space="preserve"> </w:t>
      </w:r>
      <w:hyperlink w:anchor="_Appendix_E—Detailed_discussion" w:history="1">
        <w:r w:rsidR="00D848F2" w:rsidRPr="00D848F2">
          <w:rPr>
            <w:rStyle w:val="Hyperlink"/>
          </w:rPr>
          <w:t>Appendix E</w:t>
        </w:r>
      </w:hyperlink>
      <w:r w:rsidRPr="00A133CF">
        <w:t>.</w:t>
      </w:r>
    </w:p>
    <w:p w14:paraId="173DC827" w14:textId="77777777" w:rsidR="00DE3BEE" w:rsidRPr="005407FA" w:rsidRDefault="00232CCD" w:rsidP="00123922">
      <w:pPr>
        <w:pStyle w:val="Heading4"/>
        <w:rPr>
          <w:color w:val="7030A0"/>
        </w:rPr>
      </w:pPr>
      <w:bookmarkStart w:id="15" w:name="_Toc21429717"/>
      <w:r w:rsidRPr="005407FA">
        <w:rPr>
          <w:color w:val="7030A0"/>
        </w:rPr>
        <w:t>2.1.1</w:t>
      </w:r>
      <w:r w:rsidRPr="005407FA">
        <w:rPr>
          <w:color w:val="7030A0"/>
        </w:rPr>
        <w:tab/>
      </w:r>
      <w:r w:rsidR="00DE3BEE" w:rsidRPr="005407FA">
        <w:rPr>
          <w:color w:val="7030A0"/>
        </w:rPr>
        <w:t>General modelling issues</w:t>
      </w:r>
      <w:bookmarkEnd w:id="15"/>
    </w:p>
    <w:p w14:paraId="3834416E" w14:textId="77777777" w:rsidR="00DE3BEE" w:rsidRPr="00A133CF" w:rsidRDefault="00DE3BEE" w:rsidP="00DE3BEE">
      <w:r w:rsidRPr="00A133CF">
        <w:t>The ACMA modelling approach is based on Monte Carlo methods, and calculates an average interference level at the satellite receiver from a single IMT sector which is randomly located within the area visible to the satellite.</w:t>
      </w:r>
      <w:r w:rsidR="00232CCD">
        <w:t xml:space="preserve"> </w:t>
      </w:r>
      <w:r w:rsidRPr="00A133CF">
        <w:t>The random location of the IMT sector takes account of the density of populated areas at different latitudes to make the simulation runs more realistic.</w:t>
      </w:r>
      <w:r w:rsidR="00232CCD">
        <w:t xml:space="preserve"> </w:t>
      </w:r>
      <w:r w:rsidRPr="00A133CF">
        <w:t>At each location, the interference power at the satellite is calculated by taking appropriate BS and UE power and antenna gain towards the satellite (allowing for dynamic power control), clutter and building entry losses, and satellite antenna gain towards the IMT sector.</w:t>
      </w:r>
      <w:r w:rsidR="00232CCD">
        <w:t xml:space="preserve"> </w:t>
      </w:r>
      <w:r w:rsidRPr="00A133CF">
        <w:t>The calculated interference levels at each random location are then averaged separately to determine the mean BS and UE interference power at the satellite receiver.</w:t>
      </w:r>
    </w:p>
    <w:p w14:paraId="47BEFAD1" w14:textId="77777777" w:rsidR="00DE3BEE" w:rsidRPr="00A133CF" w:rsidRDefault="00DE3BEE" w:rsidP="00DE3BEE">
      <w:r w:rsidRPr="00A133CF">
        <w:t>Using the assumed BS and UE density figures, network loading and uplink/downlink ratios together with calculated BS and UE average interference levels, total aggregate interference levels are then determined for each deployment environment (e.g. suburban and rural).</w:t>
      </w:r>
    </w:p>
    <w:p w14:paraId="04A90650" w14:textId="77777777" w:rsidR="00D848F2" w:rsidRDefault="00DE3BEE" w:rsidP="00DE3BEE">
      <w:r w:rsidRPr="00A133CF">
        <w:t>In order to take specific account of the impact of interferers located within the satellite main beam, aggregate interference levels that would result from satellite beams aligned with Sydney and Tokyo have also been calculated separately and added to the total aggregate interference levels calculated from the wide area interference modelling outlined above. This approach will lead to some ‘double-counting’, but this is minimal as transmitter densities in such hotspots are so much greater than the background densities. In the final ACMA calculations, the ‘hotspot’ contribution and the ‘background’ contributions were found to be almost equal. It is worth noting that this model is significantly more pessimistic than the actual situation, where the only large urban settlement falling within a -3dB footprint is Perth, with less than half the population of Sydney</w:t>
      </w:r>
      <w:r w:rsidR="00D848F2">
        <w:t>.</w:t>
      </w:r>
    </w:p>
    <w:p w14:paraId="6363CB21" w14:textId="77777777" w:rsidR="00DE3BEE" w:rsidRPr="00A133CF" w:rsidRDefault="00DE3BEE" w:rsidP="00DE3BEE">
      <w:r w:rsidRPr="00A133CF">
        <w:lastRenderedPageBreak/>
        <w:t>There seems to have been a significant discussion as to whether the interference seen by a satellite receiver can be considered to be ergodic (i.e. that observations of a large range of spatial distributions are equivalent to observation over a long time), and if not, whether the simulation method can provide an accurate assessment of risk.</w:t>
      </w:r>
    </w:p>
    <w:p w14:paraId="0674A74E" w14:textId="77777777" w:rsidR="00D848F2" w:rsidRDefault="00DE3BEE" w:rsidP="00DE3BEE">
      <w:r w:rsidRPr="00A133CF">
        <w:t>Without knowing the actual distribution and performance of all IMT terminals within each footprint, this question cannot be resolved. Having undertaken a very wide range of interference simulations involving dynamic terrestrial networks and aggregations over large areas we would, however, have confidence that the ACMA calculations are robust, given that the latest iteration takes explicit account of terminals within the 3dB footprint contour</w:t>
      </w:r>
      <w:r w:rsidR="00D848F2">
        <w:t>.</w:t>
      </w:r>
    </w:p>
    <w:p w14:paraId="4443078B" w14:textId="77777777" w:rsidR="00DE3BEE" w:rsidRPr="005407FA" w:rsidRDefault="00232CCD" w:rsidP="00123922">
      <w:pPr>
        <w:pStyle w:val="Heading4"/>
        <w:rPr>
          <w:color w:val="7030A0"/>
        </w:rPr>
      </w:pPr>
      <w:bookmarkStart w:id="16" w:name="_Toc21429718"/>
      <w:r w:rsidRPr="005407FA">
        <w:rPr>
          <w:color w:val="7030A0"/>
        </w:rPr>
        <w:t>2.1.2</w:t>
      </w:r>
      <w:r w:rsidRPr="005407FA">
        <w:rPr>
          <w:color w:val="7030A0"/>
        </w:rPr>
        <w:tab/>
      </w:r>
      <w:r w:rsidR="00DE3BEE" w:rsidRPr="005407FA">
        <w:rPr>
          <w:color w:val="7030A0"/>
        </w:rPr>
        <w:t>Satellite G/T</w:t>
      </w:r>
      <w:bookmarkEnd w:id="16"/>
    </w:p>
    <w:p w14:paraId="5A853FC7" w14:textId="77777777" w:rsidR="00DE3BEE" w:rsidRPr="00A133CF" w:rsidRDefault="00DE3BEE" w:rsidP="00DE3BEE">
      <w:r w:rsidRPr="00A133CF">
        <w:t>The initial ACMA modelling used the parameters adopted in TG5/1, assuming a 46.6dBi gain and noise temperature of 400K, giving a G/T figure of 20.6dB/K. NBN proposed a revised value of 30dB/K as being more representative of the actual Sky Muster system, and ACMA adopted this value in their later modelling.</w:t>
      </w:r>
    </w:p>
    <w:p w14:paraId="44EC9ECB" w14:textId="77777777" w:rsidR="00DE3BEE" w:rsidRPr="00A133CF" w:rsidRDefault="00DE3BEE" w:rsidP="00DE3BEE">
      <w:r w:rsidRPr="00A133CF">
        <w:t>Based on our own assessment of the stated spot-beam footprints and current satellite technology, Plum consider the 30dB/K figure to be appropriate and representative.</w:t>
      </w:r>
    </w:p>
    <w:p w14:paraId="4494A1FF" w14:textId="77777777" w:rsidR="00DE3BEE" w:rsidRPr="005407FA" w:rsidRDefault="00232CCD" w:rsidP="00123922">
      <w:pPr>
        <w:pStyle w:val="Heading4"/>
        <w:rPr>
          <w:color w:val="7030A0"/>
        </w:rPr>
      </w:pPr>
      <w:bookmarkStart w:id="17" w:name="_Toc21429719"/>
      <w:r w:rsidRPr="005407FA">
        <w:rPr>
          <w:color w:val="7030A0"/>
        </w:rPr>
        <w:t>2.1.3</w:t>
      </w:r>
      <w:r w:rsidRPr="005407FA">
        <w:rPr>
          <w:color w:val="7030A0"/>
        </w:rPr>
        <w:tab/>
      </w:r>
      <w:r w:rsidR="00DE3BEE" w:rsidRPr="005407FA">
        <w:rPr>
          <w:color w:val="7030A0"/>
        </w:rPr>
        <w:t>Satellite receiver protection criterion</w:t>
      </w:r>
      <w:bookmarkEnd w:id="17"/>
    </w:p>
    <w:p w14:paraId="15177BB8" w14:textId="77777777" w:rsidR="00DE3BEE" w:rsidRPr="00A133CF" w:rsidRDefault="00DE3BEE" w:rsidP="00DE3BEE">
      <w:r w:rsidRPr="00A133CF">
        <w:t>Initial ACMA modelling assumed an interference criterion of I/N = -10dB, and this does not appear to have been explicitly associated with a particular probability. In the final model submitted to TG5/1, ACMA assessed interference against three I/N limits; -6dB, 10dB and -12.2dB.</w:t>
      </w:r>
    </w:p>
    <w:p w14:paraId="40F211A5" w14:textId="77777777" w:rsidR="00DE3BEE" w:rsidRPr="00A133CF" w:rsidRDefault="00DE3BEE" w:rsidP="00DE3BEE">
      <w:r w:rsidRPr="00A133CF">
        <w:t>NBN submitted that the -10.0dB value relates to 20% time, and that the -12.2dB value represents the translation of this value for 50% time, and should be used.</w:t>
      </w:r>
    </w:p>
    <w:p w14:paraId="219BAB94" w14:textId="77777777" w:rsidR="00DE3BEE" w:rsidRPr="00A133CF" w:rsidRDefault="00DE3BEE" w:rsidP="00DE3BEE">
      <w:r w:rsidRPr="00A133CF">
        <w:t xml:space="preserve">Reviewing the advice of WP4A and the derivation of the limits, we believe that </w:t>
      </w:r>
      <w:proofErr w:type="gramStart"/>
      <w:r w:rsidRPr="00A133CF">
        <w:t>an</w:t>
      </w:r>
      <w:proofErr w:type="gramEnd"/>
      <w:r w:rsidRPr="00A133CF">
        <w:t xml:space="preserve"> I/N criterion of -10.8dB is the appropriate value against which average interference values should be assessed. For near-worst-case single entry values, the figure of I/N = 0dB is appropriate.</w:t>
      </w:r>
    </w:p>
    <w:p w14:paraId="6C120EED" w14:textId="77777777" w:rsidR="00D848F2" w:rsidRDefault="00DE3BEE" w:rsidP="00DE3BEE">
      <w:r w:rsidRPr="00A133CF">
        <w:t>In the submission from NBN, it is noted that they do not accept that interference will be ergodic. It is our opinion that, given plausible IMT parameters, the limiting interference to the uplink will be due to the aggregation of a very large number of rather weak sources and will be essentially invariant. The use of the long-term criterion to assess the impact of interference is therefore appropriate and unlikely to give over-optimistic conclusions</w:t>
      </w:r>
      <w:r w:rsidR="00D848F2">
        <w:t>.</w:t>
      </w:r>
    </w:p>
    <w:p w14:paraId="0BD382DA" w14:textId="77777777" w:rsidR="00DE3BEE" w:rsidRPr="005407FA" w:rsidRDefault="00232CCD" w:rsidP="00123922">
      <w:pPr>
        <w:pStyle w:val="Heading4"/>
        <w:rPr>
          <w:color w:val="7030A0"/>
        </w:rPr>
      </w:pPr>
      <w:bookmarkStart w:id="18" w:name="_Toc21429720"/>
      <w:r w:rsidRPr="005407FA">
        <w:rPr>
          <w:color w:val="7030A0"/>
        </w:rPr>
        <w:t>2.1.4</w:t>
      </w:r>
      <w:r w:rsidRPr="005407FA">
        <w:rPr>
          <w:color w:val="7030A0"/>
        </w:rPr>
        <w:tab/>
      </w:r>
      <w:r w:rsidR="00DE3BEE" w:rsidRPr="005407FA">
        <w:rPr>
          <w:color w:val="7030A0"/>
        </w:rPr>
        <w:t>IMT hotspot deployment density</w:t>
      </w:r>
      <w:bookmarkEnd w:id="18"/>
    </w:p>
    <w:p w14:paraId="4C4F9646" w14:textId="77777777" w:rsidR="00DE3BEE" w:rsidRPr="00A133CF" w:rsidRDefault="00DE3BEE" w:rsidP="00DE3BEE">
      <w:r w:rsidRPr="00A133CF">
        <w:t>The ACMA modelling assumption is that there may be an urban density of 30 BS/km2 and 100 UE/km2. NBN consider that this is an under-estimate, noting that “research conducted by the small cell forum indicates that many operators will aim for BS densities of 100 to 350 per square kilometre”. They therefore propose an urban density of 100 BS/km2 and 400 UE/km2.</w:t>
      </w:r>
    </w:p>
    <w:p w14:paraId="2444D44C" w14:textId="77777777" w:rsidR="00DE3BEE" w:rsidRPr="00A133CF" w:rsidRDefault="00DE3BEE" w:rsidP="00DE3BEE">
      <w:r w:rsidRPr="00A133CF">
        <w:t>While some other studies support such high deployment densities, it is also clear that they would be restricted to a few hotspot areas, and would require the use of antennas with significantly better directionality than assumed in the present studies. The deployment characteristics in terms of base station height and local clutter would also tend to minimise uplink interference.</w:t>
      </w:r>
    </w:p>
    <w:p w14:paraId="7F912B6A" w14:textId="77777777" w:rsidR="00DE3BEE" w:rsidRPr="00A133CF" w:rsidRDefault="00DE3BEE" w:rsidP="00DE3BEE">
      <w:r w:rsidRPr="00A133CF">
        <w:lastRenderedPageBreak/>
        <w:t>We also note that, with the exception of the Geeveston (Hobart) and Waroona (Perth) Earth stations, the other Sky Muster gateway receive footprints fall in areas of very low population density.</w:t>
      </w:r>
    </w:p>
    <w:p w14:paraId="7F3B9078" w14:textId="77777777" w:rsidR="00DE3BEE" w:rsidRPr="00A133CF" w:rsidRDefault="00DE3BEE" w:rsidP="00232CCD">
      <w:pPr>
        <w:pStyle w:val="Tablefigureheading"/>
      </w:pPr>
      <w:bookmarkStart w:id="19" w:name="_Toc21429764"/>
      <w:r w:rsidRPr="00A133CF">
        <w:t xml:space="preserve">Figure </w:t>
      </w:r>
      <w:r w:rsidR="009D475F">
        <w:fldChar w:fldCharType="begin"/>
      </w:r>
      <w:r w:rsidR="009D475F">
        <w:instrText xml:space="preserve"> STYLEREF 1 \s </w:instrText>
      </w:r>
      <w:r w:rsidR="009D475F">
        <w:fldChar w:fldCharType="separate"/>
      </w:r>
      <w:r w:rsidRPr="00A133CF">
        <w:t>2</w:t>
      </w:r>
      <w:r w:rsidR="009D475F">
        <w:fldChar w:fldCharType="end"/>
      </w:r>
      <w:r w:rsidRPr="00A133CF">
        <w:t>.</w:t>
      </w:r>
      <w:r w:rsidR="009D475F">
        <w:fldChar w:fldCharType="begin"/>
      </w:r>
      <w:r w:rsidR="009D475F">
        <w:instrText xml:space="preserve"> SEQ</w:instrText>
      </w:r>
      <w:r w:rsidR="009D475F">
        <w:instrText xml:space="preserve"> Figure \* ARABIC \s 1 </w:instrText>
      </w:r>
      <w:r w:rsidR="009D475F">
        <w:fldChar w:fldCharType="separate"/>
      </w:r>
      <w:r w:rsidRPr="00A133CF">
        <w:t>1</w:t>
      </w:r>
      <w:r w:rsidR="009D475F">
        <w:fldChar w:fldCharType="end"/>
      </w:r>
      <w:r w:rsidRPr="00A133CF">
        <w:t>: Population density and gateway uplink beam contours (Source Australian Bureau of Statistics with Plum overlay)</w:t>
      </w:r>
      <w:bookmarkEnd w:id="19"/>
      <w:r w:rsidRPr="00A133CF">
        <w:t xml:space="preserve"> </w:t>
      </w:r>
    </w:p>
    <w:p w14:paraId="2B223B50" w14:textId="77777777" w:rsidR="00DE3BEE" w:rsidRPr="00A133CF" w:rsidRDefault="00DE3BEE" w:rsidP="00DE3BEE">
      <w:r w:rsidRPr="00A133CF">
        <w:rPr>
          <w:noProof/>
          <w:lang w:eastAsia="en-AU"/>
        </w:rPr>
        <w:drawing>
          <wp:inline distT="0" distB="0" distL="0" distR="0" wp14:anchorId="72BFBDFF" wp14:editId="40E8DF8A">
            <wp:extent cx="6098540" cy="3427095"/>
            <wp:effectExtent l="0" t="0" r="0" b="1905"/>
            <wp:docPr id="64" name="Picture 64" descr="Footprints &amp; population&#10;&#10;Red circle are used on a map of Australia to indicate a satellite uplink footprint.&#10;&#10;In Western Australia there are four red circles: two along the coastline;  one inner south south middle; and on the southern part of Western Australia along the coastline.&#10;&#10;In Tasmania there is red circle that covers most of the state from the bottom.&#10;&#10;In South Australia there is one red circle around in the middle of the southern coastline.&#10;&#10;In New South Wales there are red circles —one on the border of South Australia, one at the border of Victoria along the coastline and one at the top of New South Wales in the middle along the Queensland border.&#10;&#10;There is one red circle in Queensland inland to the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prints &amp; popul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8540" cy="3427095"/>
                    </a:xfrm>
                    <a:prstGeom prst="rect">
                      <a:avLst/>
                    </a:prstGeom>
                    <a:noFill/>
                    <a:ln>
                      <a:noFill/>
                    </a:ln>
                  </pic:spPr>
                </pic:pic>
              </a:graphicData>
            </a:graphic>
          </wp:inline>
        </w:drawing>
      </w:r>
      <w:r w:rsidRPr="00A133CF">
        <w:t xml:space="preserve"> </w:t>
      </w:r>
    </w:p>
    <w:p w14:paraId="5B4A3F4E" w14:textId="77777777" w:rsidR="00D848F2" w:rsidRDefault="00DE3BEE" w:rsidP="00DE3BEE">
      <w:r w:rsidRPr="00A133CF">
        <w:t>NBN have indicated that they consider there to be a significant risk from future rural deployment of 5G millimetre wave systems, perhaps associated with mining industry operations. We are of the opinion that such use would be unlikely to require spectrum licences in the 27.0-27.5 GHz portion of the band, but would operate below 25.1 GHz under class or apparatus licences</w:t>
      </w:r>
      <w:r w:rsidR="00D848F2">
        <w:t>.</w:t>
      </w:r>
    </w:p>
    <w:p w14:paraId="4A6B8BF8" w14:textId="77777777" w:rsidR="00D848F2" w:rsidRDefault="00DE3BEE" w:rsidP="00DE3BEE">
      <w:r w:rsidRPr="00A133CF">
        <w:t>We therefore conclude that the ACMA’s IMT density assumptions are appropriate when considering aggregate interference within a whole satellite beam. The densities suggested by NBN may be appropriate for modelling of hotspots, as essentially single-entry cases from geographically-limited clusters of small extent</w:t>
      </w:r>
      <w:r w:rsidR="00D848F2">
        <w:t>.</w:t>
      </w:r>
    </w:p>
    <w:p w14:paraId="1AE593DF" w14:textId="77777777" w:rsidR="00DE3BEE" w:rsidRPr="005407FA" w:rsidRDefault="00232CCD" w:rsidP="00123922">
      <w:pPr>
        <w:pStyle w:val="Heading4"/>
        <w:rPr>
          <w:color w:val="7030A0"/>
        </w:rPr>
      </w:pPr>
      <w:bookmarkStart w:id="20" w:name="_Toc21429721"/>
      <w:r w:rsidRPr="005407FA">
        <w:rPr>
          <w:color w:val="7030A0"/>
        </w:rPr>
        <w:t>2.1.5</w:t>
      </w:r>
      <w:r w:rsidRPr="005407FA">
        <w:rPr>
          <w:color w:val="7030A0"/>
        </w:rPr>
        <w:tab/>
      </w:r>
      <w:r w:rsidR="00DE3BEE" w:rsidRPr="005407FA">
        <w:rPr>
          <w:color w:val="7030A0"/>
        </w:rPr>
        <w:t>IMT BS and UE transmit power</w:t>
      </w:r>
      <w:bookmarkEnd w:id="20"/>
    </w:p>
    <w:p w14:paraId="74667F44" w14:textId="77777777" w:rsidR="00D848F2" w:rsidRDefault="00DE3BEE" w:rsidP="00DE3BEE">
      <w:r w:rsidRPr="00A133CF">
        <w:t xml:space="preserve">ACMA modelling assumes a BS transmit power of 2dBm/MHz (25 </w:t>
      </w:r>
      <w:proofErr w:type="spellStart"/>
      <w:r w:rsidRPr="00A133CF">
        <w:t>dBm</w:t>
      </w:r>
      <w:proofErr w:type="spellEnd"/>
      <w:r w:rsidRPr="00A133CF">
        <w:t>/200 MHz), based on ITU-R SG5 recommendations. NBN propose a figure 8dB higher “to align more closely with the standards under development and systems already trialled and licensed in Australia”</w:t>
      </w:r>
      <w:r w:rsidR="00D848F2">
        <w:t>.</w:t>
      </w:r>
    </w:p>
    <w:p w14:paraId="1B2D48D2" w14:textId="77777777" w:rsidR="00DE3BEE" w:rsidRPr="00A133CF" w:rsidRDefault="00DE3BEE" w:rsidP="00DE3BEE">
      <w:r w:rsidRPr="00A133CF">
        <w:t>The 8dB increase in base station power, for instance, would imply a total conducted power in the 200 MHz base station bandwidth of 2W, which may be excessive for high-density deployments and the relatively large antenna arrays being developed for this band.</w:t>
      </w:r>
    </w:p>
    <w:p w14:paraId="334F502B" w14:textId="77777777" w:rsidR="00DE3BEE" w:rsidRPr="00A133CF" w:rsidRDefault="00DE3BEE" w:rsidP="00DE3BEE">
      <w:r w:rsidRPr="00A133CF">
        <w:t>We consider the ACMA figure for BS transmit power appropriate for the majority of foreseen deployments. The enhanced power modelled by NBN may be required for some applications, although these are likely to be of lower density.</w:t>
      </w:r>
    </w:p>
    <w:p w14:paraId="04C35E16" w14:textId="77777777" w:rsidR="00DE3BEE" w:rsidRPr="005407FA" w:rsidRDefault="00232CCD" w:rsidP="00123922">
      <w:pPr>
        <w:pStyle w:val="Heading4"/>
        <w:rPr>
          <w:color w:val="7030A0"/>
        </w:rPr>
      </w:pPr>
      <w:bookmarkStart w:id="21" w:name="_Toc21429722"/>
      <w:r w:rsidRPr="005407FA">
        <w:rPr>
          <w:color w:val="7030A0"/>
        </w:rPr>
        <w:lastRenderedPageBreak/>
        <w:t>2.1.6</w:t>
      </w:r>
      <w:r w:rsidRPr="005407FA">
        <w:rPr>
          <w:color w:val="7030A0"/>
        </w:rPr>
        <w:tab/>
      </w:r>
      <w:r w:rsidR="00DE3BEE" w:rsidRPr="005407FA">
        <w:rPr>
          <w:color w:val="7030A0"/>
        </w:rPr>
        <w:t>IMT UE body loss</w:t>
      </w:r>
      <w:bookmarkEnd w:id="21"/>
    </w:p>
    <w:p w14:paraId="55FD2B03" w14:textId="77777777" w:rsidR="00D848F2" w:rsidRDefault="00DE3BEE" w:rsidP="00DE3BEE">
      <w:r w:rsidRPr="00A133CF">
        <w:t>The ACMA studies assume 4dB body loss (screening of IMT user terminals) in line with ITU-R assumptions</w:t>
      </w:r>
      <w:r w:rsidR="00D848F2">
        <w:t>.</w:t>
      </w:r>
    </w:p>
    <w:p w14:paraId="6C67F4B1" w14:textId="2E6AA82F" w:rsidR="00DE3BEE" w:rsidRPr="00A133CF" w:rsidRDefault="00DE3BEE" w:rsidP="00DE3BEE">
      <w:r w:rsidRPr="00A133CF">
        <w:t>NBN suggest that this parameter is ‘speculative’ with no clear reason for the value used. They also note that there are numerous 5G use cases that involve no body (i.e. fixed wireless access (FWA) or autonomou</w:t>
      </w:r>
      <w:r w:rsidR="00DF0DE7">
        <w:t>s vehicles) and a consequently i</w:t>
      </w:r>
      <w:r w:rsidRPr="00A133CF">
        <w:t>ncreased potential for interference</w:t>
      </w:r>
      <w:r w:rsidR="00232CCD">
        <w:t>.</w:t>
      </w:r>
    </w:p>
    <w:p w14:paraId="6B232C00" w14:textId="634D1950" w:rsidR="00DE3BEE" w:rsidRPr="00A133CF" w:rsidRDefault="00DE3BEE" w:rsidP="00DE3BEE">
      <w:r w:rsidRPr="00A133CF">
        <w:t>Plum’s opinion is that the 4dB figure represents a pragmatic value if interference is primarily from a large number of handheld user terminals. There is a realistic possibility, however, that future IMT use of the 27</w:t>
      </w:r>
      <w:r w:rsidR="00DF0DE7">
        <w:t> </w:t>
      </w:r>
      <w:r w:rsidRPr="00A133CF">
        <w:t>GHz band may be dominated by other terminal types, and a 0dB figure should also be considered.</w:t>
      </w:r>
    </w:p>
    <w:p w14:paraId="3F5BE606" w14:textId="77777777" w:rsidR="00DE3BEE" w:rsidRPr="005407FA" w:rsidRDefault="00232CCD" w:rsidP="00123922">
      <w:pPr>
        <w:pStyle w:val="Heading4"/>
        <w:rPr>
          <w:color w:val="7030A0"/>
        </w:rPr>
      </w:pPr>
      <w:bookmarkStart w:id="22" w:name="_Toc21429723"/>
      <w:r w:rsidRPr="005407FA">
        <w:rPr>
          <w:color w:val="7030A0"/>
        </w:rPr>
        <w:t>2.1.7</w:t>
      </w:r>
      <w:r w:rsidRPr="005407FA">
        <w:rPr>
          <w:color w:val="7030A0"/>
        </w:rPr>
        <w:tab/>
      </w:r>
      <w:r w:rsidR="00DE3BEE" w:rsidRPr="005407FA">
        <w:rPr>
          <w:color w:val="7030A0"/>
        </w:rPr>
        <w:t>Polarisation isolation</w:t>
      </w:r>
      <w:bookmarkEnd w:id="22"/>
    </w:p>
    <w:p w14:paraId="43944EEB" w14:textId="77777777" w:rsidR="00DE3BEE" w:rsidRPr="00A133CF" w:rsidRDefault="00DE3BEE" w:rsidP="00DE3BEE">
      <w:r w:rsidRPr="00A133CF">
        <w:t>For aligned antennas, a 3dB polarisation loss between circular and linear polarisation is theoretically expected. NBN argue that this figure is only valid under ‘ideal circumstances’.</w:t>
      </w:r>
    </w:p>
    <w:p w14:paraId="2BA465F0" w14:textId="77777777" w:rsidR="00D848F2" w:rsidRDefault="00DE3BEE" w:rsidP="00DE3BEE">
      <w:r w:rsidRPr="00A133CF">
        <w:t>Our opinion is that it is highly unlikely that linearly-polarised fields will be coupled to the circularly-polarised satellite antenna with a smaller loss, and the 3dB value is appropriate</w:t>
      </w:r>
      <w:r w:rsidR="00D848F2">
        <w:t>.</w:t>
      </w:r>
    </w:p>
    <w:p w14:paraId="5CE7767C" w14:textId="77777777" w:rsidR="00DE3BEE" w:rsidRPr="004564AE" w:rsidRDefault="00232CCD" w:rsidP="00123922">
      <w:pPr>
        <w:pStyle w:val="Heading4"/>
        <w:rPr>
          <w:color w:val="7030A0"/>
        </w:rPr>
      </w:pPr>
      <w:bookmarkStart w:id="23" w:name="_Toc21429724"/>
      <w:r w:rsidRPr="004564AE">
        <w:rPr>
          <w:color w:val="7030A0"/>
        </w:rPr>
        <w:t>2.1.8</w:t>
      </w:r>
      <w:r w:rsidRPr="004564AE">
        <w:rPr>
          <w:color w:val="7030A0"/>
        </w:rPr>
        <w:tab/>
      </w:r>
      <w:r w:rsidR="00DE3BEE" w:rsidRPr="004564AE">
        <w:rPr>
          <w:color w:val="7030A0"/>
        </w:rPr>
        <w:t>IMT Network loading factor / average BS activity</w:t>
      </w:r>
      <w:bookmarkEnd w:id="23"/>
    </w:p>
    <w:p w14:paraId="36B96C22" w14:textId="77777777" w:rsidR="00DE3BEE" w:rsidRPr="00A133CF" w:rsidRDefault="00DE3BEE" w:rsidP="00232CCD">
      <w:r w:rsidRPr="00A133CF">
        <w:t>ACMA assume a 20% loading factor for IMT networks, wh</w:t>
      </w:r>
      <w:r w:rsidR="00232CCD">
        <w:t>ile NBN suggest a value of 50%.</w:t>
      </w:r>
    </w:p>
    <w:p w14:paraId="02761C36" w14:textId="77777777" w:rsidR="00DE3BEE" w:rsidRPr="00A133CF" w:rsidRDefault="00DE3BEE" w:rsidP="00DE3BEE">
      <w:r w:rsidRPr="00A133CF">
        <w:t>From our experience, and following the guidance given in ITU-R texts, we would note that terrestrial networks are unlikely to be able to maintain stability if average activity approaches 50%. We consider an assumption closer to 20% to be more representative of average activity.</w:t>
      </w:r>
    </w:p>
    <w:p w14:paraId="0824FE84" w14:textId="77777777" w:rsidR="00DE3BEE" w:rsidRPr="004564AE" w:rsidRDefault="00232CCD" w:rsidP="00123922">
      <w:pPr>
        <w:pStyle w:val="Heading4"/>
        <w:rPr>
          <w:color w:val="7030A0"/>
        </w:rPr>
      </w:pPr>
      <w:bookmarkStart w:id="24" w:name="_Toc21429725"/>
      <w:r w:rsidRPr="004564AE">
        <w:rPr>
          <w:color w:val="7030A0"/>
        </w:rPr>
        <w:t>2.1.9</w:t>
      </w:r>
      <w:r w:rsidRPr="004564AE">
        <w:rPr>
          <w:color w:val="7030A0"/>
        </w:rPr>
        <w:tab/>
      </w:r>
      <w:r w:rsidR="00DE3BEE" w:rsidRPr="004564AE">
        <w:rPr>
          <w:color w:val="7030A0"/>
        </w:rPr>
        <w:t>IMT BS TDD activity factor (Uplink to downlink ratio)</w:t>
      </w:r>
      <w:bookmarkEnd w:id="24"/>
    </w:p>
    <w:p w14:paraId="0E44B898" w14:textId="77777777" w:rsidR="00DE3BEE" w:rsidRPr="00A133CF" w:rsidRDefault="00DE3BEE" w:rsidP="00DE3BEE">
      <w:r w:rsidRPr="00A133CF">
        <w:t>ACMA assume that downlink traffic will dominate, at 80% of the total. NBN comment that “It is difficult to state conclusively that upload-intensive applications will not exist, or that the proportion of upload traffic will not vary with time”, and propose a value of 60%.</w:t>
      </w:r>
    </w:p>
    <w:p w14:paraId="7D6A50E2" w14:textId="77777777" w:rsidR="00DE3BEE" w:rsidRPr="00A133CF" w:rsidRDefault="00DE3BEE" w:rsidP="00DE3BEE">
      <w:r w:rsidRPr="00A133CF">
        <w:t>The comments by NBN are reasonable, in that a definitive statement can be made. In any case, the impact on interference of changing the ratio is not straightforward and will depend on many other parameters.</w:t>
      </w:r>
    </w:p>
    <w:p w14:paraId="72ADEF76" w14:textId="77777777" w:rsidR="00D848F2" w:rsidRDefault="00DE3BEE" w:rsidP="00DE3BEE">
      <w:r w:rsidRPr="00A133CF">
        <w:t>In the course of work for the European Commission, we have recently reviewed a very wide range of potential 5G millimetre-band use cases. On the basis of this review, we are inclined to favour the assumption that most applications that can be foreseen, downlink traffic will continue to dominate and the 80% figure is appropriate</w:t>
      </w:r>
      <w:r w:rsidR="00D848F2">
        <w:t>.</w:t>
      </w:r>
    </w:p>
    <w:p w14:paraId="15C8861E" w14:textId="77777777" w:rsidR="00DE3BEE" w:rsidRPr="004564AE" w:rsidRDefault="00232CCD" w:rsidP="00123922">
      <w:pPr>
        <w:pStyle w:val="Heading4"/>
        <w:rPr>
          <w:color w:val="7030A0"/>
        </w:rPr>
      </w:pPr>
      <w:bookmarkStart w:id="25" w:name="_Toc21429726"/>
      <w:r w:rsidRPr="004564AE">
        <w:rPr>
          <w:color w:val="7030A0"/>
        </w:rPr>
        <w:t>2.1.10</w:t>
      </w:r>
      <w:r w:rsidRPr="004564AE">
        <w:rPr>
          <w:color w:val="7030A0"/>
        </w:rPr>
        <w:tab/>
      </w:r>
      <w:r w:rsidR="00DE3BEE" w:rsidRPr="004564AE">
        <w:rPr>
          <w:color w:val="7030A0"/>
        </w:rPr>
        <w:t>IMT BS antenna height</w:t>
      </w:r>
      <w:bookmarkEnd w:id="25"/>
    </w:p>
    <w:p w14:paraId="48CDF74D" w14:textId="77777777" w:rsidR="00DE3BEE" w:rsidRPr="00A133CF" w:rsidRDefault="00DE3BEE" w:rsidP="00DE3BEE">
      <w:r w:rsidRPr="00A133CF">
        <w:t>ACMA assume 6m, in line with the relevant ITU-R Recommendation. NBN suggest that “the standard 30-metre height of many communications infrastructure platforms is a reasonable assumption to make for the purpose of conducting sensitivity analyses</w:t>
      </w:r>
      <w:r w:rsidR="00232CCD">
        <w:t>”.</w:t>
      </w:r>
    </w:p>
    <w:p w14:paraId="20952CFA" w14:textId="77777777" w:rsidR="00DE3BEE" w:rsidRPr="00A133CF" w:rsidRDefault="00DE3BEE" w:rsidP="00232CCD">
      <w:pPr>
        <w:keepLines/>
      </w:pPr>
      <w:r w:rsidRPr="00A133CF">
        <w:t>The few existing deployments of mobile networks using millimetre-waves (e.g. in Chicago and Minneapolis) employ base stations mounted on street furniture, such as lamp-posts, and embedded in urban clutter.</w:t>
      </w:r>
      <w:r w:rsidR="00232CCD">
        <w:t xml:space="preserve"> </w:t>
      </w:r>
      <w:r w:rsidRPr="00A133CF">
        <w:t xml:space="preserve">While it might be an interesting parameter to flex, we </w:t>
      </w:r>
      <w:r w:rsidRPr="00232CCD">
        <w:rPr>
          <w:b/>
        </w:rPr>
        <w:t>do not believe that a 30m base station height is plausible</w:t>
      </w:r>
      <w:r w:rsidRPr="00A133CF">
        <w:t xml:space="preserve"> for the majority of millimetre wave, with the exception, perhaps, of FWA in which case better antenna performance and a fixed down tilt may be assumed.</w:t>
      </w:r>
    </w:p>
    <w:p w14:paraId="15EB2ACB" w14:textId="77777777" w:rsidR="00DE3BEE" w:rsidRPr="004564AE" w:rsidRDefault="00232CCD" w:rsidP="00123922">
      <w:pPr>
        <w:pStyle w:val="Heading4"/>
        <w:rPr>
          <w:color w:val="7030A0"/>
        </w:rPr>
      </w:pPr>
      <w:bookmarkStart w:id="26" w:name="_Toc21429727"/>
      <w:r w:rsidRPr="004564AE">
        <w:rPr>
          <w:color w:val="7030A0"/>
        </w:rPr>
        <w:lastRenderedPageBreak/>
        <w:t>2.1.11</w:t>
      </w:r>
      <w:r w:rsidRPr="004564AE">
        <w:rPr>
          <w:color w:val="7030A0"/>
        </w:rPr>
        <w:tab/>
      </w:r>
      <w:r w:rsidR="00DE3BEE" w:rsidRPr="004564AE">
        <w:rPr>
          <w:color w:val="7030A0"/>
        </w:rPr>
        <w:t>IMT BS and UE antenna array size and grating lobes</w:t>
      </w:r>
      <w:bookmarkEnd w:id="26"/>
    </w:p>
    <w:p w14:paraId="79D57B85" w14:textId="77777777" w:rsidR="00DE3BEE" w:rsidRPr="00A133CF" w:rsidRDefault="00DE3BEE" w:rsidP="00DE3BEE">
      <w:r w:rsidRPr="00A133CF">
        <w:t>This parameter is important because larger arrays will tend to generate sharper beams with less power transmitted in undesired directions.</w:t>
      </w:r>
    </w:p>
    <w:p w14:paraId="0DF08BFD" w14:textId="77777777" w:rsidR="00DE3BEE" w:rsidRPr="00A133CF" w:rsidRDefault="00DE3BEE" w:rsidP="00DE3BEE">
      <w:r w:rsidRPr="00A133CF">
        <w:t>The ITU and ACMA assume that the base station antenna will be composed of an array of 8x8 elements and that for the UE of 4x4 elements.</w:t>
      </w:r>
    </w:p>
    <w:p w14:paraId="60372753" w14:textId="77777777" w:rsidR="00DE3BEE" w:rsidRPr="00A133CF" w:rsidRDefault="00DE3BEE" w:rsidP="00DE3BEE">
      <w:r w:rsidRPr="00A133CF">
        <w:t>NBN suggest that, while the 8x8 figure for base stations is plausible, these will often be used as smaller, independent, sub-arrays. Their review of standardisation activities also suggests the likely use of 4-element (1x4 or 2x2) arrays on user terminals.</w:t>
      </w:r>
    </w:p>
    <w:p w14:paraId="3EEC80C1" w14:textId="77777777" w:rsidR="00DE3BEE" w:rsidRPr="00A133CF" w:rsidRDefault="00DE3BEE" w:rsidP="00DE3BEE">
      <w:r w:rsidRPr="00A133CF">
        <w:t>Our research indicates that the majority of existing base station antenna designs employ a minimum of 8x8 elements and are often larger. On the other hand, the only known operational UE antenna design uses a 1x4 element design.</w:t>
      </w:r>
    </w:p>
    <w:p w14:paraId="121451A5" w14:textId="77777777" w:rsidR="00D848F2" w:rsidRDefault="00DE3BEE" w:rsidP="00DE3BEE">
      <w:pPr>
        <w:rPr>
          <w:b/>
        </w:rPr>
      </w:pPr>
      <w:r w:rsidRPr="00232CCD">
        <w:rPr>
          <w:b/>
        </w:rPr>
        <w:t>We conclude that the 8x8 assumption for base stations is appropriate, but that UEs may be better represented by 1x4 antennas</w:t>
      </w:r>
      <w:r w:rsidR="00D848F2">
        <w:rPr>
          <w:b/>
        </w:rPr>
        <w:t>.</w:t>
      </w:r>
    </w:p>
    <w:p w14:paraId="308CDF24" w14:textId="77777777" w:rsidR="00DE3BEE" w:rsidRPr="004564AE" w:rsidRDefault="00232CCD" w:rsidP="00232CCD">
      <w:pPr>
        <w:pStyle w:val="Heading3"/>
        <w:rPr>
          <w:color w:val="7030A0"/>
        </w:rPr>
      </w:pPr>
      <w:bookmarkStart w:id="27" w:name="_Toc18364935"/>
      <w:bookmarkStart w:id="28" w:name="_Toc18368756"/>
      <w:bookmarkStart w:id="29" w:name="_Toc18364936"/>
      <w:bookmarkStart w:id="30" w:name="_Toc18368757"/>
      <w:bookmarkStart w:id="31" w:name="_Toc18364937"/>
      <w:bookmarkStart w:id="32" w:name="_Toc18368758"/>
      <w:bookmarkStart w:id="33" w:name="_Toc18364938"/>
      <w:bookmarkStart w:id="34" w:name="_Toc18368759"/>
      <w:bookmarkStart w:id="35" w:name="_Toc18364961"/>
      <w:bookmarkStart w:id="36" w:name="_Toc18368782"/>
      <w:bookmarkStart w:id="37" w:name="_Toc18364962"/>
      <w:bookmarkStart w:id="38" w:name="_Toc18368783"/>
      <w:bookmarkStart w:id="39" w:name="_Toc18364963"/>
      <w:bookmarkStart w:id="40" w:name="_Toc18368784"/>
      <w:bookmarkStart w:id="41" w:name="_Toc18364964"/>
      <w:bookmarkStart w:id="42" w:name="_Toc18368785"/>
      <w:bookmarkStart w:id="43" w:name="_Toc18364965"/>
      <w:bookmarkStart w:id="44" w:name="_Toc18368786"/>
      <w:bookmarkStart w:id="45" w:name="_Toc18364966"/>
      <w:bookmarkStart w:id="46" w:name="_Toc18368787"/>
      <w:bookmarkStart w:id="47" w:name="_Toc18364970"/>
      <w:bookmarkStart w:id="48" w:name="_Toc18368791"/>
      <w:bookmarkStart w:id="49" w:name="_Toc18332944"/>
      <w:bookmarkStart w:id="50" w:name="_Toc18364971"/>
      <w:bookmarkStart w:id="51" w:name="_Toc18368792"/>
      <w:bookmarkStart w:id="52" w:name="_Toc19230536"/>
      <w:bookmarkStart w:id="53" w:name="_Toc21429728"/>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4564AE">
        <w:rPr>
          <w:color w:val="7030A0"/>
        </w:rPr>
        <w:t>2.2</w:t>
      </w:r>
      <w:r w:rsidRPr="004564AE">
        <w:rPr>
          <w:color w:val="7030A0"/>
        </w:rPr>
        <w:tab/>
      </w:r>
      <w:r w:rsidR="00DE3BEE" w:rsidRPr="004564AE">
        <w:rPr>
          <w:color w:val="7030A0"/>
        </w:rPr>
        <w:t>Implications for I/N predictions</w:t>
      </w:r>
      <w:bookmarkEnd w:id="52"/>
      <w:bookmarkEnd w:id="53"/>
    </w:p>
    <w:p w14:paraId="27592466" w14:textId="77777777" w:rsidR="00D848F2" w:rsidRDefault="00DE3BEE" w:rsidP="00DE3BEE">
      <w:r w:rsidRPr="00A133CF">
        <w:t xml:space="preserve">While we find the majority of the ACMA and ITU-R assumptions to be reasonable, we agree (as ACMA have already done) that a significantly higher (56 </w:t>
      </w:r>
      <w:proofErr w:type="spellStart"/>
      <w:r w:rsidRPr="00A133CF">
        <w:t>dBi</w:t>
      </w:r>
      <w:proofErr w:type="spellEnd"/>
      <w:r w:rsidR="00BD5767">
        <w:t>–</w:t>
      </w:r>
      <w:r w:rsidRPr="00A133CF">
        <w:t xml:space="preserve">46.6 </w:t>
      </w:r>
      <w:proofErr w:type="spellStart"/>
      <w:r w:rsidRPr="00A133CF">
        <w:t>dBi</w:t>
      </w:r>
      <w:proofErr w:type="spellEnd"/>
      <w:r w:rsidRPr="00A133CF">
        <w:t xml:space="preserve"> =9.4 dB) value should be assumed for the satellite antenna gain, but that the long-term interference criterion should be slightly relaxed ((-12.2 dB)</w:t>
      </w:r>
      <w:r w:rsidR="00BD5767">
        <w:t>–</w:t>
      </w:r>
      <w:r w:rsidRPr="00A133CF">
        <w:t>(-10.8) dB = 1.4 dB)</w:t>
      </w:r>
      <w:r w:rsidR="00D848F2">
        <w:t>.</w:t>
      </w:r>
    </w:p>
    <w:p w14:paraId="21D61900" w14:textId="77777777" w:rsidR="00DE3BEE" w:rsidRPr="00A133CF" w:rsidRDefault="00DE3BEE" w:rsidP="00DE3BEE">
      <w:r w:rsidRPr="00A133CF">
        <w:t>This brief study does not allow the re-running of the detailed statistical simulations, but we would note that the increase in satellite gain is offset by the consequent reduction in footprint area. The overall impact on interference levels will then depend on the geographic distribution of IMT terminals (if most are clustered near the footprint centre interference will increase, if the distribution is skewed to the edge of coverage it will decrease). When ACMA re-ran their simulation with the increased gain, and accounted explicitly for urban IMT sites within the satellite main beam, the interference margin fell from 32.0 dB to between</w:t>
      </w:r>
      <w:r w:rsidRPr="00C026B7">
        <w:rPr>
          <w:vertAlign w:val="superscript"/>
        </w:rPr>
        <w:footnoteReference w:id="9"/>
      </w:r>
      <w:r w:rsidRPr="00A133CF">
        <w:t xml:space="preserve"> 27.0 dB and 25.4 </w:t>
      </w:r>
      <w:proofErr w:type="spellStart"/>
      <w:r w:rsidRPr="00A133CF">
        <w:t>dB.</w:t>
      </w:r>
      <w:proofErr w:type="spellEnd"/>
    </w:p>
    <w:p w14:paraId="2D89D477" w14:textId="77777777" w:rsidR="00D848F2" w:rsidRDefault="00DE3BEE" w:rsidP="00DE3BEE">
      <w:r w:rsidRPr="00A133CF">
        <w:t>While we consider the ACMA predictions to be robust, we have highlighted a number of parameters that may need to be re-evaluated when considering explicitly worst-case scenarios; base station densities as high as 100/km2 should be considered and it is possible to conceive of situations where little or no body loss is encountered. The array gain for the UE antennas may also be smaller than currently assumed, with four rather than 16 elements. Taken together, these factors could give an increase in interference of around 15 dB in a worst case. Even if evaluated against the ‘average’ interference criterion of I/N = -10.8 dB, rather than the worst case criterion of 0 dB, a good margin still exists</w:t>
      </w:r>
      <w:r w:rsidR="00D848F2">
        <w:t>.</w:t>
      </w:r>
    </w:p>
    <w:p w14:paraId="1BA8AD4D" w14:textId="77777777" w:rsidR="00DE3BEE" w:rsidRPr="004564AE" w:rsidRDefault="00123922" w:rsidP="00123922">
      <w:pPr>
        <w:pStyle w:val="Heading3"/>
        <w:rPr>
          <w:color w:val="7030A0"/>
        </w:rPr>
      </w:pPr>
      <w:bookmarkStart w:id="54" w:name="_Toc19230537"/>
      <w:bookmarkStart w:id="55" w:name="_Toc21429729"/>
      <w:r w:rsidRPr="004564AE">
        <w:rPr>
          <w:color w:val="7030A0"/>
        </w:rPr>
        <w:lastRenderedPageBreak/>
        <w:t>2.3</w:t>
      </w:r>
      <w:r w:rsidRPr="004564AE">
        <w:rPr>
          <w:color w:val="7030A0"/>
        </w:rPr>
        <w:tab/>
      </w:r>
      <w:r w:rsidR="00DE3BEE" w:rsidRPr="004564AE">
        <w:rPr>
          <w:color w:val="7030A0"/>
        </w:rPr>
        <w:t>Deterministic calculations</w:t>
      </w:r>
      <w:bookmarkEnd w:id="54"/>
      <w:bookmarkEnd w:id="55"/>
    </w:p>
    <w:p w14:paraId="310D352C" w14:textId="77777777" w:rsidR="00DE3BEE" w:rsidRPr="00A133CF" w:rsidRDefault="00DE3BEE" w:rsidP="00DF0DE7">
      <w:pPr>
        <w:keepNext/>
        <w:keepLines/>
      </w:pPr>
      <w:r w:rsidRPr="00A133CF">
        <w:t>In their response to the ACMA consultation, NBN provided predictions of interference based on single-entry calculations.</w:t>
      </w:r>
    </w:p>
    <w:p w14:paraId="62BD966C" w14:textId="0D8B259B" w:rsidR="00DE3BEE" w:rsidRDefault="00DE3BEE" w:rsidP="00DE3BEE">
      <w:r w:rsidRPr="00A133CF">
        <w:t xml:space="preserve">Plum undertook similar single-entry calculation based on the ACMA assumptions and shared these with NBN, who added columns highlighting the impact of </w:t>
      </w:r>
      <w:proofErr w:type="gramStart"/>
      <w:r w:rsidRPr="00A133CF">
        <w:t>their ‘re</w:t>
      </w:r>
      <w:proofErr w:type="gramEnd"/>
      <w:r w:rsidRPr="00A133CF">
        <w:t xml:space="preserve">-baselining’ for current and next-generation Sky Muster satellites and varying the assumed IMT2020 parameters. Following our review of parameters, detailed above and in </w:t>
      </w:r>
      <w:hyperlink w:anchor="_Appendix_E—Detailed_discussion" w:history="1">
        <w:r w:rsidR="0097763F" w:rsidRPr="00D848F2">
          <w:rPr>
            <w:rStyle w:val="Hyperlink"/>
          </w:rPr>
          <w:t>Appendix E</w:t>
        </w:r>
      </w:hyperlink>
      <w:r w:rsidRPr="00A133CF">
        <w:t xml:space="preserve">, Plum have themselves updated some assumptions. The NBN and Plum results are compared in </w:t>
      </w:r>
      <w:r w:rsidRPr="00A133CF">
        <w:fldChar w:fldCharType="begin"/>
      </w:r>
      <w:r w:rsidRPr="00A133CF">
        <w:instrText xml:space="preserve"> REF _Ref18350741 </w:instrText>
      </w:r>
      <w:r>
        <w:instrText xml:space="preserve"> \* MERGEFORMAT </w:instrText>
      </w:r>
      <w:r w:rsidRPr="00A133CF">
        <w:fldChar w:fldCharType="separate"/>
      </w:r>
      <w:r w:rsidRPr="00A133CF">
        <w:t>Table 2.2</w:t>
      </w:r>
      <w:r w:rsidRPr="00A133CF">
        <w:fldChar w:fldCharType="end"/>
      </w:r>
      <w:r w:rsidRPr="00A133CF">
        <w:t xml:space="preserve"> below.</w:t>
      </w:r>
    </w:p>
    <w:p w14:paraId="5D84D4DF" w14:textId="77777777" w:rsidR="00DE3BEE" w:rsidRDefault="00DE3BEE" w:rsidP="00123922">
      <w:pPr>
        <w:pStyle w:val="Tablefigureheading"/>
      </w:pPr>
      <w:bookmarkStart w:id="56" w:name="_Ref18350741"/>
      <w:bookmarkStart w:id="57" w:name="_Toc21429765"/>
      <w:r w:rsidRPr="00A133CF">
        <w:t xml:space="preserve">Table </w:t>
      </w:r>
      <w:r w:rsidR="009D475F">
        <w:fldChar w:fldCharType="begin"/>
      </w:r>
      <w:r w:rsidR="009D475F">
        <w:instrText xml:space="preserve"> STYLEREF 1 \s </w:instrText>
      </w:r>
      <w:r w:rsidR="009D475F">
        <w:fldChar w:fldCharType="separate"/>
      </w:r>
      <w:r w:rsidRPr="00A133CF">
        <w:t>2</w:t>
      </w:r>
      <w:r w:rsidR="009D475F">
        <w:fldChar w:fldCharType="end"/>
      </w:r>
      <w:r w:rsidRPr="00A133CF">
        <w:t>.</w:t>
      </w:r>
      <w:r w:rsidR="009D475F">
        <w:fldChar w:fldCharType="begin"/>
      </w:r>
      <w:r w:rsidR="009D475F">
        <w:instrText xml:space="preserve"> SEQ Table \* ARABIC \s 1 </w:instrText>
      </w:r>
      <w:r w:rsidR="009D475F">
        <w:fldChar w:fldCharType="separate"/>
      </w:r>
      <w:r w:rsidRPr="00A133CF">
        <w:t>2</w:t>
      </w:r>
      <w:r w:rsidR="009D475F">
        <w:fldChar w:fldCharType="end"/>
      </w:r>
      <w:bookmarkEnd w:id="56"/>
      <w:r w:rsidRPr="00A133CF">
        <w:t>: Single-entry interference analysis (Plum and NBN assumptions)</w:t>
      </w:r>
      <w:bookmarkEnd w:id="57"/>
    </w:p>
    <w:tbl>
      <w:tblPr>
        <w:tblStyle w:val="TableGrid1"/>
        <w:tblW w:w="0" w:type="auto"/>
        <w:tblBorders>
          <w:top w:val="none" w:sz="0" w:space="0" w:color="auto"/>
          <w:left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Description w:val="Table 2.2: Single-entry interference analysis (Plum and NBN assumptions)"/>
      </w:tblPr>
      <w:tblGrid>
        <w:gridCol w:w="2621"/>
        <w:gridCol w:w="1313"/>
        <w:gridCol w:w="1972"/>
        <w:gridCol w:w="1973"/>
        <w:gridCol w:w="1454"/>
      </w:tblGrid>
      <w:tr w:rsidR="00BD5767" w:rsidRPr="005113AA" w14:paraId="38D53586" w14:textId="77777777" w:rsidTr="00DF0DE7">
        <w:trPr>
          <w:cantSplit/>
          <w:tblHeader/>
        </w:trPr>
        <w:tc>
          <w:tcPr>
            <w:tcW w:w="2621" w:type="dxa"/>
            <w:tcBorders>
              <w:top w:val="nil"/>
              <w:left w:val="nil"/>
              <w:bottom w:val="thickThinLargeGap" w:sz="24" w:space="0" w:color="auto"/>
              <w:right w:val="nil"/>
            </w:tcBorders>
            <w:shd w:val="clear" w:color="auto" w:fill="E4E4E4"/>
          </w:tcPr>
          <w:p w14:paraId="4BE7591C" w14:textId="77777777" w:rsidR="00BD5767" w:rsidRPr="005113AA" w:rsidRDefault="00BD5767" w:rsidP="00BD5767">
            <w:pPr>
              <w:pStyle w:val="Tablerowcolumnheading"/>
            </w:pPr>
          </w:p>
        </w:tc>
        <w:tc>
          <w:tcPr>
            <w:tcW w:w="1313" w:type="dxa"/>
            <w:tcBorders>
              <w:top w:val="nil"/>
              <w:left w:val="nil"/>
              <w:bottom w:val="thickThinLargeGap" w:sz="24" w:space="0" w:color="auto"/>
              <w:right w:val="nil"/>
            </w:tcBorders>
            <w:shd w:val="clear" w:color="auto" w:fill="E4E4E4"/>
          </w:tcPr>
          <w:p w14:paraId="055268CF" w14:textId="77777777" w:rsidR="00BD5767" w:rsidRPr="005113AA" w:rsidRDefault="00BD5767" w:rsidP="00BD5767">
            <w:pPr>
              <w:pStyle w:val="Tablerowcolumnheadingcentred"/>
            </w:pPr>
            <w:r>
              <w:t>Units</w:t>
            </w:r>
          </w:p>
        </w:tc>
        <w:tc>
          <w:tcPr>
            <w:tcW w:w="1972" w:type="dxa"/>
            <w:tcBorders>
              <w:top w:val="nil"/>
              <w:left w:val="nil"/>
              <w:bottom w:val="thickThinLargeGap" w:sz="24" w:space="0" w:color="auto"/>
              <w:right w:val="nil"/>
            </w:tcBorders>
            <w:shd w:val="clear" w:color="auto" w:fill="E4E4E4"/>
          </w:tcPr>
          <w:p w14:paraId="458B7450" w14:textId="77777777" w:rsidR="00BD5767" w:rsidRPr="005113AA" w:rsidRDefault="00BD5767" w:rsidP="00BD5767">
            <w:pPr>
              <w:pStyle w:val="Tablerowcolumnheadingcentred"/>
            </w:pPr>
            <w:r>
              <w:t>PLUM</w:t>
            </w:r>
          </w:p>
        </w:tc>
        <w:tc>
          <w:tcPr>
            <w:tcW w:w="1973" w:type="dxa"/>
            <w:tcBorders>
              <w:top w:val="nil"/>
              <w:left w:val="nil"/>
              <w:bottom w:val="thickThinLargeGap" w:sz="24" w:space="0" w:color="auto"/>
              <w:right w:val="nil"/>
            </w:tcBorders>
            <w:shd w:val="clear" w:color="auto" w:fill="E4E4E4"/>
          </w:tcPr>
          <w:p w14:paraId="11F9F3DD" w14:textId="77777777" w:rsidR="00BD5767" w:rsidRPr="005113AA" w:rsidRDefault="00BD5767" w:rsidP="00BD5767">
            <w:pPr>
              <w:pStyle w:val="Tablerowcolumnheadingcentred"/>
            </w:pPr>
            <w:proofErr w:type="spellStart"/>
            <w:r>
              <w:t>NBNCo</w:t>
            </w:r>
            <w:proofErr w:type="spellEnd"/>
            <w:r>
              <w:t xml:space="preserve"> 1</w:t>
            </w:r>
            <w:r w:rsidRPr="00BD5767">
              <w:rPr>
                <w:vertAlign w:val="superscript"/>
              </w:rPr>
              <w:t>st</w:t>
            </w:r>
            <w:r>
              <w:t xml:space="preserve"> gen</w:t>
            </w:r>
          </w:p>
        </w:tc>
        <w:tc>
          <w:tcPr>
            <w:tcW w:w="1454" w:type="dxa"/>
            <w:tcBorders>
              <w:top w:val="nil"/>
              <w:left w:val="nil"/>
              <w:bottom w:val="thickThinLargeGap" w:sz="24" w:space="0" w:color="auto"/>
              <w:right w:val="nil"/>
            </w:tcBorders>
            <w:shd w:val="clear" w:color="auto" w:fill="E4E4E4"/>
          </w:tcPr>
          <w:p w14:paraId="3D0D0DBF" w14:textId="77777777" w:rsidR="00BD5767" w:rsidRPr="005113AA" w:rsidRDefault="00BD5767" w:rsidP="00BD5767">
            <w:pPr>
              <w:pStyle w:val="Tablerowcolumnheadingcentred"/>
            </w:pPr>
            <w:proofErr w:type="spellStart"/>
            <w:r>
              <w:t>NBNCo</w:t>
            </w:r>
            <w:proofErr w:type="spellEnd"/>
            <w:r>
              <w:t xml:space="preserve"> 2</w:t>
            </w:r>
            <w:r w:rsidRPr="00BD5767">
              <w:rPr>
                <w:vertAlign w:val="superscript"/>
              </w:rPr>
              <w:t>nd</w:t>
            </w:r>
            <w:r>
              <w:t xml:space="preserve"> gen</w:t>
            </w:r>
          </w:p>
        </w:tc>
      </w:tr>
      <w:tr w:rsidR="00BD5767" w:rsidRPr="005113AA" w14:paraId="692716B4" w14:textId="77777777" w:rsidTr="00DF0DE7">
        <w:trPr>
          <w:cantSplit/>
        </w:trPr>
        <w:tc>
          <w:tcPr>
            <w:tcW w:w="2621" w:type="dxa"/>
            <w:tcBorders>
              <w:top w:val="thickThinLargeGap" w:sz="24" w:space="0" w:color="auto"/>
              <w:left w:val="nil"/>
              <w:bottom w:val="single" w:sz="4" w:space="0" w:color="auto"/>
              <w:right w:val="nil"/>
            </w:tcBorders>
          </w:tcPr>
          <w:p w14:paraId="6673270D" w14:textId="77777777" w:rsidR="00BD5767" w:rsidRPr="005113AA" w:rsidRDefault="005C5A1B" w:rsidP="005C5A1B">
            <w:pPr>
              <w:pStyle w:val="Tablerowcolumnheading"/>
            </w:pPr>
            <w:r>
              <w:t>Interference criterion</w:t>
            </w:r>
          </w:p>
        </w:tc>
        <w:tc>
          <w:tcPr>
            <w:tcW w:w="1313" w:type="dxa"/>
            <w:tcBorders>
              <w:top w:val="thickThinLargeGap" w:sz="24" w:space="0" w:color="auto"/>
              <w:left w:val="nil"/>
              <w:bottom w:val="single" w:sz="4" w:space="0" w:color="auto"/>
              <w:right w:val="nil"/>
            </w:tcBorders>
          </w:tcPr>
          <w:p w14:paraId="6AAE019A" w14:textId="77777777" w:rsidR="00BD5767" w:rsidRPr="005113AA" w:rsidRDefault="00BD5767" w:rsidP="00BD5767">
            <w:pPr>
              <w:pStyle w:val="Tabletextcentred"/>
            </w:pPr>
          </w:p>
        </w:tc>
        <w:tc>
          <w:tcPr>
            <w:tcW w:w="1972" w:type="dxa"/>
            <w:tcBorders>
              <w:top w:val="thickThinLargeGap" w:sz="24" w:space="0" w:color="auto"/>
              <w:left w:val="nil"/>
              <w:bottom w:val="single" w:sz="4" w:space="0" w:color="auto"/>
              <w:right w:val="nil"/>
            </w:tcBorders>
          </w:tcPr>
          <w:p w14:paraId="30804FA8" w14:textId="77777777" w:rsidR="00BD5767" w:rsidRPr="005113AA" w:rsidRDefault="00BD5767" w:rsidP="00BD5767">
            <w:pPr>
              <w:pStyle w:val="Tabletextcentred"/>
            </w:pPr>
          </w:p>
        </w:tc>
        <w:tc>
          <w:tcPr>
            <w:tcW w:w="1973" w:type="dxa"/>
            <w:tcBorders>
              <w:top w:val="thickThinLargeGap" w:sz="24" w:space="0" w:color="auto"/>
              <w:left w:val="nil"/>
              <w:bottom w:val="single" w:sz="4" w:space="0" w:color="auto"/>
              <w:right w:val="nil"/>
            </w:tcBorders>
          </w:tcPr>
          <w:p w14:paraId="457CAA49" w14:textId="77777777" w:rsidR="00BD5767" w:rsidRPr="005113AA" w:rsidRDefault="00BD5767" w:rsidP="00BD5767">
            <w:pPr>
              <w:pStyle w:val="Tabletextcentred"/>
            </w:pPr>
          </w:p>
        </w:tc>
        <w:tc>
          <w:tcPr>
            <w:tcW w:w="1454" w:type="dxa"/>
            <w:tcBorders>
              <w:top w:val="thickThinLargeGap" w:sz="24" w:space="0" w:color="auto"/>
              <w:left w:val="nil"/>
              <w:bottom w:val="single" w:sz="4" w:space="0" w:color="auto"/>
              <w:right w:val="nil"/>
            </w:tcBorders>
          </w:tcPr>
          <w:p w14:paraId="5A9D8C95" w14:textId="77777777" w:rsidR="00BD5767" w:rsidRPr="005113AA" w:rsidRDefault="00BD5767" w:rsidP="00BD5767">
            <w:pPr>
              <w:pStyle w:val="Tabletextcentred"/>
            </w:pPr>
          </w:p>
        </w:tc>
      </w:tr>
      <w:tr w:rsidR="005C5A1B" w:rsidRPr="005113AA" w14:paraId="325EFB98" w14:textId="77777777" w:rsidTr="00DF0DE7">
        <w:trPr>
          <w:cantSplit/>
        </w:trPr>
        <w:tc>
          <w:tcPr>
            <w:tcW w:w="2621" w:type="dxa"/>
            <w:tcBorders>
              <w:top w:val="single" w:sz="4" w:space="0" w:color="auto"/>
              <w:left w:val="nil"/>
              <w:bottom w:val="single" w:sz="4" w:space="0" w:color="auto"/>
              <w:right w:val="nil"/>
            </w:tcBorders>
          </w:tcPr>
          <w:p w14:paraId="1B9EEAC8" w14:textId="77777777" w:rsidR="005C5A1B" w:rsidRPr="005113AA" w:rsidRDefault="005C5A1B" w:rsidP="005C5A1B">
            <w:pPr>
              <w:pStyle w:val="Tabletext"/>
            </w:pPr>
            <w:r>
              <w:t>k</w:t>
            </w:r>
          </w:p>
        </w:tc>
        <w:tc>
          <w:tcPr>
            <w:tcW w:w="1313" w:type="dxa"/>
            <w:tcBorders>
              <w:top w:val="single" w:sz="4" w:space="0" w:color="auto"/>
              <w:left w:val="nil"/>
              <w:bottom w:val="single" w:sz="4" w:space="0" w:color="auto"/>
              <w:right w:val="nil"/>
            </w:tcBorders>
          </w:tcPr>
          <w:p w14:paraId="3AA1CA02" w14:textId="77777777" w:rsidR="005C5A1B" w:rsidRPr="005113AA" w:rsidRDefault="005C5A1B" w:rsidP="005C5A1B">
            <w:pPr>
              <w:pStyle w:val="Tabletextcentred"/>
            </w:pPr>
            <w:r>
              <w:t>Constant</w:t>
            </w:r>
          </w:p>
        </w:tc>
        <w:tc>
          <w:tcPr>
            <w:tcW w:w="1972" w:type="dxa"/>
            <w:tcBorders>
              <w:top w:val="single" w:sz="4" w:space="0" w:color="auto"/>
              <w:left w:val="nil"/>
              <w:bottom w:val="single" w:sz="4" w:space="0" w:color="auto"/>
              <w:right w:val="nil"/>
            </w:tcBorders>
          </w:tcPr>
          <w:p w14:paraId="6BCF6FE9" w14:textId="77777777" w:rsidR="005C5A1B" w:rsidRPr="005113AA" w:rsidRDefault="005C5A1B" w:rsidP="005C5A1B">
            <w:pPr>
              <w:pStyle w:val="Tabletextcentred"/>
            </w:pPr>
            <w:r>
              <w:t>1.38E-23</w:t>
            </w:r>
          </w:p>
        </w:tc>
        <w:tc>
          <w:tcPr>
            <w:tcW w:w="1973" w:type="dxa"/>
            <w:tcBorders>
              <w:top w:val="single" w:sz="4" w:space="0" w:color="auto"/>
              <w:left w:val="nil"/>
              <w:bottom w:val="single" w:sz="4" w:space="0" w:color="auto"/>
              <w:right w:val="nil"/>
            </w:tcBorders>
          </w:tcPr>
          <w:p w14:paraId="10053EE6" w14:textId="77777777" w:rsidR="005C5A1B" w:rsidRPr="005113AA" w:rsidRDefault="005C5A1B" w:rsidP="005C5A1B">
            <w:pPr>
              <w:pStyle w:val="Tabletextcentred"/>
            </w:pPr>
            <w:r>
              <w:t>1.38E-23</w:t>
            </w:r>
          </w:p>
        </w:tc>
        <w:tc>
          <w:tcPr>
            <w:tcW w:w="1454" w:type="dxa"/>
            <w:tcBorders>
              <w:top w:val="single" w:sz="4" w:space="0" w:color="auto"/>
              <w:left w:val="nil"/>
              <w:bottom w:val="single" w:sz="4" w:space="0" w:color="auto"/>
              <w:right w:val="nil"/>
            </w:tcBorders>
          </w:tcPr>
          <w:p w14:paraId="344ABDC5" w14:textId="77777777" w:rsidR="005C5A1B" w:rsidRPr="005113AA" w:rsidRDefault="005C5A1B" w:rsidP="005C5A1B">
            <w:pPr>
              <w:pStyle w:val="Tabletextcentred"/>
            </w:pPr>
            <w:r>
              <w:t>1.38E-23</w:t>
            </w:r>
          </w:p>
        </w:tc>
      </w:tr>
      <w:tr w:rsidR="005C5A1B" w:rsidRPr="005113AA" w14:paraId="74537E34" w14:textId="77777777" w:rsidTr="00DF0DE7">
        <w:trPr>
          <w:cantSplit/>
        </w:trPr>
        <w:tc>
          <w:tcPr>
            <w:tcW w:w="2621" w:type="dxa"/>
            <w:tcBorders>
              <w:top w:val="single" w:sz="4" w:space="0" w:color="auto"/>
              <w:left w:val="nil"/>
              <w:bottom w:val="single" w:sz="4" w:space="0" w:color="auto"/>
              <w:right w:val="nil"/>
            </w:tcBorders>
          </w:tcPr>
          <w:p w14:paraId="00E6C592" w14:textId="77777777" w:rsidR="005C5A1B" w:rsidRPr="005113AA" w:rsidRDefault="005C5A1B" w:rsidP="005C5A1B">
            <w:pPr>
              <w:pStyle w:val="Tabletext"/>
            </w:pPr>
            <w:r>
              <w:t>T</w:t>
            </w:r>
          </w:p>
        </w:tc>
        <w:tc>
          <w:tcPr>
            <w:tcW w:w="1313" w:type="dxa"/>
            <w:tcBorders>
              <w:top w:val="single" w:sz="4" w:space="0" w:color="auto"/>
              <w:left w:val="nil"/>
              <w:bottom w:val="single" w:sz="4" w:space="0" w:color="auto"/>
              <w:right w:val="nil"/>
            </w:tcBorders>
          </w:tcPr>
          <w:p w14:paraId="3036333A" w14:textId="77777777" w:rsidR="005C5A1B" w:rsidRPr="005113AA" w:rsidRDefault="005C5A1B" w:rsidP="005C5A1B">
            <w:pPr>
              <w:pStyle w:val="Tabletextcentred"/>
            </w:pPr>
            <w:r>
              <w:t>K</w:t>
            </w:r>
          </w:p>
        </w:tc>
        <w:tc>
          <w:tcPr>
            <w:tcW w:w="1972" w:type="dxa"/>
            <w:tcBorders>
              <w:top w:val="single" w:sz="4" w:space="0" w:color="auto"/>
              <w:left w:val="nil"/>
              <w:bottom w:val="single" w:sz="4" w:space="0" w:color="auto"/>
              <w:right w:val="nil"/>
            </w:tcBorders>
          </w:tcPr>
          <w:p w14:paraId="2A5812F6" w14:textId="77777777" w:rsidR="005C5A1B" w:rsidRPr="005113AA" w:rsidRDefault="005C5A1B" w:rsidP="005C5A1B">
            <w:pPr>
              <w:pStyle w:val="Tabletextcentred"/>
            </w:pPr>
            <w:r>
              <w:t>400.0</w:t>
            </w:r>
          </w:p>
        </w:tc>
        <w:tc>
          <w:tcPr>
            <w:tcW w:w="1973" w:type="dxa"/>
            <w:tcBorders>
              <w:top w:val="single" w:sz="4" w:space="0" w:color="auto"/>
              <w:left w:val="nil"/>
              <w:bottom w:val="single" w:sz="4" w:space="0" w:color="auto"/>
              <w:right w:val="nil"/>
            </w:tcBorders>
          </w:tcPr>
          <w:p w14:paraId="0FDC3303" w14:textId="77777777" w:rsidR="005C5A1B" w:rsidRPr="005113AA" w:rsidRDefault="005C5A1B" w:rsidP="005C5A1B">
            <w:pPr>
              <w:pStyle w:val="Tabletextcentred"/>
            </w:pPr>
            <w:r>
              <w:t>400.0</w:t>
            </w:r>
          </w:p>
        </w:tc>
        <w:tc>
          <w:tcPr>
            <w:tcW w:w="1454" w:type="dxa"/>
            <w:tcBorders>
              <w:top w:val="single" w:sz="4" w:space="0" w:color="auto"/>
              <w:left w:val="nil"/>
              <w:bottom w:val="single" w:sz="4" w:space="0" w:color="auto"/>
              <w:right w:val="nil"/>
            </w:tcBorders>
          </w:tcPr>
          <w:p w14:paraId="0D9DA870" w14:textId="77777777" w:rsidR="005C5A1B" w:rsidRPr="005113AA" w:rsidRDefault="005C5A1B" w:rsidP="005C5A1B">
            <w:pPr>
              <w:pStyle w:val="Tabletextcentred"/>
            </w:pPr>
            <w:r>
              <w:t>400.0</w:t>
            </w:r>
          </w:p>
        </w:tc>
      </w:tr>
      <w:tr w:rsidR="005C5A1B" w:rsidRPr="005113AA" w14:paraId="59A11F6B" w14:textId="77777777" w:rsidTr="00DF0DE7">
        <w:trPr>
          <w:cantSplit/>
        </w:trPr>
        <w:tc>
          <w:tcPr>
            <w:tcW w:w="2621" w:type="dxa"/>
            <w:tcBorders>
              <w:top w:val="single" w:sz="4" w:space="0" w:color="auto"/>
              <w:left w:val="nil"/>
              <w:bottom w:val="single" w:sz="4" w:space="0" w:color="auto"/>
              <w:right w:val="nil"/>
            </w:tcBorders>
          </w:tcPr>
          <w:p w14:paraId="421D8B36" w14:textId="77777777" w:rsidR="005C5A1B" w:rsidRDefault="005C5A1B" w:rsidP="005C5A1B">
            <w:pPr>
              <w:pStyle w:val="Tabletext"/>
            </w:pPr>
            <w:r>
              <w:t>B</w:t>
            </w:r>
          </w:p>
        </w:tc>
        <w:tc>
          <w:tcPr>
            <w:tcW w:w="1313" w:type="dxa"/>
            <w:tcBorders>
              <w:top w:val="single" w:sz="4" w:space="0" w:color="auto"/>
              <w:left w:val="nil"/>
              <w:bottom w:val="single" w:sz="4" w:space="0" w:color="auto"/>
              <w:right w:val="nil"/>
            </w:tcBorders>
          </w:tcPr>
          <w:p w14:paraId="027271A9" w14:textId="77777777" w:rsidR="005C5A1B" w:rsidRDefault="005C5A1B" w:rsidP="005C5A1B">
            <w:pPr>
              <w:pStyle w:val="Tabletextcentred"/>
            </w:pPr>
            <w:r>
              <w:t>Hz</w:t>
            </w:r>
          </w:p>
        </w:tc>
        <w:tc>
          <w:tcPr>
            <w:tcW w:w="1972" w:type="dxa"/>
            <w:tcBorders>
              <w:top w:val="single" w:sz="4" w:space="0" w:color="auto"/>
              <w:left w:val="nil"/>
              <w:bottom w:val="single" w:sz="4" w:space="0" w:color="auto"/>
              <w:right w:val="nil"/>
            </w:tcBorders>
          </w:tcPr>
          <w:p w14:paraId="7B7F081A" w14:textId="77777777" w:rsidR="005C5A1B" w:rsidRDefault="005C5A1B" w:rsidP="005C5A1B">
            <w:pPr>
              <w:pStyle w:val="Tabletextcentred"/>
            </w:pPr>
            <w:r>
              <w:t>1000000</w:t>
            </w:r>
          </w:p>
        </w:tc>
        <w:tc>
          <w:tcPr>
            <w:tcW w:w="1973" w:type="dxa"/>
            <w:tcBorders>
              <w:top w:val="single" w:sz="4" w:space="0" w:color="auto"/>
              <w:left w:val="nil"/>
              <w:bottom w:val="single" w:sz="4" w:space="0" w:color="auto"/>
              <w:right w:val="nil"/>
            </w:tcBorders>
          </w:tcPr>
          <w:p w14:paraId="5366D7FD" w14:textId="77777777" w:rsidR="005C5A1B" w:rsidRDefault="005C5A1B" w:rsidP="005C5A1B">
            <w:pPr>
              <w:pStyle w:val="Tabletextcentred"/>
            </w:pPr>
            <w:r>
              <w:t>100000</w:t>
            </w:r>
          </w:p>
        </w:tc>
        <w:tc>
          <w:tcPr>
            <w:tcW w:w="1454" w:type="dxa"/>
            <w:tcBorders>
              <w:top w:val="single" w:sz="4" w:space="0" w:color="auto"/>
              <w:left w:val="nil"/>
              <w:bottom w:val="single" w:sz="4" w:space="0" w:color="auto"/>
              <w:right w:val="nil"/>
            </w:tcBorders>
          </w:tcPr>
          <w:p w14:paraId="2B78F022" w14:textId="77777777" w:rsidR="005C5A1B" w:rsidRDefault="005C5A1B" w:rsidP="005C5A1B">
            <w:pPr>
              <w:pStyle w:val="Tabletextcentred"/>
            </w:pPr>
            <w:r>
              <w:t>100000</w:t>
            </w:r>
          </w:p>
        </w:tc>
      </w:tr>
      <w:tr w:rsidR="005C5A1B" w:rsidRPr="005113AA" w14:paraId="5DD2290E" w14:textId="77777777" w:rsidTr="00DF0DE7">
        <w:trPr>
          <w:cantSplit/>
        </w:trPr>
        <w:tc>
          <w:tcPr>
            <w:tcW w:w="2621" w:type="dxa"/>
            <w:tcBorders>
              <w:top w:val="single" w:sz="4" w:space="0" w:color="auto"/>
              <w:left w:val="nil"/>
              <w:bottom w:val="single" w:sz="4" w:space="0" w:color="auto"/>
              <w:right w:val="nil"/>
            </w:tcBorders>
          </w:tcPr>
          <w:p w14:paraId="153F2843" w14:textId="77777777" w:rsidR="005C5A1B" w:rsidRDefault="005C5A1B" w:rsidP="005C5A1B">
            <w:pPr>
              <w:pStyle w:val="Tabletext"/>
            </w:pPr>
            <w:r>
              <w:t>Sat Rx noise</w:t>
            </w:r>
          </w:p>
        </w:tc>
        <w:tc>
          <w:tcPr>
            <w:tcW w:w="1313" w:type="dxa"/>
            <w:tcBorders>
              <w:top w:val="single" w:sz="4" w:space="0" w:color="auto"/>
              <w:left w:val="nil"/>
              <w:bottom w:val="single" w:sz="4" w:space="0" w:color="auto"/>
              <w:right w:val="nil"/>
            </w:tcBorders>
          </w:tcPr>
          <w:p w14:paraId="32F84465" w14:textId="77777777" w:rsidR="005C5A1B" w:rsidRDefault="005C5A1B" w:rsidP="005C5A1B">
            <w:pPr>
              <w:pStyle w:val="Tabletextcentred"/>
            </w:pPr>
            <w:proofErr w:type="spellStart"/>
            <w:r>
              <w:t>dBW</w:t>
            </w:r>
            <w:proofErr w:type="spellEnd"/>
            <w:r>
              <w:t>/MHz</w:t>
            </w:r>
          </w:p>
        </w:tc>
        <w:tc>
          <w:tcPr>
            <w:tcW w:w="1972" w:type="dxa"/>
            <w:tcBorders>
              <w:top w:val="single" w:sz="4" w:space="0" w:color="auto"/>
              <w:left w:val="nil"/>
              <w:bottom w:val="single" w:sz="4" w:space="0" w:color="auto"/>
              <w:right w:val="nil"/>
            </w:tcBorders>
          </w:tcPr>
          <w:p w14:paraId="7964970D" w14:textId="77777777" w:rsidR="005C5A1B" w:rsidRDefault="005C5A1B" w:rsidP="005C5A1B">
            <w:pPr>
              <w:pStyle w:val="Tabletextcentred"/>
            </w:pPr>
            <w:r>
              <w:t>-142.6</w:t>
            </w:r>
          </w:p>
        </w:tc>
        <w:tc>
          <w:tcPr>
            <w:tcW w:w="1973" w:type="dxa"/>
            <w:tcBorders>
              <w:top w:val="single" w:sz="4" w:space="0" w:color="auto"/>
              <w:left w:val="nil"/>
              <w:bottom w:val="single" w:sz="4" w:space="0" w:color="auto"/>
              <w:right w:val="nil"/>
            </w:tcBorders>
          </w:tcPr>
          <w:p w14:paraId="2303CF0D" w14:textId="77777777" w:rsidR="005C5A1B" w:rsidRDefault="005C5A1B" w:rsidP="005C5A1B">
            <w:pPr>
              <w:pStyle w:val="Tabletextcentred"/>
            </w:pPr>
            <w:r>
              <w:t>-142.6</w:t>
            </w:r>
          </w:p>
        </w:tc>
        <w:tc>
          <w:tcPr>
            <w:tcW w:w="1454" w:type="dxa"/>
            <w:tcBorders>
              <w:top w:val="single" w:sz="4" w:space="0" w:color="auto"/>
              <w:left w:val="nil"/>
              <w:bottom w:val="single" w:sz="4" w:space="0" w:color="auto"/>
              <w:right w:val="nil"/>
            </w:tcBorders>
          </w:tcPr>
          <w:p w14:paraId="642AECFA" w14:textId="77777777" w:rsidR="005C5A1B" w:rsidRDefault="005C5A1B" w:rsidP="005C5A1B">
            <w:pPr>
              <w:pStyle w:val="Tabletextcentred"/>
            </w:pPr>
            <w:r>
              <w:t>-142.6</w:t>
            </w:r>
          </w:p>
        </w:tc>
      </w:tr>
      <w:tr w:rsidR="005C5A1B" w:rsidRPr="005113AA" w14:paraId="7725264A" w14:textId="77777777" w:rsidTr="00DF0DE7">
        <w:trPr>
          <w:cantSplit/>
        </w:trPr>
        <w:tc>
          <w:tcPr>
            <w:tcW w:w="2621" w:type="dxa"/>
            <w:tcBorders>
              <w:top w:val="single" w:sz="4" w:space="0" w:color="auto"/>
              <w:left w:val="nil"/>
              <w:bottom w:val="single" w:sz="4" w:space="0" w:color="auto"/>
              <w:right w:val="nil"/>
            </w:tcBorders>
          </w:tcPr>
          <w:p w14:paraId="627DF00D" w14:textId="77777777" w:rsidR="005C5A1B" w:rsidRDefault="005C5A1B" w:rsidP="005C5A1B">
            <w:pPr>
              <w:pStyle w:val="Tabletext"/>
            </w:pPr>
            <w:r>
              <w:t>I/N</w:t>
            </w:r>
          </w:p>
        </w:tc>
        <w:tc>
          <w:tcPr>
            <w:tcW w:w="1313" w:type="dxa"/>
            <w:tcBorders>
              <w:top w:val="single" w:sz="4" w:space="0" w:color="auto"/>
              <w:left w:val="nil"/>
              <w:bottom w:val="single" w:sz="4" w:space="0" w:color="auto"/>
              <w:right w:val="nil"/>
            </w:tcBorders>
          </w:tcPr>
          <w:p w14:paraId="146F0721" w14:textId="77777777" w:rsidR="005C5A1B" w:rsidRDefault="005C5A1B" w:rsidP="005C5A1B">
            <w:pPr>
              <w:pStyle w:val="Tabletextcentred"/>
            </w:pPr>
            <w:r>
              <w:t>dB</w:t>
            </w:r>
          </w:p>
        </w:tc>
        <w:tc>
          <w:tcPr>
            <w:tcW w:w="1972" w:type="dxa"/>
            <w:tcBorders>
              <w:top w:val="single" w:sz="4" w:space="0" w:color="auto"/>
              <w:left w:val="nil"/>
              <w:bottom w:val="single" w:sz="4" w:space="0" w:color="auto"/>
              <w:right w:val="nil"/>
            </w:tcBorders>
          </w:tcPr>
          <w:p w14:paraId="02713FC1" w14:textId="77777777" w:rsidR="005C5A1B" w:rsidRDefault="005C5A1B" w:rsidP="005C5A1B">
            <w:pPr>
              <w:pStyle w:val="Tabletextcentred"/>
            </w:pPr>
            <w:r>
              <w:t>-10.8</w:t>
            </w:r>
          </w:p>
        </w:tc>
        <w:tc>
          <w:tcPr>
            <w:tcW w:w="1973" w:type="dxa"/>
            <w:tcBorders>
              <w:top w:val="single" w:sz="4" w:space="0" w:color="auto"/>
              <w:left w:val="nil"/>
              <w:bottom w:val="single" w:sz="4" w:space="0" w:color="auto"/>
              <w:right w:val="nil"/>
            </w:tcBorders>
            <w:shd w:val="clear" w:color="auto" w:fill="FFE699"/>
          </w:tcPr>
          <w:p w14:paraId="4DA77C85" w14:textId="77777777" w:rsidR="005C5A1B" w:rsidRDefault="005C5A1B" w:rsidP="005C5A1B">
            <w:pPr>
              <w:pStyle w:val="Tabletextcentred"/>
            </w:pPr>
            <w:r>
              <w:t>-12.2</w:t>
            </w:r>
          </w:p>
        </w:tc>
        <w:tc>
          <w:tcPr>
            <w:tcW w:w="1454" w:type="dxa"/>
            <w:tcBorders>
              <w:top w:val="single" w:sz="4" w:space="0" w:color="auto"/>
              <w:left w:val="nil"/>
              <w:bottom w:val="single" w:sz="4" w:space="0" w:color="auto"/>
              <w:right w:val="nil"/>
            </w:tcBorders>
            <w:shd w:val="clear" w:color="auto" w:fill="FFE699"/>
          </w:tcPr>
          <w:p w14:paraId="2D60D702" w14:textId="77777777" w:rsidR="005C5A1B" w:rsidRDefault="005C5A1B" w:rsidP="005C5A1B">
            <w:pPr>
              <w:pStyle w:val="Tabletextcentred"/>
            </w:pPr>
            <w:r>
              <w:t>-12.2</w:t>
            </w:r>
          </w:p>
        </w:tc>
      </w:tr>
      <w:tr w:rsidR="005C5A1B" w:rsidRPr="005113AA" w14:paraId="3BD495CB" w14:textId="77777777" w:rsidTr="00DF0DE7">
        <w:trPr>
          <w:cantSplit/>
        </w:trPr>
        <w:tc>
          <w:tcPr>
            <w:tcW w:w="2621" w:type="dxa"/>
            <w:tcBorders>
              <w:top w:val="single" w:sz="4" w:space="0" w:color="auto"/>
              <w:left w:val="nil"/>
              <w:bottom w:val="single" w:sz="4" w:space="0" w:color="auto"/>
              <w:right w:val="nil"/>
            </w:tcBorders>
            <w:shd w:val="clear" w:color="auto" w:fill="CCECFF"/>
          </w:tcPr>
          <w:p w14:paraId="673AD86C" w14:textId="77777777" w:rsidR="005C5A1B" w:rsidRDefault="005C5A1B" w:rsidP="005C5A1B">
            <w:pPr>
              <w:pStyle w:val="Tabletext"/>
            </w:pPr>
            <w:r>
              <w:t>I max</w:t>
            </w:r>
          </w:p>
        </w:tc>
        <w:tc>
          <w:tcPr>
            <w:tcW w:w="1313" w:type="dxa"/>
            <w:tcBorders>
              <w:top w:val="single" w:sz="4" w:space="0" w:color="auto"/>
              <w:left w:val="nil"/>
              <w:bottom w:val="single" w:sz="4" w:space="0" w:color="auto"/>
              <w:right w:val="nil"/>
            </w:tcBorders>
            <w:shd w:val="clear" w:color="auto" w:fill="CCECFF"/>
          </w:tcPr>
          <w:p w14:paraId="578D84AB" w14:textId="77777777" w:rsidR="005C5A1B" w:rsidRDefault="005C5A1B" w:rsidP="005C5A1B">
            <w:pPr>
              <w:pStyle w:val="Tabletextcentred"/>
            </w:pPr>
            <w:proofErr w:type="spellStart"/>
            <w:r>
              <w:t>dBW</w:t>
            </w:r>
            <w:proofErr w:type="spellEnd"/>
            <w:r>
              <w:t>/MHz</w:t>
            </w:r>
          </w:p>
        </w:tc>
        <w:tc>
          <w:tcPr>
            <w:tcW w:w="1972" w:type="dxa"/>
            <w:tcBorders>
              <w:top w:val="single" w:sz="4" w:space="0" w:color="auto"/>
              <w:left w:val="nil"/>
              <w:bottom w:val="single" w:sz="4" w:space="0" w:color="auto"/>
              <w:right w:val="nil"/>
            </w:tcBorders>
            <w:shd w:val="clear" w:color="auto" w:fill="CCECFF"/>
          </w:tcPr>
          <w:p w14:paraId="6B27815D" w14:textId="77777777" w:rsidR="005C5A1B" w:rsidRDefault="005C5A1B" w:rsidP="005C5A1B">
            <w:pPr>
              <w:pStyle w:val="Tabletextcentred"/>
            </w:pPr>
            <w:r>
              <w:t>-153.4</w:t>
            </w:r>
          </w:p>
        </w:tc>
        <w:tc>
          <w:tcPr>
            <w:tcW w:w="1973" w:type="dxa"/>
            <w:tcBorders>
              <w:top w:val="single" w:sz="4" w:space="0" w:color="auto"/>
              <w:left w:val="nil"/>
              <w:bottom w:val="single" w:sz="4" w:space="0" w:color="auto"/>
              <w:right w:val="nil"/>
            </w:tcBorders>
            <w:shd w:val="clear" w:color="auto" w:fill="CCECFF"/>
          </w:tcPr>
          <w:p w14:paraId="659AC68B" w14:textId="77777777" w:rsidR="005C5A1B" w:rsidRDefault="005C5A1B" w:rsidP="005C5A1B">
            <w:pPr>
              <w:pStyle w:val="Tabletextcentred"/>
            </w:pPr>
            <w:r>
              <w:t>-154.8</w:t>
            </w:r>
          </w:p>
        </w:tc>
        <w:tc>
          <w:tcPr>
            <w:tcW w:w="1454" w:type="dxa"/>
            <w:tcBorders>
              <w:top w:val="single" w:sz="4" w:space="0" w:color="auto"/>
              <w:left w:val="nil"/>
              <w:bottom w:val="single" w:sz="4" w:space="0" w:color="auto"/>
              <w:right w:val="nil"/>
            </w:tcBorders>
            <w:shd w:val="clear" w:color="auto" w:fill="CCECFF"/>
          </w:tcPr>
          <w:p w14:paraId="7DBFA2C7" w14:textId="77777777" w:rsidR="005C5A1B" w:rsidRDefault="005C5A1B" w:rsidP="005C5A1B">
            <w:pPr>
              <w:pStyle w:val="Tabletextcentred"/>
            </w:pPr>
            <w:r>
              <w:t>-154.8</w:t>
            </w:r>
          </w:p>
        </w:tc>
      </w:tr>
      <w:tr w:rsidR="005C5A1B" w:rsidRPr="005113AA" w14:paraId="62710BBC" w14:textId="77777777" w:rsidTr="00DF0DE7">
        <w:trPr>
          <w:cantSplit/>
        </w:trPr>
        <w:tc>
          <w:tcPr>
            <w:tcW w:w="2621" w:type="dxa"/>
            <w:tcBorders>
              <w:top w:val="single" w:sz="4" w:space="0" w:color="auto"/>
              <w:left w:val="nil"/>
              <w:bottom w:val="single" w:sz="4" w:space="0" w:color="auto"/>
              <w:right w:val="nil"/>
            </w:tcBorders>
          </w:tcPr>
          <w:p w14:paraId="65835CFE" w14:textId="77777777" w:rsidR="005C5A1B" w:rsidRDefault="005C5A1B" w:rsidP="005C5A1B">
            <w:pPr>
              <w:pStyle w:val="Tablerowcolumnheading"/>
            </w:pPr>
            <w:r>
              <w:t>Path loss</w:t>
            </w:r>
          </w:p>
        </w:tc>
        <w:tc>
          <w:tcPr>
            <w:tcW w:w="1313" w:type="dxa"/>
            <w:tcBorders>
              <w:top w:val="single" w:sz="4" w:space="0" w:color="auto"/>
              <w:left w:val="nil"/>
              <w:bottom w:val="single" w:sz="4" w:space="0" w:color="auto"/>
              <w:right w:val="nil"/>
            </w:tcBorders>
          </w:tcPr>
          <w:p w14:paraId="7B936AB7" w14:textId="2665E3B1" w:rsidR="005C5A1B" w:rsidRDefault="005C5A1B" w:rsidP="005C5A1B">
            <w:pPr>
              <w:pStyle w:val="Tabletextcentred"/>
            </w:pPr>
          </w:p>
        </w:tc>
        <w:tc>
          <w:tcPr>
            <w:tcW w:w="1972" w:type="dxa"/>
            <w:tcBorders>
              <w:top w:val="single" w:sz="4" w:space="0" w:color="auto"/>
              <w:left w:val="nil"/>
              <w:bottom w:val="single" w:sz="4" w:space="0" w:color="auto"/>
              <w:right w:val="nil"/>
            </w:tcBorders>
          </w:tcPr>
          <w:p w14:paraId="6171E4A4" w14:textId="77777777" w:rsidR="005C5A1B" w:rsidRDefault="005C5A1B" w:rsidP="005C5A1B">
            <w:pPr>
              <w:pStyle w:val="Tabletextcentred"/>
            </w:pPr>
          </w:p>
        </w:tc>
        <w:tc>
          <w:tcPr>
            <w:tcW w:w="1973" w:type="dxa"/>
            <w:tcBorders>
              <w:top w:val="single" w:sz="4" w:space="0" w:color="auto"/>
              <w:left w:val="nil"/>
              <w:bottom w:val="single" w:sz="4" w:space="0" w:color="auto"/>
              <w:right w:val="nil"/>
            </w:tcBorders>
          </w:tcPr>
          <w:p w14:paraId="695D52A6" w14:textId="77777777" w:rsidR="005C5A1B" w:rsidRDefault="005C5A1B" w:rsidP="005C5A1B">
            <w:pPr>
              <w:pStyle w:val="Tabletextcentred"/>
            </w:pPr>
          </w:p>
        </w:tc>
        <w:tc>
          <w:tcPr>
            <w:tcW w:w="1454" w:type="dxa"/>
            <w:tcBorders>
              <w:top w:val="single" w:sz="4" w:space="0" w:color="auto"/>
              <w:left w:val="nil"/>
              <w:bottom w:val="single" w:sz="4" w:space="0" w:color="auto"/>
              <w:right w:val="nil"/>
            </w:tcBorders>
          </w:tcPr>
          <w:p w14:paraId="3C3899CC" w14:textId="77777777" w:rsidR="005C5A1B" w:rsidRDefault="005C5A1B" w:rsidP="005C5A1B">
            <w:pPr>
              <w:pStyle w:val="Tabletextcentred"/>
            </w:pPr>
          </w:p>
        </w:tc>
      </w:tr>
      <w:tr w:rsidR="005C5A1B" w:rsidRPr="005113AA" w14:paraId="778CA637" w14:textId="77777777" w:rsidTr="00DF0DE7">
        <w:trPr>
          <w:cantSplit/>
        </w:trPr>
        <w:tc>
          <w:tcPr>
            <w:tcW w:w="2621" w:type="dxa"/>
            <w:tcBorders>
              <w:top w:val="single" w:sz="4" w:space="0" w:color="auto"/>
              <w:left w:val="nil"/>
              <w:bottom w:val="single" w:sz="4" w:space="0" w:color="auto"/>
              <w:right w:val="nil"/>
            </w:tcBorders>
          </w:tcPr>
          <w:p w14:paraId="25DC2954" w14:textId="77777777" w:rsidR="005C5A1B" w:rsidRDefault="005C5A1B" w:rsidP="005C5A1B">
            <w:pPr>
              <w:pStyle w:val="Tabletext"/>
            </w:pPr>
            <w:r>
              <w:t>f</w:t>
            </w:r>
          </w:p>
        </w:tc>
        <w:tc>
          <w:tcPr>
            <w:tcW w:w="1313" w:type="dxa"/>
            <w:tcBorders>
              <w:top w:val="single" w:sz="4" w:space="0" w:color="auto"/>
              <w:left w:val="nil"/>
              <w:bottom w:val="single" w:sz="4" w:space="0" w:color="auto"/>
              <w:right w:val="nil"/>
            </w:tcBorders>
          </w:tcPr>
          <w:p w14:paraId="0A2A42ED" w14:textId="0064D872" w:rsidR="005C5A1B" w:rsidRDefault="00E87066" w:rsidP="00E87066">
            <w:pPr>
              <w:pStyle w:val="Tabletextcentred"/>
            </w:pPr>
            <w:r>
              <w:t>Hz</w:t>
            </w:r>
          </w:p>
        </w:tc>
        <w:tc>
          <w:tcPr>
            <w:tcW w:w="1972" w:type="dxa"/>
            <w:tcBorders>
              <w:top w:val="single" w:sz="4" w:space="0" w:color="auto"/>
              <w:left w:val="nil"/>
              <w:bottom w:val="single" w:sz="4" w:space="0" w:color="auto"/>
              <w:right w:val="nil"/>
            </w:tcBorders>
          </w:tcPr>
          <w:p w14:paraId="1256358C" w14:textId="38AA0FD6" w:rsidR="005C5A1B" w:rsidRDefault="00E87066" w:rsidP="005C5A1B">
            <w:pPr>
              <w:pStyle w:val="Tabletextcentred"/>
            </w:pPr>
            <w:r>
              <w:t>27000000000</w:t>
            </w:r>
          </w:p>
        </w:tc>
        <w:tc>
          <w:tcPr>
            <w:tcW w:w="1973" w:type="dxa"/>
            <w:tcBorders>
              <w:top w:val="single" w:sz="4" w:space="0" w:color="auto"/>
              <w:left w:val="nil"/>
              <w:bottom w:val="single" w:sz="4" w:space="0" w:color="auto"/>
              <w:right w:val="nil"/>
            </w:tcBorders>
          </w:tcPr>
          <w:p w14:paraId="1050FF39" w14:textId="69A81037" w:rsidR="005C5A1B" w:rsidRDefault="00E87066" w:rsidP="005C5A1B">
            <w:pPr>
              <w:pStyle w:val="Tabletextcentred"/>
            </w:pPr>
            <w:r>
              <w:t>27000000000</w:t>
            </w:r>
          </w:p>
        </w:tc>
        <w:tc>
          <w:tcPr>
            <w:tcW w:w="1454" w:type="dxa"/>
            <w:tcBorders>
              <w:top w:val="single" w:sz="4" w:space="0" w:color="auto"/>
              <w:left w:val="nil"/>
              <w:bottom w:val="single" w:sz="4" w:space="0" w:color="auto"/>
              <w:right w:val="nil"/>
            </w:tcBorders>
          </w:tcPr>
          <w:p w14:paraId="0E5BEC80" w14:textId="1B3554E9" w:rsidR="005C5A1B" w:rsidRDefault="00E87066" w:rsidP="005C5A1B">
            <w:pPr>
              <w:pStyle w:val="Tabletextcentred"/>
            </w:pPr>
            <w:r>
              <w:t>27000000000</w:t>
            </w:r>
          </w:p>
        </w:tc>
      </w:tr>
      <w:tr w:rsidR="005C5A1B" w:rsidRPr="005113AA" w14:paraId="46B626A6" w14:textId="77777777" w:rsidTr="00DF0DE7">
        <w:trPr>
          <w:cantSplit/>
        </w:trPr>
        <w:tc>
          <w:tcPr>
            <w:tcW w:w="2621" w:type="dxa"/>
            <w:tcBorders>
              <w:top w:val="single" w:sz="4" w:space="0" w:color="auto"/>
              <w:left w:val="nil"/>
              <w:bottom w:val="single" w:sz="4" w:space="0" w:color="auto"/>
              <w:right w:val="nil"/>
            </w:tcBorders>
          </w:tcPr>
          <w:p w14:paraId="69D18344" w14:textId="77777777" w:rsidR="005C5A1B" w:rsidRDefault="005C5A1B" w:rsidP="005C5A1B">
            <w:pPr>
              <w:pStyle w:val="Tabletext"/>
            </w:pPr>
            <w:r>
              <w:t>v</w:t>
            </w:r>
          </w:p>
        </w:tc>
        <w:tc>
          <w:tcPr>
            <w:tcW w:w="1313" w:type="dxa"/>
            <w:tcBorders>
              <w:top w:val="single" w:sz="4" w:space="0" w:color="auto"/>
              <w:left w:val="nil"/>
              <w:bottom w:val="single" w:sz="4" w:space="0" w:color="auto"/>
              <w:right w:val="nil"/>
            </w:tcBorders>
          </w:tcPr>
          <w:p w14:paraId="25A5A823" w14:textId="1604972D" w:rsidR="005C5A1B" w:rsidRDefault="00432DB3" w:rsidP="005C5A1B">
            <w:pPr>
              <w:pStyle w:val="Tabletextcentred"/>
            </w:pPr>
            <w:r>
              <w:t>m</w:t>
            </w:r>
            <w:r w:rsidR="00E87066">
              <w:t>/sec</w:t>
            </w:r>
          </w:p>
        </w:tc>
        <w:tc>
          <w:tcPr>
            <w:tcW w:w="1972" w:type="dxa"/>
            <w:tcBorders>
              <w:top w:val="single" w:sz="4" w:space="0" w:color="auto"/>
              <w:left w:val="nil"/>
              <w:bottom w:val="single" w:sz="4" w:space="0" w:color="auto"/>
              <w:right w:val="nil"/>
            </w:tcBorders>
          </w:tcPr>
          <w:p w14:paraId="5F3017C9" w14:textId="077C4B23" w:rsidR="005C5A1B" w:rsidRDefault="00E87066" w:rsidP="005C5A1B">
            <w:pPr>
              <w:pStyle w:val="Tabletextcentred"/>
            </w:pPr>
            <w:r>
              <w:t>300000000</w:t>
            </w:r>
          </w:p>
        </w:tc>
        <w:tc>
          <w:tcPr>
            <w:tcW w:w="1973" w:type="dxa"/>
            <w:tcBorders>
              <w:top w:val="single" w:sz="4" w:space="0" w:color="auto"/>
              <w:left w:val="nil"/>
              <w:bottom w:val="single" w:sz="4" w:space="0" w:color="auto"/>
              <w:right w:val="nil"/>
            </w:tcBorders>
          </w:tcPr>
          <w:p w14:paraId="530D6863" w14:textId="04CB7B2E" w:rsidR="005C5A1B" w:rsidRDefault="00E87066" w:rsidP="005C5A1B">
            <w:pPr>
              <w:pStyle w:val="Tabletextcentred"/>
            </w:pPr>
            <w:r>
              <w:t>300000000</w:t>
            </w:r>
          </w:p>
        </w:tc>
        <w:tc>
          <w:tcPr>
            <w:tcW w:w="1454" w:type="dxa"/>
            <w:tcBorders>
              <w:top w:val="single" w:sz="4" w:space="0" w:color="auto"/>
              <w:left w:val="nil"/>
              <w:bottom w:val="single" w:sz="4" w:space="0" w:color="auto"/>
              <w:right w:val="nil"/>
            </w:tcBorders>
          </w:tcPr>
          <w:p w14:paraId="446A8D29" w14:textId="40136D99" w:rsidR="005C5A1B" w:rsidRDefault="00E87066" w:rsidP="005C5A1B">
            <w:pPr>
              <w:pStyle w:val="Tabletextcentred"/>
            </w:pPr>
            <w:r>
              <w:t>300000000</w:t>
            </w:r>
          </w:p>
        </w:tc>
      </w:tr>
      <w:tr w:rsidR="005C5A1B" w:rsidRPr="005113AA" w14:paraId="47181663" w14:textId="77777777" w:rsidTr="00DF0DE7">
        <w:trPr>
          <w:cantSplit/>
        </w:trPr>
        <w:tc>
          <w:tcPr>
            <w:tcW w:w="2621" w:type="dxa"/>
            <w:tcBorders>
              <w:top w:val="single" w:sz="4" w:space="0" w:color="auto"/>
              <w:left w:val="nil"/>
              <w:bottom w:val="single" w:sz="4" w:space="0" w:color="auto"/>
              <w:right w:val="nil"/>
            </w:tcBorders>
          </w:tcPr>
          <w:p w14:paraId="54F59674" w14:textId="77777777" w:rsidR="005C5A1B" w:rsidRDefault="005C5A1B" w:rsidP="005C5A1B">
            <w:pPr>
              <w:pStyle w:val="Tabletext"/>
            </w:pPr>
            <w:r>
              <w:t>Lambda</w:t>
            </w:r>
          </w:p>
        </w:tc>
        <w:tc>
          <w:tcPr>
            <w:tcW w:w="1313" w:type="dxa"/>
            <w:tcBorders>
              <w:top w:val="single" w:sz="4" w:space="0" w:color="auto"/>
              <w:left w:val="nil"/>
              <w:bottom w:val="single" w:sz="4" w:space="0" w:color="auto"/>
              <w:right w:val="nil"/>
            </w:tcBorders>
          </w:tcPr>
          <w:p w14:paraId="6C99CC69" w14:textId="12391D08" w:rsidR="005C5A1B" w:rsidRDefault="00E87066" w:rsidP="00E87066">
            <w:pPr>
              <w:pStyle w:val="Tabletextcentred"/>
            </w:pPr>
            <w:r>
              <w:t>m</w:t>
            </w:r>
          </w:p>
        </w:tc>
        <w:tc>
          <w:tcPr>
            <w:tcW w:w="1972" w:type="dxa"/>
            <w:tcBorders>
              <w:top w:val="single" w:sz="4" w:space="0" w:color="auto"/>
              <w:left w:val="nil"/>
              <w:bottom w:val="single" w:sz="4" w:space="0" w:color="auto"/>
              <w:right w:val="nil"/>
            </w:tcBorders>
          </w:tcPr>
          <w:p w14:paraId="6343C40A" w14:textId="5281A7CE" w:rsidR="005C5A1B" w:rsidRDefault="00E87066" w:rsidP="005C5A1B">
            <w:pPr>
              <w:pStyle w:val="Tabletextcentred"/>
            </w:pPr>
            <w:r>
              <w:t>0.0</w:t>
            </w:r>
          </w:p>
        </w:tc>
        <w:tc>
          <w:tcPr>
            <w:tcW w:w="1973" w:type="dxa"/>
            <w:tcBorders>
              <w:top w:val="single" w:sz="4" w:space="0" w:color="auto"/>
              <w:left w:val="nil"/>
              <w:bottom w:val="single" w:sz="4" w:space="0" w:color="auto"/>
              <w:right w:val="nil"/>
            </w:tcBorders>
          </w:tcPr>
          <w:p w14:paraId="39C4A30D" w14:textId="6445ACA4" w:rsidR="005C5A1B" w:rsidRDefault="00E87066" w:rsidP="005C5A1B">
            <w:pPr>
              <w:pStyle w:val="Tabletextcentred"/>
            </w:pPr>
            <w:r>
              <w:t>0.0</w:t>
            </w:r>
          </w:p>
        </w:tc>
        <w:tc>
          <w:tcPr>
            <w:tcW w:w="1454" w:type="dxa"/>
            <w:tcBorders>
              <w:top w:val="single" w:sz="4" w:space="0" w:color="auto"/>
              <w:left w:val="nil"/>
              <w:bottom w:val="single" w:sz="4" w:space="0" w:color="auto"/>
              <w:right w:val="nil"/>
            </w:tcBorders>
          </w:tcPr>
          <w:p w14:paraId="47B00762" w14:textId="4968E91F" w:rsidR="005C5A1B" w:rsidRDefault="00E87066" w:rsidP="005C5A1B">
            <w:pPr>
              <w:pStyle w:val="Tabletextcentred"/>
            </w:pPr>
            <w:r>
              <w:t>0.0</w:t>
            </w:r>
          </w:p>
        </w:tc>
      </w:tr>
      <w:tr w:rsidR="005C5A1B" w:rsidRPr="005113AA" w14:paraId="170A57BC" w14:textId="77777777" w:rsidTr="00DF0DE7">
        <w:trPr>
          <w:cantSplit/>
        </w:trPr>
        <w:tc>
          <w:tcPr>
            <w:tcW w:w="2621" w:type="dxa"/>
            <w:tcBorders>
              <w:top w:val="single" w:sz="4" w:space="0" w:color="auto"/>
              <w:left w:val="nil"/>
              <w:bottom w:val="single" w:sz="4" w:space="0" w:color="auto"/>
              <w:right w:val="nil"/>
            </w:tcBorders>
            <w:shd w:val="clear" w:color="auto" w:fill="CCECFF"/>
          </w:tcPr>
          <w:p w14:paraId="021FC15D" w14:textId="77777777" w:rsidR="005C5A1B" w:rsidRDefault="005C5A1B" w:rsidP="005C5A1B">
            <w:pPr>
              <w:pStyle w:val="Tabletext"/>
            </w:pPr>
            <w:r>
              <w:t>FSPL</w:t>
            </w:r>
          </w:p>
        </w:tc>
        <w:tc>
          <w:tcPr>
            <w:tcW w:w="1313" w:type="dxa"/>
            <w:tcBorders>
              <w:top w:val="single" w:sz="4" w:space="0" w:color="auto"/>
              <w:left w:val="nil"/>
              <w:bottom w:val="single" w:sz="4" w:space="0" w:color="auto"/>
              <w:right w:val="nil"/>
            </w:tcBorders>
            <w:shd w:val="clear" w:color="auto" w:fill="CCECFF"/>
          </w:tcPr>
          <w:p w14:paraId="1749C7C2" w14:textId="265AB065" w:rsidR="005C5A1B" w:rsidRDefault="00432DB3" w:rsidP="005C5A1B">
            <w:pPr>
              <w:pStyle w:val="Tabletextcentred"/>
            </w:pPr>
            <w:r>
              <w:t>dB</w:t>
            </w:r>
          </w:p>
        </w:tc>
        <w:tc>
          <w:tcPr>
            <w:tcW w:w="1972" w:type="dxa"/>
            <w:tcBorders>
              <w:top w:val="single" w:sz="4" w:space="0" w:color="auto"/>
              <w:left w:val="nil"/>
              <w:bottom w:val="single" w:sz="4" w:space="0" w:color="auto"/>
              <w:right w:val="nil"/>
            </w:tcBorders>
            <w:shd w:val="clear" w:color="auto" w:fill="CCECFF"/>
          </w:tcPr>
          <w:p w14:paraId="04810F16" w14:textId="38BB5570" w:rsidR="005C5A1B" w:rsidRDefault="00E87066" w:rsidP="005C5A1B">
            <w:pPr>
              <w:pStyle w:val="Tabletextcentred"/>
            </w:pPr>
            <w:r>
              <w:t>212.6</w:t>
            </w:r>
          </w:p>
        </w:tc>
        <w:tc>
          <w:tcPr>
            <w:tcW w:w="1973" w:type="dxa"/>
            <w:tcBorders>
              <w:top w:val="single" w:sz="4" w:space="0" w:color="auto"/>
              <w:left w:val="nil"/>
              <w:bottom w:val="single" w:sz="4" w:space="0" w:color="auto"/>
              <w:right w:val="nil"/>
            </w:tcBorders>
            <w:shd w:val="clear" w:color="auto" w:fill="CCECFF"/>
          </w:tcPr>
          <w:p w14:paraId="662C6C8C" w14:textId="32410FC3" w:rsidR="005C5A1B" w:rsidRDefault="00E87066" w:rsidP="005C5A1B">
            <w:pPr>
              <w:pStyle w:val="Tabletextcentred"/>
            </w:pPr>
            <w:r>
              <w:t>212.6</w:t>
            </w:r>
          </w:p>
        </w:tc>
        <w:tc>
          <w:tcPr>
            <w:tcW w:w="1454" w:type="dxa"/>
            <w:tcBorders>
              <w:top w:val="single" w:sz="4" w:space="0" w:color="auto"/>
              <w:left w:val="nil"/>
              <w:bottom w:val="single" w:sz="4" w:space="0" w:color="auto"/>
              <w:right w:val="nil"/>
            </w:tcBorders>
            <w:shd w:val="clear" w:color="auto" w:fill="CCECFF"/>
          </w:tcPr>
          <w:p w14:paraId="514D217B" w14:textId="74CB3A1C" w:rsidR="005C5A1B" w:rsidRDefault="00E87066" w:rsidP="005C5A1B">
            <w:pPr>
              <w:pStyle w:val="Tabletextcentred"/>
            </w:pPr>
            <w:r>
              <w:t>212.6</w:t>
            </w:r>
          </w:p>
        </w:tc>
      </w:tr>
      <w:tr w:rsidR="005C5A1B" w:rsidRPr="005113AA" w14:paraId="3E12144C" w14:textId="77777777" w:rsidTr="00DF0DE7">
        <w:trPr>
          <w:cantSplit/>
        </w:trPr>
        <w:tc>
          <w:tcPr>
            <w:tcW w:w="2621" w:type="dxa"/>
            <w:tcBorders>
              <w:top w:val="single" w:sz="4" w:space="0" w:color="auto"/>
              <w:left w:val="nil"/>
              <w:bottom w:val="single" w:sz="4" w:space="0" w:color="auto"/>
              <w:right w:val="nil"/>
            </w:tcBorders>
          </w:tcPr>
          <w:p w14:paraId="02D477EE" w14:textId="77777777" w:rsidR="005C5A1B" w:rsidRDefault="005C5A1B" w:rsidP="005C5A1B">
            <w:pPr>
              <w:pStyle w:val="Tabletext"/>
            </w:pPr>
            <w:r>
              <w:t>Polarisation loss</w:t>
            </w:r>
          </w:p>
        </w:tc>
        <w:tc>
          <w:tcPr>
            <w:tcW w:w="1313" w:type="dxa"/>
            <w:tcBorders>
              <w:top w:val="single" w:sz="4" w:space="0" w:color="auto"/>
              <w:left w:val="nil"/>
              <w:bottom w:val="single" w:sz="4" w:space="0" w:color="auto"/>
              <w:right w:val="nil"/>
            </w:tcBorders>
          </w:tcPr>
          <w:p w14:paraId="2C099484" w14:textId="1CB16AEA" w:rsidR="005C5A1B" w:rsidRDefault="00432DB3" w:rsidP="005C5A1B">
            <w:pPr>
              <w:pStyle w:val="Tabletextcentred"/>
            </w:pPr>
            <w:r>
              <w:t>dB</w:t>
            </w:r>
          </w:p>
        </w:tc>
        <w:tc>
          <w:tcPr>
            <w:tcW w:w="1972" w:type="dxa"/>
            <w:tcBorders>
              <w:top w:val="single" w:sz="4" w:space="0" w:color="auto"/>
              <w:left w:val="nil"/>
              <w:bottom w:val="single" w:sz="4" w:space="0" w:color="auto"/>
              <w:right w:val="nil"/>
            </w:tcBorders>
          </w:tcPr>
          <w:p w14:paraId="0693687F" w14:textId="163E0E18" w:rsidR="005C5A1B" w:rsidRDefault="00E87066" w:rsidP="005C5A1B">
            <w:pPr>
              <w:pStyle w:val="Tabletextcentred"/>
            </w:pPr>
            <w:r>
              <w:t>3.0</w:t>
            </w:r>
          </w:p>
        </w:tc>
        <w:tc>
          <w:tcPr>
            <w:tcW w:w="1973" w:type="dxa"/>
            <w:tcBorders>
              <w:top w:val="single" w:sz="4" w:space="0" w:color="auto"/>
              <w:left w:val="nil"/>
              <w:bottom w:val="single" w:sz="4" w:space="0" w:color="auto"/>
              <w:right w:val="nil"/>
            </w:tcBorders>
          </w:tcPr>
          <w:p w14:paraId="601C80C3" w14:textId="6B566225" w:rsidR="005C5A1B" w:rsidRDefault="00E87066" w:rsidP="005C5A1B">
            <w:pPr>
              <w:pStyle w:val="Tabletextcentred"/>
            </w:pPr>
            <w:r>
              <w:t>0.0</w:t>
            </w:r>
          </w:p>
        </w:tc>
        <w:tc>
          <w:tcPr>
            <w:tcW w:w="1454" w:type="dxa"/>
            <w:tcBorders>
              <w:top w:val="single" w:sz="4" w:space="0" w:color="auto"/>
              <w:left w:val="nil"/>
              <w:bottom w:val="single" w:sz="4" w:space="0" w:color="auto"/>
              <w:right w:val="nil"/>
            </w:tcBorders>
          </w:tcPr>
          <w:p w14:paraId="4084B49F" w14:textId="61AC93E9" w:rsidR="005C5A1B" w:rsidRDefault="00E87066" w:rsidP="005C5A1B">
            <w:pPr>
              <w:pStyle w:val="Tabletextcentred"/>
            </w:pPr>
            <w:r>
              <w:t>0.0</w:t>
            </w:r>
          </w:p>
        </w:tc>
      </w:tr>
      <w:tr w:rsidR="005C5A1B" w:rsidRPr="005113AA" w14:paraId="15D0E5FF" w14:textId="77777777" w:rsidTr="00DF0DE7">
        <w:trPr>
          <w:cantSplit/>
        </w:trPr>
        <w:tc>
          <w:tcPr>
            <w:tcW w:w="2621" w:type="dxa"/>
            <w:tcBorders>
              <w:top w:val="single" w:sz="4" w:space="0" w:color="auto"/>
              <w:left w:val="nil"/>
              <w:bottom w:val="single" w:sz="4" w:space="0" w:color="auto"/>
              <w:right w:val="nil"/>
            </w:tcBorders>
          </w:tcPr>
          <w:p w14:paraId="56A18DF6" w14:textId="77777777" w:rsidR="005C5A1B" w:rsidRDefault="005C5A1B" w:rsidP="005C5A1B">
            <w:pPr>
              <w:pStyle w:val="Tabletext"/>
            </w:pPr>
            <w:r>
              <w:t>Body loss (for UE only)</w:t>
            </w:r>
          </w:p>
        </w:tc>
        <w:tc>
          <w:tcPr>
            <w:tcW w:w="1313" w:type="dxa"/>
            <w:tcBorders>
              <w:top w:val="single" w:sz="4" w:space="0" w:color="auto"/>
              <w:left w:val="nil"/>
              <w:bottom w:val="single" w:sz="4" w:space="0" w:color="auto"/>
              <w:right w:val="nil"/>
            </w:tcBorders>
          </w:tcPr>
          <w:p w14:paraId="0ECFF4DB" w14:textId="4BF27611" w:rsidR="005C5A1B" w:rsidRDefault="00E87066" w:rsidP="005C5A1B">
            <w:pPr>
              <w:pStyle w:val="Tabletextcentred"/>
            </w:pPr>
            <w:r>
              <w:t>dB</w:t>
            </w:r>
          </w:p>
        </w:tc>
        <w:tc>
          <w:tcPr>
            <w:tcW w:w="1972" w:type="dxa"/>
            <w:tcBorders>
              <w:top w:val="single" w:sz="4" w:space="0" w:color="auto"/>
              <w:left w:val="nil"/>
              <w:bottom w:val="single" w:sz="4" w:space="0" w:color="auto"/>
              <w:right w:val="nil"/>
            </w:tcBorders>
          </w:tcPr>
          <w:p w14:paraId="5AF12AE8" w14:textId="4DF75B38" w:rsidR="005C5A1B" w:rsidRDefault="00E87066" w:rsidP="005C5A1B">
            <w:pPr>
              <w:pStyle w:val="Tabletextcentred"/>
            </w:pPr>
            <w:r>
              <w:t>0.0</w:t>
            </w:r>
          </w:p>
        </w:tc>
        <w:tc>
          <w:tcPr>
            <w:tcW w:w="1973" w:type="dxa"/>
            <w:tcBorders>
              <w:top w:val="single" w:sz="4" w:space="0" w:color="auto"/>
              <w:left w:val="nil"/>
              <w:bottom w:val="single" w:sz="4" w:space="0" w:color="auto"/>
              <w:right w:val="nil"/>
            </w:tcBorders>
          </w:tcPr>
          <w:p w14:paraId="7107ECB5" w14:textId="003C692D" w:rsidR="005C5A1B" w:rsidRDefault="00E87066" w:rsidP="005C5A1B">
            <w:pPr>
              <w:pStyle w:val="Tabletextcentred"/>
            </w:pPr>
            <w:r>
              <w:t>0.0</w:t>
            </w:r>
          </w:p>
        </w:tc>
        <w:tc>
          <w:tcPr>
            <w:tcW w:w="1454" w:type="dxa"/>
            <w:tcBorders>
              <w:top w:val="single" w:sz="4" w:space="0" w:color="auto"/>
              <w:left w:val="nil"/>
              <w:bottom w:val="single" w:sz="4" w:space="0" w:color="auto"/>
              <w:right w:val="nil"/>
            </w:tcBorders>
          </w:tcPr>
          <w:p w14:paraId="5810C135" w14:textId="35B86EDD" w:rsidR="005C5A1B" w:rsidRDefault="00E87066" w:rsidP="005C5A1B">
            <w:pPr>
              <w:pStyle w:val="Tabletextcentred"/>
            </w:pPr>
            <w:r>
              <w:t>0.0</w:t>
            </w:r>
          </w:p>
        </w:tc>
      </w:tr>
      <w:tr w:rsidR="005C5A1B" w:rsidRPr="005113AA" w14:paraId="48002E44" w14:textId="77777777" w:rsidTr="00DF0DE7">
        <w:trPr>
          <w:cantSplit/>
        </w:trPr>
        <w:tc>
          <w:tcPr>
            <w:tcW w:w="2621" w:type="dxa"/>
            <w:tcBorders>
              <w:top w:val="single" w:sz="4" w:space="0" w:color="auto"/>
              <w:left w:val="nil"/>
              <w:bottom w:val="single" w:sz="4" w:space="0" w:color="auto"/>
              <w:right w:val="nil"/>
            </w:tcBorders>
          </w:tcPr>
          <w:p w14:paraId="0A143604" w14:textId="77777777" w:rsidR="005C5A1B" w:rsidRDefault="005C5A1B" w:rsidP="005C5A1B">
            <w:pPr>
              <w:pStyle w:val="Tablerowcolumnheading"/>
            </w:pPr>
            <w:r>
              <w:t>EIRP towards satellite</w:t>
            </w:r>
          </w:p>
        </w:tc>
        <w:tc>
          <w:tcPr>
            <w:tcW w:w="1313" w:type="dxa"/>
            <w:tcBorders>
              <w:top w:val="single" w:sz="4" w:space="0" w:color="auto"/>
              <w:left w:val="nil"/>
              <w:bottom w:val="single" w:sz="4" w:space="0" w:color="auto"/>
              <w:right w:val="nil"/>
            </w:tcBorders>
          </w:tcPr>
          <w:p w14:paraId="4468EAC7" w14:textId="77777777" w:rsidR="005C5A1B" w:rsidRDefault="005C5A1B" w:rsidP="005C5A1B">
            <w:pPr>
              <w:pStyle w:val="Tabletextcentred"/>
            </w:pPr>
          </w:p>
        </w:tc>
        <w:tc>
          <w:tcPr>
            <w:tcW w:w="1972" w:type="dxa"/>
            <w:tcBorders>
              <w:top w:val="single" w:sz="4" w:space="0" w:color="auto"/>
              <w:left w:val="nil"/>
              <w:bottom w:val="single" w:sz="4" w:space="0" w:color="auto"/>
              <w:right w:val="nil"/>
            </w:tcBorders>
          </w:tcPr>
          <w:p w14:paraId="0803BE65" w14:textId="77777777" w:rsidR="005C5A1B" w:rsidRDefault="005C5A1B" w:rsidP="005C5A1B">
            <w:pPr>
              <w:pStyle w:val="Tabletextcentred"/>
            </w:pPr>
          </w:p>
        </w:tc>
        <w:tc>
          <w:tcPr>
            <w:tcW w:w="1973" w:type="dxa"/>
            <w:tcBorders>
              <w:top w:val="single" w:sz="4" w:space="0" w:color="auto"/>
              <w:left w:val="nil"/>
              <w:bottom w:val="single" w:sz="4" w:space="0" w:color="auto"/>
              <w:right w:val="nil"/>
            </w:tcBorders>
          </w:tcPr>
          <w:p w14:paraId="12ABE3F6" w14:textId="77777777" w:rsidR="005C5A1B" w:rsidRDefault="005C5A1B" w:rsidP="005C5A1B">
            <w:pPr>
              <w:pStyle w:val="Tabletextcentred"/>
            </w:pPr>
          </w:p>
        </w:tc>
        <w:tc>
          <w:tcPr>
            <w:tcW w:w="1454" w:type="dxa"/>
            <w:tcBorders>
              <w:top w:val="single" w:sz="4" w:space="0" w:color="auto"/>
              <w:left w:val="nil"/>
              <w:bottom w:val="single" w:sz="4" w:space="0" w:color="auto"/>
              <w:right w:val="nil"/>
            </w:tcBorders>
          </w:tcPr>
          <w:p w14:paraId="675521D7" w14:textId="77777777" w:rsidR="005C5A1B" w:rsidRDefault="005C5A1B" w:rsidP="005C5A1B">
            <w:pPr>
              <w:pStyle w:val="Tabletextcentred"/>
            </w:pPr>
          </w:p>
        </w:tc>
      </w:tr>
      <w:tr w:rsidR="005C5A1B" w:rsidRPr="005113AA" w14:paraId="5394DE71" w14:textId="77777777" w:rsidTr="00DF0DE7">
        <w:trPr>
          <w:cantSplit/>
        </w:trPr>
        <w:tc>
          <w:tcPr>
            <w:tcW w:w="2621" w:type="dxa"/>
            <w:tcBorders>
              <w:top w:val="single" w:sz="4" w:space="0" w:color="auto"/>
              <w:left w:val="nil"/>
              <w:bottom w:val="single" w:sz="4" w:space="0" w:color="auto"/>
              <w:right w:val="nil"/>
            </w:tcBorders>
          </w:tcPr>
          <w:p w14:paraId="49FBB587" w14:textId="77777777" w:rsidR="005C5A1B" w:rsidRDefault="005C5A1B" w:rsidP="005C5A1B">
            <w:pPr>
              <w:pStyle w:val="Tabletext"/>
            </w:pPr>
            <w:r>
              <w:t xml:space="preserve">IMT BS TX </w:t>
            </w:r>
            <w:proofErr w:type="spellStart"/>
            <w:r>
              <w:t>Downtilt</w:t>
            </w:r>
            <w:proofErr w:type="spellEnd"/>
          </w:p>
        </w:tc>
        <w:tc>
          <w:tcPr>
            <w:tcW w:w="1313" w:type="dxa"/>
            <w:tcBorders>
              <w:top w:val="single" w:sz="4" w:space="0" w:color="auto"/>
              <w:left w:val="nil"/>
              <w:bottom w:val="single" w:sz="4" w:space="0" w:color="auto"/>
              <w:right w:val="nil"/>
            </w:tcBorders>
          </w:tcPr>
          <w:p w14:paraId="586FD92D" w14:textId="1B103351" w:rsidR="005C5A1B" w:rsidRDefault="00432DB3" w:rsidP="005C5A1B">
            <w:pPr>
              <w:pStyle w:val="Tabletextcentred"/>
            </w:pPr>
            <w:r>
              <w:t>degrees</w:t>
            </w:r>
          </w:p>
        </w:tc>
        <w:tc>
          <w:tcPr>
            <w:tcW w:w="1972" w:type="dxa"/>
            <w:tcBorders>
              <w:top w:val="single" w:sz="4" w:space="0" w:color="auto"/>
              <w:left w:val="nil"/>
              <w:bottom w:val="single" w:sz="4" w:space="0" w:color="auto"/>
              <w:right w:val="nil"/>
            </w:tcBorders>
          </w:tcPr>
          <w:p w14:paraId="55EB8B15" w14:textId="0D6FAC82" w:rsidR="005C5A1B" w:rsidRDefault="00E87066" w:rsidP="005C5A1B">
            <w:pPr>
              <w:pStyle w:val="Tabletextcentred"/>
            </w:pPr>
            <w:r>
              <w:t>10.0</w:t>
            </w:r>
          </w:p>
        </w:tc>
        <w:tc>
          <w:tcPr>
            <w:tcW w:w="1973" w:type="dxa"/>
            <w:tcBorders>
              <w:top w:val="single" w:sz="4" w:space="0" w:color="auto"/>
              <w:left w:val="nil"/>
              <w:bottom w:val="single" w:sz="4" w:space="0" w:color="auto"/>
              <w:right w:val="nil"/>
            </w:tcBorders>
          </w:tcPr>
          <w:p w14:paraId="48438882" w14:textId="79DD5023" w:rsidR="005C5A1B" w:rsidRDefault="00E87066" w:rsidP="005C5A1B">
            <w:pPr>
              <w:pStyle w:val="Tabletextcentred"/>
            </w:pPr>
            <w:r>
              <w:t>10.0</w:t>
            </w:r>
          </w:p>
        </w:tc>
        <w:tc>
          <w:tcPr>
            <w:tcW w:w="1454" w:type="dxa"/>
            <w:tcBorders>
              <w:top w:val="single" w:sz="4" w:space="0" w:color="auto"/>
              <w:left w:val="nil"/>
              <w:bottom w:val="single" w:sz="4" w:space="0" w:color="auto"/>
              <w:right w:val="nil"/>
            </w:tcBorders>
          </w:tcPr>
          <w:p w14:paraId="61D8C1EF" w14:textId="02A348AD" w:rsidR="005C5A1B" w:rsidRDefault="00E87066" w:rsidP="005C5A1B">
            <w:pPr>
              <w:pStyle w:val="Tabletextcentred"/>
            </w:pPr>
            <w:r>
              <w:t>10.0</w:t>
            </w:r>
          </w:p>
        </w:tc>
      </w:tr>
      <w:tr w:rsidR="005C5A1B" w:rsidRPr="005113AA" w14:paraId="138AD6CE" w14:textId="77777777" w:rsidTr="00DF0DE7">
        <w:trPr>
          <w:cantSplit/>
        </w:trPr>
        <w:tc>
          <w:tcPr>
            <w:tcW w:w="2621" w:type="dxa"/>
            <w:tcBorders>
              <w:top w:val="single" w:sz="4" w:space="0" w:color="auto"/>
              <w:left w:val="nil"/>
              <w:bottom w:val="single" w:sz="4" w:space="0" w:color="auto"/>
              <w:right w:val="nil"/>
            </w:tcBorders>
          </w:tcPr>
          <w:p w14:paraId="11266F1E" w14:textId="77777777" w:rsidR="005C5A1B" w:rsidRDefault="005C5A1B" w:rsidP="005C5A1B">
            <w:pPr>
              <w:pStyle w:val="Tabletext"/>
            </w:pPr>
            <w:r>
              <w:t>IMT BS Ant Element Gain</w:t>
            </w:r>
          </w:p>
        </w:tc>
        <w:tc>
          <w:tcPr>
            <w:tcW w:w="1313" w:type="dxa"/>
            <w:tcBorders>
              <w:top w:val="single" w:sz="4" w:space="0" w:color="auto"/>
              <w:left w:val="nil"/>
              <w:bottom w:val="single" w:sz="4" w:space="0" w:color="auto"/>
              <w:right w:val="nil"/>
            </w:tcBorders>
          </w:tcPr>
          <w:p w14:paraId="0A81921E" w14:textId="11BB7959" w:rsidR="005C5A1B" w:rsidRDefault="00432DB3" w:rsidP="005C5A1B">
            <w:pPr>
              <w:pStyle w:val="Tabletextcentred"/>
            </w:pPr>
            <w:proofErr w:type="spellStart"/>
            <w:r>
              <w:t>dBi</w:t>
            </w:r>
            <w:proofErr w:type="spellEnd"/>
          </w:p>
        </w:tc>
        <w:tc>
          <w:tcPr>
            <w:tcW w:w="1972" w:type="dxa"/>
            <w:tcBorders>
              <w:top w:val="single" w:sz="4" w:space="0" w:color="auto"/>
              <w:left w:val="nil"/>
              <w:bottom w:val="single" w:sz="4" w:space="0" w:color="auto"/>
              <w:right w:val="nil"/>
            </w:tcBorders>
          </w:tcPr>
          <w:p w14:paraId="27CF2F90" w14:textId="3BBFFB40" w:rsidR="005C5A1B" w:rsidRDefault="00E87066" w:rsidP="005C5A1B">
            <w:pPr>
              <w:pStyle w:val="Tabletextcentred"/>
            </w:pPr>
            <w:r>
              <w:t>5.0</w:t>
            </w:r>
          </w:p>
        </w:tc>
        <w:tc>
          <w:tcPr>
            <w:tcW w:w="1973" w:type="dxa"/>
            <w:tcBorders>
              <w:top w:val="single" w:sz="4" w:space="0" w:color="auto"/>
              <w:left w:val="nil"/>
              <w:bottom w:val="single" w:sz="4" w:space="0" w:color="auto"/>
              <w:right w:val="nil"/>
            </w:tcBorders>
          </w:tcPr>
          <w:p w14:paraId="526076A9" w14:textId="6063A723" w:rsidR="005C5A1B" w:rsidRDefault="00E87066" w:rsidP="005C5A1B">
            <w:pPr>
              <w:pStyle w:val="Tabletextcentred"/>
            </w:pPr>
            <w:r>
              <w:t>5.0</w:t>
            </w:r>
          </w:p>
        </w:tc>
        <w:tc>
          <w:tcPr>
            <w:tcW w:w="1454" w:type="dxa"/>
            <w:tcBorders>
              <w:top w:val="single" w:sz="4" w:space="0" w:color="auto"/>
              <w:left w:val="nil"/>
              <w:bottom w:val="single" w:sz="4" w:space="0" w:color="auto"/>
              <w:right w:val="nil"/>
            </w:tcBorders>
          </w:tcPr>
          <w:p w14:paraId="59B518F2" w14:textId="01D03930" w:rsidR="005C5A1B" w:rsidRDefault="00E87066" w:rsidP="005C5A1B">
            <w:pPr>
              <w:pStyle w:val="Tabletextcentred"/>
            </w:pPr>
            <w:r>
              <w:t>5.0</w:t>
            </w:r>
          </w:p>
        </w:tc>
      </w:tr>
      <w:tr w:rsidR="005C5A1B" w:rsidRPr="005113AA" w14:paraId="53030E30" w14:textId="77777777" w:rsidTr="00DF0DE7">
        <w:trPr>
          <w:cantSplit/>
        </w:trPr>
        <w:tc>
          <w:tcPr>
            <w:tcW w:w="2621" w:type="dxa"/>
            <w:tcBorders>
              <w:top w:val="single" w:sz="4" w:space="0" w:color="auto"/>
              <w:left w:val="nil"/>
              <w:bottom w:val="single" w:sz="4" w:space="0" w:color="auto"/>
              <w:right w:val="nil"/>
            </w:tcBorders>
          </w:tcPr>
          <w:p w14:paraId="505F5CF9" w14:textId="77777777" w:rsidR="005C5A1B" w:rsidRDefault="005C5A1B" w:rsidP="005C5A1B">
            <w:pPr>
              <w:pStyle w:val="Tabletext"/>
            </w:pPr>
            <w:r>
              <w:t>IMT BS No of Ant Elements</w:t>
            </w:r>
          </w:p>
        </w:tc>
        <w:tc>
          <w:tcPr>
            <w:tcW w:w="1313" w:type="dxa"/>
            <w:tcBorders>
              <w:top w:val="single" w:sz="4" w:space="0" w:color="auto"/>
              <w:left w:val="nil"/>
              <w:bottom w:val="single" w:sz="4" w:space="0" w:color="auto"/>
              <w:right w:val="nil"/>
            </w:tcBorders>
          </w:tcPr>
          <w:p w14:paraId="757EA8E0" w14:textId="1AC94E07" w:rsidR="005C5A1B" w:rsidRDefault="00432DB3" w:rsidP="005C5A1B">
            <w:pPr>
              <w:pStyle w:val="Tabletextcentred"/>
            </w:pPr>
            <w:r>
              <w:t>8x8</w:t>
            </w:r>
          </w:p>
        </w:tc>
        <w:tc>
          <w:tcPr>
            <w:tcW w:w="1972" w:type="dxa"/>
            <w:tcBorders>
              <w:top w:val="single" w:sz="4" w:space="0" w:color="auto"/>
              <w:left w:val="nil"/>
              <w:bottom w:val="single" w:sz="4" w:space="0" w:color="auto"/>
              <w:right w:val="nil"/>
            </w:tcBorders>
          </w:tcPr>
          <w:p w14:paraId="17219336" w14:textId="5E1C632C" w:rsidR="005C5A1B" w:rsidRDefault="00E87066" w:rsidP="005C5A1B">
            <w:pPr>
              <w:pStyle w:val="Tabletextcentred"/>
            </w:pPr>
            <w:r>
              <w:t>64.0</w:t>
            </w:r>
          </w:p>
        </w:tc>
        <w:tc>
          <w:tcPr>
            <w:tcW w:w="1973" w:type="dxa"/>
            <w:tcBorders>
              <w:top w:val="single" w:sz="4" w:space="0" w:color="auto"/>
              <w:left w:val="nil"/>
              <w:bottom w:val="single" w:sz="4" w:space="0" w:color="auto"/>
              <w:right w:val="nil"/>
            </w:tcBorders>
          </w:tcPr>
          <w:p w14:paraId="7E193F94" w14:textId="7B380C68" w:rsidR="005C5A1B" w:rsidRDefault="00E87066" w:rsidP="005C5A1B">
            <w:pPr>
              <w:pStyle w:val="Tabletextcentred"/>
            </w:pPr>
            <w:r>
              <w:t>64.0</w:t>
            </w:r>
          </w:p>
        </w:tc>
        <w:tc>
          <w:tcPr>
            <w:tcW w:w="1454" w:type="dxa"/>
            <w:tcBorders>
              <w:top w:val="single" w:sz="4" w:space="0" w:color="auto"/>
              <w:left w:val="nil"/>
              <w:bottom w:val="single" w:sz="4" w:space="0" w:color="auto"/>
              <w:right w:val="nil"/>
            </w:tcBorders>
          </w:tcPr>
          <w:p w14:paraId="29A8FD1D" w14:textId="2B5F5863" w:rsidR="005C5A1B" w:rsidRDefault="00E87066" w:rsidP="005C5A1B">
            <w:pPr>
              <w:pStyle w:val="Tabletextcentred"/>
            </w:pPr>
            <w:r>
              <w:t>64.0</w:t>
            </w:r>
          </w:p>
        </w:tc>
      </w:tr>
      <w:tr w:rsidR="005C5A1B" w:rsidRPr="005113AA" w14:paraId="67FA996F" w14:textId="77777777" w:rsidTr="00DF0DE7">
        <w:trPr>
          <w:cantSplit/>
        </w:trPr>
        <w:tc>
          <w:tcPr>
            <w:tcW w:w="2621" w:type="dxa"/>
            <w:tcBorders>
              <w:top w:val="single" w:sz="4" w:space="0" w:color="auto"/>
              <w:left w:val="nil"/>
              <w:bottom w:val="single" w:sz="4" w:space="0" w:color="auto"/>
              <w:right w:val="nil"/>
            </w:tcBorders>
          </w:tcPr>
          <w:p w14:paraId="37441A4F" w14:textId="77777777" w:rsidR="005C5A1B" w:rsidRDefault="005C5A1B" w:rsidP="005C5A1B">
            <w:pPr>
              <w:pStyle w:val="Tabletext"/>
            </w:pPr>
            <w:r>
              <w:t xml:space="preserve">IMT BS Array </w:t>
            </w:r>
            <w:proofErr w:type="spellStart"/>
            <w:r>
              <w:t>Ohmic</w:t>
            </w:r>
            <w:proofErr w:type="spellEnd"/>
            <w:r>
              <w:t xml:space="preserve"> Loss</w:t>
            </w:r>
          </w:p>
        </w:tc>
        <w:tc>
          <w:tcPr>
            <w:tcW w:w="1313" w:type="dxa"/>
            <w:tcBorders>
              <w:top w:val="single" w:sz="4" w:space="0" w:color="auto"/>
              <w:left w:val="nil"/>
              <w:bottom w:val="single" w:sz="4" w:space="0" w:color="auto"/>
              <w:right w:val="nil"/>
            </w:tcBorders>
          </w:tcPr>
          <w:p w14:paraId="4AB21E7E" w14:textId="5FA0A76C" w:rsidR="005C5A1B" w:rsidRDefault="00432DB3" w:rsidP="005C5A1B">
            <w:pPr>
              <w:pStyle w:val="Tabletextcentred"/>
            </w:pPr>
            <w:r>
              <w:t>dB</w:t>
            </w:r>
          </w:p>
        </w:tc>
        <w:tc>
          <w:tcPr>
            <w:tcW w:w="1972" w:type="dxa"/>
            <w:tcBorders>
              <w:top w:val="single" w:sz="4" w:space="0" w:color="auto"/>
              <w:left w:val="nil"/>
              <w:bottom w:val="single" w:sz="4" w:space="0" w:color="auto"/>
              <w:right w:val="nil"/>
            </w:tcBorders>
          </w:tcPr>
          <w:p w14:paraId="2E48A0CA" w14:textId="298C1710" w:rsidR="005C5A1B" w:rsidRDefault="00E87066" w:rsidP="005C5A1B">
            <w:pPr>
              <w:pStyle w:val="Tabletextcentred"/>
            </w:pPr>
            <w:r>
              <w:t>3.0</w:t>
            </w:r>
          </w:p>
        </w:tc>
        <w:tc>
          <w:tcPr>
            <w:tcW w:w="1973" w:type="dxa"/>
            <w:tcBorders>
              <w:top w:val="single" w:sz="4" w:space="0" w:color="auto"/>
              <w:left w:val="nil"/>
              <w:bottom w:val="single" w:sz="4" w:space="0" w:color="auto"/>
              <w:right w:val="nil"/>
            </w:tcBorders>
          </w:tcPr>
          <w:p w14:paraId="334D3721" w14:textId="773EF3AA" w:rsidR="005C5A1B" w:rsidRDefault="00E87066" w:rsidP="005C5A1B">
            <w:pPr>
              <w:pStyle w:val="Tabletextcentred"/>
            </w:pPr>
            <w:r>
              <w:t>3.0</w:t>
            </w:r>
          </w:p>
        </w:tc>
        <w:tc>
          <w:tcPr>
            <w:tcW w:w="1454" w:type="dxa"/>
            <w:tcBorders>
              <w:top w:val="single" w:sz="4" w:space="0" w:color="auto"/>
              <w:left w:val="nil"/>
              <w:bottom w:val="single" w:sz="4" w:space="0" w:color="auto"/>
              <w:right w:val="nil"/>
            </w:tcBorders>
          </w:tcPr>
          <w:p w14:paraId="3448CD59" w14:textId="64983647" w:rsidR="005C5A1B" w:rsidRDefault="00E87066" w:rsidP="005C5A1B">
            <w:pPr>
              <w:pStyle w:val="Tabletextcentred"/>
            </w:pPr>
            <w:r>
              <w:t>3.0</w:t>
            </w:r>
          </w:p>
        </w:tc>
      </w:tr>
      <w:tr w:rsidR="005C5A1B" w:rsidRPr="005113AA" w14:paraId="799A8CF9" w14:textId="77777777" w:rsidTr="00DF0DE7">
        <w:trPr>
          <w:cantSplit/>
        </w:trPr>
        <w:tc>
          <w:tcPr>
            <w:tcW w:w="2621" w:type="dxa"/>
            <w:tcBorders>
              <w:top w:val="single" w:sz="4" w:space="0" w:color="auto"/>
              <w:left w:val="nil"/>
              <w:bottom w:val="single" w:sz="4" w:space="0" w:color="auto"/>
              <w:right w:val="nil"/>
            </w:tcBorders>
          </w:tcPr>
          <w:p w14:paraId="13DD29D1" w14:textId="77777777" w:rsidR="005C5A1B" w:rsidRDefault="005C5A1B" w:rsidP="005C5A1B">
            <w:pPr>
              <w:pStyle w:val="Tabletext"/>
            </w:pPr>
            <w:r>
              <w:t xml:space="preserve">IMT BS Conducted Power per Element before </w:t>
            </w:r>
            <w:proofErr w:type="spellStart"/>
            <w:r>
              <w:t>Ohmic</w:t>
            </w:r>
            <w:proofErr w:type="spellEnd"/>
            <w:r>
              <w:t xml:space="preserve"> Loss</w:t>
            </w:r>
          </w:p>
        </w:tc>
        <w:tc>
          <w:tcPr>
            <w:tcW w:w="1313" w:type="dxa"/>
            <w:tcBorders>
              <w:top w:val="single" w:sz="4" w:space="0" w:color="auto"/>
              <w:left w:val="nil"/>
              <w:bottom w:val="single" w:sz="4" w:space="0" w:color="auto"/>
              <w:right w:val="nil"/>
            </w:tcBorders>
          </w:tcPr>
          <w:p w14:paraId="2699FF62" w14:textId="77777777" w:rsidR="005C5A1B" w:rsidRDefault="005C5A1B" w:rsidP="005C5A1B">
            <w:pPr>
              <w:pStyle w:val="Tabletextcentred"/>
            </w:pPr>
            <w:proofErr w:type="spellStart"/>
            <w:r>
              <w:t>dBm</w:t>
            </w:r>
            <w:proofErr w:type="spellEnd"/>
            <w:r>
              <w:t>/200MHz</w:t>
            </w:r>
          </w:p>
        </w:tc>
        <w:tc>
          <w:tcPr>
            <w:tcW w:w="1972" w:type="dxa"/>
            <w:tcBorders>
              <w:top w:val="single" w:sz="4" w:space="0" w:color="auto"/>
              <w:left w:val="nil"/>
              <w:bottom w:val="single" w:sz="4" w:space="0" w:color="auto"/>
              <w:right w:val="nil"/>
            </w:tcBorders>
          </w:tcPr>
          <w:p w14:paraId="7CE71EE0" w14:textId="77777777" w:rsidR="005C5A1B" w:rsidRDefault="005C5A1B" w:rsidP="005C5A1B">
            <w:pPr>
              <w:pStyle w:val="Tabletextcentred"/>
            </w:pPr>
            <w:r>
              <w:t>2.0</w:t>
            </w:r>
          </w:p>
        </w:tc>
        <w:tc>
          <w:tcPr>
            <w:tcW w:w="1973" w:type="dxa"/>
            <w:tcBorders>
              <w:top w:val="single" w:sz="4" w:space="0" w:color="auto"/>
              <w:left w:val="nil"/>
              <w:bottom w:val="single" w:sz="4" w:space="0" w:color="auto"/>
              <w:right w:val="nil"/>
            </w:tcBorders>
            <w:shd w:val="clear" w:color="auto" w:fill="FFE699"/>
          </w:tcPr>
          <w:p w14:paraId="49987421" w14:textId="77777777" w:rsidR="005C5A1B" w:rsidRDefault="005C5A1B" w:rsidP="005C5A1B">
            <w:pPr>
              <w:pStyle w:val="Tabletextcentred"/>
            </w:pPr>
            <w:r>
              <w:t>10.0</w:t>
            </w:r>
          </w:p>
        </w:tc>
        <w:tc>
          <w:tcPr>
            <w:tcW w:w="1454" w:type="dxa"/>
            <w:tcBorders>
              <w:top w:val="single" w:sz="4" w:space="0" w:color="auto"/>
              <w:left w:val="nil"/>
              <w:bottom w:val="single" w:sz="4" w:space="0" w:color="auto"/>
              <w:right w:val="nil"/>
            </w:tcBorders>
            <w:shd w:val="clear" w:color="auto" w:fill="FFE699"/>
          </w:tcPr>
          <w:p w14:paraId="78AC0075" w14:textId="77777777" w:rsidR="005C5A1B" w:rsidRDefault="005C5A1B" w:rsidP="005C5A1B">
            <w:pPr>
              <w:pStyle w:val="Tabletextcentred"/>
            </w:pPr>
            <w:r>
              <w:t>10.0</w:t>
            </w:r>
          </w:p>
        </w:tc>
      </w:tr>
      <w:tr w:rsidR="005C5A1B" w:rsidRPr="005113AA" w14:paraId="27D2E5E1" w14:textId="77777777" w:rsidTr="00DF0DE7">
        <w:trPr>
          <w:cantSplit/>
        </w:trPr>
        <w:tc>
          <w:tcPr>
            <w:tcW w:w="2621" w:type="dxa"/>
            <w:tcBorders>
              <w:top w:val="single" w:sz="4" w:space="0" w:color="auto"/>
              <w:left w:val="nil"/>
              <w:bottom w:val="single" w:sz="4" w:space="0" w:color="auto"/>
              <w:right w:val="nil"/>
            </w:tcBorders>
          </w:tcPr>
          <w:p w14:paraId="391F320E" w14:textId="77777777" w:rsidR="005C5A1B" w:rsidRDefault="005C5A1B" w:rsidP="005C5A1B">
            <w:pPr>
              <w:pStyle w:val="Tabletext"/>
            </w:pPr>
            <w:r>
              <w:t xml:space="preserve">IMT BS Conducted Power per Element before </w:t>
            </w:r>
            <w:proofErr w:type="spellStart"/>
            <w:r>
              <w:t>Ohmic</w:t>
            </w:r>
            <w:proofErr w:type="spellEnd"/>
            <w:r>
              <w:t xml:space="preserve"> Loss</w:t>
            </w:r>
          </w:p>
        </w:tc>
        <w:tc>
          <w:tcPr>
            <w:tcW w:w="1313" w:type="dxa"/>
            <w:tcBorders>
              <w:top w:val="single" w:sz="4" w:space="0" w:color="auto"/>
              <w:left w:val="nil"/>
              <w:bottom w:val="single" w:sz="4" w:space="0" w:color="auto"/>
              <w:right w:val="nil"/>
            </w:tcBorders>
          </w:tcPr>
          <w:p w14:paraId="7CD017D4" w14:textId="1B0284CD" w:rsidR="005C5A1B" w:rsidRDefault="00432DB3" w:rsidP="005C5A1B">
            <w:pPr>
              <w:pStyle w:val="Tabletextcentred"/>
            </w:pPr>
            <w:proofErr w:type="spellStart"/>
            <w:r>
              <w:t>dBW</w:t>
            </w:r>
            <w:proofErr w:type="spellEnd"/>
            <w:r>
              <w:t>/MHz</w:t>
            </w:r>
          </w:p>
        </w:tc>
        <w:tc>
          <w:tcPr>
            <w:tcW w:w="1972" w:type="dxa"/>
            <w:tcBorders>
              <w:top w:val="single" w:sz="4" w:space="0" w:color="auto"/>
              <w:left w:val="nil"/>
              <w:bottom w:val="single" w:sz="4" w:space="0" w:color="auto"/>
              <w:right w:val="nil"/>
            </w:tcBorders>
          </w:tcPr>
          <w:p w14:paraId="562F0A90" w14:textId="1C053BC5" w:rsidR="005C5A1B" w:rsidRDefault="00E87066" w:rsidP="005C5A1B">
            <w:pPr>
              <w:pStyle w:val="Tabletextcentred"/>
            </w:pPr>
            <w:r>
              <w:t>-51.0</w:t>
            </w:r>
          </w:p>
        </w:tc>
        <w:tc>
          <w:tcPr>
            <w:tcW w:w="1973" w:type="dxa"/>
            <w:tcBorders>
              <w:top w:val="single" w:sz="4" w:space="0" w:color="auto"/>
              <w:left w:val="nil"/>
              <w:bottom w:val="single" w:sz="4" w:space="0" w:color="auto"/>
              <w:right w:val="nil"/>
            </w:tcBorders>
          </w:tcPr>
          <w:p w14:paraId="65B51B8A" w14:textId="228AAD82" w:rsidR="005C5A1B" w:rsidRDefault="00E87066" w:rsidP="005C5A1B">
            <w:pPr>
              <w:pStyle w:val="Tabletextcentred"/>
            </w:pPr>
            <w:r>
              <w:t>-43.-</w:t>
            </w:r>
          </w:p>
        </w:tc>
        <w:tc>
          <w:tcPr>
            <w:tcW w:w="1454" w:type="dxa"/>
            <w:tcBorders>
              <w:top w:val="single" w:sz="4" w:space="0" w:color="auto"/>
              <w:left w:val="nil"/>
              <w:bottom w:val="single" w:sz="4" w:space="0" w:color="auto"/>
              <w:right w:val="nil"/>
            </w:tcBorders>
          </w:tcPr>
          <w:p w14:paraId="6FEE662E" w14:textId="4747AA6F" w:rsidR="005C5A1B" w:rsidRDefault="00E87066" w:rsidP="005C5A1B">
            <w:pPr>
              <w:pStyle w:val="Tabletextcentred"/>
            </w:pPr>
            <w:r>
              <w:t>-43.0</w:t>
            </w:r>
          </w:p>
        </w:tc>
      </w:tr>
      <w:tr w:rsidR="005C5A1B" w:rsidRPr="005113AA" w14:paraId="7AC942BA" w14:textId="77777777" w:rsidTr="00DF0DE7">
        <w:trPr>
          <w:cantSplit/>
        </w:trPr>
        <w:tc>
          <w:tcPr>
            <w:tcW w:w="2621" w:type="dxa"/>
            <w:tcBorders>
              <w:top w:val="single" w:sz="4" w:space="0" w:color="auto"/>
              <w:left w:val="nil"/>
              <w:bottom w:val="single" w:sz="4" w:space="0" w:color="auto"/>
              <w:right w:val="nil"/>
            </w:tcBorders>
          </w:tcPr>
          <w:p w14:paraId="3BD78F59" w14:textId="77777777" w:rsidR="005C5A1B" w:rsidRDefault="005C5A1B" w:rsidP="005C5A1B">
            <w:pPr>
              <w:pStyle w:val="Tabletext"/>
            </w:pPr>
            <w:r>
              <w:t>IMT BS Off-axis Relative Gain (Assumed)</w:t>
            </w:r>
          </w:p>
        </w:tc>
        <w:tc>
          <w:tcPr>
            <w:tcW w:w="1313" w:type="dxa"/>
            <w:tcBorders>
              <w:top w:val="single" w:sz="4" w:space="0" w:color="auto"/>
              <w:left w:val="nil"/>
              <w:bottom w:val="single" w:sz="4" w:space="0" w:color="auto"/>
              <w:right w:val="nil"/>
            </w:tcBorders>
          </w:tcPr>
          <w:p w14:paraId="57A30F17" w14:textId="77777777" w:rsidR="005C5A1B" w:rsidRDefault="005C5A1B" w:rsidP="005C5A1B">
            <w:pPr>
              <w:pStyle w:val="Tabletextcentred"/>
            </w:pPr>
            <w:r>
              <w:t>dB</w:t>
            </w:r>
          </w:p>
        </w:tc>
        <w:tc>
          <w:tcPr>
            <w:tcW w:w="1972" w:type="dxa"/>
            <w:tcBorders>
              <w:top w:val="single" w:sz="4" w:space="0" w:color="auto"/>
              <w:left w:val="nil"/>
              <w:bottom w:val="single" w:sz="4" w:space="0" w:color="auto"/>
              <w:right w:val="nil"/>
            </w:tcBorders>
          </w:tcPr>
          <w:p w14:paraId="2586C351" w14:textId="77777777" w:rsidR="005C5A1B" w:rsidRDefault="005C5A1B" w:rsidP="005C5A1B">
            <w:pPr>
              <w:pStyle w:val="Tabletextcentred"/>
            </w:pPr>
            <w:r>
              <w:t>-15.0</w:t>
            </w:r>
          </w:p>
        </w:tc>
        <w:tc>
          <w:tcPr>
            <w:tcW w:w="1973" w:type="dxa"/>
            <w:tcBorders>
              <w:top w:val="single" w:sz="4" w:space="0" w:color="auto"/>
              <w:left w:val="nil"/>
              <w:bottom w:val="single" w:sz="4" w:space="0" w:color="auto"/>
              <w:right w:val="nil"/>
            </w:tcBorders>
          </w:tcPr>
          <w:p w14:paraId="3DFFCBB9" w14:textId="77777777" w:rsidR="005C5A1B" w:rsidRDefault="005C5A1B" w:rsidP="005C5A1B">
            <w:pPr>
              <w:pStyle w:val="Tabletextcentred"/>
            </w:pPr>
            <w:r>
              <w:t>0.0</w:t>
            </w:r>
          </w:p>
        </w:tc>
        <w:tc>
          <w:tcPr>
            <w:tcW w:w="1454" w:type="dxa"/>
            <w:tcBorders>
              <w:top w:val="single" w:sz="4" w:space="0" w:color="auto"/>
              <w:left w:val="nil"/>
              <w:bottom w:val="single" w:sz="4" w:space="0" w:color="auto"/>
              <w:right w:val="nil"/>
            </w:tcBorders>
            <w:shd w:val="clear" w:color="auto" w:fill="FFE699"/>
          </w:tcPr>
          <w:p w14:paraId="1937551F" w14:textId="77777777" w:rsidR="005C5A1B" w:rsidRDefault="005C5A1B" w:rsidP="005C5A1B">
            <w:pPr>
              <w:pStyle w:val="Tabletextcentred"/>
            </w:pPr>
            <w:r>
              <w:t>0.0</w:t>
            </w:r>
          </w:p>
        </w:tc>
      </w:tr>
      <w:tr w:rsidR="005C5A1B" w:rsidRPr="005113AA" w14:paraId="0292DCDA" w14:textId="77777777" w:rsidTr="00DF0DE7">
        <w:trPr>
          <w:cantSplit/>
        </w:trPr>
        <w:tc>
          <w:tcPr>
            <w:tcW w:w="2621" w:type="dxa"/>
            <w:tcBorders>
              <w:top w:val="single" w:sz="4" w:space="0" w:color="auto"/>
              <w:left w:val="nil"/>
              <w:bottom w:val="single" w:sz="4" w:space="0" w:color="auto"/>
              <w:right w:val="nil"/>
            </w:tcBorders>
            <w:shd w:val="clear" w:color="auto" w:fill="CCECFF"/>
          </w:tcPr>
          <w:p w14:paraId="1611C9D1" w14:textId="77777777" w:rsidR="005C5A1B" w:rsidRDefault="005C5A1B" w:rsidP="005C5A1B">
            <w:pPr>
              <w:pStyle w:val="Tabletext"/>
            </w:pPr>
            <w:r>
              <w:t>IMT B EIRP towards Satellite</w:t>
            </w:r>
          </w:p>
        </w:tc>
        <w:tc>
          <w:tcPr>
            <w:tcW w:w="1313" w:type="dxa"/>
            <w:tcBorders>
              <w:top w:val="single" w:sz="4" w:space="0" w:color="auto"/>
              <w:left w:val="nil"/>
              <w:bottom w:val="single" w:sz="4" w:space="0" w:color="auto"/>
              <w:right w:val="nil"/>
            </w:tcBorders>
            <w:shd w:val="clear" w:color="auto" w:fill="CCECFF"/>
          </w:tcPr>
          <w:p w14:paraId="43780E4C" w14:textId="77777777" w:rsidR="005C5A1B" w:rsidRDefault="005C5A1B" w:rsidP="005C5A1B">
            <w:pPr>
              <w:pStyle w:val="Tabletextcentred"/>
            </w:pPr>
            <w:proofErr w:type="spellStart"/>
            <w:r>
              <w:t>dBW</w:t>
            </w:r>
            <w:proofErr w:type="spellEnd"/>
            <w:r>
              <w:t>/MHz</w:t>
            </w:r>
          </w:p>
        </w:tc>
        <w:tc>
          <w:tcPr>
            <w:tcW w:w="1972" w:type="dxa"/>
            <w:tcBorders>
              <w:top w:val="single" w:sz="4" w:space="0" w:color="auto"/>
              <w:left w:val="nil"/>
              <w:bottom w:val="single" w:sz="4" w:space="0" w:color="auto"/>
              <w:right w:val="nil"/>
            </w:tcBorders>
            <w:shd w:val="clear" w:color="auto" w:fill="CCECFF"/>
          </w:tcPr>
          <w:p w14:paraId="6FC95C5D" w14:textId="77777777" w:rsidR="005C5A1B" w:rsidRDefault="005C5A1B" w:rsidP="005C5A1B">
            <w:pPr>
              <w:pStyle w:val="Tabletextcentred"/>
            </w:pPr>
            <w:r>
              <w:t>-27.9</w:t>
            </w:r>
          </w:p>
        </w:tc>
        <w:tc>
          <w:tcPr>
            <w:tcW w:w="1973" w:type="dxa"/>
            <w:tcBorders>
              <w:top w:val="single" w:sz="4" w:space="0" w:color="auto"/>
              <w:left w:val="nil"/>
              <w:bottom w:val="single" w:sz="4" w:space="0" w:color="auto"/>
              <w:right w:val="nil"/>
            </w:tcBorders>
            <w:shd w:val="clear" w:color="auto" w:fill="CCECFF"/>
          </w:tcPr>
          <w:p w14:paraId="1AE94510" w14:textId="77777777" w:rsidR="005C5A1B" w:rsidRDefault="005C5A1B" w:rsidP="005C5A1B">
            <w:pPr>
              <w:pStyle w:val="Tabletextcentred"/>
            </w:pPr>
            <w:r>
              <w:t>-4.9</w:t>
            </w:r>
          </w:p>
        </w:tc>
        <w:tc>
          <w:tcPr>
            <w:tcW w:w="1454" w:type="dxa"/>
            <w:tcBorders>
              <w:top w:val="single" w:sz="4" w:space="0" w:color="auto"/>
              <w:left w:val="nil"/>
              <w:bottom w:val="single" w:sz="4" w:space="0" w:color="auto"/>
              <w:right w:val="nil"/>
            </w:tcBorders>
            <w:shd w:val="clear" w:color="auto" w:fill="CCECFF"/>
          </w:tcPr>
          <w:p w14:paraId="020B323C" w14:textId="77777777" w:rsidR="005C5A1B" w:rsidRDefault="005C5A1B" w:rsidP="005C5A1B">
            <w:pPr>
              <w:pStyle w:val="Tabletextcentred"/>
            </w:pPr>
            <w:r>
              <w:t>-4.9</w:t>
            </w:r>
          </w:p>
        </w:tc>
      </w:tr>
      <w:tr w:rsidR="00E87066" w:rsidRPr="005113AA" w14:paraId="3A3843D8" w14:textId="77777777" w:rsidTr="00DF0DE7">
        <w:trPr>
          <w:cantSplit/>
        </w:trPr>
        <w:tc>
          <w:tcPr>
            <w:tcW w:w="2621" w:type="dxa"/>
            <w:tcBorders>
              <w:top w:val="single" w:sz="4" w:space="0" w:color="auto"/>
              <w:left w:val="nil"/>
              <w:bottom w:val="single" w:sz="4" w:space="0" w:color="auto"/>
              <w:right w:val="nil"/>
            </w:tcBorders>
            <w:shd w:val="clear" w:color="auto" w:fill="auto"/>
          </w:tcPr>
          <w:p w14:paraId="77CCF93C" w14:textId="77777777" w:rsidR="00E87066" w:rsidRDefault="00E87066" w:rsidP="005C5A1B">
            <w:pPr>
              <w:pStyle w:val="Tabletext"/>
            </w:pPr>
          </w:p>
        </w:tc>
        <w:tc>
          <w:tcPr>
            <w:tcW w:w="1313" w:type="dxa"/>
            <w:tcBorders>
              <w:top w:val="single" w:sz="4" w:space="0" w:color="auto"/>
              <w:left w:val="nil"/>
              <w:bottom w:val="single" w:sz="4" w:space="0" w:color="auto"/>
              <w:right w:val="nil"/>
            </w:tcBorders>
            <w:shd w:val="clear" w:color="auto" w:fill="auto"/>
          </w:tcPr>
          <w:p w14:paraId="0D825DDF" w14:textId="77777777" w:rsidR="00E87066" w:rsidRDefault="00E87066" w:rsidP="005C5A1B">
            <w:pPr>
              <w:pStyle w:val="Tabletextcentred"/>
            </w:pPr>
          </w:p>
        </w:tc>
        <w:tc>
          <w:tcPr>
            <w:tcW w:w="1972" w:type="dxa"/>
            <w:tcBorders>
              <w:top w:val="single" w:sz="4" w:space="0" w:color="auto"/>
              <w:left w:val="nil"/>
              <w:bottom w:val="single" w:sz="4" w:space="0" w:color="auto"/>
              <w:right w:val="nil"/>
            </w:tcBorders>
            <w:shd w:val="clear" w:color="auto" w:fill="auto"/>
          </w:tcPr>
          <w:p w14:paraId="5D57FD37" w14:textId="77777777" w:rsidR="00E87066" w:rsidRDefault="00E87066" w:rsidP="005C5A1B">
            <w:pPr>
              <w:pStyle w:val="Tabletextcentred"/>
            </w:pPr>
          </w:p>
        </w:tc>
        <w:tc>
          <w:tcPr>
            <w:tcW w:w="1973" w:type="dxa"/>
            <w:tcBorders>
              <w:top w:val="single" w:sz="4" w:space="0" w:color="auto"/>
              <w:left w:val="nil"/>
              <w:bottom w:val="single" w:sz="4" w:space="0" w:color="auto"/>
              <w:right w:val="nil"/>
            </w:tcBorders>
            <w:shd w:val="clear" w:color="auto" w:fill="auto"/>
          </w:tcPr>
          <w:p w14:paraId="139A1295" w14:textId="77777777" w:rsidR="00E87066" w:rsidRDefault="00E87066" w:rsidP="005C5A1B">
            <w:pPr>
              <w:pStyle w:val="Tabletextcentred"/>
            </w:pPr>
          </w:p>
        </w:tc>
        <w:tc>
          <w:tcPr>
            <w:tcW w:w="1454" w:type="dxa"/>
            <w:tcBorders>
              <w:top w:val="single" w:sz="4" w:space="0" w:color="auto"/>
              <w:left w:val="nil"/>
              <w:bottom w:val="single" w:sz="4" w:space="0" w:color="auto"/>
              <w:right w:val="nil"/>
            </w:tcBorders>
            <w:shd w:val="clear" w:color="auto" w:fill="auto"/>
          </w:tcPr>
          <w:p w14:paraId="18C78B50" w14:textId="77777777" w:rsidR="00E87066" w:rsidRDefault="00E87066" w:rsidP="005C5A1B">
            <w:pPr>
              <w:pStyle w:val="Tabletextcentred"/>
            </w:pPr>
          </w:p>
        </w:tc>
      </w:tr>
      <w:tr w:rsidR="00E87066" w:rsidRPr="005113AA" w14:paraId="5F5CF13A" w14:textId="77777777" w:rsidTr="00DF0DE7">
        <w:trPr>
          <w:cantSplit/>
        </w:trPr>
        <w:tc>
          <w:tcPr>
            <w:tcW w:w="2621" w:type="dxa"/>
            <w:tcBorders>
              <w:top w:val="single" w:sz="4" w:space="0" w:color="auto"/>
              <w:left w:val="nil"/>
              <w:bottom w:val="single" w:sz="4" w:space="0" w:color="auto"/>
              <w:right w:val="nil"/>
            </w:tcBorders>
            <w:shd w:val="clear" w:color="auto" w:fill="auto"/>
          </w:tcPr>
          <w:p w14:paraId="7E87AC4C" w14:textId="77777777" w:rsidR="00E87066" w:rsidRDefault="00E87066" w:rsidP="005C5A1B">
            <w:pPr>
              <w:pStyle w:val="Tabletext"/>
            </w:pPr>
          </w:p>
        </w:tc>
        <w:tc>
          <w:tcPr>
            <w:tcW w:w="1313" w:type="dxa"/>
            <w:tcBorders>
              <w:top w:val="single" w:sz="4" w:space="0" w:color="auto"/>
              <w:left w:val="nil"/>
              <w:bottom w:val="single" w:sz="4" w:space="0" w:color="auto"/>
              <w:right w:val="nil"/>
            </w:tcBorders>
            <w:shd w:val="clear" w:color="auto" w:fill="auto"/>
          </w:tcPr>
          <w:p w14:paraId="35E9CAC2" w14:textId="77777777" w:rsidR="00E87066" w:rsidRDefault="00E87066" w:rsidP="005C5A1B">
            <w:pPr>
              <w:pStyle w:val="Tabletextcentred"/>
            </w:pPr>
          </w:p>
        </w:tc>
        <w:tc>
          <w:tcPr>
            <w:tcW w:w="1972" w:type="dxa"/>
            <w:tcBorders>
              <w:top w:val="single" w:sz="4" w:space="0" w:color="auto"/>
              <w:left w:val="nil"/>
              <w:bottom w:val="single" w:sz="4" w:space="0" w:color="auto"/>
              <w:right w:val="nil"/>
            </w:tcBorders>
            <w:shd w:val="clear" w:color="auto" w:fill="auto"/>
          </w:tcPr>
          <w:p w14:paraId="651444B9" w14:textId="77777777" w:rsidR="00E87066" w:rsidRDefault="00E87066" w:rsidP="005C5A1B">
            <w:pPr>
              <w:pStyle w:val="Tabletextcentred"/>
            </w:pPr>
          </w:p>
        </w:tc>
        <w:tc>
          <w:tcPr>
            <w:tcW w:w="1973" w:type="dxa"/>
            <w:tcBorders>
              <w:top w:val="single" w:sz="4" w:space="0" w:color="auto"/>
              <w:left w:val="nil"/>
              <w:bottom w:val="single" w:sz="4" w:space="0" w:color="auto"/>
              <w:right w:val="nil"/>
            </w:tcBorders>
            <w:shd w:val="clear" w:color="auto" w:fill="auto"/>
          </w:tcPr>
          <w:p w14:paraId="559D5BA6" w14:textId="77777777" w:rsidR="00E87066" w:rsidRDefault="00E87066" w:rsidP="005C5A1B">
            <w:pPr>
              <w:pStyle w:val="Tabletextcentred"/>
            </w:pPr>
          </w:p>
        </w:tc>
        <w:tc>
          <w:tcPr>
            <w:tcW w:w="1454" w:type="dxa"/>
            <w:tcBorders>
              <w:top w:val="single" w:sz="4" w:space="0" w:color="auto"/>
              <w:left w:val="nil"/>
              <w:bottom w:val="single" w:sz="4" w:space="0" w:color="auto"/>
              <w:right w:val="nil"/>
            </w:tcBorders>
            <w:shd w:val="clear" w:color="auto" w:fill="auto"/>
          </w:tcPr>
          <w:p w14:paraId="10D1E578" w14:textId="77777777" w:rsidR="00E87066" w:rsidRDefault="00E87066" w:rsidP="005C5A1B">
            <w:pPr>
              <w:pStyle w:val="Tabletextcentred"/>
            </w:pPr>
          </w:p>
        </w:tc>
      </w:tr>
      <w:tr w:rsidR="005C5A1B" w:rsidRPr="005113AA" w14:paraId="143EFF1C" w14:textId="77777777" w:rsidTr="00DF0DE7">
        <w:trPr>
          <w:cantSplit/>
        </w:trPr>
        <w:tc>
          <w:tcPr>
            <w:tcW w:w="2621" w:type="dxa"/>
            <w:tcBorders>
              <w:top w:val="single" w:sz="4" w:space="0" w:color="auto"/>
              <w:left w:val="nil"/>
              <w:bottom w:val="single" w:sz="4" w:space="0" w:color="auto"/>
              <w:right w:val="nil"/>
            </w:tcBorders>
          </w:tcPr>
          <w:p w14:paraId="572F3B63" w14:textId="77777777" w:rsidR="005C5A1B" w:rsidRDefault="005C5A1B" w:rsidP="005C5A1B">
            <w:pPr>
              <w:pStyle w:val="Tablerowcolumnheading"/>
            </w:pPr>
            <w:r>
              <w:t>Set Ant Gain</w:t>
            </w:r>
          </w:p>
        </w:tc>
        <w:tc>
          <w:tcPr>
            <w:tcW w:w="1313" w:type="dxa"/>
            <w:tcBorders>
              <w:top w:val="single" w:sz="4" w:space="0" w:color="auto"/>
              <w:left w:val="nil"/>
              <w:bottom w:val="single" w:sz="4" w:space="0" w:color="auto"/>
              <w:right w:val="nil"/>
            </w:tcBorders>
          </w:tcPr>
          <w:p w14:paraId="4A062B89" w14:textId="77777777" w:rsidR="005C5A1B" w:rsidRDefault="005C5A1B" w:rsidP="005C5A1B">
            <w:pPr>
              <w:pStyle w:val="Tabletextcentred"/>
            </w:pPr>
          </w:p>
        </w:tc>
        <w:tc>
          <w:tcPr>
            <w:tcW w:w="1972" w:type="dxa"/>
            <w:tcBorders>
              <w:top w:val="single" w:sz="4" w:space="0" w:color="auto"/>
              <w:left w:val="nil"/>
              <w:bottom w:val="single" w:sz="4" w:space="0" w:color="auto"/>
              <w:right w:val="nil"/>
            </w:tcBorders>
          </w:tcPr>
          <w:p w14:paraId="69C11284" w14:textId="77777777" w:rsidR="005C5A1B" w:rsidRDefault="005C5A1B" w:rsidP="005C5A1B">
            <w:pPr>
              <w:pStyle w:val="Tabletextcentred"/>
            </w:pPr>
          </w:p>
        </w:tc>
        <w:tc>
          <w:tcPr>
            <w:tcW w:w="1973" w:type="dxa"/>
            <w:tcBorders>
              <w:top w:val="single" w:sz="4" w:space="0" w:color="auto"/>
              <w:left w:val="nil"/>
              <w:bottom w:val="single" w:sz="4" w:space="0" w:color="auto"/>
              <w:right w:val="nil"/>
            </w:tcBorders>
          </w:tcPr>
          <w:p w14:paraId="2EF03370" w14:textId="77777777" w:rsidR="005C5A1B" w:rsidRDefault="005C5A1B" w:rsidP="005C5A1B">
            <w:pPr>
              <w:pStyle w:val="Tabletextcentred"/>
            </w:pPr>
          </w:p>
        </w:tc>
        <w:tc>
          <w:tcPr>
            <w:tcW w:w="1454" w:type="dxa"/>
            <w:tcBorders>
              <w:top w:val="single" w:sz="4" w:space="0" w:color="auto"/>
              <w:left w:val="nil"/>
              <w:bottom w:val="single" w:sz="4" w:space="0" w:color="auto"/>
              <w:right w:val="nil"/>
            </w:tcBorders>
          </w:tcPr>
          <w:p w14:paraId="4FF20F3A" w14:textId="77777777" w:rsidR="005C5A1B" w:rsidRDefault="005C5A1B" w:rsidP="005C5A1B">
            <w:pPr>
              <w:pStyle w:val="Tabletextcentred"/>
            </w:pPr>
          </w:p>
        </w:tc>
      </w:tr>
      <w:tr w:rsidR="005C5A1B" w:rsidRPr="005113AA" w14:paraId="1BA026A0" w14:textId="77777777" w:rsidTr="00DF0DE7">
        <w:trPr>
          <w:cantSplit/>
        </w:trPr>
        <w:tc>
          <w:tcPr>
            <w:tcW w:w="2621" w:type="dxa"/>
            <w:tcBorders>
              <w:top w:val="single" w:sz="4" w:space="0" w:color="auto"/>
              <w:left w:val="nil"/>
              <w:bottom w:val="single" w:sz="4" w:space="0" w:color="auto"/>
              <w:right w:val="nil"/>
            </w:tcBorders>
          </w:tcPr>
          <w:p w14:paraId="4FCDA33F" w14:textId="5013F9B3" w:rsidR="005C5A1B" w:rsidRDefault="00E87066" w:rsidP="005C5A1B">
            <w:pPr>
              <w:pStyle w:val="Tabletext"/>
            </w:pPr>
            <w:r>
              <w:t>Satellite RX Ant Max Gain</w:t>
            </w:r>
          </w:p>
        </w:tc>
        <w:tc>
          <w:tcPr>
            <w:tcW w:w="1313" w:type="dxa"/>
            <w:tcBorders>
              <w:top w:val="single" w:sz="4" w:space="0" w:color="auto"/>
              <w:left w:val="nil"/>
              <w:bottom w:val="single" w:sz="4" w:space="0" w:color="auto"/>
              <w:right w:val="nil"/>
            </w:tcBorders>
          </w:tcPr>
          <w:p w14:paraId="1EFC8C11" w14:textId="2F87AB2F" w:rsidR="005C5A1B" w:rsidRDefault="00E87066" w:rsidP="005C5A1B">
            <w:pPr>
              <w:pStyle w:val="Tabletextcentred"/>
            </w:pPr>
            <w:proofErr w:type="spellStart"/>
            <w:r>
              <w:t>dBi</w:t>
            </w:r>
            <w:proofErr w:type="spellEnd"/>
          </w:p>
        </w:tc>
        <w:tc>
          <w:tcPr>
            <w:tcW w:w="1972" w:type="dxa"/>
            <w:tcBorders>
              <w:top w:val="single" w:sz="4" w:space="0" w:color="auto"/>
              <w:left w:val="nil"/>
              <w:bottom w:val="single" w:sz="4" w:space="0" w:color="auto"/>
              <w:right w:val="nil"/>
            </w:tcBorders>
          </w:tcPr>
          <w:p w14:paraId="59963C65" w14:textId="693A17ED" w:rsidR="005C5A1B" w:rsidRDefault="00E87066" w:rsidP="005C5A1B">
            <w:pPr>
              <w:pStyle w:val="Tabletextcentred"/>
            </w:pPr>
            <w:r>
              <w:t>56.0</w:t>
            </w:r>
          </w:p>
        </w:tc>
        <w:tc>
          <w:tcPr>
            <w:tcW w:w="1973" w:type="dxa"/>
            <w:tcBorders>
              <w:top w:val="single" w:sz="4" w:space="0" w:color="auto"/>
              <w:left w:val="nil"/>
              <w:bottom w:val="single" w:sz="4" w:space="0" w:color="auto"/>
              <w:right w:val="nil"/>
            </w:tcBorders>
          </w:tcPr>
          <w:p w14:paraId="7397CED2" w14:textId="7152459B" w:rsidR="005C5A1B" w:rsidRDefault="00E87066" w:rsidP="005C5A1B">
            <w:pPr>
              <w:pStyle w:val="Tabletextcentred"/>
            </w:pPr>
            <w:r>
              <w:t>56.0</w:t>
            </w:r>
          </w:p>
        </w:tc>
        <w:tc>
          <w:tcPr>
            <w:tcW w:w="1454" w:type="dxa"/>
            <w:tcBorders>
              <w:top w:val="single" w:sz="4" w:space="0" w:color="auto"/>
              <w:left w:val="nil"/>
              <w:bottom w:val="single" w:sz="4" w:space="0" w:color="auto"/>
              <w:right w:val="nil"/>
            </w:tcBorders>
            <w:shd w:val="clear" w:color="auto" w:fill="FFE699"/>
          </w:tcPr>
          <w:p w14:paraId="21E65038" w14:textId="77777777" w:rsidR="005C5A1B" w:rsidRDefault="005C5A1B" w:rsidP="005C5A1B">
            <w:pPr>
              <w:pStyle w:val="Tabletextcentred"/>
            </w:pPr>
            <w:r>
              <w:t>60.5</w:t>
            </w:r>
          </w:p>
        </w:tc>
      </w:tr>
      <w:tr w:rsidR="005C5A1B" w:rsidRPr="005113AA" w14:paraId="55A26927" w14:textId="77777777" w:rsidTr="00DF0DE7">
        <w:trPr>
          <w:cantSplit/>
        </w:trPr>
        <w:tc>
          <w:tcPr>
            <w:tcW w:w="2621" w:type="dxa"/>
            <w:tcBorders>
              <w:top w:val="single" w:sz="4" w:space="0" w:color="auto"/>
              <w:left w:val="nil"/>
              <w:bottom w:val="single" w:sz="4" w:space="0" w:color="auto"/>
              <w:right w:val="nil"/>
            </w:tcBorders>
          </w:tcPr>
          <w:p w14:paraId="69F67707" w14:textId="3FCB9F5F" w:rsidR="005C5A1B" w:rsidRDefault="00E87066" w:rsidP="005C5A1B">
            <w:pPr>
              <w:pStyle w:val="Tabletext"/>
            </w:pPr>
            <w:r>
              <w:t>Feeder Loss</w:t>
            </w:r>
          </w:p>
        </w:tc>
        <w:tc>
          <w:tcPr>
            <w:tcW w:w="1313" w:type="dxa"/>
            <w:tcBorders>
              <w:top w:val="single" w:sz="4" w:space="0" w:color="auto"/>
              <w:left w:val="nil"/>
              <w:bottom w:val="single" w:sz="4" w:space="0" w:color="auto"/>
              <w:right w:val="nil"/>
            </w:tcBorders>
          </w:tcPr>
          <w:p w14:paraId="2F413C82" w14:textId="28F47D27" w:rsidR="005C5A1B" w:rsidRDefault="00E87066" w:rsidP="005C5A1B">
            <w:pPr>
              <w:pStyle w:val="Tabletextcentred"/>
            </w:pPr>
            <w:proofErr w:type="spellStart"/>
            <w:r>
              <w:t>dBi</w:t>
            </w:r>
            <w:proofErr w:type="spellEnd"/>
          </w:p>
        </w:tc>
        <w:tc>
          <w:tcPr>
            <w:tcW w:w="1972" w:type="dxa"/>
            <w:tcBorders>
              <w:top w:val="single" w:sz="4" w:space="0" w:color="auto"/>
              <w:left w:val="nil"/>
              <w:bottom w:val="single" w:sz="4" w:space="0" w:color="auto"/>
              <w:right w:val="nil"/>
            </w:tcBorders>
          </w:tcPr>
          <w:p w14:paraId="74BB0F74" w14:textId="7BB35AAF" w:rsidR="005C5A1B" w:rsidRDefault="00E87066" w:rsidP="005C5A1B">
            <w:pPr>
              <w:pStyle w:val="Tabletextcentred"/>
            </w:pPr>
            <w:r>
              <w:t>0.0</w:t>
            </w:r>
          </w:p>
        </w:tc>
        <w:tc>
          <w:tcPr>
            <w:tcW w:w="1973" w:type="dxa"/>
            <w:tcBorders>
              <w:top w:val="single" w:sz="4" w:space="0" w:color="auto"/>
              <w:left w:val="nil"/>
              <w:bottom w:val="single" w:sz="4" w:space="0" w:color="auto"/>
              <w:right w:val="nil"/>
            </w:tcBorders>
          </w:tcPr>
          <w:p w14:paraId="474CD93D" w14:textId="0D233A2E" w:rsidR="005C5A1B" w:rsidRDefault="00E87066" w:rsidP="005C5A1B">
            <w:pPr>
              <w:pStyle w:val="Tabletextcentred"/>
            </w:pPr>
            <w:r>
              <w:t>0.0</w:t>
            </w:r>
          </w:p>
        </w:tc>
        <w:tc>
          <w:tcPr>
            <w:tcW w:w="1454" w:type="dxa"/>
            <w:tcBorders>
              <w:top w:val="single" w:sz="4" w:space="0" w:color="auto"/>
              <w:left w:val="nil"/>
              <w:bottom w:val="single" w:sz="4" w:space="0" w:color="auto"/>
              <w:right w:val="nil"/>
            </w:tcBorders>
          </w:tcPr>
          <w:p w14:paraId="6A36DBFD" w14:textId="689164C5" w:rsidR="005C5A1B" w:rsidRDefault="00E87066" w:rsidP="005C5A1B">
            <w:pPr>
              <w:pStyle w:val="Tabletextcentred"/>
            </w:pPr>
            <w:r>
              <w:t>0.0</w:t>
            </w:r>
          </w:p>
        </w:tc>
      </w:tr>
      <w:tr w:rsidR="005C5A1B" w:rsidRPr="005113AA" w14:paraId="2AE58B2E" w14:textId="77777777" w:rsidTr="00DF0DE7">
        <w:trPr>
          <w:cantSplit/>
        </w:trPr>
        <w:tc>
          <w:tcPr>
            <w:tcW w:w="2621" w:type="dxa"/>
            <w:tcBorders>
              <w:top w:val="single" w:sz="4" w:space="0" w:color="auto"/>
              <w:left w:val="nil"/>
              <w:bottom w:val="single" w:sz="4" w:space="0" w:color="auto"/>
              <w:right w:val="nil"/>
            </w:tcBorders>
            <w:shd w:val="clear" w:color="auto" w:fill="CCECFF"/>
          </w:tcPr>
          <w:p w14:paraId="52A8DAC1" w14:textId="77777777" w:rsidR="005C5A1B" w:rsidRDefault="005C5A1B" w:rsidP="005C5A1B">
            <w:pPr>
              <w:pStyle w:val="Tabletext"/>
            </w:pPr>
            <w:r>
              <w:lastRenderedPageBreak/>
              <w:t>Sat RX Ant Gain (</w:t>
            </w:r>
            <w:proofErr w:type="spellStart"/>
            <w:r>
              <w:t>incl</w:t>
            </w:r>
            <w:proofErr w:type="spellEnd"/>
            <w:r>
              <w:t xml:space="preserve"> Feeder Loss)</w:t>
            </w:r>
          </w:p>
        </w:tc>
        <w:tc>
          <w:tcPr>
            <w:tcW w:w="1313" w:type="dxa"/>
            <w:tcBorders>
              <w:top w:val="single" w:sz="4" w:space="0" w:color="auto"/>
              <w:left w:val="nil"/>
              <w:bottom w:val="single" w:sz="4" w:space="0" w:color="auto"/>
              <w:right w:val="nil"/>
            </w:tcBorders>
            <w:shd w:val="clear" w:color="auto" w:fill="CCECFF"/>
          </w:tcPr>
          <w:p w14:paraId="32DCF2EF" w14:textId="77777777" w:rsidR="005C5A1B" w:rsidRDefault="005C5A1B" w:rsidP="005C5A1B">
            <w:pPr>
              <w:pStyle w:val="Tabletextcentred"/>
            </w:pPr>
            <w:proofErr w:type="spellStart"/>
            <w:r>
              <w:t>dBi</w:t>
            </w:r>
            <w:proofErr w:type="spellEnd"/>
          </w:p>
        </w:tc>
        <w:tc>
          <w:tcPr>
            <w:tcW w:w="1972" w:type="dxa"/>
            <w:tcBorders>
              <w:top w:val="single" w:sz="4" w:space="0" w:color="auto"/>
              <w:left w:val="nil"/>
              <w:bottom w:val="single" w:sz="4" w:space="0" w:color="auto"/>
              <w:right w:val="nil"/>
            </w:tcBorders>
            <w:shd w:val="clear" w:color="auto" w:fill="CCECFF"/>
          </w:tcPr>
          <w:p w14:paraId="616085FA" w14:textId="77777777" w:rsidR="005C5A1B" w:rsidRDefault="005C5A1B" w:rsidP="005C5A1B">
            <w:pPr>
              <w:pStyle w:val="Tabletextcentred"/>
            </w:pPr>
            <w:r>
              <w:t>56.0</w:t>
            </w:r>
          </w:p>
        </w:tc>
        <w:tc>
          <w:tcPr>
            <w:tcW w:w="1973" w:type="dxa"/>
            <w:tcBorders>
              <w:top w:val="single" w:sz="4" w:space="0" w:color="auto"/>
              <w:left w:val="nil"/>
              <w:bottom w:val="single" w:sz="4" w:space="0" w:color="auto"/>
              <w:right w:val="nil"/>
            </w:tcBorders>
            <w:shd w:val="clear" w:color="auto" w:fill="CCECFF"/>
          </w:tcPr>
          <w:p w14:paraId="4F00A8C7" w14:textId="77777777" w:rsidR="005C5A1B" w:rsidRDefault="005C5A1B" w:rsidP="005C5A1B">
            <w:pPr>
              <w:pStyle w:val="Tabletextcentred"/>
            </w:pPr>
            <w:r>
              <w:t>56.0</w:t>
            </w:r>
          </w:p>
        </w:tc>
        <w:tc>
          <w:tcPr>
            <w:tcW w:w="1454" w:type="dxa"/>
            <w:tcBorders>
              <w:top w:val="single" w:sz="4" w:space="0" w:color="auto"/>
              <w:left w:val="nil"/>
              <w:bottom w:val="single" w:sz="4" w:space="0" w:color="auto"/>
              <w:right w:val="nil"/>
            </w:tcBorders>
            <w:shd w:val="clear" w:color="auto" w:fill="CCECFF"/>
          </w:tcPr>
          <w:p w14:paraId="6757B5C7" w14:textId="77777777" w:rsidR="005C5A1B" w:rsidRDefault="005C5A1B" w:rsidP="005C5A1B">
            <w:pPr>
              <w:pStyle w:val="Tabletextcentred"/>
            </w:pPr>
            <w:r>
              <w:t>60.5</w:t>
            </w:r>
          </w:p>
        </w:tc>
      </w:tr>
      <w:tr w:rsidR="005C5A1B" w:rsidRPr="005113AA" w14:paraId="5B114E80" w14:textId="77777777" w:rsidTr="00DF0DE7">
        <w:trPr>
          <w:cantSplit/>
        </w:trPr>
        <w:tc>
          <w:tcPr>
            <w:tcW w:w="2621" w:type="dxa"/>
            <w:tcBorders>
              <w:top w:val="single" w:sz="4" w:space="0" w:color="auto"/>
              <w:left w:val="nil"/>
              <w:bottom w:val="single" w:sz="4" w:space="0" w:color="auto"/>
              <w:right w:val="nil"/>
            </w:tcBorders>
          </w:tcPr>
          <w:p w14:paraId="43192F2A" w14:textId="77777777" w:rsidR="005C5A1B" w:rsidRDefault="005C5A1B" w:rsidP="005C5A1B">
            <w:pPr>
              <w:pStyle w:val="Tablerowcolumnheading"/>
            </w:pPr>
            <w:r>
              <w:t>Single entry interference</w:t>
            </w:r>
          </w:p>
        </w:tc>
        <w:tc>
          <w:tcPr>
            <w:tcW w:w="1313" w:type="dxa"/>
            <w:tcBorders>
              <w:top w:val="single" w:sz="4" w:space="0" w:color="auto"/>
              <w:left w:val="nil"/>
              <w:bottom w:val="single" w:sz="4" w:space="0" w:color="auto"/>
              <w:right w:val="nil"/>
            </w:tcBorders>
          </w:tcPr>
          <w:p w14:paraId="383334BA" w14:textId="77777777" w:rsidR="005C5A1B" w:rsidRDefault="005C5A1B" w:rsidP="005C5A1B">
            <w:pPr>
              <w:pStyle w:val="Tabletextcentred"/>
            </w:pPr>
          </w:p>
        </w:tc>
        <w:tc>
          <w:tcPr>
            <w:tcW w:w="1972" w:type="dxa"/>
            <w:tcBorders>
              <w:top w:val="single" w:sz="4" w:space="0" w:color="auto"/>
              <w:left w:val="nil"/>
              <w:bottom w:val="single" w:sz="4" w:space="0" w:color="auto"/>
              <w:right w:val="nil"/>
            </w:tcBorders>
          </w:tcPr>
          <w:p w14:paraId="1F7A8E93" w14:textId="77777777" w:rsidR="005C5A1B" w:rsidRDefault="005C5A1B" w:rsidP="005C5A1B">
            <w:pPr>
              <w:pStyle w:val="Tabletextcentred"/>
            </w:pPr>
          </w:p>
        </w:tc>
        <w:tc>
          <w:tcPr>
            <w:tcW w:w="1973" w:type="dxa"/>
            <w:tcBorders>
              <w:top w:val="single" w:sz="4" w:space="0" w:color="auto"/>
              <w:left w:val="nil"/>
              <w:bottom w:val="single" w:sz="4" w:space="0" w:color="auto"/>
              <w:right w:val="nil"/>
            </w:tcBorders>
          </w:tcPr>
          <w:p w14:paraId="3BBC706C" w14:textId="77777777" w:rsidR="005C5A1B" w:rsidRDefault="005C5A1B" w:rsidP="005C5A1B">
            <w:pPr>
              <w:pStyle w:val="Tabletextcentred"/>
            </w:pPr>
          </w:p>
        </w:tc>
        <w:tc>
          <w:tcPr>
            <w:tcW w:w="1454" w:type="dxa"/>
            <w:tcBorders>
              <w:top w:val="single" w:sz="4" w:space="0" w:color="auto"/>
              <w:left w:val="nil"/>
              <w:bottom w:val="single" w:sz="4" w:space="0" w:color="auto"/>
              <w:right w:val="nil"/>
            </w:tcBorders>
          </w:tcPr>
          <w:p w14:paraId="4731C2F7" w14:textId="77777777" w:rsidR="005C5A1B" w:rsidRDefault="005C5A1B" w:rsidP="005C5A1B">
            <w:pPr>
              <w:pStyle w:val="Tabletextcentred"/>
            </w:pPr>
          </w:p>
        </w:tc>
      </w:tr>
      <w:tr w:rsidR="005C5A1B" w:rsidRPr="005113AA" w14:paraId="51B662D0" w14:textId="77777777" w:rsidTr="00DF0DE7">
        <w:trPr>
          <w:cantSplit/>
        </w:trPr>
        <w:tc>
          <w:tcPr>
            <w:tcW w:w="2621" w:type="dxa"/>
            <w:tcBorders>
              <w:top w:val="single" w:sz="4" w:space="0" w:color="auto"/>
              <w:left w:val="nil"/>
              <w:bottom w:val="single" w:sz="4" w:space="0" w:color="auto"/>
              <w:right w:val="nil"/>
            </w:tcBorders>
            <w:shd w:val="clear" w:color="auto" w:fill="CCECFF"/>
          </w:tcPr>
          <w:p w14:paraId="41FD7D5C" w14:textId="77777777" w:rsidR="005C5A1B" w:rsidRDefault="005C5A1B" w:rsidP="005C5A1B">
            <w:pPr>
              <w:pStyle w:val="Tabletext"/>
            </w:pPr>
            <w:r>
              <w:t>Interference at Sat RX input</w:t>
            </w:r>
          </w:p>
        </w:tc>
        <w:tc>
          <w:tcPr>
            <w:tcW w:w="1313" w:type="dxa"/>
            <w:tcBorders>
              <w:top w:val="single" w:sz="4" w:space="0" w:color="auto"/>
              <w:left w:val="nil"/>
              <w:bottom w:val="single" w:sz="4" w:space="0" w:color="auto"/>
              <w:right w:val="nil"/>
            </w:tcBorders>
            <w:shd w:val="clear" w:color="auto" w:fill="CCECFF"/>
          </w:tcPr>
          <w:p w14:paraId="34BF0BBD" w14:textId="77777777" w:rsidR="005C5A1B" w:rsidRDefault="005C5A1B" w:rsidP="005C5A1B">
            <w:pPr>
              <w:pStyle w:val="Tabletextcentred"/>
            </w:pPr>
            <w:proofErr w:type="spellStart"/>
            <w:r>
              <w:t>dBW</w:t>
            </w:r>
            <w:proofErr w:type="spellEnd"/>
            <w:r>
              <w:t>/MHz</w:t>
            </w:r>
          </w:p>
        </w:tc>
        <w:tc>
          <w:tcPr>
            <w:tcW w:w="1972" w:type="dxa"/>
            <w:tcBorders>
              <w:top w:val="single" w:sz="4" w:space="0" w:color="auto"/>
              <w:left w:val="nil"/>
              <w:bottom w:val="single" w:sz="4" w:space="0" w:color="auto"/>
              <w:right w:val="nil"/>
            </w:tcBorders>
            <w:shd w:val="clear" w:color="auto" w:fill="CCECFF"/>
          </w:tcPr>
          <w:p w14:paraId="203218EB" w14:textId="77777777" w:rsidR="005C5A1B" w:rsidRDefault="005C5A1B" w:rsidP="005C5A1B">
            <w:pPr>
              <w:pStyle w:val="Tabletextcentred"/>
            </w:pPr>
            <w:r>
              <w:t>-187-5</w:t>
            </w:r>
          </w:p>
        </w:tc>
        <w:tc>
          <w:tcPr>
            <w:tcW w:w="1973" w:type="dxa"/>
            <w:tcBorders>
              <w:top w:val="single" w:sz="4" w:space="0" w:color="auto"/>
              <w:left w:val="nil"/>
              <w:bottom w:val="single" w:sz="4" w:space="0" w:color="auto"/>
              <w:right w:val="nil"/>
            </w:tcBorders>
            <w:shd w:val="clear" w:color="auto" w:fill="CCECFF"/>
          </w:tcPr>
          <w:p w14:paraId="3CF2BF3F" w14:textId="77777777" w:rsidR="005C5A1B" w:rsidRDefault="005C5A1B" w:rsidP="005C5A1B">
            <w:pPr>
              <w:pStyle w:val="Tabletextcentred"/>
            </w:pPr>
            <w:r>
              <w:t>-161.5</w:t>
            </w:r>
          </w:p>
        </w:tc>
        <w:tc>
          <w:tcPr>
            <w:tcW w:w="1454" w:type="dxa"/>
            <w:tcBorders>
              <w:top w:val="single" w:sz="4" w:space="0" w:color="auto"/>
              <w:left w:val="nil"/>
              <w:bottom w:val="single" w:sz="4" w:space="0" w:color="auto"/>
              <w:right w:val="nil"/>
            </w:tcBorders>
            <w:shd w:val="clear" w:color="auto" w:fill="CCECFF"/>
          </w:tcPr>
          <w:p w14:paraId="479F9F7D" w14:textId="77777777" w:rsidR="005C5A1B" w:rsidRDefault="005C5A1B" w:rsidP="005C5A1B">
            <w:pPr>
              <w:pStyle w:val="Tabletextcentred"/>
            </w:pPr>
            <w:r>
              <w:t>-157.0</w:t>
            </w:r>
          </w:p>
        </w:tc>
      </w:tr>
      <w:tr w:rsidR="005C5A1B" w:rsidRPr="005113AA" w14:paraId="604CC609" w14:textId="77777777" w:rsidTr="00DF0DE7">
        <w:trPr>
          <w:cantSplit/>
        </w:trPr>
        <w:tc>
          <w:tcPr>
            <w:tcW w:w="2621" w:type="dxa"/>
            <w:tcBorders>
              <w:top w:val="single" w:sz="4" w:space="0" w:color="auto"/>
              <w:left w:val="nil"/>
              <w:bottom w:val="single" w:sz="4" w:space="0" w:color="auto"/>
              <w:right w:val="nil"/>
            </w:tcBorders>
            <w:shd w:val="clear" w:color="auto" w:fill="CCECFF"/>
          </w:tcPr>
          <w:p w14:paraId="5CF9AEAF" w14:textId="77777777" w:rsidR="005C5A1B" w:rsidRDefault="005C5A1B" w:rsidP="005C5A1B">
            <w:pPr>
              <w:pStyle w:val="Tabletext"/>
            </w:pPr>
            <w:r>
              <w:t xml:space="preserve">Margin to </w:t>
            </w:r>
            <w:proofErr w:type="spellStart"/>
            <w:r>
              <w:t>Int</w:t>
            </w:r>
            <w:proofErr w:type="spellEnd"/>
            <w:r>
              <w:t xml:space="preserve"> Criterion</w:t>
            </w:r>
          </w:p>
        </w:tc>
        <w:tc>
          <w:tcPr>
            <w:tcW w:w="1313" w:type="dxa"/>
            <w:tcBorders>
              <w:top w:val="single" w:sz="4" w:space="0" w:color="auto"/>
              <w:left w:val="nil"/>
              <w:bottom w:val="single" w:sz="4" w:space="0" w:color="auto"/>
              <w:right w:val="nil"/>
            </w:tcBorders>
            <w:shd w:val="clear" w:color="auto" w:fill="CCECFF"/>
          </w:tcPr>
          <w:p w14:paraId="71AF69B4" w14:textId="77777777" w:rsidR="005C5A1B" w:rsidRDefault="005C5A1B" w:rsidP="005C5A1B">
            <w:pPr>
              <w:pStyle w:val="Tabletextcentred"/>
            </w:pPr>
            <w:r>
              <w:t>dB</w:t>
            </w:r>
          </w:p>
        </w:tc>
        <w:tc>
          <w:tcPr>
            <w:tcW w:w="1972" w:type="dxa"/>
            <w:tcBorders>
              <w:top w:val="single" w:sz="4" w:space="0" w:color="auto"/>
              <w:left w:val="nil"/>
              <w:bottom w:val="single" w:sz="4" w:space="0" w:color="auto"/>
              <w:right w:val="nil"/>
            </w:tcBorders>
            <w:shd w:val="clear" w:color="auto" w:fill="CCECFF"/>
          </w:tcPr>
          <w:p w14:paraId="71772170" w14:textId="77777777" w:rsidR="005C5A1B" w:rsidRDefault="005C5A1B" w:rsidP="005C5A1B">
            <w:pPr>
              <w:pStyle w:val="Tabletextcentred"/>
            </w:pPr>
            <w:r>
              <w:t>34.1</w:t>
            </w:r>
          </w:p>
        </w:tc>
        <w:tc>
          <w:tcPr>
            <w:tcW w:w="1973" w:type="dxa"/>
            <w:tcBorders>
              <w:top w:val="single" w:sz="4" w:space="0" w:color="auto"/>
              <w:left w:val="nil"/>
              <w:bottom w:val="single" w:sz="4" w:space="0" w:color="auto"/>
              <w:right w:val="nil"/>
            </w:tcBorders>
            <w:shd w:val="clear" w:color="auto" w:fill="CCECFF"/>
          </w:tcPr>
          <w:p w14:paraId="024ABA0E" w14:textId="77777777" w:rsidR="005C5A1B" w:rsidRDefault="005C5A1B" w:rsidP="005C5A1B">
            <w:pPr>
              <w:pStyle w:val="Tabletextcentred"/>
            </w:pPr>
            <w:r>
              <w:t>6.7</w:t>
            </w:r>
          </w:p>
        </w:tc>
        <w:tc>
          <w:tcPr>
            <w:tcW w:w="1454" w:type="dxa"/>
            <w:tcBorders>
              <w:top w:val="single" w:sz="4" w:space="0" w:color="auto"/>
              <w:left w:val="nil"/>
              <w:bottom w:val="single" w:sz="4" w:space="0" w:color="auto"/>
              <w:right w:val="nil"/>
            </w:tcBorders>
            <w:shd w:val="clear" w:color="auto" w:fill="CCECFF"/>
          </w:tcPr>
          <w:p w14:paraId="07D06203" w14:textId="77777777" w:rsidR="005C5A1B" w:rsidRDefault="005C5A1B" w:rsidP="005C5A1B">
            <w:pPr>
              <w:pStyle w:val="Tabletextcentred"/>
            </w:pPr>
            <w:r>
              <w:t>2.2</w:t>
            </w:r>
          </w:p>
        </w:tc>
      </w:tr>
      <w:tr w:rsidR="005C5A1B" w:rsidRPr="005113AA" w14:paraId="2A6CE51C" w14:textId="77777777" w:rsidTr="00DF0DE7">
        <w:trPr>
          <w:cantSplit/>
        </w:trPr>
        <w:tc>
          <w:tcPr>
            <w:tcW w:w="2621" w:type="dxa"/>
            <w:tcBorders>
              <w:top w:val="single" w:sz="4" w:space="0" w:color="auto"/>
              <w:left w:val="nil"/>
              <w:bottom w:val="single" w:sz="12" w:space="0" w:color="auto"/>
              <w:right w:val="nil"/>
            </w:tcBorders>
          </w:tcPr>
          <w:p w14:paraId="7C5639E6" w14:textId="77777777" w:rsidR="005C5A1B" w:rsidRDefault="005C5A1B" w:rsidP="005C5A1B">
            <w:pPr>
              <w:pStyle w:val="Tabletext"/>
            </w:pPr>
            <w:proofErr w:type="spellStart"/>
            <w:r>
              <w:t>Permissable</w:t>
            </w:r>
            <w:proofErr w:type="spellEnd"/>
            <w:r>
              <w:t xml:space="preserve"> no of interferers (Base Station only considered)</w:t>
            </w:r>
          </w:p>
        </w:tc>
        <w:tc>
          <w:tcPr>
            <w:tcW w:w="1313" w:type="dxa"/>
            <w:tcBorders>
              <w:top w:val="single" w:sz="4" w:space="0" w:color="auto"/>
              <w:left w:val="nil"/>
              <w:bottom w:val="single" w:sz="12" w:space="0" w:color="auto"/>
              <w:right w:val="nil"/>
            </w:tcBorders>
          </w:tcPr>
          <w:p w14:paraId="12F81A07" w14:textId="77777777" w:rsidR="005C5A1B" w:rsidRDefault="005C5A1B" w:rsidP="005C5A1B">
            <w:pPr>
              <w:pStyle w:val="Tabletextcentred"/>
            </w:pPr>
          </w:p>
        </w:tc>
        <w:tc>
          <w:tcPr>
            <w:tcW w:w="1972" w:type="dxa"/>
            <w:tcBorders>
              <w:top w:val="single" w:sz="4" w:space="0" w:color="auto"/>
              <w:left w:val="nil"/>
              <w:bottom w:val="single" w:sz="12" w:space="0" w:color="auto"/>
              <w:right w:val="nil"/>
            </w:tcBorders>
            <w:shd w:val="clear" w:color="auto" w:fill="CCECFF"/>
          </w:tcPr>
          <w:p w14:paraId="530B408E" w14:textId="77777777" w:rsidR="005C5A1B" w:rsidRDefault="005C5A1B" w:rsidP="005C5A1B">
            <w:pPr>
              <w:pStyle w:val="Tabletextcentred"/>
            </w:pPr>
            <w:r>
              <w:t>2578.0</w:t>
            </w:r>
          </w:p>
        </w:tc>
        <w:tc>
          <w:tcPr>
            <w:tcW w:w="1973" w:type="dxa"/>
            <w:tcBorders>
              <w:top w:val="single" w:sz="4" w:space="0" w:color="auto"/>
              <w:left w:val="nil"/>
              <w:bottom w:val="single" w:sz="12" w:space="0" w:color="auto"/>
              <w:right w:val="nil"/>
            </w:tcBorders>
            <w:shd w:val="clear" w:color="auto" w:fill="FFE699"/>
          </w:tcPr>
          <w:p w14:paraId="71B86265" w14:textId="77777777" w:rsidR="005C5A1B" w:rsidRDefault="005C5A1B" w:rsidP="005C5A1B">
            <w:pPr>
              <w:pStyle w:val="Tabletextcentred"/>
            </w:pPr>
            <w:r>
              <w:t>4.0</w:t>
            </w:r>
          </w:p>
        </w:tc>
        <w:tc>
          <w:tcPr>
            <w:tcW w:w="1454" w:type="dxa"/>
            <w:tcBorders>
              <w:top w:val="single" w:sz="4" w:space="0" w:color="auto"/>
              <w:left w:val="nil"/>
              <w:bottom w:val="single" w:sz="12" w:space="0" w:color="auto"/>
              <w:right w:val="nil"/>
            </w:tcBorders>
            <w:shd w:val="clear" w:color="auto" w:fill="FFE699"/>
          </w:tcPr>
          <w:p w14:paraId="49A3C297" w14:textId="77777777" w:rsidR="005C5A1B" w:rsidRDefault="005C5A1B" w:rsidP="005C5A1B">
            <w:pPr>
              <w:pStyle w:val="Tabletextcentred"/>
            </w:pPr>
            <w:r>
              <w:t>1.0</w:t>
            </w:r>
          </w:p>
        </w:tc>
      </w:tr>
    </w:tbl>
    <w:p w14:paraId="64A634CB" w14:textId="77777777" w:rsidR="00220E96" w:rsidRDefault="00220E96" w:rsidP="00DE3BEE"/>
    <w:p w14:paraId="222DE8E7" w14:textId="692251BA" w:rsidR="00D848F2" w:rsidRDefault="00DE3BEE" w:rsidP="00DE3BEE">
      <w:r w:rsidRPr="00A133CF">
        <w:t>It should be borne in mind that this analysis is simplistic and cannot be compared directly with the much more complex, statistical model developed by ACMA, but it can serve to give an ‘order of magnitude’ feel for the issues and an understanding of the sensitivities to certain assumptions</w:t>
      </w:r>
      <w:r w:rsidR="00D848F2">
        <w:t>.</w:t>
      </w:r>
    </w:p>
    <w:p w14:paraId="564CB544" w14:textId="77777777" w:rsidR="00D848F2" w:rsidRDefault="00DE3BEE" w:rsidP="00DE3BEE">
      <w:r w:rsidRPr="00A133CF">
        <w:t>Under the Plum assumptions, some 2,600 base stations could be accommodated in the area covered by a single uplink footprint, while the NBN calculations would only permit 4 (or 1 with the increased gain of the next-generation Sky Muster antenna</w:t>
      </w:r>
      <w:r w:rsidRPr="00C026B7">
        <w:rPr>
          <w:vertAlign w:val="superscript"/>
        </w:rPr>
        <w:footnoteReference w:id="10"/>
      </w:r>
      <w:r w:rsidRPr="00A133CF">
        <w:t>)</w:t>
      </w:r>
      <w:r w:rsidR="00D848F2">
        <w:t>.</w:t>
      </w:r>
    </w:p>
    <w:p w14:paraId="57D2D941" w14:textId="77777777" w:rsidR="00DE3BEE" w:rsidRPr="00A133CF" w:rsidRDefault="00DE3BEE" w:rsidP="00DE3BEE">
      <w:r w:rsidRPr="00A133CF">
        <w:t xml:space="preserve">One obvious criticism of </w:t>
      </w:r>
      <w:r w:rsidRPr="00A133CF">
        <w:fldChar w:fldCharType="begin"/>
      </w:r>
      <w:r w:rsidRPr="00A133CF">
        <w:instrText xml:space="preserve"> REF _Ref18350741 </w:instrText>
      </w:r>
      <w:r>
        <w:instrText xml:space="preserve"> \* MERGEFORMAT </w:instrText>
      </w:r>
      <w:r w:rsidRPr="00A133CF">
        <w:fldChar w:fldCharType="separate"/>
      </w:r>
      <w:r w:rsidRPr="00A133CF">
        <w:t>Table 2.2</w:t>
      </w:r>
      <w:r w:rsidRPr="00A133CF">
        <w:fldChar w:fldCharType="end"/>
      </w:r>
      <w:r w:rsidRPr="00A133CF">
        <w:t xml:space="preserve"> is that it does not account for interference from user terminals. The final ACMA modelling estimates that aggregate interference due to UEs is 7.1 dB greater than that from BS; accounting for UE interference will therefore reduce the permissible population of base stations significantly. These calculations can be used, with ‘representative’, or average values to understand the IMT population that might be permissible before the long-term interference limit (I/N=-10.8dB or -12.2dB) is exceeded. Alternatively, the parameters can be set to represent ‘worst-case’ values and assessed relative to the low-probability (0.02%)</w:t>
      </w:r>
      <w:r w:rsidR="00232CCD">
        <w:t xml:space="preserve"> </w:t>
      </w:r>
      <w:r w:rsidRPr="00A133CF">
        <w:t xml:space="preserve">limit of I/N=0dB. This gives the results indicated in </w:t>
      </w:r>
      <w:r w:rsidRPr="00A133CF">
        <w:fldChar w:fldCharType="begin"/>
      </w:r>
      <w:r w:rsidRPr="00A133CF">
        <w:instrText xml:space="preserve"> REF _Ref18351945 </w:instrText>
      </w:r>
      <w:r>
        <w:instrText xml:space="preserve"> \* MERGEFORMAT </w:instrText>
      </w:r>
      <w:r w:rsidRPr="00A133CF">
        <w:fldChar w:fldCharType="separate"/>
      </w:r>
      <w:r w:rsidRPr="00A133CF">
        <w:t>Table 2.3</w:t>
      </w:r>
      <w:r w:rsidRPr="00A133CF">
        <w:fldChar w:fldCharType="end"/>
      </w:r>
      <w:r w:rsidRPr="00A133CF">
        <w:t xml:space="preserve"> below.</w:t>
      </w:r>
    </w:p>
    <w:p w14:paraId="4EE56D80" w14:textId="77777777" w:rsidR="00DE3BEE" w:rsidRDefault="00DE3BEE" w:rsidP="00CA3193">
      <w:pPr>
        <w:pStyle w:val="Tablefigureheading"/>
      </w:pPr>
      <w:bookmarkStart w:id="58" w:name="_Ref18351945"/>
      <w:bookmarkStart w:id="59" w:name="_Toc21429766"/>
      <w:r w:rsidRPr="00A133CF">
        <w:t xml:space="preserve">Table </w:t>
      </w:r>
      <w:r w:rsidR="009D475F">
        <w:fldChar w:fldCharType="begin"/>
      </w:r>
      <w:r w:rsidR="009D475F">
        <w:instrText xml:space="preserve"> STYLEREF 1 \s </w:instrText>
      </w:r>
      <w:r w:rsidR="009D475F">
        <w:fldChar w:fldCharType="separate"/>
      </w:r>
      <w:r w:rsidRPr="00A133CF">
        <w:t>2</w:t>
      </w:r>
      <w:r w:rsidR="009D475F">
        <w:fldChar w:fldCharType="end"/>
      </w:r>
      <w:r w:rsidRPr="00A133CF">
        <w:t>.</w:t>
      </w:r>
      <w:r w:rsidR="009D475F">
        <w:fldChar w:fldCharType="begin"/>
      </w:r>
      <w:r w:rsidR="009D475F">
        <w:instrText xml:space="preserve"> SEQ Table \* ARABIC \s 1 </w:instrText>
      </w:r>
      <w:r w:rsidR="009D475F">
        <w:fldChar w:fldCharType="separate"/>
      </w:r>
      <w:r w:rsidRPr="00A133CF">
        <w:t>3</w:t>
      </w:r>
      <w:r w:rsidR="009D475F">
        <w:fldChar w:fldCharType="end"/>
      </w:r>
      <w:bookmarkEnd w:id="58"/>
      <w:r w:rsidRPr="00A133CF">
        <w:t>: Worst-case single-entry calculations</w:t>
      </w:r>
      <w:bookmarkEnd w:id="59"/>
    </w:p>
    <w:tbl>
      <w:tblPr>
        <w:tblStyle w:val="TableGrid1"/>
        <w:tblW w:w="0" w:type="auto"/>
        <w:tblBorders>
          <w:top w:val="none" w:sz="0" w:space="0" w:color="auto"/>
          <w:left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Description w:val="Table 2.3: Worst-case single-entry calculations"/>
      </w:tblPr>
      <w:tblGrid>
        <w:gridCol w:w="5245"/>
        <w:gridCol w:w="1701"/>
        <w:gridCol w:w="1972"/>
      </w:tblGrid>
      <w:tr w:rsidR="00566849" w:rsidRPr="005113AA" w14:paraId="5D904C91" w14:textId="77777777" w:rsidTr="00DF0DE7">
        <w:trPr>
          <w:cantSplit/>
          <w:tblHeader/>
        </w:trPr>
        <w:tc>
          <w:tcPr>
            <w:tcW w:w="5245" w:type="dxa"/>
            <w:tcBorders>
              <w:top w:val="nil"/>
              <w:left w:val="nil"/>
              <w:bottom w:val="thickThinLargeGap" w:sz="24" w:space="0" w:color="auto"/>
              <w:right w:val="nil"/>
            </w:tcBorders>
            <w:shd w:val="clear" w:color="auto" w:fill="E4E4E4"/>
          </w:tcPr>
          <w:p w14:paraId="52A6AE00" w14:textId="77777777" w:rsidR="00566849" w:rsidRPr="005113AA" w:rsidRDefault="00566849" w:rsidP="00432DB3">
            <w:pPr>
              <w:pStyle w:val="Tablerowcolumnheading"/>
            </w:pPr>
          </w:p>
        </w:tc>
        <w:tc>
          <w:tcPr>
            <w:tcW w:w="1701" w:type="dxa"/>
            <w:tcBorders>
              <w:top w:val="nil"/>
              <w:left w:val="nil"/>
              <w:bottom w:val="thickThinLargeGap" w:sz="24" w:space="0" w:color="auto"/>
              <w:right w:val="nil"/>
            </w:tcBorders>
            <w:shd w:val="clear" w:color="auto" w:fill="E4E4E4"/>
          </w:tcPr>
          <w:p w14:paraId="5F6E226B" w14:textId="77777777" w:rsidR="00566849" w:rsidRPr="005113AA" w:rsidRDefault="00566849" w:rsidP="00432DB3">
            <w:pPr>
              <w:pStyle w:val="Tablerowcolumnheadingcentred"/>
            </w:pPr>
            <w:r>
              <w:t>Units</w:t>
            </w:r>
          </w:p>
        </w:tc>
        <w:tc>
          <w:tcPr>
            <w:tcW w:w="1972" w:type="dxa"/>
            <w:tcBorders>
              <w:top w:val="nil"/>
              <w:left w:val="nil"/>
              <w:bottom w:val="thickThinLargeGap" w:sz="24" w:space="0" w:color="auto"/>
              <w:right w:val="nil"/>
            </w:tcBorders>
            <w:shd w:val="clear" w:color="auto" w:fill="E4E4E4"/>
          </w:tcPr>
          <w:p w14:paraId="1F2B5CB5" w14:textId="77777777" w:rsidR="00566849" w:rsidRPr="005113AA" w:rsidRDefault="00566849" w:rsidP="00432DB3">
            <w:pPr>
              <w:pStyle w:val="Tablerowcolumnheadingcentred"/>
            </w:pPr>
            <w:r>
              <w:t>PLUM</w:t>
            </w:r>
          </w:p>
        </w:tc>
      </w:tr>
      <w:tr w:rsidR="00566849" w:rsidRPr="005113AA" w14:paraId="353E6A8C" w14:textId="77777777" w:rsidTr="00DF0DE7">
        <w:trPr>
          <w:cantSplit/>
        </w:trPr>
        <w:tc>
          <w:tcPr>
            <w:tcW w:w="5245" w:type="dxa"/>
            <w:tcBorders>
              <w:top w:val="thickThinLargeGap" w:sz="24" w:space="0" w:color="auto"/>
              <w:left w:val="nil"/>
              <w:bottom w:val="single" w:sz="4" w:space="0" w:color="auto"/>
              <w:right w:val="nil"/>
            </w:tcBorders>
          </w:tcPr>
          <w:p w14:paraId="03D63517" w14:textId="77777777" w:rsidR="00566849" w:rsidRPr="005113AA" w:rsidRDefault="00566849" w:rsidP="00432DB3">
            <w:pPr>
              <w:pStyle w:val="Tablerowcolumnheading"/>
            </w:pPr>
            <w:r>
              <w:t>Interference criterion</w:t>
            </w:r>
          </w:p>
        </w:tc>
        <w:tc>
          <w:tcPr>
            <w:tcW w:w="1701" w:type="dxa"/>
            <w:tcBorders>
              <w:top w:val="thickThinLargeGap" w:sz="24" w:space="0" w:color="auto"/>
              <w:left w:val="nil"/>
              <w:bottom w:val="single" w:sz="4" w:space="0" w:color="auto"/>
              <w:right w:val="nil"/>
            </w:tcBorders>
          </w:tcPr>
          <w:p w14:paraId="4BBF61BC" w14:textId="77777777" w:rsidR="00566849" w:rsidRPr="005113AA" w:rsidRDefault="00566849" w:rsidP="00432DB3">
            <w:pPr>
              <w:pStyle w:val="Tabletextcentred"/>
            </w:pPr>
          </w:p>
        </w:tc>
        <w:tc>
          <w:tcPr>
            <w:tcW w:w="1972" w:type="dxa"/>
            <w:tcBorders>
              <w:top w:val="thickThinLargeGap" w:sz="24" w:space="0" w:color="auto"/>
              <w:left w:val="nil"/>
              <w:bottom w:val="single" w:sz="4" w:space="0" w:color="auto"/>
              <w:right w:val="nil"/>
            </w:tcBorders>
          </w:tcPr>
          <w:p w14:paraId="081553D9" w14:textId="77777777" w:rsidR="00566849" w:rsidRPr="005113AA" w:rsidRDefault="00566849" w:rsidP="00432DB3">
            <w:pPr>
              <w:pStyle w:val="Tabletextcentred"/>
            </w:pPr>
          </w:p>
        </w:tc>
      </w:tr>
      <w:tr w:rsidR="00566849" w:rsidRPr="005113AA" w14:paraId="0C3718B2" w14:textId="77777777" w:rsidTr="00DF0DE7">
        <w:trPr>
          <w:cantSplit/>
        </w:trPr>
        <w:tc>
          <w:tcPr>
            <w:tcW w:w="5245" w:type="dxa"/>
            <w:tcBorders>
              <w:top w:val="single" w:sz="4" w:space="0" w:color="auto"/>
              <w:left w:val="nil"/>
              <w:bottom w:val="single" w:sz="4" w:space="0" w:color="auto"/>
              <w:right w:val="nil"/>
            </w:tcBorders>
          </w:tcPr>
          <w:p w14:paraId="368A57F9" w14:textId="77777777" w:rsidR="00566849" w:rsidRPr="005113AA" w:rsidRDefault="00566849" w:rsidP="00432DB3">
            <w:pPr>
              <w:pStyle w:val="Tabletext"/>
            </w:pPr>
            <w:r>
              <w:t>k</w:t>
            </w:r>
          </w:p>
        </w:tc>
        <w:tc>
          <w:tcPr>
            <w:tcW w:w="1701" w:type="dxa"/>
            <w:tcBorders>
              <w:top w:val="single" w:sz="4" w:space="0" w:color="auto"/>
              <w:left w:val="nil"/>
              <w:bottom w:val="single" w:sz="4" w:space="0" w:color="auto"/>
              <w:right w:val="nil"/>
            </w:tcBorders>
          </w:tcPr>
          <w:p w14:paraId="745DC07F" w14:textId="65F88AB7" w:rsidR="00566849" w:rsidRPr="005113AA" w:rsidRDefault="00C53A10" w:rsidP="00432DB3">
            <w:pPr>
              <w:pStyle w:val="Tabletextcentred"/>
            </w:pPr>
            <w:r>
              <w:t>constant</w:t>
            </w:r>
          </w:p>
        </w:tc>
        <w:tc>
          <w:tcPr>
            <w:tcW w:w="1972" w:type="dxa"/>
            <w:tcBorders>
              <w:top w:val="single" w:sz="4" w:space="0" w:color="auto"/>
              <w:left w:val="nil"/>
              <w:bottom w:val="single" w:sz="4" w:space="0" w:color="auto"/>
              <w:right w:val="nil"/>
            </w:tcBorders>
          </w:tcPr>
          <w:p w14:paraId="4BAECE8F" w14:textId="764D4D45" w:rsidR="00566849" w:rsidRPr="005113AA" w:rsidRDefault="00C53A10" w:rsidP="00432DB3">
            <w:pPr>
              <w:pStyle w:val="Tabletextcentred"/>
            </w:pPr>
            <w:r>
              <w:t>1.38E-23</w:t>
            </w:r>
          </w:p>
        </w:tc>
      </w:tr>
      <w:tr w:rsidR="00566849" w:rsidRPr="005113AA" w14:paraId="11D6B186" w14:textId="77777777" w:rsidTr="00DF0DE7">
        <w:trPr>
          <w:cantSplit/>
        </w:trPr>
        <w:tc>
          <w:tcPr>
            <w:tcW w:w="5245" w:type="dxa"/>
            <w:tcBorders>
              <w:top w:val="single" w:sz="4" w:space="0" w:color="auto"/>
              <w:left w:val="nil"/>
              <w:bottom w:val="single" w:sz="4" w:space="0" w:color="auto"/>
              <w:right w:val="nil"/>
            </w:tcBorders>
          </w:tcPr>
          <w:p w14:paraId="38BB28D9" w14:textId="77777777" w:rsidR="00566849" w:rsidRPr="005113AA" w:rsidRDefault="00566849" w:rsidP="00432DB3">
            <w:pPr>
              <w:pStyle w:val="Tabletext"/>
            </w:pPr>
            <w:r>
              <w:t>T</w:t>
            </w:r>
          </w:p>
        </w:tc>
        <w:tc>
          <w:tcPr>
            <w:tcW w:w="1701" w:type="dxa"/>
            <w:tcBorders>
              <w:top w:val="single" w:sz="4" w:space="0" w:color="auto"/>
              <w:left w:val="nil"/>
              <w:bottom w:val="single" w:sz="4" w:space="0" w:color="auto"/>
              <w:right w:val="nil"/>
            </w:tcBorders>
          </w:tcPr>
          <w:p w14:paraId="7F1AF1E8" w14:textId="40876E09" w:rsidR="00566849" w:rsidRPr="005113AA" w:rsidRDefault="00C53A10" w:rsidP="00432DB3">
            <w:pPr>
              <w:pStyle w:val="Tabletextcentred"/>
            </w:pPr>
            <w:r>
              <w:t>K</w:t>
            </w:r>
          </w:p>
        </w:tc>
        <w:tc>
          <w:tcPr>
            <w:tcW w:w="1972" w:type="dxa"/>
            <w:tcBorders>
              <w:top w:val="single" w:sz="4" w:space="0" w:color="auto"/>
              <w:left w:val="nil"/>
              <w:bottom w:val="single" w:sz="4" w:space="0" w:color="auto"/>
              <w:right w:val="nil"/>
            </w:tcBorders>
          </w:tcPr>
          <w:p w14:paraId="47BF52C2" w14:textId="2CC8AFA1" w:rsidR="00566849" w:rsidRPr="005113AA" w:rsidRDefault="00C53A10" w:rsidP="00432DB3">
            <w:pPr>
              <w:pStyle w:val="Tabletextcentred"/>
            </w:pPr>
            <w:r>
              <w:t>400.0</w:t>
            </w:r>
          </w:p>
        </w:tc>
      </w:tr>
      <w:tr w:rsidR="00566849" w:rsidRPr="005113AA" w14:paraId="7666C614" w14:textId="77777777" w:rsidTr="00DF0DE7">
        <w:trPr>
          <w:cantSplit/>
        </w:trPr>
        <w:tc>
          <w:tcPr>
            <w:tcW w:w="5245" w:type="dxa"/>
            <w:tcBorders>
              <w:top w:val="single" w:sz="4" w:space="0" w:color="auto"/>
              <w:left w:val="nil"/>
              <w:bottom w:val="single" w:sz="4" w:space="0" w:color="auto"/>
              <w:right w:val="nil"/>
            </w:tcBorders>
          </w:tcPr>
          <w:p w14:paraId="74651B5F" w14:textId="77777777" w:rsidR="00566849" w:rsidRDefault="00566849" w:rsidP="00432DB3">
            <w:pPr>
              <w:pStyle w:val="Tabletext"/>
            </w:pPr>
            <w:r>
              <w:t>B</w:t>
            </w:r>
          </w:p>
        </w:tc>
        <w:tc>
          <w:tcPr>
            <w:tcW w:w="1701" w:type="dxa"/>
            <w:tcBorders>
              <w:top w:val="single" w:sz="4" w:space="0" w:color="auto"/>
              <w:left w:val="nil"/>
              <w:bottom w:val="single" w:sz="4" w:space="0" w:color="auto"/>
              <w:right w:val="nil"/>
            </w:tcBorders>
          </w:tcPr>
          <w:p w14:paraId="65D80678" w14:textId="6AB51D5A" w:rsidR="00566849" w:rsidRDefault="00C53A10" w:rsidP="00432DB3">
            <w:pPr>
              <w:pStyle w:val="Tabletextcentred"/>
            </w:pPr>
            <w:r>
              <w:t>Hz</w:t>
            </w:r>
          </w:p>
        </w:tc>
        <w:tc>
          <w:tcPr>
            <w:tcW w:w="1972" w:type="dxa"/>
            <w:tcBorders>
              <w:top w:val="single" w:sz="4" w:space="0" w:color="auto"/>
              <w:left w:val="nil"/>
              <w:bottom w:val="single" w:sz="4" w:space="0" w:color="auto"/>
              <w:right w:val="nil"/>
            </w:tcBorders>
          </w:tcPr>
          <w:p w14:paraId="2B7D0648" w14:textId="3B4B7CF1" w:rsidR="00566849" w:rsidRDefault="00C53A10" w:rsidP="00432DB3">
            <w:pPr>
              <w:pStyle w:val="Tabletextcentred"/>
            </w:pPr>
            <w:r>
              <w:t>1000000</w:t>
            </w:r>
          </w:p>
        </w:tc>
      </w:tr>
      <w:tr w:rsidR="00566849" w:rsidRPr="005113AA" w14:paraId="2083FF1B" w14:textId="77777777" w:rsidTr="00DF0DE7">
        <w:trPr>
          <w:cantSplit/>
        </w:trPr>
        <w:tc>
          <w:tcPr>
            <w:tcW w:w="5245" w:type="dxa"/>
            <w:tcBorders>
              <w:top w:val="single" w:sz="4" w:space="0" w:color="auto"/>
              <w:left w:val="nil"/>
              <w:bottom w:val="single" w:sz="4" w:space="0" w:color="auto"/>
              <w:right w:val="nil"/>
            </w:tcBorders>
          </w:tcPr>
          <w:p w14:paraId="5FC9E9DF" w14:textId="77777777" w:rsidR="00566849" w:rsidRDefault="00566849" w:rsidP="00432DB3">
            <w:pPr>
              <w:pStyle w:val="Tabletext"/>
            </w:pPr>
            <w:r>
              <w:t>Sat Rx noise</w:t>
            </w:r>
          </w:p>
        </w:tc>
        <w:tc>
          <w:tcPr>
            <w:tcW w:w="1701" w:type="dxa"/>
            <w:tcBorders>
              <w:top w:val="single" w:sz="4" w:space="0" w:color="auto"/>
              <w:left w:val="nil"/>
              <w:bottom w:val="single" w:sz="4" w:space="0" w:color="auto"/>
              <w:right w:val="nil"/>
            </w:tcBorders>
          </w:tcPr>
          <w:p w14:paraId="601DEC8C" w14:textId="66EFD3A2" w:rsidR="00566849" w:rsidRDefault="00C53A10" w:rsidP="00432DB3">
            <w:pPr>
              <w:pStyle w:val="Tabletextcentred"/>
            </w:pPr>
            <w:proofErr w:type="spellStart"/>
            <w:r>
              <w:t>dBW</w:t>
            </w:r>
            <w:proofErr w:type="spellEnd"/>
            <w:r>
              <w:t>/MHz</w:t>
            </w:r>
          </w:p>
        </w:tc>
        <w:tc>
          <w:tcPr>
            <w:tcW w:w="1972" w:type="dxa"/>
            <w:tcBorders>
              <w:top w:val="single" w:sz="4" w:space="0" w:color="auto"/>
              <w:left w:val="nil"/>
              <w:bottom w:val="single" w:sz="4" w:space="0" w:color="auto"/>
              <w:right w:val="nil"/>
            </w:tcBorders>
          </w:tcPr>
          <w:p w14:paraId="77089D35" w14:textId="7AB633A2" w:rsidR="00566849" w:rsidRDefault="00C53A10" w:rsidP="00432DB3">
            <w:pPr>
              <w:pStyle w:val="Tabletextcentred"/>
            </w:pPr>
            <w:r>
              <w:t>-142.6</w:t>
            </w:r>
          </w:p>
        </w:tc>
      </w:tr>
      <w:tr w:rsidR="00566849" w:rsidRPr="005113AA" w14:paraId="65396B4D" w14:textId="77777777" w:rsidTr="00DF0DE7">
        <w:trPr>
          <w:cantSplit/>
        </w:trPr>
        <w:tc>
          <w:tcPr>
            <w:tcW w:w="5245" w:type="dxa"/>
            <w:tcBorders>
              <w:top w:val="single" w:sz="4" w:space="0" w:color="auto"/>
              <w:left w:val="nil"/>
              <w:bottom w:val="single" w:sz="4" w:space="0" w:color="auto"/>
              <w:right w:val="nil"/>
            </w:tcBorders>
          </w:tcPr>
          <w:p w14:paraId="02DE643D" w14:textId="77777777" w:rsidR="00566849" w:rsidRDefault="00566849" w:rsidP="00432DB3">
            <w:pPr>
              <w:pStyle w:val="Tabletext"/>
            </w:pPr>
            <w:r>
              <w:t>I/N</w:t>
            </w:r>
          </w:p>
        </w:tc>
        <w:tc>
          <w:tcPr>
            <w:tcW w:w="1701" w:type="dxa"/>
            <w:tcBorders>
              <w:top w:val="single" w:sz="4" w:space="0" w:color="auto"/>
              <w:left w:val="nil"/>
              <w:bottom w:val="single" w:sz="4" w:space="0" w:color="auto"/>
              <w:right w:val="nil"/>
            </w:tcBorders>
          </w:tcPr>
          <w:p w14:paraId="28B818D5" w14:textId="1EDC00A3" w:rsidR="00566849" w:rsidRDefault="00C53A10" w:rsidP="00432DB3">
            <w:pPr>
              <w:pStyle w:val="Tabletextcentred"/>
            </w:pPr>
            <w:r>
              <w:t>dB</w:t>
            </w:r>
          </w:p>
        </w:tc>
        <w:tc>
          <w:tcPr>
            <w:tcW w:w="1972" w:type="dxa"/>
            <w:tcBorders>
              <w:top w:val="single" w:sz="4" w:space="0" w:color="auto"/>
              <w:left w:val="nil"/>
              <w:bottom w:val="single" w:sz="4" w:space="0" w:color="auto"/>
              <w:right w:val="nil"/>
            </w:tcBorders>
            <w:shd w:val="clear" w:color="auto" w:fill="FFCC66"/>
          </w:tcPr>
          <w:p w14:paraId="399D5E5A" w14:textId="5DBCB97E" w:rsidR="00566849" w:rsidRDefault="00220E96" w:rsidP="00432DB3">
            <w:pPr>
              <w:pStyle w:val="Tabletextcentred"/>
            </w:pPr>
            <w:r>
              <w:t>0.0</w:t>
            </w:r>
          </w:p>
        </w:tc>
      </w:tr>
      <w:tr w:rsidR="00566849" w:rsidRPr="005113AA" w14:paraId="1E7C9AAE" w14:textId="77777777" w:rsidTr="00DF0DE7">
        <w:trPr>
          <w:cantSplit/>
        </w:trPr>
        <w:tc>
          <w:tcPr>
            <w:tcW w:w="5245" w:type="dxa"/>
            <w:tcBorders>
              <w:top w:val="single" w:sz="4" w:space="0" w:color="auto"/>
              <w:left w:val="nil"/>
              <w:bottom w:val="single" w:sz="4" w:space="0" w:color="auto"/>
              <w:right w:val="nil"/>
            </w:tcBorders>
            <w:shd w:val="clear" w:color="auto" w:fill="CCECFF"/>
          </w:tcPr>
          <w:p w14:paraId="66D6432F" w14:textId="77777777" w:rsidR="00566849" w:rsidRDefault="00566849" w:rsidP="00432DB3">
            <w:pPr>
              <w:pStyle w:val="Tabletext"/>
            </w:pPr>
            <w:r>
              <w:t>I max</w:t>
            </w:r>
          </w:p>
        </w:tc>
        <w:tc>
          <w:tcPr>
            <w:tcW w:w="1701" w:type="dxa"/>
            <w:tcBorders>
              <w:top w:val="single" w:sz="4" w:space="0" w:color="auto"/>
              <w:left w:val="nil"/>
              <w:bottom w:val="single" w:sz="4" w:space="0" w:color="auto"/>
              <w:right w:val="nil"/>
            </w:tcBorders>
            <w:shd w:val="clear" w:color="auto" w:fill="CCECFF"/>
          </w:tcPr>
          <w:p w14:paraId="44DC5696" w14:textId="7397EDD3" w:rsidR="00566849" w:rsidRDefault="00220E96" w:rsidP="00432DB3">
            <w:pPr>
              <w:pStyle w:val="Tabletextcentred"/>
            </w:pPr>
            <w:proofErr w:type="spellStart"/>
            <w:r>
              <w:t>dBW</w:t>
            </w:r>
            <w:proofErr w:type="spellEnd"/>
            <w:r>
              <w:t>/MHz</w:t>
            </w:r>
          </w:p>
        </w:tc>
        <w:tc>
          <w:tcPr>
            <w:tcW w:w="1972" w:type="dxa"/>
            <w:tcBorders>
              <w:top w:val="single" w:sz="4" w:space="0" w:color="auto"/>
              <w:left w:val="nil"/>
              <w:bottom w:val="single" w:sz="4" w:space="0" w:color="auto"/>
              <w:right w:val="nil"/>
            </w:tcBorders>
            <w:shd w:val="clear" w:color="auto" w:fill="CCECFF"/>
          </w:tcPr>
          <w:p w14:paraId="53F2A3A4" w14:textId="69255D40" w:rsidR="00566849" w:rsidRDefault="00220E96" w:rsidP="00432DB3">
            <w:pPr>
              <w:pStyle w:val="Tabletextcentred"/>
            </w:pPr>
            <w:r>
              <w:t>-142.6</w:t>
            </w:r>
          </w:p>
        </w:tc>
      </w:tr>
      <w:tr w:rsidR="00964AC6" w:rsidRPr="005113AA" w14:paraId="541C87FC" w14:textId="77777777" w:rsidTr="00DF0DE7">
        <w:trPr>
          <w:cantSplit/>
        </w:trPr>
        <w:tc>
          <w:tcPr>
            <w:tcW w:w="5245" w:type="dxa"/>
            <w:tcBorders>
              <w:top w:val="single" w:sz="4" w:space="0" w:color="auto"/>
              <w:left w:val="nil"/>
              <w:bottom w:val="single" w:sz="4" w:space="0" w:color="auto"/>
              <w:right w:val="nil"/>
            </w:tcBorders>
          </w:tcPr>
          <w:p w14:paraId="685781FF" w14:textId="77777777" w:rsidR="00964AC6" w:rsidRDefault="00964AC6" w:rsidP="00432DB3">
            <w:pPr>
              <w:pStyle w:val="Tablerowcolumnheading"/>
            </w:pPr>
          </w:p>
        </w:tc>
        <w:tc>
          <w:tcPr>
            <w:tcW w:w="1701" w:type="dxa"/>
            <w:tcBorders>
              <w:top w:val="single" w:sz="4" w:space="0" w:color="auto"/>
              <w:left w:val="nil"/>
              <w:bottom w:val="single" w:sz="4" w:space="0" w:color="auto"/>
              <w:right w:val="nil"/>
            </w:tcBorders>
          </w:tcPr>
          <w:p w14:paraId="0022FAF8" w14:textId="77777777" w:rsidR="00964AC6" w:rsidRDefault="00964AC6" w:rsidP="00432DB3">
            <w:pPr>
              <w:pStyle w:val="Tabletextcentred"/>
            </w:pPr>
          </w:p>
        </w:tc>
        <w:tc>
          <w:tcPr>
            <w:tcW w:w="1972" w:type="dxa"/>
            <w:tcBorders>
              <w:top w:val="single" w:sz="4" w:space="0" w:color="auto"/>
              <w:left w:val="nil"/>
              <w:bottom w:val="single" w:sz="4" w:space="0" w:color="auto"/>
              <w:right w:val="nil"/>
            </w:tcBorders>
          </w:tcPr>
          <w:p w14:paraId="59029BB6" w14:textId="77777777" w:rsidR="00964AC6" w:rsidRDefault="00964AC6" w:rsidP="00432DB3">
            <w:pPr>
              <w:pStyle w:val="Tabletextcentred"/>
            </w:pPr>
          </w:p>
        </w:tc>
      </w:tr>
      <w:tr w:rsidR="00566849" w:rsidRPr="005113AA" w14:paraId="17703916" w14:textId="77777777" w:rsidTr="00DF0DE7">
        <w:trPr>
          <w:cantSplit/>
        </w:trPr>
        <w:tc>
          <w:tcPr>
            <w:tcW w:w="5245" w:type="dxa"/>
            <w:tcBorders>
              <w:top w:val="single" w:sz="4" w:space="0" w:color="auto"/>
              <w:left w:val="nil"/>
              <w:bottom w:val="single" w:sz="4" w:space="0" w:color="auto"/>
              <w:right w:val="nil"/>
            </w:tcBorders>
          </w:tcPr>
          <w:p w14:paraId="2D46BF5B" w14:textId="77777777" w:rsidR="00566849" w:rsidRDefault="00566849" w:rsidP="00432DB3">
            <w:pPr>
              <w:pStyle w:val="Tablerowcolumnheading"/>
            </w:pPr>
            <w:r>
              <w:t>Path loss</w:t>
            </w:r>
          </w:p>
        </w:tc>
        <w:tc>
          <w:tcPr>
            <w:tcW w:w="1701" w:type="dxa"/>
            <w:tcBorders>
              <w:top w:val="single" w:sz="4" w:space="0" w:color="auto"/>
              <w:left w:val="nil"/>
              <w:bottom w:val="single" w:sz="4" w:space="0" w:color="auto"/>
              <w:right w:val="nil"/>
            </w:tcBorders>
          </w:tcPr>
          <w:p w14:paraId="0E27DE1A" w14:textId="77777777" w:rsidR="00566849" w:rsidRDefault="00566849" w:rsidP="00432DB3">
            <w:pPr>
              <w:pStyle w:val="Tabletextcentred"/>
            </w:pPr>
          </w:p>
        </w:tc>
        <w:tc>
          <w:tcPr>
            <w:tcW w:w="1972" w:type="dxa"/>
            <w:tcBorders>
              <w:top w:val="single" w:sz="4" w:space="0" w:color="auto"/>
              <w:left w:val="nil"/>
              <w:bottom w:val="single" w:sz="4" w:space="0" w:color="auto"/>
              <w:right w:val="nil"/>
            </w:tcBorders>
          </w:tcPr>
          <w:p w14:paraId="2A804F55" w14:textId="77777777" w:rsidR="00566849" w:rsidRDefault="00566849" w:rsidP="00432DB3">
            <w:pPr>
              <w:pStyle w:val="Tabletextcentred"/>
            </w:pPr>
          </w:p>
        </w:tc>
      </w:tr>
      <w:tr w:rsidR="00566849" w:rsidRPr="005113AA" w14:paraId="042EC201" w14:textId="77777777" w:rsidTr="00DF0DE7">
        <w:trPr>
          <w:cantSplit/>
        </w:trPr>
        <w:tc>
          <w:tcPr>
            <w:tcW w:w="5245" w:type="dxa"/>
            <w:tcBorders>
              <w:top w:val="single" w:sz="4" w:space="0" w:color="auto"/>
              <w:left w:val="nil"/>
              <w:bottom w:val="single" w:sz="4" w:space="0" w:color="auto"/>
              <w:right w:val="nil"/>
            </w:tcBorders>
          </w:tcPr>
          <w:p w14:paraId="474AC63A" w14:textId="77777777" w:rsidR="00566849" w:rsidRDefault="00566849" w:rsidP="00432DB3">
            <w:pPr>
              <w:pStyle w:val="Tabletext"/>
            </w:pPr>
            <w:r>
              <w:t>f</w:t>
            </w:r>
          </w:p>
        </w:tc>
        <w:tc>
          <w:tcPr>
            <w:tcW w:w="1701" w:type="dxa"/>
            <w:tcBorders>
              <w:top w:val="single" w:sz="4" w:space="0" w:color="auto"/>
              <w:left w:val="nil"/>
              <w:bottom w:val="single" w:sz="4" w:space="0" w:color="auto"/>
              <w:right w:val="nil"/>
            </w:tcBorders>
          </w:tcPr>
          <w:p w14:paraId="1AA3729E" w14:textId="0394AD54" w:rsidR="00566849" w:rsidRDefault="00220E96" w:rsidP="00432DB3">
            <w:pPr>
              <w:pStyle w:val="Tabletextcentred"/>
            </w:pPr>
            <w:r>
              <w:t>Hz</w:t>
            </w:r>
          </w:p>
        </w:tc>
        <w:tc>
          <w:tcPr>
            <w:tcW w:w="1972" w:type="dxa"/>
            <w:tcBorders>
              <w:top w:val="single" w:sz="4" w:space="0" w:color="auto"/>
              <w:left w:val="nil"/>
              <w:bottom w:val="single" w:sz="4" w:space="0" w:color="auto"/>
              <w:right w:val="nil"/>
            </w:tcBorders>
          </w:tcPr>
          <w:p w14:paraId="0B70DF2F" w14:textId="709E5764" w:rsidR="00566849" w:rsidRDefault="00220E96" w:rsidP="00432DB3">
            <w:pPr>
              <w:pStyle w:val="Tabletextcentred"/>
            </w:pPr>
            <w:r>
              <w:t>27000000000</w:t>
            </w:r>
          </w:p>
        </w:tc>
      </w:tr>
      <w:tr w:rsidR="00566849" w:rsidRPr="005113AA" w14:paraId="32451A07" w14:textId="77777777" w:rsidTr="00DF0DE7">
        <w:trPr>
          <w:cantSplit/>
        </w:trPr>
        <w:tc>
          <w:tcPr>
            <w:tcW w:w="5245" w:type="dxa"/>
            <w:tcBorders>
              <w:top w:val="single" w:sz="4" w:space="0" w:color="auto"/>
              <w:left w:val="nil"/>
              <w:bottom w:val="single" w:sz="4" w:space="0" w:color="auto"/>
              <w:right w:val="nil"/>
            </w:tcBorders>
          </w:tcPr>
          <w:p w14:paraId="10D54F1F" w14:textId="77777777" w:rsidR="00566849" w:rsidRDefault="00566849" w:rsidP="00432DB3">
            <w:pPr>
              <w:pStyle w:val="Tabletext"/>
            </w:pPr>
            <w:r>
              <w:t>v</w:t>
            </w:r>
          </w:p>
        </w:tc>
        <w:tc>
          <w:tcPr>
            <w:tcW w:w="1701" w:type="dxa"/>
            <w:tcBorders>
              <w:top w:val="single" w:sz="4" w:space="0" w:color="auto"/>
              <w:left w:val="nil"/>
              <w:bottom w:val="single" w:sz="4" w:space="0" w:color="auto"/>
              <w:right w:val="nil"/>
            </w:tcBorders>
          </w:tcPr>
          <w:p w14:paraId="624918EC" w14:textId="4584FB32" w:rsidR="00566849" w:rsidRDefault="00220E96" w:rsidP="00432DB3">
            <w:pPr>
              <w:pStyle w:val="Tabletextcentred"/>
            </w:pPr>
            <w:r>
              <w:t>m/sec</w:t>
            </w:r>
          </w:p>
        </w:tc>
        <w:tc>
          <w:tcPr>
            <w:tcW w:w="1972" w:type="dxa"/>
            <w:tcBorders>
              <w:top w:val="single" w:sz="4" w:space="0" w:color="auto"/>
              <w:left w:val="nil"/>
              <w:bottom w:val="single" w:sz="4" w:space="0" w:color="auto"/>
              <w:right w:val="nil"/>
            </w:tcBorders>
          </w:tcPr>
          <w:p w14:paraId="294E0C93" w14:textId="7EA86328" w:rsidR="00566849" w:rsidRDefault="00220E96" w:rsidP="00432DB3">
            <w:pPr>
              <w:pStyle w:val="Tabletextcentred"/>
            </w:pPr>
            <w:r>
              <w:t>300000000</w:t>
            </w:r>
          </w:p>
        </w:tc>
      </w:tr>
      <w:tr w:rsidR="00566849" w:rsidRPr="005113AA" w14:paraId="71F3D8E2" w14:textId="77777777" w:rsidTr="00DF0DE7">
        <w:trPr>
          <w:cantSplit/>
        </w:trPr>
        <w:tc>
          <w:tcPr>
            <w:tcW w:w="5245" w:type="dxa"/>
            <w:tcBorders>
              <w:top w:val="single" w:sz="4" w:space="0" w:color="auto"/>
              <w:left w:val="nil"/>
              <w:bottom w:val="single" w:sz="4" w:space="0" w:color="auto"/>
              <w:right w:val="nil"/>
            </w:tcBorders>
          </w:tcPr>
          <w:p w14:paraId="200441FB" w14:textId="77777777" w:rsidR="00566849" w:rsidRDefault="00566849" w:rsidP="00432DB3">
            <w:pPr>
              <w:pStyle w:val="Tabletext"/>
            </w:pPr>
            <w:r>
              <w:t>Lambda</w:t>
            </w:r>
          </w:p>
        </w:tc>
        <w:tc>
          <w:tcPr>
            <w:tcW w:w="1701" w:type="dxa"/>
            <w:tcBorders>
              <w:top w:val="single" w:sz="4" w:space="0" w:color="auto"/>
              <w:left w:val="nil"/>
              <w:bottom w:val="single" w:sz="4" w:space="0" w:color="auto"/>
              <w:right w:val="nil"/>
            </w:tcBorders>
          </w:tcPr>
          <w:p w14:paraId="5E63FFF1" w14:textId="779E81E3" w:rsidR="00566849" w:rsidRDefault="00220E96" w:rsidP="00432DB3">
            <w:pPr>
              <w:pStyle w:val="Tabletextcentred"/>
            </w:pPr>
            <w:r>
              <w:t>m</w:t>
            </w:r>
          </w:p>
        </w:tc>
        <w:tc>
          <w:tcPr>
            <w:tcW w:w="1972" w:type="dxa"/>
            <w:tcBorders>
              <w:top w:val="single" w:sz="4" w:space="0" w:color="auto"/>
              <w:left w:val="nil"/>
              <w:bottom w:val="single" w:sz="4" w:space="0" w:color="auto"/>
              <w:right w:val="nil"/>
            </w:tcBorders>
          </w:tcPr>
          <w:p w14:paraId="3D5E9E83" w14:textId="0918872A" w:rsidR="00566849" w:rsidRDefault="00220E96" w:rsidP="00432DB3">
            <w:pPr>
              <w:pStyle w:val="Tabletextcentred"/>
            </w:pPr>
            <w:r>
              <w:t>0.0</w:t>
            </w:r>
          </w:p>
        </w:tc>
      </w:tr>
      <w:tr w:rsidR="00566849" w:rsidRPr="005113AA" w14:paraId="0942B371" w14:textId="77777777" w:rsidTr="00DF0DE7">
        <w:trPr>
          <w:cantSplit/>
        </w:trPr>
        <w:tc>
          <w:tcPr>
            <w:tcW w:w="5245" w:type="dxa"/>
            <w:tcBorders>
              <w:top w:val="single" w:sz="4" w:space="0" w:color="auto"/>
              <w:left w:val="nil"/>
              <w:bottom w:val="single" w:sz="4" w:space="0" w:color="auto"/>
              <w:right w:val="nil"/>
            </w:tcBorders>
            <w:shd w:val="clear" w:color="auto" w:fill="CCECFF"/>
          </w:tcPr>
          <w:p w14:paraId="32D45961" w14:textId="77777777" w:rsidR="00566849" w:rsidRDefault="00566849" w:rsidP="00432DB3">
            <w:pPr>
              <w:pStyle w:val="Tabletext"/>
            </w:pPr>
            <w:r>
              <w:t>FSPL</w:t>
            </w:r>
          </w:p>
        </w:tc>
        <w:tc>
          <w:tcPr>
            <w:tcW w:w="1701" w:type="dxa"/>
            <w:tcBorders>
              <w:top w:val="single" w:sz="4" w:space="0" w:color="auto"/>
              <w:left w:val="nil"/>
              <w:bottom w:val="single" w:sz="4" w:space="0" w:color="auto"/>
              <w:right w:val="nil"/>
            </w:tcBorders>
            <w:shd w:val="clear" w:color="auto" w:fill="CCECFF"/>
          </w:tcPr>
          <w:p w14:paraId="17759AB5" w14:textId="5011C080" w:rsidR="00566849" w:rsidRDefault="00220E96" w:rsidP="00432DB3">
            <w:pPr>
              <w:pStyle w:val="Tabletextcentred"/>
            </w:pPr>
            <w:r>
              <w:t>dB</w:t>
            </w:r>
          </w:p>
        </w:tc>
        <w:tc>
          <w:tcPr>
            <w:tcW w:w="1972" w:type="dxa"/>
            <w:tcBorders>
              <w:top w:val="single" w:sz="4" w:space="0" w:color="auto"/>
              <w:left w:val="nil"/>
              <w:bottom w:val="single" w:sz="4" w:space="0" w:color="auto"/>
              <w:right w:val="nil"/>
            </w:tcBorders>
            <w:shd w:val="clear" w:color="auto" w:fill="CCECFF"/>
          </w:tcPr>
          <w:p w14:paraId="15BCDBA3" w14:textId="115C729E" w:rsidR="00566849" w:rsidRDefault="00220E96" w:rsidP="00432DB3">
            <w:pPr>
              <w:pStyle w:val="Tabletextcentred"/>
            </w:pPr>
            <w:r>
              <w:t>212.6</w:t>
            </w:r>
          </w:p>
        </w:tc>
      </w:tr>
      <w:tr w:rsidR="00566849" w:rsidRPr="005113AA" w14:paraId="368005A7" w14:textId="77777777" w:rsidTr="00DF0DE7">
        <w:trPr>
          <w:cantSplit/>
        </w:trPr>
        <w:tc>
          <w:tcPr>
            <w:tcW w:w="5245" w:type="dxa"/>
            <w:tcBorders>
              <w:top w:val="single" w:sz="4" w:space="0" w:color="auto"/>
              <w:left w:val="nil"/>
              <w:bottom w:val="single" w:sz="4" w:space="0" w:color="auto"/>
              <w:right w:val="nil"/>
            </w:tcBorders>
          </w:tcPr>
          <w:p w14:paraId="5EEAA481" w14:textId="77777777" w:rsidR="00566849" w:rsidRDefault="00566849" w:rsidP="00432DB3">
            <w:pPr>
              <w:pStyle w:val="Tabletext"/>
            </w:pPr>
            <w:r>
              <w:t>Polarisation loss</w:t>
            </w:r>
          </w:p>
        </w:tc>
        <w:tc>
          <w:tcPr>
            <w:tcW w:w="1701" w:type="dxa"/>
            <w:tcBorders>
              <w:top w:val="single" w:sz="4" w:space="0" w:color="auto"/>
              <w:left w:val="nil"/>
              <w:bottom w:val="single" w:sz="4" w:space="0" w:color="auto"/>
              <w:right w:val="nil"/>
            </w:tcBorders>
          </w:tcPr>
          <w:p w14:paraId="6AB5DA61" w14:textId="6332BC3A" w:rsidR="00566849" w:rsidRDefault="00220E96" w:rsidP="00432DB3">
            <w:pPr>
              <w:pStyle w:val="Tabletextcentred"/>
            </w:pPr>
            <w:r>
              <w:t>dB</w:t>
            </w:r>
          </w:p>
        </w:tc>
        <w:tc>
          <w:tcPr>
            <w:tcW w:w="1972" w:type="dxa"/>
            <w:tcBorders>
              <w:top w:val="single" w:sz="4" w:space="0" w:color="auto"/>
              <w:left w:val="nil"/>
              <w:bottom w:val="single" w:sz="4" w:space="0" w:color="auto"/>
              <w:right w:val="nil"/>
            </w:tcBorders>
          </w:tcPr>
          <w:p w14:paraId="5D879C32" w14:textId="591ACB04" w:rsidR="00566849" w:rsidRDefault="00220E96" w:rsidP="00432DB3">
            <w:pPr>
              <w:pStyle w:val="Tabletextcentred"/>
            </w:pPr>
            <w:r>
              <w:t>3.0</w:t>
            </w:r>
          </w:p>
        </w:tc>
      </w:tr>
      <w:tr w:rsidR="00566849" w:rsidRPr="005113AA" w14:paraId="4AE67CA2" w14:textId="77777777" w:rsidTr="00DF0DE7">
        <w:trPr>
          <w:cantSplit/>
        </w:trPr>
        <w:tc>
          <w:tcPr>
            <w:tcW w:w="5245" w:type="dxa"/>
            <w:tcBorders>
              <w:top w:val="single" w:sz="4" w:space="0" w:color="auto"/>
              <w:left w:val="nil"/>
              <w:bottom w:val="single" w:sz="4" w:space="0" w:color="auto"/>
              <w:right w:val="nil"/>
            </w:tcBorders>
          </w:tcPr>
          <w:p w14:paraId="6865A930" w14:textId="77777777" w:rsidR="00566849" w:rsidRDefault="00566849" w:rsidP="00432DB3">
            <w:pPr>
              <w:pStyle w:val="Tabletext"/>
            </w:pPr>
            <w:r>
              <w:lastRenderedPageBreak/>
              <w:t>Body loss (for UE only)</w:t>
            </w:r>
          </w:p>
        </w:tc>
        <w:tc>
          <w:tcPr>
            <w:tcW w:w="1701" w:type="dxa"/>
            <w:tcBorders>
              <w:top w:val="single" w:sz="4" w:space="0" w:color="auto"/>
              <w:left w:val="nil"/>
              <w:bottom w:val="single" w:sz="4" w:space="0" w:color="auto"/>
              <w:right w:val="nil"/>
            </w:tcBorders>
          </w:tcPr>
          <w:p w14:paraId="1F188842" w14:textId="1A2F42E9" w:rsidR="00566849" w:rsidRDefault="00220E96" w:rsidP="00432DB3">
            <w:pPr>
              <w:pStyle w:val="Tabletextcentred"/>
            </w:pPr>
            <w:r>
              <w:t>dB</w:t>
            </w:r>
          </w:p>
        </w:tc>
        <w:tc>
          <w:tcPr>
            <w:tcW w:w="1972" w:type="dxa"/>
            <w:tcBorders>
              <w:top w:val="single" w:sz="4" w:space="0" w:color="auto"/>
              <w:left w:val="nil"/>
              <w:bottom w:val="single" w:sz="4" w:space="0" w:color="auto"/>
              <w:right w:val="nil"/>
            </w:tcBorders>
          </w:tcPr>
          <w:p w14:paraId="0B2FFC16" w14:textId="73D8C859" w:rsidR="00566849" w:rsidRDefault="00220E96" w:rsidP="00432DB3">
            <w:pPr>
              <w:pStyle w:val="Tabletextcentred"/>
            </w:pPr>
            <w:r>
              <w:t>0.0</w:t>
            </w:r>
          </w:p>
        </w:tc>
      </w:tr>
      <w:tr w:rsidR="00220E96" w:rsidRPr="005113AA" w14:paraId="72F87F46" w14:textId="77777777" w:rsidTr="00DF0DE7">
        <w:trPr>
          <w:cantSplit/>
        </w:trPr>
        <w:tc>
          <w:tcPr>
            <w:tcW w:w="5245" w:type="dxa"/>
            <w:tcBorders>
              <w:top w:val="single" w:sz="4" w:space="0" w:color="auto"/>
              <w:left w:val="nil"/>
              <w:bottom w:val="single" w:sz="4" w:space="0" w:color="auto"/>
              <w:right w:val="nil"/>
            </w:tcBorders>
          </w:tcPr>
          <w:p w14:paraId="24A8B78E" w14:textId="77777777" w:rsidR="00220E96" w:rsidRDefault="00220E96" w:rsidP="00432DB3">
            <w:pPr>
              <w:pStyle w:val="Tablerowcolumnheading"/>
            </w:pPr>
          </w:p>
        </w:tc>
        <w:tc>
          <w:tcPr>
            <w:tcW w:w="1701" w:type="dxa"/>
            <w:tcBorders>
              <w:top w:val="single" w:sz="4" w:space="0" w:color="auto"/>
              <w:left w:val="nil"/>
              <w:bottom w:val="single" w:sz="4" w:space="0" w:color="auto"/>
              <w:right w:val="nil"/>
            </w:tcBorders>
          </w:tcPr>
          <w:p w14:paraId="77967BC1" w14:textId="77777777" w:rsidR="00220E96" w:rsidRDefault="00220E96" w:rsidP="00432DB3">
            <w:pPr>
              <w:pStyle w:val="Tabletextcentred"/>
            </w:pPr>
          </w:p>
        </w:tc>
        <w:tc>
          <w:tcPr>
            <w:tcW w:w="1972" w:type="dxa"/>
            <w:tcBorders>
              <w:top w:val="single" w:sz="4" w:space="0" w:color="auto"/>
              <w:left w:val="nil"/>
              <w:bottom w:val="single" w:sz="4" w:space="0" w:color="auto"/>
              <w:right w:val="nil"/>
            </w:tcBorders>
          </w:tcPr>
          <w:p w14:paraId="63168BA7" w14:textId="77777777" w:rsidR="00220E96" w:rsidRDefault="00220E96" w:rsidP="00432DB3">
            <w:pPr>
              <w:pStyle w:val="Tabletextcentred"/>
            </w:pPr>
          </w:p>
        </w:tc>
      </w:tr>
      <w:tr w:rsidR="00566849" w:rsidRPr="005113AA" w14:paraId="5342E0C1" w14:textId="77777777" w:rsidTr="00DF0DE7">
        <w:trPr>
          <w:cantSplit/>
        </w:trPr>
        <w:tc>
          <w:tcPr>
            <w:tcW w:w="5245" w:type="dxa"/>
            <w:tcBorders>
              <w:top w:val="single" w:sz="4" w:space="0" w:color="auto"/>
              <w:left w:val="nil"/>
              <w:bottom w:val="single" w:sz="4" w:space="0" w:color="auto"/>
              <w:right w:val="nil"/>
            </w:tcBorders>
          </w:tcPr>
          <w:p w14:paraId="074825E0" w14:textId="77777777" w:rsidR="00566849" w:rsidRDefault="00566849" w:rsidP="00432DB3">
            <w:pPr>
              <w:pStyle w:val="Tablerowcolumnheading"/>
            </w:pPr>
            <w:r>
              <w:t>EIRP towards satellite</w:t>
            </w:r>
          </w:p>
        </w:tc>
        <w:tc>
          <w:tcPr>
            <w:tcW w:w="1701" w:type="dxa"/>
            <w:tcBorders>
              <w:top w:val="single" w:sz="4" w:space="0" w:color="auto"/>
              <w:left w:val="nil"/>
              <w:bottom w:val="single" w:sz="4" w:space="0" w:color="auto"/>
              <w:right w:val="nil"/>
            </w:tcBorders>
          </w:tcPr>
          <w:p w14:paraId="75E1BFBD" w14:textId="77777777" w:rsidR="00566849" w:rsidRDefault="00566849" w:rsidP="00432DB3">
            <w:pPr>
              <w:pStyle w:val="Tabletextcentred"/>
            </w:pPr>
          </w:p>
        </w:tc>
        <w:tc>
          <w:tcPr>
            <w:tcW w:w="1972" w:type="dxa"/>
            <w:tcBorders>
              <w:top w:val="single" w:sz="4" w:space="0" w:color="auto"/>
              <w:left w:val="nil"/>
              <w:bottom w:val="single" w:sz="4" w:space="0" w:color="auto"/>
              <w:right w:val="nil"/>
            </w:tcBorders>
          </w:tcPr>
          <w:p w14:paraId="7085ACCB" w14:textId="77777777" w:rsidR="00566849" w:rsidRDefault="00566849" w:rsidP="00432DB3">
            <w:pPr>
              <w:pStyle w:val="Tabletextcentred"/>
            </w:pPr>
          </w:p>
        </w:tc>
      </w:tr>
      <w:tr w:rsidR="00566849" w:rsidRPr="005113AA" w14:paraId="4C21FDDD" w14:textId="77777777" w:rsidTr="00DF0DE7">
        <w:trPr>
          <w:cantSplit/>
        </w:trPr>
        <w:tc>
          <w:tcPr>
            <w:tcW w:w="5245" w:type="dxa"/>
            <w:tcBorders>
              <w:top w:val="single" w:sz="4" w:space="0" w:color="auto"/>
              <w:left w:val="nil"/>
              <w:bottom w:val="single" w:sz="4" w:space="0" w:color="auto"/>
              <w:right w:val="nil"/>
            </w:tcBorders>
          </w:tcPr>
          <w:p w14:paraId="47B53370" w14:textId="77777777" w:rsidR="00566849" w:rsidRDefault="00566849" w:rsidP="00432DB3">
            <w:pPr>
              <w:pStyle w:val="Tabletext"/>
            </w:pPr>
            <w:r>
              <w:t xml:space="preserve">IMT BS TX </w:t>
            </w:r>
            <w:proofErr w:type="spellStart"/>
            <w:r>
              <w:t>Downtilt</w:t>
            </w:r>
            <w:proofErr w:type="spellEnd"/>
          </w:p>
        </w:tc>
        <w:tc>
          <w:tcPr>
            <w:tcW w:w="1701" w:type="dxa"/>
            <w:tcBorders>
              <w:top w:val="single" w:sz="4" w:space="0" w:color="auto"/>
              <w:left w:val="nil"/>
              <w:bottom w:val="single" w:sz="4" w:space="0" w:color="auto"/>
              <w:right w:val="nil"/>
            </w:tcBorders>
          </w:tcPr>
          <w:p w14:paraId="0D833C0A" w14:textId="76919C70" w:rsidR="00566849" w:rsidRDefault="00220E96" w:rsidP="00432DB3">
            <w:pPr>
              <w:pStyle w:val="Tabletextcentred"/>
            </w:pPr>
            <w:r>
              <w:t>degrees</w:t>
            </w:r>
          </w:p>
        </w:tc>
        <w:tc>
          <w:tcPr>
            <w:tcW w:w="1972" w:type="dxa"/>
            <w:tcBorders>
              <w:top w:val="single" w:sz="4" w:space="0" w:color="auto"/>
              <w:left w:val="nil"/>
              <w:bottom w:val="single" w:sz="4" w:space="0" w:color="auto"/>
              <w:right w:val="nil"/>
            </w:tcBorders>
          </w:tcPr>
          <w:p w14:paraId="7EA2F1C5" w14:textId="2F084DC8" w:rsidR="00566849" w:rsidRDefault="00220E96" w:rsidP="00432DB3">
            <w:pPr>
              <w:pStyle w:val="Tabletextcentred"/>
            </w:pPr>
            <w:r>
              <w:t>10.0</w:t>
            </w:r>
          </w:p>
        </w:tc>
      </w:tr>
      <w:tr w:rsidR="00566849" w:rsidRPr="005113AA" w14:paraId="77882CA7" w14:textId="77777777" w:rsidTr="00DF0DE7">
        <w:trPr>
          <w:cantSplit/>
        </w:trPr>
        <w:tc>
          <w:tcPr>
            <w:tcW w:w="5245" w:type="dxa"/>
            <w:tcBorders>
              <w:top w:val="single" w:sz="4" w:space="0" w:color="auto"/>
              <w:left w:val="nil"/>
              <w:bottom w:val="single" w:sz="4" w:space="0" w:color="auto"/>
              <w:right w:val="nil"/>
            </w:tcBorders>
          </w:tcPr>
          <w:p w14:paraId="4F14E552" w14:textId="77777777" w:rsidR="00566849" w:rsidRDefault="00566849" w:rsidP="00432DB3">
            <w:pPr>
              <w:pStyle w:val="Tabletext"/>
            </w:pPr>
            <w:r>
              <w:t>IMT BS Ant Element Gain</w:t>
            </w:r>
          </w:p>
        </w:tc>
        <w:tc>
          <w:tcPr>
            <w:tcW w:w="1701" w:type="dxa"/>
            <w:tcBorders>
              <w:top w:val="single" w:sz="4" w:space="0" w:color="auto"/>
              <w:left w:val="nil"/>
              <w:bottom w:val="single" w:sz="4" w:space="0" w:color="auto"/>
              <w:right w:val="nil"/>
            </w:tcBorders>
          </w:tcPr>
          <w:p w14:paraId="6FAE530D" w14:textId="73979295" w:rsidR="00566849" w:rsidRDefault="00220E96" w:rsidP="00432DB3">
            <w:pPr>
              <w:pStyle w:val="Tabletextcentred"/>
            </w:pPr>
            <w:proofErr w:type="spellStart"/>
            <w:r>
              <w:t>dBi</w:t>
            </w:r>
            <w:proofErr w:type="spellEnd"/>
          </w:p>
        </w:tc>
        <w:tc>
          <w:tcPr>
            <w:tcW w:w="1972" w:type="dxa"/>
            <w:tcBorders>
              <w:top w:val="single" w:sz="4" w:space="0" w:color="auto"/>
              <w:left w:val="nil"/>
              <w:bottom w:val="single" w:sz="4" w:space="0" w:color="auto"/>
              <w:right w:val="nil"/>
            </w:tcBorders>
          </w:tcPr>
          <w:p w14:paraId="0DB518E1" w14:textId="16F04468" w:rsidR="00566849" w:rsidRDefault="00220E96" w:rsidP="00432DB3">
            <w:pPr>
              <w:pStyle w:val="Tabletextcentred"/>
            </w:pPr>
            <w:r>
              <w:t>5.0</w:t>
            </w:r>
          </w:p>
        </w:tc>
      </w:tr>
      <w:tr w:rsidR="00566849" w:rsidRPr="005113AA" w14:paraId="6A2E3017" w14:textId="77777777" w:rsidTr="00DF0DE7">
        <w:trPr>
          <w:cantSplit/>
        </w:trPr>
        <w:tc>
          <w:tcPr>
            <w:tcW w:w="5245" w:type="dxa"/>
            <w:tcBorders>
              <w:top w:val="single" w:sz="4" w:space="0" w:color="auto"/>
              <w:left w:val="nil"/>
              <w:bottom w:val="single" w:sz="4" w:space="0" w:color="auto"/>
              <w:right w:val="nil"/>
            </w:tcBorders>
          </w:tcPr>
          <w:p w14:paraId="3E25F65C" w14:textId="77777777" w:rsidR="00566849" w:rsidRDefault="00566849" w:rsidP="00432DB3">
            <w:pPr>
              <w:pStyle w:val="Tabletext"/>
            </w:pPr>
            <w:r>
              <w:t>IMT BS No of Ant Elements</w:t>
            </w:r>
          </w:p>
        </w:tc>
        <w:tc>
          <w:tcPr>
            <w:tcW w:w="1701" w:type="dxa"/>
            <w:tcBorders>
              <w:top w:val="single" w:sz="4" w:space="0" w:color="auto"/>
              <w:left w:val="nil"/>
              <w:bottom w:val="single" w:sz="4" w:space="0" w:color="auto"/>
              <w:right w:val="nil"/>
            </w:tcBorders>
          </w:tcPr>
          <w:p w14:paraId="5168EC48" w14:textId="51853C99" w:rsidR="00566849" w:rsidRDefault="00220E96" w:rsidP="00432DB3">
            <w:pPr>
              <w:pStyle w:val="Tabletextcentred"/>
            </w:pPr>
            <w:r>
              <w:t>8x8</w:t>
            </w:r>
          </w:p>
        </w:tc>
        <w:tc>
          <w:tcPr>
            <w:tcW w:w="1972" w:type="dxa"/>
            <w:tcBorders>
              <w:top w:val="single" w:sz="4" w:space="0" w:color="auto"/>
              <w:left w:val="nil"/>
              <w:bottom w:val="single" w:sz="4" w:space="0" w:color="auto"/>
              <w:right w:val="nil"/>
            </w:tcBorders>
          </w:tcPr>
          <w:p w14:paraId="413D5D39" w14:textId="5EA9747D" w:rsidR="00566849" w:rsidRDefault="00220E96" w:rsidP="00432DB3">
            <w:pPr>
              <w:pStyle w:val="Tabletextcentred"/>
            </w:pPr>
            <w:r>
              <w:t>64.0</w:t>
            </w:r>
          </w:p>
        </w:tc>
      </w:tr>
      <w:tr w:rsidR="00566849" w:rsidRPr="005113AA" w14:paraId="5D376C8A" w14:textId="77777777" w:rsidTr="00DF0DE7">
        <w:trPr>
          <w:cantSplit/>
        </w:trPr>
        <w:tc>
          <w:tcPr>
            <w:tcW w:w="5245" w:type="dxa"/>
            <w:tcBorders>
              <w:top w:val="single" w:sz="4" w:space="0" w:color="auto"/>
              <w:left w:val="nil"/>
              <w:bottom w:val="single" w:sz="4" w:space="0" w:color="auto"/>
              <w:right w:val="nil"/>
            </w:tcBorders>
          </w:tcPr>
          <w:p w14:paraId="08F7E123" w14:textId="77777777" w:rsidR="00566849" w:rsidRDefault="00566849" w:rsidP="00432DB3">
            <w:pPr>
              <w:pStyle w:val="Tabletext"/>
            </w:pPr>
            <w:r>
              <w:t xml:space="preserve">IMT BS Array </w:t>
            </w:r>
            <w:proofErr w:type="spellStart"/>
            <w:r>
              <w:t>Ohmic</w:t>
            </w:r>
            <w:proofErr w:type="spellEnd"/>
            <w:r>
              <w:t xml:space="preserve"> Loss</w:t>
            </w:r>
          </w:p>
        </w:tc>
        <w:tc>
          <w:tcPr>
            <w:tcW w:w="1701" w:type="dxa"/>
            <w:tcBorders>
              <w:top w:val="single" w:sz="4" w:space="0" w:color="auto"/>
              <w:left w:val="nil"/>
              <w:bottom w:val="single" w:sz="4" w:space="0" w:color="auto"/>
              <w:right w:val="nil"/>
            </w:tcBorders>
          </w:tcPr>
          <w:p w14:paraId="2884BC14" w14:textId="6AF71EB6" w:rsidR="00566849" w:rsidRDefault="00220E96" w:rsidP="00432DB3">
            <w:pPr>
              <w:pStyle w:val="Tabletextcentred"/>
            </w:pPr>
            <w:r>
              <w:t>dB</w:t>
            </w:r>
          </w:p>
        </w:tc>
        <w:tc>
          <w:tcPr>
            <w:tcW w:w="1972" w:type="dxa"/>
            <w:tcBorders>
              <w:top w:val="single" w:sz="4" w:space="0" w:color="auto"/>
              <w:left w:val="nil"/>
              <w:bottom w:val="single" w:sz="4" w:space="0" w:color="auto"/>
              <w:right w:val="nil"/>
            </w:tcBorders>
          </w:tcPr>
          <w:p w14:paraId="0730263B" w14:textId="77A99454" w:rsidR="00566849" w:rsidRDefault="00220E96" w:rsidP="00432DB3">
            <w:pPr>
              <w:pStyle w:val="Tabletextcentred"/>
            </w:pPr>
            <w:r>
              <w:t>3.0</w:t>
            </w:r>
          </w:p>
        </w:tc>
      </w:tr>
      <w:tr w:rsidR="00566849" w:rsidRPr="005113AA" w14:paraId="31860E99" w14:textId="77777777" w:rsidTr="00DF0DE7">
        <w:trPr>
          <w:cantSplit/>
        </w:trPr>
        <w:tc>
          <w:tcPr>
            <w:tcW w:w="5245" w:type="dxa"/>
            <w:tcBorders>
              <w:top w:val="single" w:sz="4" w:space="0" w:color="auto"/>
              <w:left w:val="nil"/>
              <w:bottom w:val="single" w:sz="4" w:space="0" w:color="auto"/>
              <w:right w:val="nil"/>
            </w:tcBorders>
          </w:tcPr>
          <w:p w14:paraId="324BD26F" w14:textId="77777777" w:rsidR="00566849" w:rsidRDefault="00566849" w:rsidP="00432DB3">
            <w:pPr>
              <w:pStyle w:val="Tabletext"/>
            </w:pPr>
            <w:r>
              <w:t xml:space="preserve">IMT BS Conducted Power per Element before </w:t>
            </w:r>
            <w:proofErr w:type="spellStart"/>
            <w:r>
              <w:t>Ohmic</w:t>
            </w:r>
            <w:proofErr w:type="spellEnd"/>
            <w:r>
              <w:t xml:space="preserve"> Loss</w:t>
            </w:r>
          </w:p>
        </w:tc>
        <w:tc>
          <w:tcPr>
            <w:tcW w:w="1701" w:type="dxa"/>
            <w:tcBorders>
              <w:top w:val="single" w:sz="4" w:space="0" w:color="auto"/>
              <w:left w:val="nil"/>
              <w:bottom w:val="single" w:sz="4" w:space="0" w:color="auto"/>
              <w:right w:val="nil"/>
            </w:tcBorders>
          </w:tcPr>
          <w:p w14:paraId="21D4C02C" w14:textId="33CF4968" w:rsidR="00566849" w:rsidRDefault="00220E96" w:rsidP="00432DB3">
            <w:pPr>
              <w:pStyle w:val="Tabletextcentred"/>
            </w:pPr>
            <w:proofErr w:type="spellStart"/>
            <w:r>
              <w:t>dBm</w:t>
            </w:r>
            <w:proofErr w:type="spellEnd"/>
            <w:r>
              <w:t>/200MHz</w:t>
            </w:r>
          </w:p>
        </w:tc>
        <w:tc>
          <w:tcPr>
            <w:tcW w:w="1972" w:type="dxa"/>
            <w:tcBorders>
              <w:top w:val="single" w:sz="4" w:space="0" w:color="auto"/>
              <w:left w:val="nil"/>
              <w:bottom w:val="single" w:sz="4" w:space="0" w:color="auto"/>
              <w:right w:val="nil"/>
            </w:tcBorders>
            <w:shd w:val="clear" w:color="auto" w:fill="FFCC66"/>
          </w:tcPr>
          <w:p w14:paraId="79DD1546" w14:textId="6BD238D5" w:rsidR="00566849" w:rsidRDefault="00220E96" w:rsidP="00432DB3">
            <w:pPr>
              <w:pStyle w:val="Tabletextcentred"/>
            </w:pPr>
            <w:r w:rsidRPr="00220E96">
              <w:rPr>
                <w:shd w:val="clear" w:color="auto" w:fill="FFCC66"/>
              </w:rPr>
              <w:t>10.0</w:t>
            </w:r>
          </w:p>
        </w:tc>
      </w:tr>
      <w:tr w:rsidR="00220E96" w:rsidRPr="005113AA" w14:paraId="11A02704" w14:textId="77777777" w:rsidTr="00DF0DE7">
        <w:trPr>
          <w:cantSplit/>
        </w:trPr>
        <w:tc>
          <w:tcPr>
            <w:tcW w:w="5245" w:type="dxa"/>
            <w:tcBorders>
              <w:top w:val="single" w:sz="4" w:space="0" w:color="auto"/>
              <w:left w:val="nil"/>
              <w:bottom w:val="single" w:sz="4" w:space="0" w:color="auto"/>
              <w:right w:val="nil"/>
            </w:tcBorders>
          </w:tcPr>
          <w:p w14:paraId="106A098F" w14:textId="77777777" w:rsidR="00220E96" w:rsidRDefault="00220E96" w:rsidP="00432DB3">
            <w:pPr>
              <w:pStyle w:val="Tabletext"/>
            </w:pPr>
          </w:p>
        </w:tc>
        <w:tc>
          <w:tcPr>
            <w:tcW w:w="1701" w:type="dxa"/>
            <w:tcBorders>
              <w:top w:val="single" w:sz="4" w:space="0" w:color="auto"/>
              <w:left w:val="nil"/>
              <w:bottom w:val="single" w:sz="4" w:space="0" w:color="auto"/>
              <w:right w:val="nil"/>
            </w:tcBorders>
          </w:tcPr>
          <w:p w14:paraId="4EFD5D22" w14:textId="77777777" w:rsidR="00220E96" w:rsidRDefault="00220E96" w:rsidP="00432DB3">
            <w:pPr>
              <w:pStyle w:val="Tabletextcentred"/>
            </w:pPr>
          </w:p>
        </w:tc>
        <w:tc>
          <w:tcPr>
            <w:tcW w:w="1972" w:type="dxa"/>
            <w:tcBorders>
              <w:top w:val="single" w:sz="4" w:space="0" w:color="auto"/>
              <w:left w:val="nil"/>
              <w:bottom w:val="single" w:sz="4" w:space="0" w:color="auto"/>
              <w:right w:val="nil"/>
            </w:tcBorders>
          </w:tcPr>
          <w:p w14:paraId="68EAC54E" w14:textId="77777777" w:rsidR="00220E96" w:rsidRDefault="00220E96" w:rsidP="00432DB3">
            <w:pPr>
              <w:pStyle w:val="Tabletextcentred"/>
            </w:pPr>
          </w:p>
        </w:tc>
      </w:tr>
      <w:tr w:rsidR="00566849" w:rsidRPr="005113AA" w14:paraId="533EC631" w14:textId="77777777" w:rsidTr="00DF0DE7">
        <w:trPr>
          <w:cantSplit/>
        </w:trPr>
        <w:tc>
          <w:tcPr>
            <w:tcW w:w="5245" w:type="dxa"/>
            <w:tcBorders>
              <w:top w:val="single" w:sz="4" w:space="0" w:color="auto"/>
              <w:left w:val="nil"/>
              <w:bottom w:val="single" w:sz="4" w:space="0" w:color="auto"/>
              <w:right w:val="nil"/>
            </w:tcBorders>
          </w:tcPr>
          <w:p w14:paraId="7EEADA45" w14:textId="77777777" w:rsidR="00566849" w:rsidRDefault="00566849" w:rsidP="00432DB3">
            <w:pPr>
              <w:pStyle w:val="Tabletext"/>
            </w:pPr>
            <w:r>
              <w:t xml:space="preserve">IMT BS Conducted Power per Element before </w:t>
            </w:r>
            <w:proofErr w:type="spellStart"/>
            <w:r>
              <w:t>Ohmic</w:t>
            </w:r>
            <w:proofErr w:type="spellEnd"/>
            <w:r>
              <w:t xml:space="preserve"> Loss</w:t>
            </w:r>
          </w:p>
        </w:tc>
        <w:tc>
          <w:tcPr>
            <w:tcW w:w="1701" w:type="dxa"/>
            <w:tcBorders>
              <w:top w:val="single" w:sz="4" w:space="0" w:color="auto"/>
              <w:left w:val="nil"/>
              <w:bottom w:val="single" w:sz="4" w:space="0" w:color="auto"/>
              <w:right w:val="nil"/>
            </w:tcBorders>
          </w:tcPr>
          <w:p w14:paraId="12C48F57" w14:textId="3A03E181" w:rsidR="00566849" w:rsidRDefault="00220E96" w:rsidP="00432DB3">
            <w:pPr>
              <w:pStyle w:val="Tabletextcentred"/>
            </w:pPr>
            <w:proofErr w:type="spellStart"/>
            <w:r>
              <w:t>dBW</w:t>
            </w:r>
            <w:proofErr w:type="spellEnd"/>
            <w:r>
              <w:t>/MHz</w:t>
            </w:r>
          </w:p>
        </w:tc>
        <w:tc>
          <w:tcPr>
            <w:tcW w:w="1972" w:type="dxa"/>
            <w:tcBorders>
              <w:top w:val="single" w:sz="4" w:space="0" w:color="auto"/>
              <w:left w:val="nil"/>
              <w:bottom w:val="single" w:sz="4" w:space="0" w:color="auto"/>
              <w:right w:val="nil"/>
            </w:tcBorders>
          </w:tcPr>
          <w:p w14:paraId="19BBC344" w14:textId="2867F737" w:rsidR="00566849" w:rsidRDefault="00220E96" w:rsidP="00432DB3">
            <w:pPr>
              <w:pStyle w:val="Tabletextcentred"/>
            </w:pPr>
            <w:r>
              <w:t>-43.0</w:t>
            </w:r>
          </w:p>
        </w:tc>
      </w:tr>
      <w:tr w:rsidR="00566849" w:rsidRPr="005113AA" w14:paraId="6EF64C7E" w14:textId="77777777" w:rsidTr="00DF0DE7">
        <w:trPr>
          <w:cantSplit/>
        </w:trPr>
        <w:tc>
          <w:tcPr>
            <w:tcW w:w="5245" w:type="dxa"/>
            <w:tcBorders>
              <w:top w:val="single" w:sz="4" w:space="0" w:color="auto"/>
              <w:left w:val="nil"/>
              <w:bottom w:val="single" w:sz="4" w:space="0" w:color="auto"/>
              <w:right w:val="nil"/>
            </w:tcBorders>
          </w:tcPr>
          <w:p w14:paraId="2A463260" w14:textId="6EBAB7B7" w:rsidR="00566849" w:rsidRDefault="00220E96" w:rsidP="00432DB3">
            <w:pPr>
              <w:pStyle w:val="Tabletext"/>
            </w:pPr>
            <w:r>
              <w:t>IMT BS Total Power Transmitted</w:t>
            </w:r>
          </w:p>
        </w:tc>
        <w:tc>
          <w:tcPr>
            <w:tcW w:w="1701" w:type="dxa"/>
            <w:tcBorders>
              <w:top w:val="single" w:sz="4" w:space="0" w:color="auto"/>
              <w:left w:val="nil"/>
              <w:bottom w:val="single" w:sz="4" w:space="0" w:color="auto"/>
              <w:right w:val="nil"/>
            </w:tcBorders>
          </w:tcPr>
          <w:p w14:paraId="620747EB" w14:textId="70222ED0" w:rsidR="00566849" w:rsidRDefault="00220E96" w:rsidP="00432DB3">
            <w:pPr>
              <w:pStyle w:val="Tabletextcentred"/>
            </w:pPr>
            <w:proofErr w:type="spellStart"/>
            <w:r>
              <w:t>dBW</w:t>
            </w:r>
            <w:proofErr w:type="spellEnd"/>
            <w:r>
              <w:t>/MHz</w:t>
            </w:r>
          </w:p>
        </w:tc>
        <w:tc>
          <w:tcPr>
            <w:tcW w:w="1972" w:type="dxa"/>
            <w:tcBorders>
              <w:top w:val="single" w:sz="4" w:space="0" w:color="auto"/>
              <w:left w:val="nil"/>
              <w:bottom w:val="single" w:sz="4" w:space="0" w:color="auto"/>
              <w:right w:val="nil"/>
            </w:tcBorders>
          </w:tcPr>
          <w:p w14:paraId="4C5EE14E" w14:textId="10A06BFA" w:rsidR="00566849" w:rsidRDefault="00220E96" w:rsidP="00432DB3">
            <w:pPr>
              <w:pStyle w:val="Tabletextcentred"/>
            </w:pPr>
            <w:r>
              <w:t>-27.9</w:t>
            </w:r>
          </w:p>
        </w:tc>
      </w:tr>
      <w:tr w:rsidR="00566849" w:rsidRPr="005113AA" w14:paraId="470C8A65" w14:textId="77777777" w:rsidTr="00DF0DE7">
        <w:trPr>
          <w:cantSplit/>
        </w:trPr>
        <w:tc>
          <w:tcPr>
            <w:tcW w:w="5245" w:type="dxa"/>
            <w:tcBorders>
              <w:top w:val="single" w:sz="4" w:space="0" w:color="auto"/>
              <w:left w:val="nil"/>
              <w:bottom w:val="single" w:sz="4" w:space="0" w:color="auto"/>
              <w:right w:val="nil"/>
            </w:tcBorders>
          </w:tcPr>
          <w:p w14:paraId="79E171D6" w14:textId="09F0878A" w:rsidR="00566849" w:rsidRDefault="00220E96" w:rsidP="00432DB3">
            <w:pPr>
              <w:pStyle w:val="Tabletext"/>
            </w:pPr>
            <w:r>
              <w:t>IMT BS Max Composite Gain</w:t>
            </w:r>
          </w:p>
        </w:tc>
        <w:tc>
          <w:tcPr>
            <w:tcW w:w="1701" w:type="dxa"/>
            <w:tcBorders>
              <w:top w:val="single" w:sz="4" w:space="0" w:color="auto"/>
              <w:left w:val="nil"/>
              <w:bottom w:val="single" w:sz="4" w:space="0" w:color="auto"/>
              <w:right w:val="nil"/>
            </w:tcBorders>
          </w:tcPr>
          <w:p w14:paraId="58D90684" w14:textId="2BE4EDED" w:rsidR="00566849" w:rsidRDefault="00220E96" w:rsidP="00432DB3">
            <w:pPr>
              <w:pStyle w:val="Tabletextcentred"/>
            </w:pPr>
            <w:proofErr w:type="spellStart"/>
            <w:r>
              <w:t>dBi</w:t>
            </w:r>
            <w:proofErr w:type="spellEnd"/>
          </w:p>
        </w:tc>
        <w:tc>
          <w:tcPr>
            <w:tcW w:w="1972" w:type="dxa"/>
            <w:tcBorders>
              <w:top w:val="single" w:sz="4" w:space="0" w:color="auto"/>
              <w:left w:val="nil"/>
              <w:bottom w:val="single" w:sz="4" w:space="0" w:color="auto"/>
              <w:right w:val="nil"/>
            </w:tcBorders>
          </w:tcPr>
          <w:p w14:paraId="18DBE5D3" w14:textId="6C48A685" w:rsidR="00566849" w:rsidRDefault="00220E96" w:rsidP="00432DB3">
            <w:pPr>
              <w:pStyle w:val="Tabletextcentred"/>
            </w:pPr>
            <w:r>
              <w:t>23.1</w:t>
            </w:r>
          </w:p>
        </w:tc>
      </w:tr>
      <w:tr w:rsidR="00220E96" w:rsidRPr="005113AA" w14:paraId="07CFE412" w14:textId="77777777" w:rsidTr="00DF0DE7">
        <w:trPr>
          <w:cantSplit/>
        </w:trPr>
        <w:tc>
          <w:tcPr>
            <w:tcW w:w="5245" w:type="dxa"/>
            <w:tcBorders>
              <w:top w:val="single" w:sz="4" w:space="0" w:color="auto"/>
              <w:left w:val="nil"/>
              <w:bottom w:val="single" w:sz="4" w:space="0" w:color="auto"/>
              <w:right w:val="nil"/>
            </w:tcBorders>
          </w:tcPr>
          <w:p w14:paraId="455FB643" w14:textId="6566D149" w:rsidR="00220E96" w:rsidRDefault="00220E96" w:rsidP="00432DB3">
            <w:pPr>
              <w:pStyle w:val="Tabletext"/>
            </w:pPr>
            <w:r>
              <w:t>IMT BS Max EIRP</w:t>
            </w:r>
          </w:p>
        </w:tc>
        <w:tc>
          <w:tcPr>
            <w:tcW w:w="1701" w:type="dxa"/>
            <w:tcBorders>
              <w:top w:val="single" w:sz="4" w:space="0" w:color="auto"/>
              <w:left w:val="nil"/>
              <w:bottom w:val="single" w:sz="4" w:space="0" w:color="auto"/>
              <w:right w:val="nil"/>
            </w:tcBorders>
          </w:tcPr>
          <w:p w14:paraId="03DFFBF7" w14:textId="5CBF3AF6" w:rsidR="00220E96" w:rsidRDefault="00220E96" w:rsidP="00432DB3">
            <w:pPr>
              <w:pStyle w:val="Tabletextcentred"/>
            </w:pPr>
            <w:proofErr w:type="spellStart"/>
            <w:r>
              <w:t>dBW</w:t>
            </w:r>
            <w:proofErr w:type="spellEnd"/>
            <w:r>
              <w:t>/MHz</w:t>
            </w:r>
          </w:p>
        </w:tc>
        <w:tc>
          <w:tcPr>
            <w:tcW w:w="1972" w:type="dxa"/>
            <w:tcBorders>
              <w:top w:val="single" w:sz="4" w:space="0" w:color="auto"/>
              <w:left w:val="nil"/>
              <w:bottom w:val="single" w:sz="4" w:space="0" w:color="auto"/>
              <w:right w:val="nil"/>
            </w:tcBorders>
            <w:shd w:val="clear" w:color="auto" w:fill="FFFFFF" w:themeFill="background1"/>
          </w:tcPr>
          <w:p w14:paraId="42D1DB1E" w14:textId="69DA2D99" w:rsidR="00220E96" w:rsidRDefault="00220E96" w:rsidP="00432DB3">
            <w:pPr>
              <w:pStyle w:val="Tabletextcentred"/>
            </w:pPr>
            <w:r>
              <w:rPr>
                <w:shd w:val="clear" w:color="auto" w:fill="FFFFFF" w:themeFill="background1"/>
              </w:rPr>
              <w:t>-4.9</w:t>
            </w:r>
          </w:p>
        </w:tc>
      </w:tr>
      <w:tr w:rsidR="00566849" w:rsidRPr="005113AA" w14:paraId="7C392690" w14:textId="77777777" w:rsidTr="00DF0DE7">
        <w:trPr>
          <w:cantSplit/>
        </w:trPr>
        <w:tc>
          <w:tcPr>
            <w:tcW w:w="5245" w:type="dxa"/>
            <w:tcBorders>
              <w:top w:val="single" w:sz="4" w:space="0" w:color="auto"/>
              <w:left w:val="nil"/>
              <w:bottom w:val="single" w:sz="4" w:space="0" w:color="auto"/>
              <w:right w:val="nil"/>
            </w:tcBorders>
          </w:tcPr>
          <w:p w14:paraId="446AF07B" w14:textId="77777777" w:rsidR="00566849" w:rsidRDefault="00566849" w:rsidP="00432DB3">
            <w:pPr>
              <w:pStyle w:val="Tabletext"/>
            </w:pPr>
            <w:r>
              <w:t>IMT BS Off-axis Relative Gain (Assumed)</w:t>
            </w:r>
          </w:p>
        </w:tc>
        <w:tc>
          <w:tcPr>
            <w:tcW w:w="1701" w:type="dxa"/>
            <w:tcBorders>
              <w:top w:val="single" w:sz="4" w:space="0" w:color="auto"/>
              <w:left w:val="nil"/>
              <w:bottom w:val="single" w:sz="4" w:space="0" w:color="auto"/>
              <w:right w:val="nil"/>
            </w:tcBorders>
          </w:tcPr>
          <w:p w14:paraId="55987573" w14:textId="25F393C3" w:rsidR="00566849" w:rsidRDefault="00220E96" w:rsidP="00432DB3">
            <w:pPr>
              <w:pStyle w:val="Tabletextcentred"/>
            </w:pPr>
            <w:r>
              <w:t>dB</w:t>
            </w:r>
          </w:p>
        </w:tc>
        <w:tc>
          <w:tcPr>
            <w:tcW w:w="1972" w:type="dxa"/>
            <w:tcBorders>
              <w:top w:val="single" w:sz="4" w:space="0" w:color="auto"/>
              <w:left w:val="nil"/>
              <w:bottom w:val="single" w:sz="4" w:space="0" w:color="auto"/>
              <w:right w:val="nil"/>
            </w:tcBorders>
            <w:shd w:val="clear" w:color="auto" w:fill="FFCC66"/>
          </w:tcPr>
          <w:p w14:paraId="54DEA3A7" w14:textId="3E5F7E6F" w:rsidR="00566849" w:rsidRDefault="00220E96" w:rsidP="00432DB3">
            <w:pPr>
              <w:pStyle w:val="Tabletextcentred"/>
            </w:pPr>
            <w:r>
              <w:t>0.0</w:t>
            </w:r>
          </w:p>
        </w:tc>
      </w:tr>
      <w:tr w:rsidR="00566849" w:rsidRPr="005113AA" w14:paraId="073550E5" w14:textId="77777777" w:rsidTr="00DF0DE7">
        <w:trPr>
          <w:cantSplit/>
        </w:trPr>
        <w:tc>
          <w:tcPr>
            <w:tcW w:w="5245" w:type="dxa"/>
            <w:tcBorders>
              <w:top w:val="single" w:sz="4" w:space="0" w:color="auto"/>
              <w:left w:val="nil"/>
              <w:bottom w:val="single" w:sz="4" w:space="0" w:color="auto"/>
              <w:right w:val="nil"/>
            </w:tcBorders>
            <w:shd w:val="clear" w:color="auto" w:fill="CCECFF"/>
          </w:tcPr>
          <w:p w14:paraId="37896DE8" w14:textId="77777777" w:rsidR="00566849" w:rsidRDefault="00566849" w:rsidP="00432DB3">
            <w:pPr>
              <w:pStyle w:val="Tabletext"/>
            </w:pPr>
            <w:r>
              <w:t>IMT B EIRP towards Satellite</w:t>
            </w:r>
          </w:p>
        </w:tc>
        <w:tc>
          <w:tcPr>
            <w:tcW w:w="1701" w:type="dxa"/>
            <w:tcBorders>
              <w:top w:val="single" w:sz="4" w:space="0" w:color="auto"/>
              <w:left w:val="nil"/>
              <w:bottom w:val="single" w:sz="4" w:space="0" w:color="auto"/>
              <w:right w:val="nil"/>
            </w:tcBorders>
            <w:shd w:val="clear" w:color="auto" w:fill="CCECFF"/>
          </w:tcPr>
          <w:p w14:paraId="2E4A200B" w14:textId="1E02B295" w:rsidR="00566849" w:rsidRDefault="00220E96" w:rsidP="00432DB3">
            <w:pPr>
              <w:pStyle w:val="Tabletextcentred"/>
            </w:pPr>
            <w:proofErr w:type="spellStart"/>
            <w:r>
              <w:t>dBW</w:t>
            </w:r>
            <w:proofErr w:type="spellEnd"/>
            <w:r>
              <w:t>/MHz</w:t>
            </w:r>
          </w:p>
        </w:tc>
        <w:tc>
          <w:tcPr>
            <w:tcW w:w="1972" w:type="dxa"/>
            <w:tcBorders>
              <w:top w:val="single" w:sz="4" w:space="0" w:color="auto"/>
              <w:left w:val="nil"/>
              <w:bottom w:val="single" w:sz="4" w:space="0" w:color="auto"/>
              <w:right w:val="nil"/>
            </w:tcBorders>
            <w:shd w:val="clear" w:color="auto" w:fill="CCECFF"/>
          </w:tcPr>
          <w:p w14:paraId="6CBC19C3" w14:textId="70E94FB4" w:rsidR="00566849" w:rsidRDefault="00220E96" w:rsidP="00432DB3">
            <w:pPr>
              <w:pStyle w:val="Tabletextcentred"/>
            </w:pPr>
            <w:r>
              <w:t>-4.9</w:t>
            </w:r>
          </w:p>
        </w:tc>
      </w:tr>
      <w:tr w:rsidR="00220E96" w:rsidRPr="005113AA" w14:paraId="5FFD22FA" w14:textId="77777777" w:rsidTr="00DF0DE7">
        <w:trPr>
          <w:cantSplit/>
        </w:trPr>
        <w:tc>
          <w:tcPr>
            <w:tcW w:w="5245" w:type="dxa"/>
            <w:tcBorders>
              <w:top w:val="single" w:sz="4" w:space="0" w:color="auto"/>
              <w:left w:val="nil"/>
              <w:bottom w:val="single" w:sz="4" w:space="0" w:color="auto"/>
              <w:right w:val="nil"/>
            </w:tcBorders>
          </w:tcPr>
          <w:p w14:paraId="538A8F2A" w14:textId="77777777" w:rsidR="00220E96" w:rsidRDefault="00220E96" w:rsidP="00432DB3">
            <w:pPr>
              <w:pStyle w:val="Tablerowcolumnheading"/>
            </w:pPr>
          </w:p>
        </w:tc>
        <w:tc>
          <w:tcPr>
            <w:tcW w:w="1701" w:type="dxa"/>
            <w:tcBorders>
              <w:top w:val="single" w:sz="4" w:space="0" w:color="auto"/>
              <w:left w:val="nil"/>
              <w:bottom w:val="single" w:sz="4" w:space="0" w:color="auto"/>
              <w:right w:val="nil"/>
            </w:tcBorders>
          </w:tcPr>
          <w:p w14:paraId="05A32789" w14:textId="77777777" w:rsidR="00220E96" w:rsidRDefault="00220E96" w:rsidP="00432DB3">
            <w:pPr>
              <w:pStyle w:val="Tabletextcentred"/>
            </w:pPr>
          </w:p>
        </w:tc>
        <w:tc>
          <w:tcPr>
            <w:tcW w:w="1972" w:type="dxa"/>
            <w:tcBorders>
              <w:top w:val="single" w:sz="4" w:space="0" w:color="auto"/>
              <w:left w:val="nil"/>
              <w:bottom w:val="single" w:sz="4" w:space="0" w:color="auto"/>
              <w:right w:val="nil"/>
            </w:tcBorders>
          </w:tcPr>
          <w:p w14:paraId="5F306E1C" w14:textId="77777777" w:rsidR="00220E96" w:rsidRDefault="00220E96" w:rsidP="00432DB3">
            <w:pPr>
              <w:pStyle w:val="Tabletextcentred"/>
            </w:pPr>
          </w:p>
        </w:tc>
      </w:tr>
      <w:tr w:rsidR="00220E96" w:rsidRPr="005113AA" w14:paraId="1BCD972C" w14:textId="77777777" w:rsidTr="00DF0DE7">
        <w:trPr>
          <w:cantSplit/>
        </w:trPr>
        <w:tc>
          <w:tcPr>
            <w:tcW w:w="5245" w:type="dxa"/>
            <w:tcBorders>
              <w:top w:val="single" w:sz="4" w:space="0" w:color="auto"/>
              <w:left w:val="nil"/>
              <w:bottom w:val="single" w:sz="4" w:space="0" w:color="auto"/>
              <w:right w:val="nil"/>
            </w:tcBorders>
          </w:tcPr>
          <w:p w14:paraId="4BE8AE81" w14:textId="77777777" w:rsidR="00220E96" w:rsidRDefault="00220E96" w:rsidP="00432DB3">
            <w:pPr>
              <w:pStyle w:val="Tablerowcolumnheading"/>
            </w:pPr>
          </w:p>
        </w:tc>
        <w:tc>
          <w:tcPr>
            <w:tcW w:w="1701" w:type="dxa"/>
            <w:tcBorders>
              <w:top w:val="single" w:sz="4" w:space="0" w:color="auto"/>
              <w:left w:val="nil"/>
              <w:bottom w:val="single" w:sz="4" w:space="0" w:color="auto"/>
              <w:right w:val="nil"/>
            </w:tcBorders>
          </w:tcPr>
          <w:p w14:paraId="387B5E8F" w14:textId="77777777" w:rsidR="00220E96" w:rsidRDefault="00220E96" w:rsidP="00432DB3">
            <w:pPr>
              <w:pStyle w:val="Tabletextcentred"/>
            </w:pPr>
          </w:p>
        </w:tc>
        <w:tc>
          <w:tcPr>
            <w:tcW w:w="1972" w:type="dxa"/>
            <w:tcBorders>
              <w:top w:val="single" w:sz="4" w:space="0" w:color="auto"/>
              <w:left w:val="nil"/>
              <w:bottom w:val="single" w:sz="4" w:space="0" w:color="auto"/>
              <w:right w:val="nil"/>
            </w:tcBorders>
          </w:tcPr>
          <w:p w14:paraId="6FE769AA" w14:textId="77777777" w:rsidR="00220E96" w:rsidRDefault="00220E96" w:rsidP="00432DB3">
            <w:pPr>
              <w:pStyle w:val="Tabletextcentred"/>
            </w:pPr>
          </w:p>
        </w:tc>
      </w:tr>
      <w:tr w:rsidR="00566849" w:rsidRPr="005113AA" w14:paraId="434BBAE7" w14:textId="77777777" w:rsidTr="00DF0DE7">
        <w:trPr>
          <w:cantSplit/>
        </w:trPr>
        <w:tc>
          <w:tcPr>
            <w:tcW w:w="5245" w:type="dxa"/>
            <w:tcBorders>
              <w:top w:val="single" w:sz="4" w:space="0" w:color="auto"/>
              <w:left w:val="nil"/>
              <w:bottom w:val="single" w:sz="4" w:space="0" w:color="auto"/>
              <w:right w:val="nil"/>
            </w:tcBorders>
          </w:tcPr>
          <w:p w14:paraId="236D08D5" w14:textId="77777777" w:rsidR="00566849" w:rsidRDefault="00566849" w:rsidP="00432DB3">
            <w:pPr>
              <w:pStyle w:val="Tablerowcolumnheading"/>
            </w:pPr>
            <w:r>
              <w:t>Set Ant Gain</w:t>
            </w:r>
          </w:p>
        </w:tc>
        <w:tc>
          <w:tcPr>
            <w:tcW w:w="1701" w:type="dxa"/>
            <w:tcBorders>
              <w:top w:val="single" w:sz="4" w:space="0" w:color="auto"/>
              <w:left w:val="nil"/>
              <w:bottom w:val="single" w:sz="4" w:space="0" w:color="auto"/>
              <w:right w:val="nil"/>
            </w:tcBorders>
          </w:tcPr>
          <w:p w14:paraId="28F88A3A" w14:textId="77777777" w:rsidR="00566849" w:rsidRDefault="00566849" w:rsidP="00432DB3">
            <w:pPr>
              <w:pStyle w:val="Tabletextcentred"/>
            </w:pPr>
          </w:p>
        </w:tc>
        <w:tc>
          <w:tcPr>
            <w:tcW w:w="1972" w:type="dxa"/>
            <w:tcBorders>
              <w:top w:val="single" w:sz="4" w:space="0" w:color="auto"/>
              <w:left w:val="nil"/>
              <w:bottom w:val="single" w:sz="4" w:space="0" w:color="auto"/>
              <w:right w:val="nil"/>
            </w:tcBorders>
          </w:tcPr>
          <w:p w14:paraId="61DBAB69" w14:textId="77777777" w:rsidR="00566849" w:rsidRDefault="00566849" w:rsidP="00432DB3">
            <w:pPr>
              <w:pStyle w:val="Tabletextcentred"/>
            </w:pPr>
          </w:p>
        </w:tc>
      </w:tr>
      <w:tr w:rsidR="00220E96" w:rsidRPr="005113AA" w14:paraId="56504EE7" w14:textId="77777777" w:rsidTr="00DF0DE7">
        <w:trPr>
          <w:cantSplit/>
        </w:trPr>
        <w:tc>
          <w:tcPr>
            <w:tcW w:w="5245" w:type="dxa"/>
            <w:tcBorders>
              <w:top w:val="single" w:sz="4" w:space="0" w:color="auto"/>
              <w:left w:val="nil"/>
              <w:bottom w:val="single" w:sz="4" w:space="0" w:color="auto"/>
              <w:right w:val="nil"/>
            </w:tcBorders>
            <w:shd w:val="clear" w:color="auto" w:fill="FFFFFF" w:themeFill="background1"/>
          </w:tcPr>
          <w:p w14:paraId="4686729F" w14:textId="21B1ECA5" w:rsidR="00220E96" w:rsidRDefault="00220E96" w:rsidP="00432DB3">
            <w:pPr>
              <w:pStyle w:val="Tabletext"/>
            </w:pPr>
            <w:r>
              <w:t>Satellite RX Ant Max Gain</w:t>
            </w:r>
          </w:p>
        </w:tc>
        <w:tc>
          <w:tcPr>
            <w:tcW w:w="1701" w:type="dxa"/>
            <w:tcBorders>
              <w:top w:val="single" w:sz="4" w:space="0" w:color="auto"/>
              <w:left w:val="nil"/>
              <w:bottom w:val="single" w:sz="4" w:space="0" w:color="auto"/>
              <w:right w:val="nil"/>
            </w:tcBorders>
            <w:shd w:val="clear" w:color="auto" w:fill="FFFFFF" w:themeFill="background1"/>
          </w:tcPr>
          <w:p w14:paraId="2EE8211E" w14:textId="6E633D63" w:rsidR="00220E96" w:rsidRDefault="00220E96" w:rsidP="00432DB3">
            <w:pPr>
              <w:pStyle w:val="Tabletextcentred"/>
            </w:pPr>
            <w:proofErr w:type="spellStart"/>
            <w:r>
              <w:t>dBi</w:t>
            </w:r>
            <w:proofErr w:type="spellEnd"/>
          </w:p>
        </w:tc>
        <w:tc>
          <w:tcPr>
            <w:tcW w:w="1972" w:type="dxa"/>
            <w:tcBorders>
              <w:top w:val="single" w:sz="4" w:space="0" w:color="auto"/>
              <w:left w:val="nil"/>
              <w:bottom w:val="single" w:sz="4" w:space="0" w:color="auto"/>
              <w:right w:val="nil"/>
            </w:tcBorders>
            <w:shd w:val="clear" w:color="auto" w:fill="FFFFFF" w:themeFill="background1"/>
          </w:tcPr>
          <w:p w14:paraId="1A4B5032" w14:textId="2ECAABFF" w:rsidR="00220E96" w:rsidRDefault="00220E96" w:rsidP="00432DB3">
            <w:pPr>
              <w:pStyle w:val="Tabletextcentred"/>
            </w:pPr>
            <w:r>
              <w:t>56.0</w:t>
            </w:r>
          </w:p>
        </w:tc>
      </w:tr>
      <w:tr w:rsidR="00220E96" w:rsidRPr="005113AA" w14:paraId="3A0BAF4D" w14:textId="77777777" w:rsidTr="00DF0DE7">
        <w:trPr>
          <w:cantSplit/>
        </w:trPr>
        <w:tc>
          <w:tcPr>
            <w:tcW w:w="5245" w:type="dxa"/>
            <w:tcBorders>
              <w:top w:val="single" w:sz="4" w:space="0" w:color="auto"/>
              <w:left w:val="nil"/>
              <w:bottom w:val="single" w:sz="4" w:space="0" w:color="auto"/>
              <w:right w:val="nil"/>
            </w:tcBorders>
            <w:shd w:val="clear" w:color="auto" w:fill="FFFFFF" w:themeFill="background1"/>
          </w:tcPr>
          <w:p w14:paraId="709411C2" w14:textId="6A04C39B" w:rsidR="00220E96" w:rsidRDefault="00220E96" w:rsidP="00432DB3">
            <w:pPr>
              <w:pStyle w:val="Tabletext"/>
            </w:pPr>
            <w:r>
              <w:t>Feeder Loss</w:t>
            </w:r>
          </w:p>
        </w:tc>
        <w:tc>
          <w:tcPr>
            <w:tcW w:w="1701" w:type="dxa"/>
            <w:tcBorders>
              <w:top w:val="single" w:sz="4" w:space="0" w:color="auto"/>
              <w:left w:val="nil"/>
              <w:bottom w:val="single" w:sz="4" w:space="0" w:color="auto"/>
              <w:right w:val="nil"/>
            </w:tcBorders>
            <w:shd w:val="clear" w:color="auto" w:fill="FFFFFF" w:themeFill="background1"/>
          </w:tcPr>
          <w:p w14:paraId="7B7A2BE5" w14:textId="3AAFA37F" w:rsidR="00220E96" w:rsidRDefault="00220E96" w:rsidP="00432DB3">
            <w:pPr>
              <w:pStyle w:val="Tabletextcentred"/>
            </w:pPr>
            <w:proofErr w:type="spellStart"/>
            <w:r>
              <w:t>dBi</w:t>
            </w:r>
            <w:proofErr w:type="spellEnd"/>
          </w:p>
        </w:tc>
        <w:tc>
          <w:tcPr>
            <w:tcW w:w="1972" w:type="dxa"/>
            <w:tcBorders>
              <w:top w:val="single" w:sz="4" w:space="0" w:color="auto"/>
              <w:left w:val="nil"/>
              <w:bottom w:val="single" w:sz="4" w:space="0" w:color="auto"/>
              <w:right w:val="nil"/>
            </w:tcBorders>
            <w:shd w:val="clear" w:color="auto" w:fill="FFFFFF" w:themeFill="background1"/>
          </w:tcPr>
          <w:p w14:paraId="18F2EA1A" w14:textId="6E88068A" w:rsidR="00220E96" w:rsidRDefault="00220E96" w:rsidP="00432DB3">
            <w:pPr>
              <w:pStyle w:val="Tabletextcentred"/>
            </w:pPr>
            <w:r>
              <w:t>0.0</w:t>
            </w:r>
          </w:p>
        </w:tc>
      </w:tr>
      <w:tr w:rsidR="00566849" w:rsidRPr="005113AA" w14:paraId="45593E99" w14:textId="77777777" w:rsidTr="00DF0DE7">
        <w:trPr>
          <w:cantSplit/>
        </w:trPr>
        <w:tc>
          <w:tcPr>
            <w:tcW w:w="5245" w:type="dxa"/>
            <w:tcBorders>
              <w:top w:val="single" w:sz="4" w:space="0" w:color="auto"/>
              <w:left w:val="nil"/>
              <w:bottom w:val="single" w:sz="4" w:space="0" w:color="auto"/>
              <w:right w:val="nil"/>
            </w:tcBorders>
            <w:shd w:val="clear" w:color="auto" w:fill="CCECFF"/>
          </w:tcPr>
          <w:p w14:paraId="2E336D48" w14:textId="77777777" w:rsidR="00566849" w:rsidRDefault="00566849" w:rsidP="00432DB3">
            <w:pPr>
              <w:pStyle w:val="Tabletext"/>
            </w:pPr>
            <w:r>
              <w:t>Sat RX Ant Gain (</w:t>
            </w:r>
            <w:proofErr w:type="spellStart"/>
            <w:r>
              <w:t>incl</w:t>
            </w:r>
            <w:proofErr w:type="spellEnd"/>
            <w:r>
              <w:t xml:space="preserve"> Feeder Loss)</w:t>
            </w:r>
          </w:p>
        </w:tc>
        <w:tc>
          <w:tcPr>
            <w:tcW w:w="1701" w:type="dxa"/>
            <w:tcBorders>
              <w:top w:val="single" w:sz="4" w:space="0" w:color="auto"/>
              <w:left w:val="nil"/>
              <w:bottom w:val="single" w:sz="4" w:space="0" w:color="auto"/>
              <w:right w:val="nil"/>
            </w:tcBorders>
            <w:shd w:val="clear" w:color="auto" w:fill="CCECFF"/>
          </w:tcPr>
          <w:p w14:paraId="05F431AF" w14:textId="65BB6E9D" w:rsidR="00566849" w:rsidRDefault="00220E96" w:rsidP="00432DB3">
            <w:pPr>
              <w:pStyle w:val="Tabletextcentred"/>
            </w:pPr>
            <w:proofErr w:type="spellStart"/>
            <w:r>
              <w:t>dBi</w:t>
            </w:r>
            <w:proofErr w:type="spellEnd"/>
          </w:p>
        </w:tc>
        <w:tc>
          <w:tcPr>
            <w:tcW w:w="1972" w:type="dxa"/>
            <w:tcBorders>
              <w:top w:val="single" w:sz="4" w:space="0" w:color="auto"/>
              <w:left w:val="nil"/>
              <w:bottom w:val="single" w:sz="4" w:space="0" w:color="auto"/>
              <w:right w:val="nil"/>
            </w:tcBorders>
            <w:shd w:val="clear" w:color="auto" w:fill="CCECFF"/>
          </w:tcPr>
          <w:p w14:paraId="0422C7D7" w14:textId="4D8FE78B" w:rsidR="00566849" w:rsidRDefault="00220E96" w:rsidP="00432DB3">
            <w:pPr>
              <w:pStyle w:val="Tabletextcentred"/>
            </w:pPr>
            <w:r>
              <w:t>56.0</w:t>
            </w:r>
          </w:p>
        </w:tc>
      </w:tr>
      <w:tr w:rsidR="00220E96" w:rsidRPr="005113AA" w14:paraId="3B15B663" w14:textId="77777777" w:rsidTr="00DF0DE7">
        <w:trPr>
          <w:cantSplit/>
        </w:trPr>
        <w:tc>
          <w:tcPr>
            <w:tcW w:w="5245" w:type="dxa"/>
            <w:tcBorders>
              <w:top w:val="single" w:sz="4" w:space="0" w:color="auto"/>
              <w:left w:val="nil"/>
              <w:bottom w:val="single" w:sz="4" w:space="0" w:color="auto"/>
              <w:right w:val="nil"/>
            </w:tcBorders>
            <w:shd w:val="clear" w:color="auto" w:fill="FFFFFF" w:themeFill="background1"/>
          </w:tcPr>
          <w:p w14:paraId="12AD7855" w14:textId="77777777" w:rsidR="00220E96" w:rsidRDefault="00220E96" w:rsidP="00432DB3">
            <w:pPr>
              <w:pStyle w:val="Tabletext"/>
            </w:pPr>
          </w:p>
        </w:tc>
        <w:tc>
          <w:tcPr>
            <w:tcW w:w="1701" w:type="dxa"/>
            <w:tcBorders>
              <w:top w:val="single" w:sz="4" w:space="0" w:color="auto"/>
              <w:left w:val="nil"/>
              <w:bottom w:val="single" w:sz="4" w:space="0" w:color="auto"/>
              <w:right w:val="nil"/>
            </w:tcBorders>
            <w:shd w:val="clear" w:color="auto" w:fill="FFFFFF" w:themeFill="background1"/>
          </w:tcPr>
          <w:p w14:paraId="23EE0642" w14:textId="77777777" w:rsidR="00220E96" w:rsidRDefault="00220E96" w:rsidP="00432DB3">
            <w:pPr>
              <w:pStyle w:val="Tabletextcentred"/>
            </w:pPr>
          </w:p>
        </w:tc>
        <w:tc>
          <w:tcPr>
            <w:tcW w:w="1972" w:type="dxa"/>
            <w:tcBorders>
              <w:top w:val="single" w:sz="4" w:space="0" w:color="auto"/>
              <w:left w:val="nil"/>
              <w:bottom w:val="single" w:sz="4" w:space="0" w:color="auto"/>
              <w:right w:val="nil"/>
            </w:tcBorders>
            <w:shd w:val="clear" w:color="auto" w:fill="FFFFFF" w:themeFill="background1"/>
          </w:tcPr>
          <w:p w14:paraId="7D72E059" w14:textId="77777777" w:rsidR="00220E96" w:rsidRDefault="00220E96" w:rsidP="00432DB3">
            <w:pPr>
              <w:pStyle w:val="Tabletextcentred"/>
            </w:pPr>
          </w:p>
        </w:tc>
      </w:tr>
      <w:tr w:rsidR="00566849" w:rsidRPr="005113AA" w14:paraId="7D79D5D2" w14:textId="77777777" w:rsidTr="00DF0DE7">
        <w:trPr>
          <w:cantSplit/>
        </w:trPr>
        <w:tc>
          <w:tcPr>
            <w:tcW w:w="5245" w:type="dxa"/>
            <w:tcBorders>
              <w:top w:val="single" w:sz="4" w:space="0" w:color="auto"/>
              <w:left w:val="nil"/>
              <w:bottom w:val="single" w:sz="4" w:space="0" w:color="auto"/>
              <w:right w:val="nil"/>
            </w:tcBorders>
          </w:tcPr>
          <w:p w14:paraId="0BC355F7" w14:textId="77777777" w:rsidR="00566849" w:rsidRDefault="00566849" w:rsidP="00432DB3">
            <w:pPr>
              <w:pStyle w:val="Tablerowcolumnheading"/>
            </w:pPr>
            <w:r>
              <w:t>Single entry interference</w:t>
            </w:r>
          </w:p>
        </w:tc>
        <w:tc>
          <w:tcPr>
            <w:tcW w:w="1701" w:type="dxa"/>
            <w:tcBorders>
              <w:top w:val="single" w:sz="4" w:space="0" w:color="auto"/>
              <w:left w:val="nil"/>
              <w:bottom w:val="single" w:sz="4" w:space="0" w:color="auto"/>
              <w:right w:val="nil"/>
            </w:tcBorders>
          </w:tcPr>
          <w:p w14:paraId="5FC5AB29" w14:textId="77777777" w:rsidR="00566849" w:rsidRDefault="00566849" w:rsidP="00432DB3">
            <w:pPr>
              <w:pStyle w:val="Tabletextcentred"/>
            </w:pPr>
          </w:p>
        </w:tc>
        <w:tc>
          <w:tcPr>
            <w:tcW w:w="1972" w:type="dxa"/>
            <w:tcBorders>
              <w:top w:val="single" w:sz="4" w:space="0" w:color="auto"/>
              <w:left w:val="nil"/>
              <w:bottom w:val="single" w:sz="4" w:space="0" w:color="auto"/>
              <w:right w:val="nil"/>
            </w:tcBorders>
          </w:tcPr>
          <w:p w14:paraId="3D443A35" w14:textId="77777777" w:rsidR="00566849" w:rsidRDefault="00566849" w:rsidP="00432DB3">
            <w:pPr>
              <w:pStyle w:val="Tabletextcentred"/>
            </w:pPr>
          </w:p>
        </w:tc>
      </w:tr>
      <w:tr w:rsidR="00566849" w:rsidRPr="005113AA" w14:paraId="731B4663" w14:textId="77777777" w:rsidTr="00DF0DE7">
        <w:trPr>
          <w:cantSplit/>
        </w:trPr>
        <w:tc>
          <w:tcPr>
            <w:tcW w:w="5245" w:type="dxa"/>
            <w:tcBorders>
              <w:top w:val="single" w:sz="4" w:space="0" w:color="auto"/>
              <w:left w:val="nil"/>
              <w:bottom w:val="single" w:sz="4" w:space="0" w:color="auto"/>
              <w:right w:val="nil"/>
            </w:tcBorders>
            <w:shd w:val="clear" w:color="auto" w:fill="CCECFF"/>
          </w:tcPr>
          <w:p w14:paraId="460CDFEF" w14:textId="77777777" w:rsidR="00566849" w:rsidRDefault="00566849" w:rsidP="00432DB3">
            <w:pPr>
              <w:pStyle w:val="Tabletext"/>
            </w:pPr>
            <w:r>
              <w:t>Interference at Sat RX input</w:t>
            </w:r>
          </w:p>
        </w:tc>
        <w:tc>
          <w:tcPr>
            <w:tcW w:w="1701" w:type="dxa"/>
            <w:tcBorders>
              <w:top w:val="single" w:sz="4" w:space="0" w:color="auto"/>
              <w:left w:val="nil"/>
              <w:bottom w:val="single" w:sz="4" w:space="0" w:color="auto"/>
              <w:right w:val="nil"/>
            </w:tcBorders>
            <w:shd w:val="clear" w:color="auto" w:fill="CCECFF"/>
          </w:tcPr>
          <w:p w14:paraId="76F7BD65" w14:textId="5BDCEDD9" w:rsidR="00566849" w:rsidRDefault="00220E96" w:rsidP="00432DB3">
            <w:pPr>
              <w:pStyle w:val="Tabletextcentred"/>
            </w:pPr>
            <w:proofErr w:type="spellStart"/>
            <w:r>
              <w:t>dBW</w:t>
            </w:r>
            <w:proofErr w:type="spellEnd"/>
            <w:r>
              <w:t>/MHz</w:t>
            </w:r>
          </w:p>
        </w:tc>
        <w:tc>
          <w:tcPr>
            <w:tcW w:w="1972" w:type="dxa"/>
            <w:tcBorders>
              <w:top w:val="single" w:sz="4" w:space="0" w:color="auto"/>
              <w:left w:val="nil"/>
              <w:bottom w:val="single" w:sz="4" w:space="0" w:color="auto"/>
              <w:right w:val="nil"/>
            </w:tcBorders>
            <w:shd w:val="clear" w:color="auto" w:fill="CCECFF"/>
          </w:tcPr>
          <w:p w14:paraId="1929C946" w14:textId="23102682" w:rsidR="00566849" w:rsidRDefault="00220E96" w:rsidP="00432DB3">
            <w:pPr>
              <w:pStyle w:val="Tabletextcentred"/>
            </w:pPr>
            <w:r>
              <w:t>-164.5</w:t>
            </w:r>
          </w:p>
        </w:tc>
      </w:tr>
      <w:tr w:rsidR="00566849" w:rsidRPr="005113AA" w14:paraId="0C0471F0" w14:textId="77777777" w:rsidTr="00DF0DE7">
        <w:trPr>
          <w:cantSplit/>
        </w:trPr>
        <w:tc>
          <w:tcPr>
            <w:tcW w:w="5245" w:type="dxa"/>
            <w:tcBorders>
              <w:top w:val="single" w:sz="4" w:space="0" w:color="auto"/>
              <w:left w:val="nil"/>
              <w:bottom w:val="single" w:sz="4" w:space="0" w:color="auto"/>
              <w:right w:val="nil"/>
            </w:tcBorders>
            <w:shd w:val="clear" w:color="auto" w:fill="CCECFF"/>
          </w:tcPr>
          <w:p w14:paraId="78683A80" w14:textId="77777777" w:rsidR="00566849" w:rsidRDefault="00566849" w:rsidP="00432DB3">
            <w:pPr>
              <w:pStyle w:val="Tabletext"/>
            </w:pPr>
            <w:r>
              <w:t xml:space="preserve">Margin to </w:t>
            </w:r>
            <w:proofErr w:type="spellStart"/>
            <w:r>
              <w:t>Int</w:t>
            </w:r>
            <w:proofErr w:type="spellEnd"/>
            <w:r>
              <w:t xml:space="preserve"> Criterion</w:t>
            </w:r>
          </w:p>
        </w:tc>
        <w:tc>
          <w:tcPr>
            <w:tcW w:w="1701" w:type="dxa"/>
            <w:tcBorders>
              <w:top w:val="single" w:sz="4" w:space="0" w:color="auto"/>
              <w:left w:val="nil"/>
              <w:bottom w:val="single" w:sz="4" w:space="0" w:color="auto"/>
              <w:right w:val="nil"/>
            </w:tcBorders>
            <w:shd w:val="clear" w:color="auto" w:fill="CCECFF"/>
          </w:tcPr>
          <w:p w14:paraId="51992820" w14:textId="03C3BA67" w:rsidR="00566849" w:rsidRDefault="00220E96" w:rsidP="00432DB3">
            <w:pPr>
              <w:pStyle w:val="Tabletextcentred"/>
            </w:pPr>
            <w:r>
              <w:t>dB</w:t>
            </w:r>
          </w:p>
        </w:tc>
        <w:tc>
          <w:tcPr>
            <w:tcW w:w="1972" w:type="dxa"/>
            <w:tcBorders>
              <w:top w:val="single" w:sz="4" w:space="0" w:color="auto"/>
              <w:left w:val="nil"/>
              <w:bottom w:val="single" w:sz="4" w:space="0" w:color="auto"/>
              <w:right w:val="nil"/>
            </w:tcBorders>
            <w:shd w:val="clear" w:color="auto" w:fill="CCECFF"/>
          </w:tcPr>
          <w:p w14:paraId="7BA5358E" w14:textId="1E92502B" w:rsidR="00566849" w:rsidRDefault="001E6E4F" w:rsidP="00432DB3">
            <w:pPr>
              <w:pStyle w:val="Tabletextcentred"/>
            </w:pPr>
            <w:r>
              <w:t>21.9</w:t>
            </w:r>
          </w:p>
        </w:tc>
      </w:tr>
      <w:tr w:rsidR="001E6E4F" w:rsidRPr="005113AA" w14:paraId="085DFE32" w14:textId="77777777" w:rsidTr="00DF0DE7">
        <w:trPr>
          <w:cantSplit/>
        </w:trPr>
        <w:tc>
          <w:tcPr>
            <w:tcW w:w="5245" w:type="dxa"/>
            <w:tcBorders>
              <w:top w:val="single" w:sz="4" w:space="0" w:color="auto"/>
              <w:left w:val="nil"/>
              <w:bottom w:val="single" w:sz="12" w:space="0" w:color="auto"/>
              <w:right w:val="nil"/>
            </w:tcBorders>
          </w:tcPr>
          <w:p w14:paraId="0336B9E3" w14:textId="77777777" w:rsidR="001E6E4F" w:rsidRDefault="001E6E4F" w:rsidP="00432DB3">
            <w:pPr>
              <w:pStyle w:val="Tabletext"/>
            </w:pPr>
          </w:p>
        </w:tc>
        <w:tc>
          <w:tcPr>
            <w:tcW w:w="1701" w:type="dxa"/>
            <w:tcBorders>
              <w:top w:val="single" w:sz="4" w:space="0" w:color="auto"/>
              <w:left w:val="nil"/>
              <w:bottom w:val="single" w:sz="12" w:space="0" w:color="auto"/>
              <w:right w:val="nil"/>
            </w:tcBorders>
          </w:tcPr>
          <w:p w14:paraId="6585E765" w14:textId="77777777" w:rsidR="001E6E4F" w:rsidRDefault="001E6E4F" w:rsidP="00432DB3">
            <w:pPr>
              <w:pStyle w:val="Tabletextcentred"/>
            </w:pPr>
          </w:p>
        </w:tc>
        <w:tc>
          <w:tcPr>
            <w:tcW w:w="1972" w:type="dxa"/>
            <w:tcBorders>
              <w:top w:val="single" w:sz="4" w:space="0" w:color="auto"/>
              <w:left w:val="nil"/>
              <w:bottom w:val="single" w:sz="12" w:space="0" w:color="auto"/>
              <w:right w:val="nil"/>
            </w:tcBorders>
          </w:tcPr>
          <w:p w14:paraId="5D0AF4CB" w14:textId="77777777" w:rsidR="001E6E4F" w:rsidRDefault="001E6E4F" w:rsidP="00432DB3">
            <w:pPr>
              <w:pStyle w:val="Tabletextcentred"/>
            </w:pPr>
          </w:p>
        </w:tc>
      </w:tr>
      <w:tr w:rsidR="00566849" w:rsidRPr="005113AA" w14:paraId="52494A79" w14:textId="77777777" w:rsidTr="00DF0DE7">
        <w:trPr>
          <w:cantSplit/>
        </w:trPr>
        <w:tc>
          <w:tcPr>
            <w:tcW w:w="5245" w:type="dxa"/>
            <w:tcBorders>
              <w:top w:val="single" w:sz="4" w:space="0" w:color="auto"/>
              <w:left w:val="nil"/>
              <w:bottom w:val="single" w:sz="12" w:space="0" w:color="auto"/>
              <w:right w:val="nil"/>
            </w:tcBorders>
          </w:tcPr>
          <w:p w14:paraId="2193C6A7" w14:textId="77777777" w:rsidR="00566849" w:rsidRDefault="00566849" w:rsidP="00432DB3">
            <w:pPr>
              <w:pStyle w:val="Tabletext"/>
            </w:pPr>
            <w:proofErr w:type="spellStart"/>
            <w:r>
              <w:t>Permissable</w:t>
            </w:r>
            <w:proofErr w:type="spellEnd"/>
            <w:r>
              <w:t xml:space="preserve"> no of interferers (Base Station only considered)</w:t>
            </w:r>
          </w:p>
        </w:tc>
        <w:tc>
          <w:tcPr>
            <w:tcW w:w="1701" w:type="dxa"/>
            <w:tcBorders>
              <w:top w:val="single" w:sz="4" w:space="0" w:color="auto"/>
              <w:left w:val="nil"/>
              <w:bottom w:val="single" w:sz="12" w:space="0" w:color="auto"/>
              <w:right w:val="nil"/>
            </w:tcBorders>
          </w:tcPr>
          <w:p w14:paraId="3D38AC91" w14:textId="77777777" w:rsidR="00566849" w:rsidRDefault="00566849" w:rsidP="00432DB3">
            <w:pPr>
              <w:pStyle w:val="Tabletextcentred"/>
            </w:pPr>
          </w:p>
        </w:tc>
        <w:tc>
          <w:tcPr>
            <w:tcW w:w="1972" w:type="dxa"/>
            <w:tcBorders>
              <w:top w:val="single" w:sz="4" w:space="0" w:color="auto"/>
              <w:left w:val="nil"/>
              <w:bottom w:val="single" w:sz="12" w:space="0" w:color="auto"/>
              <w:right w:val="nil"/>
            </w:tcBorders>
          </w:tcPr>
          <w:p w14:paraId="4240FD7C" w14:textId="43045CD5" w:rsidR="00566849" w:rsidRDefault="001E6E4F" w:rsidP="00432DB3">
            <w:pPr>
              <w:pStyle w:val="Tabletextcentred"/>
            </w:pPr>
            <w:r>
              <w:t>155.0</w:t>
            </w:r>
          </w:p>
        </w:tc>
      </w:tr>
    </w:tbl>
    <w:p w14:paraId="7DE7DAAA" w14:textId="77777777" w:rsidR="001E6E4F" w:rsidRDefault="001E6E4F" w:rsidP="00DE3BEE"/>
    <w:p w14:paraId="63FACD0B" w14:textId="6BF3C171" w:rsidR="00D848F2" w:rsidRDefault="001E6E4F" w:rsidP="00DE3BEE">
      <w:r>
        <w:t>I</w:t>
      </w:r>
      <w:r w:rsidR="00DE3BEE" w:rsidRPr="00A133CF">
        <w:t>n this calculation, it is assumed that the main beam of a base station, operating at the higher power level suggested by NBN, is pointing directly at the satellite. To reflect the small probability of such an alignment, the less stringent interference criterion recommended by WP4A is applied, with the interference remaining more than 20dB below this level</w:t>
      </w:r>
      <w:r w:rsidR="00D848F2">
        <w:t>.</w:t>
      </w:r>
    </w:p>
    <w:p w14:paraId="27991DC7" w14:textId="77777777" w:rsidR="00DE3BEE" w:rsidRPr="0008413B" w:rsidRDefault="00CA3193" w:rsidP="00CA3193">
      <w:pPr>
        <w:pStyle w:val="Heading2"/>
        <w:rPr>
          <w:color w:val="7030A0"/>
        </w:rPr>
      </w:pPr>
      <w:bookmarkStart w:id="60" w:name="_Toc18364974"/>
      <w:bookmarkStart w:id="61" w:name="_Toc18368795"/>
      <w:bookmarkStart w:id="62" w:name="_Toc18364975"/>
      <w:bookmarkStart w:id="63" w:name="_Toc18368796"/>
      <w:bookmarkStart w:id="64" w:name="_Toc19230538"/>
      <w:bookmarkStart w:id="65" w:name="_Toc21429730"/>
      <w:bookmarkEnd w:id="60"/>
      <w:bookmarkEnd w:id="61"/>
      <w:bookmarkEnd w:id="62"/>
      <w:bookmarkEnd w:id="63"/>
      <w:r w:rsidRPr="0008413B">
        <w:rPr>
          <w:color w:val="7030A0"/>
        </w:rPr>
        <w:lastRenderedPageBreak/>
        <w:t>3.</w:t>
      </w:r>
      <w:r w:rsidRPr="0008413B">
        <w:rPr>
          <w:color w:val="7030A0"/>
        </w:rPr>
        <w:tab/>
      </w:r>
      <w:r w:rsidR="00DE3BEE" w:rsidRPr="0008413B">
        <w:rPr>
          <w:color w:val="7030A0"/>
        </w:rPr>
        <w:t>Licence conditions and proposed mitigation</w:t>
      </w:r>
      <w:bookmarkEnd w:id="64"/>
      <w:bookmarkEnd w:id="65"/>
    </w:p>
    <w:p w14:paraId="38181BA8" w14:textId="77777777" w:rsidR="00DE3BEE" w:rsidRPr="0008413B" w:rsidRDefault="00CA3193" w:rsidP="00CA3193">
      <w:pPr>
        <w:pStyle w:val="Heading3"/>
        <w:rPr>
          <w:color w:val="7030A0"/>
        </w:rPr>
      </w:pPr>
      <w:bookmarkStart w:id="66" w:name="_Toc19230539"/>
      <w:bookmarkStart w:id="67" w:name="_Toc21429731"/>
      <w:r w:rsidRPr="0008413B">
        <w:rPr>
          <w:color w:val="7030A0"/>
        </w:rPr>
        <w:t>3.1</w:t>
      </w:r>
      <w:r w:rsidRPr="0008413B">
        <w:rPr>
          <w:color w:val="7030A0"/>
        </w:rPr>
        <w:tab/>
      </w:r>
      <w:r w:rsidR="00DE3BEE" w:rsidRPr="0008413B">
        <w:rPr>
          <w:color w:val="7030A0"/>
        </w:rPr>
        <w:t>Licensing approach</w:t>
      </w:r>
      <w:bookmarkEnd w:id="66"/>
      <w:bookmarkEnd w:id="67"/>
    </w:p>
    <w:p w14:paraId="0FE9D6FF" w14:textId="77777777" w:rsidR="00DE3BEE" w:rsidRPr="00A133CF" w:rsidRDefault="00DE3BEE" w:rsidP="00DF0DE7">
      <w:pPr>
        <w:keepNext/>
        <w:keepLines/>
      </w:pPr>
      <w:r w:rsidRPr="00A133CF">
        <w:t xml:space="preserve">ACMA, in </w:t>
      </w:r>
      <w:bookmarkStart w:id="68" w:name="_Hlk18242786"/>
      <w:r w:rsidRPr="00A133CF">
        <w:t>their document “Future use of the 26 GHz band. Planning decisions and preliminary views. April 2019”</w:t>
      </w:r>
      <w:bookmarkEnd w:id="68"/>
      <w:r w:rsidR="00232CCD">
        <w:t xml:space="preserve"> </w:t>
      </w:r>
      <w:r w:rsidRPr="00A133CF">
        <w:t>identified three broad categories of potential wireless broadband use when identifying the licensing approach for the 26 GHz band:</w:t>
      </w:r>
    </w:p>
    <w:p w14:paraId="18E9BBBF" w14:textId="77777777" w:rsidR="00DE3BEE" w:rsidRPr="00A133CF" w:rsidRDefault="00DE3BEE" w:rsidP="00CA3193">
      <w:pPr>
        <w:pStyle w:val="Tablefigureheading"/>
      </w:pPr>
      <w:bookmarkStart w:id="69" w:name="_Toc21429767"/>
      <w:r w:rsidRPr="00A133CF">
        <w:t xml:space="preserve">Figure </w:t>
      </w:r>
      <w:r w:rsidR="009D475F">
        <w:fldChar w:fldCharType="begin"/>
      </w:r>
      <w:r w:rsidR="009D475F">
        <w:instrText xml:space="preserve"> SEQ Figure \* ARABIC \s 1 </w:instrText>
      </w:r>
      <w:r w:rsidR="009D475F">
        <w:fldChar w:fldCharType="separate"/>
      </w:r>
      <w:r w:rsidRPr="00A133CF">
        <w:t>1</w:t>
      </w:r>
      <w:r w:rsidR="009D475F">
        <w:fldChar w:fldCharType="end"/>
      </w:r>
      <w:r w:rsidRPr="00A133CF">
        <w:t>: Categories of wireless broadband use</w:t>
      </w:r>
      <w:bookmarkEnd w:id="69"/>
    </w:p>
    <w:tbl>
      <w:tblPr>
        <w:tblStyle w:val="PlumTable"/>
        <w:tblW w:w="9638" w:type="dxa"/>
        <w:tblLayout w:type="fixed"/>
        <w:tblLook w:val="0420" w:firstRow="1" w:lastRow="0" w:firstColumn="0" w:lastColumn="0" w:noHBand="0" w:noVBand="1"/>
        <w:tblDescription w:val="Figure 1: Categories of wireless broadband use"/>
      </w:tblPr>
      <w:tblGrid>
        <w:gridCol w:w="1403"/>
        <w:gridCol w:w="5670"/>
        <w:gridCol w:w="2565"/>
      </w:tblGrid>
      <w:tr w:rsidR="00DE3BEE" w:rsidRPr="00A133CF" w14:paraId="0C76A40E" w14:textId="77777777" w:rsidTr="00CA3193">
        <w:trPr>
          <w:cnfStyle w:val="100000000000" w:firstRow="1" w:lastRow="0" w:firstColumn="0" w:lastColumn="0" w:oddVBand="0" w:evenVBand="0" w:oddHBand="0" w:evenHBand="0" w:firstRowFirstColumn="0" w:firstRowLastColumn="0" w:lastRowFirstColumn="0" w:lastRowLastColumn="0"/>
          <w:tblHeader/>
        </w:trPr>
        <w:tc>
          <w:tcPr>
            <w:tcW w:w="1403" w:type="dxa"/>
            <w:shd w:val="clear" w:color="auto" w:fill="4F2683"/>
          </w:tcPr>
          <w:p w14:paraId="59D45053" w14:textId="77777777" w:rsidR="00DE3BEE" w:rsidRPr="00A133CF" w:rsidRDefault="00DE3BEE" w:rsidP="00DD4701">
            <w:pPr>
              <w:pStyle w:val="Tablerowcolumnheading"/>
            </w:pPr>
            <w:r w:rsidRPr="00A133CF">
              <w:t>Category</w:t>
            </w:r>
          </w:p>
        </w:tc>
        <w:tc>
          <w:tcPr>
            <w:tcW w:w="5670" w:type="dxa"/>
            <w:shd w:val="clear" w:color="auto" w:fill="4F2683"/>
          </w:tcPr>
          <w:p w14:paraId="411A53FF" w14:textId="77777777" w:rsidR="00DE3BEE" w:rsidRPr="00A133CF" w:rsidRDefault="00DE3BEE" w:rsidP="00DD4701">
            <w:pPr>
              <w:pStyle w:val="Tablerowcolumnheading"/>
            </w:pPr>
            <w:r w:rsidRPr="00A133CF">
              <w:t>Description</w:t>
            </w:r>
          </w:p>
        </w:tc>
        <w:tc>
          <w:tcPr>
            <w:tcW w:w="2565" w:type="dxa"/>
            <w:shd w:val="clear" w:color="auto" w:fill="4F2683"/>
          </w:tcPr>
          <w:p w14:paraId="2A15414B" w14:textId="77777777" w:rsidR="00DE3BEE" w:rsidRPr="00A133CF" w:rsidRDefault="00DE3BEE" w:rsidP="00DD4701">
            <w:pPr>
              <w:pStyle w:val="Tablerowcolumnheading"/>
            </w:pPr>
            <w:r w:rsidRPr="00A133CF">
              <w:t>Licensing approach</w:t>
            </w:r>
          </w:p>
        </w:tc>
      </w:tr>
      <w:tr w:rsidR="00DE3BEE" w:rsidRPr="00A133CF" w14:paraId="22FE25B2" w14:textId="77777777" w:rsidTr="00377E47">
        <w:tc>
          <w:tcPr>
            <w:tcW w:w="1403" w:type="dxa"/>
          </w:tcPr>
          <w:p w14:paraId="3E805D57" w14:textId="77777777" w:rsidR="00DE3BEE" w:rsidRPr="00A133CF" w:rsidRDefault="00DE3BEE" w:rsidP="00DD4701">
            <w:pPr>
              <w:pStyle w:val="Tabletext"/>
            </w:pPr>
            <w:r w:rsidRPr="00A133CF">
              <w:t>Type 1</w:t>
            </w:r>
          </w:p>
        </w:tc>
        <w:tc>
          <w:tcPr>
            <w:tcW w:w="5670" w:type="dxa"/>
          </w:tcPr>
          <w:p w14:paraId="5D89AB8B" w14:textId="77777777" w:rsidR="00DE3BEE" w:rsidRPr="00A133CF" w:rsidRDefault="00DE3BEE" w:rsidP="00DD4701">
            <w:pPr>
              <w:pStyle w:val="Tabletext"/>
            </w:pPr>
            <w:r w:rsidRPr="00A133CF">
              <w:t>Traditional subscriber-based wide-area mobile or fixed network operator deployments</w:t>
            </w:r>
          </w:p>
        </w:tc>
        <w:tc>
          <w:tcPr>
            <w:tcW w:w="2565" w:type="dxa"/>
          </w:tcPr>
          <w:p w14:paraId="0586E4A4" w14:textId="77777777" w:rsidR="00DE3BEE" w:rsidRPr="00A133CF" w:rsidRDefault="00DE3BEE" w:rsidP="00DD4701">
            <w:pPr>
              <w:pStyle w:val="Tabletext"/>
            </w:pPr>
            <w:r w:rsidRPr="00A133CF">
              <w:t>Spectrum licence</w:t>
            </w:r>
          </w:p>
        </w:tc>
      </w:tr>
      <w:tr w:rsidR="00DE3BEE" w:rsidRPr="00A133CF" w14:paraId="54A27D86" w14:textId="77777777" w:rsidTr="00377E47">
        <w:trPr>
          <w:cnfStyle w:val="000000010000" w:firstRow="0" w:lastRow="0" w:firstColumn="0" w:lastColumn="0" w:oddVBand="0" w:evenVBand="0" w:oddHBand="0" w:evenHBand="1" w:firstRowFirstColumn="0" w:firstRowLastColumn="0" w:lastRowFirstColumn="0" w:lastRowLastColumn="0"/>
        </w:trPr>
        <w:tc>
          <w:tcPr>
            <w:tcW w:w="1403" w:type="dxa"/>
          </w:tcPr>
          <w:p w14:paraId="0AF8E766" w14:textId="77777777" w:rsidR="00DE3BEE" w:rsidRPr="00A133CF" w:rsidRDefault="00DE3BEE" w:rsidP="00DD4701">
            <w:pPr>
              <w:pStyle w:val="Tabletext"/>
            </w:pPr>
            <w:r w:rsidRPr="00A133CF">
              <w:t>Type 2</w:t>
            </w:r>
          </w:p>
        </w:tc>
        <w:tc>
          <w:tcPr>
            <w:tcW w:w="5670" w:type="dxa"/>
          </w:tcPr>
          <w:p w14:paraId="09D1DD58" w14:textId="77777777" w:rsidR="00DE3BEE" w:rsidRPr="00A133CF" w:rsidRDefault="00DE3BEE" w:rsidP="00DD4701">
            <w:pPr>
              <w:pStyle w:val="Tabletext"/>
            </w:pPr>
            <w:r w:rsidRPr="00A133CF">
              <w:t>Smaller market/local subscriber-based networks</w:t>
            </w:r>
          </w:p>
        </w:tc>
        <w:tc>
          <w:tcPr>
            <w:tcW w:w="2565" w:type="dxa"/>
          </w:tcPr>
          <w:p w14:paraId="53252FAA" w14:textId="77777777" w:rsidR="00DE3BEE" w:rsidRPr="00A133CF" w:rsidRDefault="00DE3BEE" w:rsidP="00DD4701">
            <w:pPr>
              <w:pStyle w:val="Tabletext"/>
            </w:pPr>
            <w:r w:rsidRPr="00A133CF">
              <w:t>Apparatus licence</w:t>
            </w:r>
          </w:p>
        </w:tc>
      </w:tr>
      <w:tr w:rsidR="00DE3BEE" w:rsidRPr="00A133CF" w14:paraId="7415EF63" w14:textId="77777777" w:rsidTr="00377E47">
        <w:tc>
          <w:tcPr>
            <w:tcW w:w="1403" w:type="dxa"/>
          </w:tcPr>
          <w:p w14:paraId="78B665AD" w14:textId="77777777" w:rsidR="00DE3BEE" w:rsidRPr="00A133CF" w:rsidRDefault="00DE3BEE" w:rsidP="00DD4701">
            <w:pPr>
              <w:pStyle w:val="Tabletext"/>
            </w:pPr>
            <w:r w:rsidRPr="00A133CF">
              <w:t>Type 3</w:t>
            </w:r>
          </w:p>
        </w:tc>
        <w:tc>
          <w:tcPr>
            <w:tcW w:w="5670" w:type="dxa"/>
          </w:tcPr>
          <w:p w14:paraId="0867A28D" w14:textId="77777777" w:rsidR="00DE3BEE" w:rsidRPr="00A133CF" w:rsidRDefault="00DE3BEE" w:rsidP="00DD4701">
            <w:pPr>
              <w:pStyle w:val="Tabletext"/>
            </w:pPr>
            <w:r w:rsidRPr="00A133CF">
              <w:t>Uncoordinated ad hoc deployments within the confines of private premises or property</w:t>
            </w:r>
          </w:p>
        </w:tc>
        <w:tc>
          <w:tcPr>
            <w:tcW w:w="2565" w:type="dxa"/>
          </w:tcPr>
          <w:p w14:paraId="0AD3A2B7" w14:textId="77777777" w:rsidR="00DE3BEE" w:rsidRPr="00A133CF" w:rsidRDefault="00DE3BEE" w:rsidP="00DD4701">
            <w:pPr>
              <w:pStyle w:val="Tabletext"/>
            </w:pPr>
            <w:r w:rsidRPr="00A133CF">
              <w:t>Class licence</w:t>
            </w:r>
          </w:p>
        </w:tc>
      </w:tr>
    </w:tbl>
    <w:p w14:paraId="088DAFEA" w14:textId="77777777" w:rsidR="00DE3BEE" w:rsidRPr="00A133CF" w:rsidRDefault="00DE3BEE" w:rsidP="00DE3BEE">
      <w:r w:rsidRPr="00A133CF">
        <w:t>The 24.25</w:t>
      </w:r>
      <w:r w:rsidR="00377E47">
        <w:t>—</w:t>
      </w:r>
      <w:r w:rsidRPr="00A133CF">
        <w:t>27.5 GHz band was divided by frequency and licensing approach as shown below, taking into account any sharing considerations that might apply:</w:t>
      </w:r>
    </w:p>
    <w:p w14:paraId="3EA25CBB" w14:textId="77777777" w:rsidR="00DE3BEE" w:rsidRPr="00A133CF" w:rsidRDefault="00DE3BEE" w:rsidP="00DE3BEE">
      <w:r w:rsidRPr="00A133CF">
        <w:t xml:space="preserve">Figure </w:t>
      </w:r>
      <w:r w:rsidR="009D475F">
        <w:fldChar w:fldCharType="begin"/>
      </w:r>
      <w:r w:rsidR="009D475F">
        <w:instrText xml:space="preserve"> SEQ Figure \* ARABIC \s 1 </w:instrText>
      </w:r>
      <w:r w:rsidR="009D475F">
        <w:fldChar w:fldCharType="separate"/>
      </w:r>
      <w:r w:rsidRPr="00A133CF">
        <w:t>2</w:t>
      </w:r>
      <w:r w:rsidR="009D475F">
        <w:fldChar w:fldCharType="end"/>
      </w:r>
      <w:r w:rsidRPr="00A133CF">
        <w:t>: Planned arrangement for wireless broadband services in the 26 GHz band</w:t>
      </w:r>
    </w:p>
    <w:p w14:paraId="75CC38AA" w14:textId="77777777" w:rsidR="00DE3BEE" w:rsidRPr="00A133CF" w:rsidRDefault="00DE3BEE" w:rsidP="00DE3BEE">
      <w:r w:rsidRPr="00A133CF">
        <w:rPr>
          <w:noProof/>
          <w:lang w:eastAsia="en-AU"/>
        </w:rPr>
        <w:drawing>
          <wp:inline distT="0" distB="0" distL="0" distR="0" wp14:anchorId="197EDECB" wp14:editId="3335D688">
            <wp:extent cx="4196080" cy="3367139"/>
            <wp:effectExtent l="0" t="0" r="0" b="5080"/>
            <wp:docPr id="4" name="Picture 4" descr="There is a graph which represents the ACMA's planned arrangements for the 26 GHz band (24.25 - 27.5 GHz). The following frequency ranges will be licensed for different services in different parts of Australia.&#10;&#10;24.25 - 24.7 GHz - Class-licensing for indoor use (Australia-wide)&#10;&#10;24.7 - 25.1 GHz - Class-licensing for indoor and outdoor use (Australia-wide).&#10;&#10;24.7 - 25.1 GHz - Apparatus licensing (Australia-wide).&#10;&#10;25.1 - 27.0 GHz - Spectrum licensing in defined areas. Includes additional conditions to protect SRS earth stations.&#10;&#10;25.1 - 27.0 GHz - Apparatus licensing (Australia-wide, except defined areas). Includes additional conditions to protect SRS earth stations.&#10;&#10;27.0 - 27.5 GHz - Spectrum licensing with additional FSS coexistence conditions within certain areas.&#10;&#10;27.0 - 27.5 GHz - Apparatus licensing with additional conditions to protect FSS uplinks (Australia-wide, except defined areas). New FSS earth stations will also be permitted, on a first-in-time coordinated basis with apparatus licensed wireless broadban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37182" cy="3400122"/>
                    </a:xfrm>
                    <a:prstGeom prst="rect">
                      <a:avLst/>
                    </a:prstGeom>
                  </pic:spPr>
                </pic:pic>
              </a:graphicData>
            </a:graphic>
          </wp:inline>
        </w:drawing>
      </w:r>
    </w:p>
    <w:p w14:paraId="36A6BD95" w14:textId="77777777" w:rsidR="00D848F2" w:rsidRDefault="00DE3BEE" w:rsidP="00DE3BEE">
      <w:r w:rsidRPr="00A133CF">
        <w:t xml:space="preserve">It can be seen that both spectrum and apparatus licences will be available at 27.0-27.5 </w:t>
      </w:r>
      <w:proofErr w:type="spellStart"/>
      <w:r w:rsidRPr="00A133CF">
        <w:t>MHz.</w:t>
      </w:r>
      <w:proofErr w:type="spellEnd"/>
      <w:r w:rsidRPr="00A133CF">
        <w:t xml:space="preserve"> Spectrum licences are intended for more dense geographic areas where there will be greater demand for wireless broadband so there is only an overlap with NBN gateway footprint in Perth, Hobart and to a much lesser extent Canberra. It is proposed that these licences will be for a duration of 15 years. In the case of the other NBN gateway footprints they will be covered by apparatus licences and subject to 1-5 year licence terms</w:t>
      </w:r>
      <w:r w:rsidR="00D848F2">
        <w:t>.</w:t>
      </w:r>
    </w:p>
    <w:p w14:paraId="35C3BF4B" w14:textId="77777777" w:rsidR="00DE3BEE" w:rsidRPr="00A133CF" w:rsidRDefault="00DE3BEE" w:rsidP="00DE3BEE">
      <w:r w:rsidRPr="00A133CF">
        <w:lastRenderedPageBreak/>
        <w:t>In the case of the apparatus licences as they are valid for a shorter timescale and deployments can be, if necessary, limited to avoid the risk of interference into NBN’s network they are considered to be less of an issue to NBN. The main concern is the spectrum licences. However, it is important to recognise that some of the potential applications raised by NBN, such as mining or industrial use in a localised area, may not be served through spectrum licences but by apparatus or even class licences available below 27.0 GHz.</w:t>
      </w:r>
    </w:p>
    <w:p w14:paraId="318E62A2" w14:textId="77777777" w:rsidR="00DE3BEE" w:rsidRPr="0008413B" w:rsidRDefault="00CA3193" w:rsidP="00CA3193">
      <w:pPr>
        <w:pStyle w:val="Heading3"/>
        <w:rPr>
          <w:color w:val="7030A0"/>
        </w:rPr>
      </w:pPr>
      <w:bookmarkStart w:id="70" w:name="_Toc19230540"/>
      <w:bookmarkStart w:id="71" w:name="_Toc21429732"/>
      <w:r w:rsidRPr="0008413B">
        <w:rPr>
          <w:color w:val="7030A0"/>
        </w:rPr>
        <w:t>3.2</w:t>
      </w:r>
      <w:r w:rsidRPr="0008413B">
        <w:rPr>
          <w:color w:val="7030A0"/>
        </w:rPr>
        <w:tab/>
      </w:r>
      <w:r w:rsidR="00DE3BEE" w:rsidRPr="0008413B">
        <w:rPr>
          <w:color w:val="7030A0"/>
        </w:rPr>
        <w:t>Licence duration</w:t>
      </w:r>
      <w:bookmarkEnd w:id="70"/>
      <w:bookmarkEnd w:id="71"/>
    </w:p>
    <w:p w14:paraId="3E6AB825" w14:textId="77777777" w:rsidR="00D848F2" w:rsidRDefault="00DE3BEE" w:rsidP="00DE3BEE">
      <w:r w:rsidRPr="00A133CF">
        <w:t>NBN are concerned that future satellites will operate with a G/T at aro</w:t>
      </w:r>
      <w:r w:rsidR="00C026B7">
        <w:t>und 30 dB/K, not the current 26 </w:t>
      </w:r>
      <w:r w:rsidRPr="00A133CF">
        <w:t>dB/K and the existing satellite fleet will need replacement by 2032. This should not be a problem for the apparatus licences that are for a 5 year duration and could, if necessary, be renewed with different licence conditions to protect satellite uplinks. The 5 year duration of these apparatus licences should also provide the opportunity to develop a better understanding of likely wireless broadband applications and deployments</w:t>
      </w:r>
      <w:r w:rsidR="00D848F2">
        <w:t>.</w:t>
      </w:r>
    </w:p>
    <w:p w14:paraId="1F272E5F" w14:textId="77777777" w:rsidR="00DE3BEE" w:rsidRPr="00A133CF" w:rsidRDefault="00DE3BEE" w:rsidP="00DE3BEE">
      <w:r w:rsidRPr="00A133CF">
        <w:t>However, the licence duration might be an issue for the spectrum licences as the 15 year duration proposed will be later than any satellite replacement. Depending on the licence conditions adopted for the spectrum licences it may not be appropriate or feasible to make them more stringent. Of course, if NBN decide to use alternative frequencies for the replacement satellites this would not be an issue, but Plum has understood that this is not likely to be the case. Another option might be to reduce the duration of the spectrum licences to align them with the NBN satellite fleet replacement e.g. 12 years. This would be a very short licence duration considering the investment required by the wireless broadband operators. Industry has been lobbying for longer duration licences and, for example, in Europe the recent European Electronic Communications Code</w:t>
      </w:r>
      <w:r w:rsidRPr="00C026B7">
        <w:rPr>
          <w:vertAlign w:val="superscript"/>
        </w:rPr>
        <w:footnoteReference w:id="11"/>
      </w:r>
      <w:r w:rsidRPr="00A133CF">
        <w:t xml:space="preserve"> in Article 49 (2) requires individual rights of use for these radio frequencies to be valid for a duration of at least 15 years, and where the licence duration is not valid for at least 20 years the right of use must include a right of extension so as to ensure regulatory predictability for a period of at least 20 years.</w:t>
      </w:r>
    </w:p>
    <w:p w14:paraId="3D2ABE90" w14:textId="77777777" w:rsidR="00DE3BEE" w:rsidRPr="0008413B" w:rsidRDefault="00CA3193" w:rsidP="00CA3193">
      <w:pPr>
        <w:pStyle w:val="Heading3"/>
        <w:rPr>
          <w:color w:val="7030A0"/>
        </w:rPr>
      </w:pPr>
      <w:bookmarkStart w:id="72" w:name="_Toc19230541"/>
      <w:bookmarkStart w:id="73" w:name="_Toc21429733"/>
      <w:r w:rsidRPr="0008413B">
        <w:rPr>
          <w:color w:val="7030A0"/>
        </w:rPr>
        <w:t>3.3</w:t>
      </w:r>
      <w:r w:rsidRPr="0008413B">
        <w:rPr>
          <w:color w:val="7030A0"/>
        </w:rPr>
        <w:tab/>
      </w:r>
      <w:r w:rsidR="00DE3BEE" w:rsidRPr="0008413B">
        <w:rPr>
          <w:color w:val="7030A0"/>
        </w:rPr>
        <w:t>Licence conditions</w:t>
      </w:r>
      <w:bookmarkEnd w:id="72"/>
      <w:bookmarkEnd w:id="73"/>
    </w:p>
    <w:p w14:paraId="2BDD822A" w14:textId="77777777" w:rsidR="00D848F2" w:rsidRDefault="00DE3BEE" w:rsidP="00DE3BEE">
      <w:r w:rsidRPr="00A133CF">
        <w:t xml:space="preserve">It is important that any licence conditions that are included in the apparatus and spectrum licences are realisable and measurable to ensure efficient spectrum use, while at the same time minimising the risk of interference. Generally, licence conditions are intended to be the least restrictive. In the case of apparatus licences it is generally easier to set case-by-case conditions relevant to each individual deployment. In the case of spectrum licences, conditions typically apply to all use of the spectrum and can include requirements such as maximum transmitter power, block edge masks to protect adjacent channel services, power flux density at boundaries where coordination is to be undertake for </w:t>
      </w:r>
      <w:proofErr w:type="spellStart"/>
      <w:r w:rsidRPr="00A133CF">
        <w:t>cochannel</w:t>
      </w:r>
      <w:proofErr w:type="spellEnd"/>
      <w:r w:rsidRPr="00A133CF">
        <w:t xml:space="preserve"> and adjacent channel deployments and limitations on antenna pointing for fixed deployments</w:t>
      </w:r>
      <w:r w:rsidR="00D848F2">
        <w:t>.</w:t>
      </w:r>
    </w:p>
    <w:p w14:paraId="6BD755A7" w14:textId="77777777" w:rsidR="00DE3BEE" w:rsidRPr="00A133CF" w:rsidRDefault="00DE3BEE" w:rsidP="00CA3193">
      <w:pPr>
        <w:keepNext/>
        <w:keepLines/>
      </w:pPr>
      <w:r w:rsidRPr="00A133CF">
        <w:lastRenderedPageBreak/>
        <w:t>The ACMA’s preliminary view, provided in their document “</w:t>
      </w:r>
      <w:r w:rsidRPr="00CA3193">
        <w:rPr>
          <w:i/>
        </w:rPr>
        <w:t>Future use of the 26 GHz band. Planning decisions and preliminary views. April 2019” is that “the following additional licence conditions should apply to spectrum and apparatus licensed services in the range 27–27.5 GHz operating within NBN FSS gateway footprint areas (</w:t>
      </w:r>
      <w:r w:rsidRPr="00CA3193">
        <w:rPr>
          <w:i/>
        </w:rPr>
        <w:noBreakHyphen/>
        <w:t>3 dB contour) specified in Annex F</w:t>
      </w:r>
      <w:r w:rsidRPr="00A133CF">
        <w:t>:</w:t>
      </w:r>
    </w:p>
    <w:p w14:paraId="3EFDE40D" w14:textId="77777777" w:rsidR="00DE3BEE" w:rsidRPr="0008413B" w:rsidRDefault="00DE3BEE" w:rsidP="00CA3193">
      <w:pPr>
        <w:pStyle w:val="Listparagraphbullets"/>
        <w:keepNext/>
      </w:pPr>
      <w:r w:rsidRPr="0008413B">
        <w:rPr>
          <w:i/>
        </w:rPr>
        <w:t>outdoor base stations must have mechanical down tilt equal to or greater than 0</w:t>
      </w:r>
    </w:p>
    <w:p w14:paraId="2D228E48" w14:textId="77777777" w:rsidR="00DE3BEE" w:rsidRPr="0008413B" w:rsidRDefault="00DE3BEE" w:rsidP="00CA3193">
      <w:pPr>
        <w:pStyle w:val="Listparagraphbullets"/>
        <w:rPr>
          <w:i/>
        </w:rPr>
      </w:pPr>
      <w:r w:rsidRPr="0008413B">
        <w:rPr>
          <w:i/>
        </w:rPr>
        <w:t xml:space="preserve">outdoor base stations must not direct antenna beams (via electrical steering) to elevation angles greater than 5° above the horizon for more than 5% of time </w:t>
      </w:r>
    </w:p>
    <w:p w14:paraId="21B9258B" w14:textId="77777777" w:rsidR="00DE3BEE" w:rsidRPr="0008413B" w:rsidRDefault="00DE3BEE" w:rsidP="00CA3193">
      <w:pPr>
        <w:pStyle w:val="Listparagraphbullets"/>
        <w:rPr>
          <w:i/>
        </w:rPr>
      </w:pPr>
      <w:r w:rsidRPr="0008413B">
        <w:rPr>
          <w:i/>
        </w:rPr>
        <w:t>outdoor fixed UEs must not direct their antenna beam (via electrical steering) to within 1.5° of the geostationary orbit (GSO) arc</w:t>
      </w:r>
    </w:p>
    <w:p w14:paraId="56E2009D" w14:textId="77777777" w:rsidR="00DE3BEE" w:rsidRPr="0008413B" w:rsidRDefault="00DE3BEE" w:rsidP="00CA3193">
      <w:pPr>
        <w:pStyle w:val="Listparagraphbullets"/>
      </w:pPr>
      <w:proofErr w:type="gramStart"/>
      <w:r w:rsidRPr="0008413B">
        <w:rPr>
          <w:i/>
        </w:rPr>
        <w:t>reduced</w:t>
      </w:r>
      <w:proofErr w:type="gramEnd"/>
      <w:r w:rsidRPr="0008413B">
        <w:rPr>
          <w:i/>
        </w:rPr>
        <w:t xml:space="preserve"> base station TRP limit of 25 </w:t>
      </w:r>
      <w:proofErr w:type="spellStart"/>
      <w:r w:rsidRPr="0008413B">
        <w:rPr>
          <w:i/>
        </w:rPr>
        <w:t>dBm</w:t>
      </w:r>
      <w:proofErr w:type="spellEnd"/>
      <w:r w:rsidRPr="0008413B">
        <w:rPr>
          <w:i/>
        </w:rPr>
        <w:t xml:space="preserve">/200 </w:t>
      </w:r>
      <w:proofErr w:type="spellStart"/>
      <w:r w:rsidRPr="0008413B">
        <w:rPr>
          <w:i/>
        </w:rPr>
        <w:t>MHz</w:t>
      </w:r>
      <w:r w:rsidRPr="0008413B">
        <w:t>.</w:t>
      </w:r>
      <w:proofErr w:type="spellEnd"/>
      <w:r w:rsidRPr="0008413B">
        <w:t>”</w:t>
      </w:r>
    </w:p>
    <w:p w14:paraId="373E6CF0" w14:textId="77777777" w:rsidR="00DE3BEE" w:rsidRPr="00A133CF" w:rsidRDefault="00DE3BEE" w:rsidP="00DE3BEE">
      <w:r w:rsidRPr="00A133CF">
        <w:t>The ACMA notes that the “additional conditions act as a safeguard to ensure that NBN gateway uplinks will be protected from the operation of wireless broadband deployments in that frequency segment. The effect of the conditions is to ensure that wireless broadband networks in these areas are designed and optimised to serve user equipment below the base station. It should be noted that power limitations are usually included in all spectrum licence technical frameworks.”</w:t>
      </w:r>
    </w:p>
    <w:p w14:paraId="70E60E39" w14:textId="77777777" w:rsidR="00DE3BEE" w:rsidRPr="00A133CF" w:rsidRDefault="00DE3BEE" w:rsidP="00CA3193">
      <w:pPr>
        <w:keepNext/>
      </w:pPr>
      <w:r w:rsidRPr="00A133CF">
        <w:t>Considering each condition in turn:</w:t>
      </w:r>
    </w:p>
    <w:p w14:paraId="44BC9525" w14:textId="77777777" w:rsidR="00D848F2" w:rsidRDefault="00DE3BEE" w:rsidP="00CA3193">
      <w:pPr>
        <w:pStyle w:val="Listparagraphbullets"/>
      </w:pPr>
      <w:r w:rsidRPr="00A133CF">
        <w:t>The requirement for a mechanical down tilt should have little or no impact on wireless broadband de</w:t>
      </w:r>
      <w:bookmarkStart w:id="74" w:name="_GoBack"/>
      <w:bookmarkEnd w:id="74"/>
      <w:r w:rsidRPr="00A133CF">
        <w:t>ployments as most high density applications envisaged would, in any case, use a down tilt of around 10 degree. It is also anticipated that it may be a requirement from the World Radio Conference to have a mechanical down tilt of around 10 degrees</w:t>
      </w:r>
      <w:r w:rsidR="00D848F2">
        <w:t>.</w:t>
      </w:r>
    </w:p>
    <w:p w14:paraId="11B290C6" w14:textId="77777777" w:rsidR="00DE3BEE" w:rsidRPr="00A133CF" w:rsidRDefault="00DE3BEE" w:rsidP="00CA3193">
      <w:pPr>
        <w:pStyle w:val="Listparagraphbullets"/>
      </w:pPr>
      <w:r w:rsidRPr="00A133CF">
        <w:t xml:space="preserve">The requirement on base stations not to direct antenna beams above a set elevation angle for a percentage of time may be difficult to apply. However, the expectation is there would be very few incidents where the UE is above the horizon and such a requirement is unlikely to impact on the mobile </w:t>
      </w:r>
      <w:proofErr w:type="gramStart"/>
      <w:r w:rsidRPr="00A133CF">
        <w:t>operators</w:t>
      </w:r>
      <w:proofErr w:type="gramEnd"/>
      <w:r w:rsidRPr="00A133CF">
        <w:t xml:space="preserve"> network deployment.</w:t>
      </w:r>
    </w:p>
    <w:p w14:paraId="0A68B7BA" w14:textId="77777777" w:rsidR="00DE3BEE" w:rsidRPr="00A133CF" w:rsidRDefault="00DE3BEE" w:rsidP="00CA3193">
      <w:pPr>
        <w:pStyle w:val="Listparagraphbullets"/>
      </w:pPr>
      <w:r w:rsidRPr="00A133CF">
        <w:t>The requirement for fixed UE’s not to direct the antenna beam to within 1.5° of the geostationary orbit (GSO) arc is unlikely to impact on network deployment. It is questionable whether fixed UEs will have an antenna system with electrical steering. For example, for fixed wireless access it is most likely the UE will have a fixed antenna beam.</w:t>
      </w:r>
    </w:p>
    <w:p w14:paraId="6E5D0C18" w14:textId="77777777" w:rsidR="00D848F2" w:rsidRDefault="00DE3BEE" w:rsidP="00CA3193">
      <w:pPr>
        <w:pStyle w:val="Listparagraphbullets"/>
      </w:pPr>
      <w:r w:rsidRPr="00A133CF">
        <w:t>The limitation on base station transmitted radiated power may have an impact on network deployments and may even limit use in those geographic areas where they are imposed. There are currently two options for transmitted radiated power proposed in the CPM text</w:t>
      </w:r>
      <w:r w:rsidRPr="00C026B7">
        <w:rPr>
          <w:vertAlign w:val="superscript"/>
        </w:rPr>
        <w:footnoteReference w:id="12"/>
      </w:r>
      <w:r w:rsidRPr="00A133CF">
        <w:t xml:space="preserve"> one proposal is for the option of 37, 40, 46 </w:t>
      </w:r>
      <w:proofErr w:type="spellStart"/>
      <w:r w:rsidRPr="00A133CF">
        <w:t>dBm</w:t>
      </w:r>
      <w:proofErr w:type="spellEnd"/>
      <w:r w:rsidRPr="00A133CF">
        <w:t xml:space="preserve"> and the other 25, 28, 31, 37 </w:t>
      </w:r>
      <w:proofErr w:type="spellStart"/>
      <w:r w:rsidRPr="00A133CF">
        <w:t>dBm</w:t>
      </w:r>
      <w:proofErr w:type="spellEnd"/>
      <w:r w:rsidRPr="00A133CF">
        <w:t xml:space="preserve"> in a 200 MHz bandwidth. The GSA, GSMA and operators are not expecting to be able to deliver the full benefits of 5G (data rates, number of users, coverage) at hot spots with the lower transmitted radiated power levels and have therefore supported the higher levels. It is likely that the actual value will be agreed at the WRC</w:t>
      </w:r>
      <w:r w:rsidR="00D848F2">
        <w:t>.</w:t>
      </w:r>
    </w:p>
    <w:p w14:paraId="02A5F766" w14:textId="77777777" w:rsidR="00DE3BEE" w:rsidRPr="00A133CF" w:rsidRDefault="00DE3BEE" w:rsidP="00DE3BEE">
      <w:r w:rsidRPr="00A133CF">
        <w:t>There would be the potential to relax all the proposed licence conditions later, but it would be very difficult to make them more stringent once networks are being rolled out.</w:t>
      </w:r>
      <w:r w:rsidR="00232CCD">
        <w:t xml:space="preserve"> </w:t>
      </w:r>
      <w:r w:rsidRPr="00A133CF">
        <w:t>Plum is not aware of any examples where changes have been made retrospectively to technical licence conditions which would have an impact on the network deployment and require re-engineering.</w:t>
      </w:r>
    </w:p>
    <w:p w14:paraId="3410AF24" w14:textId="77777777" w:rsidR="00DE3BEE" w:rsidRPr="00D21EAB" w:rsidRDefault="00CA3193" w:rsidP="00CA3193">
      <w:pPr>
        <w:pStyle w:val="Heading2"/>
        <w:rPr>
          <w:color w:val="7030A0"/>
        </w:rPr>
      </w:pPr>
      <w:bookmarkStart w:id="75" w:name="_Toc19230542"/>
      <w:bookmarkStart w:id="76" w:name="_Toc21429734"/>
      <w:r w:rsidRPr="00D21EAB">
        <w:rPr>
          <w:color w:val="7030A0"/>
        </w:rPr>
        <w:lastRenderedPageBreak/>
        <w:t>4.</w:t>
      </w:r>
      <w:r w:rsidRPr="00D21EAB">
        <w:rPr>
          <w:color w:val="7030A0"/>
        </w:rPr>
        <w:tab/>
      </w:r>
      <w:r w:rsidR="00DE3BEE" w:rsidRPr="00D21EAB">
        <w:rPr>
          <w:color w:val="7030A0"/>
        </w:rPr>
        <w:t>Conclusions and recommendations</w:t>
      </w:r>
      <w:bookmarkEnd w:id="75"/>
      <w:bookmarkEnd w:id="76"/>
    </w:p>
    <w:p w14:paraId="7F1BBC90" w14:textId="77777777" w:rsidR="00DE3BEE" w:rsidRPr="00A133CF" w:rsidRDefault="00DE3BEE" w:rsidP="00DE3BEE">
      <w:r w:rsidRPr="00A133CF">
        <w:t>Plum have reviewed the assumptions made by the ACMA in modelling interference to the FSS, both within the TG5/1 process and following consultation with other national stakeholders.</w:t>
      </w:r>
    </w:p>
    <w:p w14:paraId="661DD1E7" w14:textId="77777777" w:rsidR="00DE3BEE" w:rsidRPr="00A133CF" w:rsidRDefault="00DE3BEE" w:rsidP="00DE3BEE">
      <w:r w:rsidRPr="00A133CF">
        <w:t>We consider the modelling to be essentially robust; although the modelling has a large stochastic element we consider that interference is likely to be due to a sufficiently large number of sources as to be considered stationary; if this is not the case, the interferer population is likely to be too small to cause interference issues, even assuming a few worst-case contributions.</w:t>
      </w:r>
    </w:p>
    <w:p w14:paraId="210A72D9" w14:textId="77777777" w:rsidR="00D848F2" w:rsidRDefault="00DE3BEE" w:rsidP="00DE3BEE">
      <w:r w:rsidRPr="00A133CF">
        <w:t>The mitigating measures proposed in the ACMA document “Future use of the 26 GHz band. Planning decisions and preliminary views. April 2019” seem to strike an appropriate balance between safeguarding the critical NBN infrastructure and imposing conditions on new spectrum entrants that are not too onerous</w:t>
      </w:r>
      <w:r w:rsidR="00D848F2">
        <w:t>.</w:t>
      </w:r>
    </w:p>
    <w:p w14:paraId="28E49FD6" w14:textId="77777777" w:rsidR="00DE3BEE" w:rsidRPr="00A133CF" w:rsidRDefault="00DE3BEE" w:rsidP="00DE3BEE">
      <w:r w:rsidRPr="00A133CF">
        <w:t>Once networks are rolled out and it is possible to determine more accurately likely deployments it may be possible to retrospectivel</w:t>
      </w:r>
      <w:r>
        <w:t>y relax the licence conditions.</w:t>
      </w:r>
    </w:p>
    <w:p w14:paraId="65D4A6A3" w14:textId="77777777" w:rsidR="00DE3BEE" w:rsidRDefault="00DE3BEE">
      <w:pPr>
        <w:spacing w:after="160" w:line="259" w:lineRule="auto"/>
      </w:pPr>
      <w:r>
        <w:br w:type="page"/>
      </w:r>
    </w:p>
    <w:p w14:paraId="2A09A983" w14:textId="77777777" w:rsidR="00DE3BEE" w:rsidRPr="00D21EAB" w:rsidRDefault="00CA3193" w:rsidP="00CA3193">
      <w:pPr>
        <w:pStyle w:val="Heading2"/>
        <w:rPr>
          <w:color w:val="7030A0"/>
        </w:rPr>
      </w:pPr>
      <w:bookmarkStart w:id="77" w:name="_Toc15424129"/>
      <w:bookmarkStart w:id="78" w:name="_Toc19230543"/>
      <w:bookmarkStart w:id="79" w:name="_Toc21429735"/>
      <w:r w:rsidRPr="00D21EAB">
        <w:rPr>
          <w:color w:val="7030A0"/>
        </w:rPr>
        <w:lastRenderedPageBreak/>
        <w:t>Appendix A—</w:t>
      </w:r>
      <w:proofErr w:type="gramStart"/>
      <w:r w:rsidR="00DE3BEE" w:rsidRPr="00D21EAB">
        <w:rPr>
          <w:color w:val="7030A0"/>
        </w:rPr>
        <w:t>The</w:t>
      </w:r>
      <w:proofErr w:type="gramEnd"/>
      <w:r w:rsidR="00DE3BEE" w:rsidRPr="00D21EAB">
        <w:rPr>
          <w:color w:val="7030A0"/>
        </w:rPr>
        <w:t xml:space="preserve"> ‘Sky Muster’ satellite system</w:t>
      </w:r>
      <w:bookmarkEnd w:id="77"/>
      <w:bookmarkEnd w:id="78"/>
      <w:bookmarkEnd w:id="79"/>
    </w:p>
    <w:p w14:paraId="4FB8C874" w14:textId="77777777" w:rsidR="00D848F2" w:rsidRDefault="00DE3BEE" w:rsidP="00DE3BEE">
      <w:r w:rsidRPr="00A133CF">
        <w:t>The Sky Muster I (NBN-Co 1A) and Sky Muster II (NBN-Co 1B) satellites are owned by NBN Co Limited.</w:t>
      </w:r>
      <w:r w:rsidR="00232CCD">
        <w:t xml:space="preserve"> </w:t>
      </w:r>
      <w:r w:rsidRPr="00A133CF">
        <w:t>They are located at 140o E and 145o E, respectively.</w:t>
      </w:r>
      <w:r w:rsidR="00232CCD">
        <w:t xml:space="preserve"> </w:t>
      </w:r>
      <w:r w:rsidRPr="00A133CF">
        <w:t>They were manufactured by Space Systems/Loral, based on the SSL 1300 platform</w:t>
      </w:r>
      <w:r w:rsidRPr="00CA3193">
        <w:rPr>
          <w:vertAlign w:val="superscript"/>
        </w:rPr>
        <w:footnoteReference w:id="13"/>
      </w:r>
      <w:r w:rsidRPr="00A133CF">
        <w:t xml:space="preserve"> and launched in October 2015 and 2016. They are designed for a minimum 15 years life-span to provide broadband services for rural areas in Australia.</w:t>
      </w:r>
      <w:r w:rsidR="00232CCD">
        <w:t xml:space="preserve"> </w:t>
      </w:r>
      <w:r w:rsidRPr="00A133CF">
        <w:t>They provide download speeds of up to 25 Mbit/s, and upload speeds of 5 Mbit/s</w:t>
      </w:r>
      <w:r w:rsidR="00D848F2">
        <w:t>.</w:t>
      </w:r>
    </w:p>
    <w:p w14:paraId="7EEED703" w14:textId="77777777" w:rsidR="00DE3BEE" w:rsidRPr="00A133CF" w:rsidRDefault="00DE3BEE" w:rsidP="00DE3BEE">
      <w:r w:rsidRPr="00A133CF">
        <w:t xml:space="preserve">Each Sky Muster uses 101 </w:t>
      </w:r>
      <w:proofErr w:type="spellStart"/>
      <w:r w:rsidRPr="00A133CF">
        <w:t>Ka</w:t>
      </w:r>
      <w:proofErr w:type="spellEnd"/>
      <w:r w:rsidRPr="00A133CF">
        <w:t>-band spot beams</w:t>
      </w:r>
      <w:r w:rsidRPr="00CA3193">
        <w:rPr>
          <w:vertAlign w:val="superscript"/>
        </w:rPr>
        <w:footnoteReference w:id="14"/>
      </w:r>
      <w:r w:rsidRPr="00A133CF">
        <w:t>.</w:t>
      </w:r>
      <w:r w:rsidR="00232CCD">
        <w:t xml:space="preserve"> </w:t>
      </w:r>
      <w:r w:rsidRPr="00A133CF">
        <w:t>Beams can overlap, and more than one spot beam can cover certain areas</w:t>
      </w:r>
      <w:r w:rsidRPr="00CA3193">
        <w:rPr>
          <w:vertAlign w:val="superscript"/>
        </w:rPr>
        <w:footnoteReference w:id="15"/>
      </w:r>
      <w:r w:rsidR="00CA3193">
        <w:t>.</w:t>
      </w:r>
    </w:p>
    <w:p w14:paraId="2BBB9C3B" w14:textId="77777777" w:rsidR="00DE3BEE" w:rsidRPr="00A133CF" w:rsidRDefault="00DE3BEE" w:rsidP="00CA3193">
      <w:pPr>
        <w:pStyle w:val="Tablefigureheading"/>
      </w:pPr>
      <w:bookmarkStart w:id="80" w:name="_Toc21429768"/>
      <w:r w:rsidRPr="00A133CF">
        <w:t xml:space="preserve">Figure </w:t>
      </w:r>
      <w:r w:rsidR="009D475F">
        <w:fldChar w:fldCharType="begin"/>
      </w:r>
      <w:r w:rsidR="009D475F">
        <w:instrText xml:space="preserve"> STYLEREF 6 \s </w:instrText>
      </w:r>
      <w:r w:rsidR="009D475F">
        <w:fldChar w:fldCharType="separate"/>
      </w:r>
      <w:r w:rsidRPr="00A133CF">
        <w:t>A</w:t>
      </w:r>
      <w:r w:rsidR="009D475F">
        <w:fldChar w:fldCharType="end"/>
      </w:r>
      <w:r w:rsidRPr="00A133CF">
        <w:t>.</w:t>
      </w:r>
      <w:r w:rsidR="009D475F">
        <w:fldChar w:fldCharType="begin"/>
      </w:r>
      <w:r w:rsidR="009D475F">
        <w:instrText xml:space="preserve"> SEQ Figure \* ARABIC \s 6 </w:instrText>
      </w:r>
      <w:r w:rsidR="009D475F">
        <w:fldChar w:fldCharType="separate"/>
      </w:r>
      <w:r w:rsidRPr="00A133CF">
        <w:t>1</w:t>
      </w:r>
      <w:r w:rsidR="009D475F">
        <w:fldChar w:fldCharType="end"/>
      </w:r>
      <w:r w:rsidRPr="00A133CF">
        <w:t xml:space="preserve">: Sky muster downlink footprints </w:t>
      </w:r>
      <w:r w:rsidRPr="00A133CF">
        <w:br/>
        <w:t xml:space="preserve">(Source: </w:t>
      </w:r>
      <w:hyperlink r:id="rId18" w:history="1">
        <w:r w:rsidRPr="00A133CF">
          <w:rPr>
            <w:rStyle w:val="Hyperlink"/>
          </w:rPr>
          <w:t>https://www.nbnco.com.au/blog/the-nbn-project/five-questions-with-nbns-satellite-program-director</w:t>
        </w:r>
      </w:hyperlink>
      <w:r w:rsidRPr="00A133CF">
        <w:t>)</w:t>
      </w:r>
      <w:bookmarkEnd w:id="80"/>
    </w:p>
    <w:p w14:paraId="57654CF0" w14:textId="77777777" w:rsidR="00DE3BEE" w:rsidRPr="00A133CF" w:rsidRDefault="00DE3BEE" w:rsidP="00DE3BEE">
      <w:r w:rsidRPr="00A133CF">
        <w:rPr>
          <w:noProof/>
          <w:lang w:eastAsia="en-AU"/>
        </w:rPr>
        <w:drawing>
          <wp:inline distT="0" distB="0" distL="0" distR="0" wp14:anchorId="3373EF81" wp14:editId="01B80860">
            <wp:extent cx="6120130" cy="4312920"/>
            <wp:effectExtent l="0" t="0" r="0" b="0"/>
            <wp:docPr id="1" name="Picture 1" descr="There is a map of Australia depicting NBN Sky muster downlink footprints.&#10;&#10;NBN Satellite coverage on the map is indicated by two shapes:&#10;A red hexagonal shape represents a narrow spot beam;&#10;A blue hexagonal shape represents a wide spot beam&#10;&#10;The map of Australia is covered with large blue hexagonal shapes in the south, centre, West and North. Small red hexagonal shapes cover: all State capitals cities; the south-west coast of WA; Tasmania; and the East coast of Australia.&#10;&#10;The following islands, outside Australia, are also covered by red shapes: Cocos Islands; Christmas Island; Norfolk Island; Lord Howe Island; and Macquarie Island.&#10;&#10;Red hexagonal" title="Sky Muster downlink 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jpg"/>
                    <pic:cNvPicPr/>
                  </pic:nvPicPr>
                  <pic:blipFill>
                    <a:blip r:embed="rId19">
                      <a:extLst>
                        <a:ext uri="{28A0092B-C50C-407E-A947-70E740481C1C}">
                          <a14:useLocalDpi xmlns:a14="http://schemas.microsoft.com/office/drawing/2010/main" val="0"/>
                        </a:ext>
                      </a:extLst>
                    </a:blip>
                    <a:stretch>
                      <a:fillRect/>
                    </a:stretch>
                  </pic:blipFill>
                  <pic:spPr>
                    <a:xfrm>
                      <a:off x="0" y="0"/>
                      <a:ext cx="6120130" cy="4312920"/>
                    </a:xfrm>
                    <a:prstGeom prst="rect">
                      <a:avLst/>
                    </a:prstGeom>
                  </pic:spPr>
                </pic:pic>
              </a:graphicData>
            </a:graphic>
          </wp:inline>
        </w:drawing>
      </w:r>
    </w:p>
    <w:p w14:paraId="6445744B" w14:textId="77777777" w:rsidR="00DE3BEE" w:rsidRPr="00A133CF" w:rsidRDefault="00DE3BEE" w:rsidP="00DE3BEE">
      <w:r w:rsidRPr="00A133CF">
        <w:t>Sky Muster Earth Station Gateways are connected by redundant fibre cable to Sydney.</w:t>
      </w:r>
      <w:r w:rsidR="00232CCD">
        <w:t xml:space="preserve"> </w:t>
      </w:r>
      <w:r w:rsidRPr="00A133CF">
        <w:t>All traffic from the Earth Station Gateways is aggregated by NBN at Eastern Creek in Sydney where the various Sky Muster providers interconnect.</w:t>
      </w:r>
      <w:r w:rsidR="00232CCD">
        <w:t xml:space="preserve"> </w:t>
      </w:r>
      <w:r w:rsidRPr="00A133CF">
        <w:t xml:space="preserve">There are 9 active and one standby gateways, geographically spread across Australia, with the standby in </w:t>
      </w:r>
      <w:proofErr w:type="spellStart"/>
      <w:r w:rsidRPr="00A133CF">
        <w:t>Wolumna</w:t>
      </w:r>
      <w:proofErr w:type="spellEnd"/>
      <w:r w:rsidRPr="00A133CF">
        <w:t>, NSW.</w:t>
      </w:r>
      <w:r w:rsidR="00232CCD">
        <w:t xml:space="preserve"> </w:t>
      </w:r>
      <w:r w:rsidRPr="00A133CF">
        <w:t>The standby is capable of assuming control for any of the other ground stations.</w:t>
      </w:r>
    </w:p>
    <w:p w14:paraId="578B4AAB" w14:textId="77777777" w:rsidR="00DE3BEE" w:rsidRDefault="00DE3BEE" w:rsidP="00CA3193">
      <w:pPr>
        <w:pStyle w:val="Tablefigureheading"/>
      </w:pPr>
      <w:bookmarkStart w:id="81" w:name="_Toc21429769"/>
      <w:r w:rsidRPr="00A133CF">
        <w:lastRenderedPageBreak/>
        <w:t xml:space="preserve">Figure </w:t>
      </w:r>
      <w:r w:rsidR="009D475F">
        <w:fldChar w:fldCharType="begin"/>
      </w:r>
      <w:r w:rsidR="009D475F">
        <w:instrText xml:space="preserve"> STYLEREF 6 \s </w:instrText>
      </w:r>
      <w:r w:rsidR="009D475F">
        <w:fldChar w:fldCharType="separate"/>
      </w:r>
      <w:r w:rsidRPr="00A133CF">
        <w:t>A</w:t>
      </w:r>
      <w:r w:rsidR="009D475F">
        <w:fldChar w:fldCharType="end"/>
      </w:r>
      <w:r w:rsidRPr="00A133CF">
        <w:t>.</w:t>
      </w:r>
      <w:r w:rsidR="009D475F">
        <w:fldChar w:fldCharType="begin"/>
      </w:r>
      <w:r w:rsidR="009D475F">
        <w:instrText xml:space="preserve"> SEQ Figure \* ARABIC \s 6 </w:instrText>
      </w:r>
      <w:r w:rsidR="009D475F">
        <w:fldChar w:fldCharType="separate"/>
      </w:r>
      <w:r w:rsidRPr="00A133CF">
        <w:t>2</w:t>
      </w:r>
      <w:r w:rsidR="009D475F">
        <w:fldChar w:fldCharType="end"/>
      </w:r>
      <w:r w:rsidRPr="00A133CF">
        <w:t xml:space="preserve">: Correspondence between downlink beams and gateway earth stations </w:t>
      </w:r>
      <w:r w:rsidRPr="00A133CF">
        <w:br/>
        <w:t xml:space="preserve">(Source: </w:t>
      </w:r>
      <w:hyperlink r:id="rId20" w:history="1">
        <w:r w:rsidRPr="00A133CF">
          <w:rPr>
            <w:rStyle w:val="Hyperlink"/>
          </w:rPr>
          <w:t>https://birrraus.com/2016/06/05/what-are-sky-muster-spot-beams/</w:t>
        </w:r>
      </w:hyperlink>
      <w:r w:rsidRPr="00A133CF">
        <w:t>)</w:t>
      </w:r>
      <w:bookmarkEnd w:id="81"/>
    </w:p>
    <w:p w14:paraId="15BC71C4" w14:textId="77777777" w:rsidR="005C5A1B" w:rsidRPr="00E03D84" w:rsidRDefault="005C5A1B" w:rsidP="005C5A1B">
      <w:pPr>
        <w:spacing w:after="120"/>
        <w:jc w:val="center"/>
        <w:rPr>
          <w:rFonts w:cstheme="minorHAnsi"/>
          <w:b/>
          <w:color w:val="272728"/>
          <w:szCs w:val="16"/>
        </w:rPr>
      </w:pPr>
      <w:r w:rsidRPr="00E03D84">
        <w:rPr>
          <w:rFonts w:cstheme="minorHAnsi"/>
          <w:b/>
          <w:color w:val="272728"/>
          <w:szCs w:val="16"/>
        </w:rPr>
        <w:t>The re</w:t>
      </w:r>
      <w:r w:rsidRPr="00E03D84">
        <w:rPr>
          <w:rFonts w:cstheme="minorHAnsi"/>
          <w:b/>
          <w:color w:val="000000"/>
          <w:szCs w:val="16"/>
        </w:rPr>
        <w:t>l</w:t>
      </w:r>
      <w:r w:rsidRPr="00E03D84">
        <w:rPr>
          <w:rFonts w:cstheme="minorHAnsi"/>
          <w:b/>
          <w:color w:val="272728"/>
          <w:szCs w:val="16"/>
        </w:rPr>
        <w:t xml:space="preserve">ationship between </w:t>
      </w:r>
      <w:proofErr w:type="spellStart"/>
      <w:r w:rsidRPr="00E03D84">
        <w:rPr>
          <w:rFonts w:cstheme="minorHAnsi"/>
          <w:b/>
          <w:color w:val="272728"/>
          <w:szCs w:val="16"/>
        </w:rPr>
        <w:t>SkyMuster</w:t>
      </w:r>
      <w:proofErr w:type="spellEnd"/>
      <w:r w:rsidRPr="00E03D84">
        <w:rPr>
          <w:rFonts w:cstheme="minorHAnsi"/>
          <w:b/>
          <w:color w:val="272728"/>
          <w:szCs w:val="16"/>
        </w:rPr>
        <w:t xml:space="preserve"> beams and Earth Station Gateways</w:t>
      </w:r>
    </w:p>
    <w:p w14:paraId="79653867" w14:textId="77777777" w:rsidR="005C5A1B" w:rsidRPr="005C5A1B" w:rsidRDefault="005C5A1B" w:rsidP="005C5A1B">
      <w:pPr>
        <w:spacing w:after="120"/>
      </w:pPr>
      <w:r w:rsidRPr="001362C0">
        <w:rPr>
          <w:rFonts w:cstheme="minorHAnsi"/>
          <w:color w:val="575757"/>
          <w:sz w:val="16"/>
          <w:szCs w:val="16"/>
        </w:rPr>
        <w:t>Once your SKY MUSTER beam is established, this chart identifies your Earth Station Gateway</w:t>
      </w:r>
    </w:p>
    <w:tbl>
      <w:tblPr>
        <w:tblStyle w:val="TableGrid"/>
        <w:tblW w:w="0" w:type="auto"/>
        <w:tblLook w:val="04A0" w:firstRow="1" w:lastRow="0" w:firstColumn="1" w:lastColumn="0" w:noHBand="0" w:noVBand="1"/>
        <w:tblDescription w:val="Figure A.2: Correspondence between downlink beams and gateway earth stations &#10;(Source: https://birrraus.com/2016/06/05/what-are-sky-muster-spot-beams/)&#10;&#10;Bourke NSW, Broken Hill NSW,  Carnarvon WA, Ceduna SA, Geeveston TAS"/>
      </w:tblPr>
      <w:tblGrid>
        <w:gridCol w:w="1803"/>
        <w:gridCol w:w="1803"/>
        <w:gridCol w:w="1803"/>
        <w:gridCol w:w="1803"/>
        <w:gridCol w:w="1804"/>
      </w:tblGrid>
      <w:tr w:rsidR="00727AEE" w:rsidRPr="001362C0" w14:paraId="532306FD" w14:textId="77777777" w:rsidTr="005C5A1B">
        <w:trPr>
          <w:cantSplit/>
          <w:tblHeader/>
        </w:trPr>
        <w:tc>
          <w:tcPr>
            <w:tcW w:w="1803" w:type="dxa"/>
            <w:shd w:val="clear" w:color="auto" w:fill="E4E4E4" w:themeFill="background2"/>
          </w:tcPr>
          <w:p w14:paraId="3B31BD35" w14:textId="77777777" w:rsidR="00727AEE" w:rsidRPr="00756C4A" w:rsidRDefault="00727AEE" w:rsidP="005C5A1B">
            <w:pPr>
              <w:pStyle w:val="Tablerowcolumnheadingcentred"/>
            </w:pPr>
            <w:r w:rsidRPr="00756C4A">
              <w:rPr>
                <w:color w:val="575757"/>
              </w:rPr>
              <w:t>Bou</w:t>
            </w:r>
            <w:r w:rsidRPr="00756C4A">
              <w:t>rke NSW</w:t>
            </w:r>
          </w:p>
        </w:tc>
        <w:tc>
          <w:tcPr>
            <w:tcW w:w="1803" w:type="dxa"/>
            <w:shd w:val="clear" w:color="auto" w:fill="E4E4E4" w:themeFill="background2"/>
          </w:tcPr>
          <w:p w14:paraId="7E346268" w14:textId="77777777" w:rsidR="00727AEE" w:rsidRPr="00756C4A" w:rsidRDefault="00727AEE" w:rsidP="005C5A1B">
            <w:pPr>
              <w:pStyle w:val="Tablerowcolumnheadingcentred"/>
            </w:pPr>
            <w:r w:rsidRPr="00756C4A">
              <w:rPr>
                <w:color w:val="575757"/>
              </w:rPr>
              <w:t>Broken Hill NSW</w:t>
            </w:r>
          </w:p>
        </w:tc>
        <w:tc>
          <w:tcPr>
            <w:tcW w:w="1803" w:type="dxa"/>
            <w:shd w:val="clear" w:color="auto" w:fill="E4E4E4" w:themeFill="background2"/>
          </w:tcPr>
          <w:p w14:paraId="3AB02CEA" w14:textId="77777777" w:rsidR="00727AEE" w:rsidRPr="00756C4A" w:rsidRDefault="00727AEE" w:rsidP="005C5A1B">
            <w:pPr>
              <w:pStyle w:val="Tablerowcolumnheadingcentred"/>
            </w:pPr>
            <w:r w:rsidRPr="00756C4A">
              <w:rPr>
                <w:color w:val="6B6B6B"/>
              </w:rPr>
              <w:t>Carnarvon WA</w:t>
            </w:r>
          </w:p>
        </w:tc>
        <w:tc>
          <w:tcPr>
            <w:tcW w:w="1803" w:type="dxa"/>
            <w:shd w:val="clear" w:color="auto" w:fill="E4E4E4" w:themeFill="background2"/>
          </w:tcPr>
          <w:p w14:paraId="13B7CDAD" w14:textId="77777777" w:rsidR="00727AEE" w:rsidRPr="00756C4A" w:rsidRDefault="00727AEE" w:rsidP="005C5A1B">
            <w:pPr>
              <w:pStyle w:val="Tablerowcolumnheadingcentred"/>
            </w:pPr>
            <w:r w:rsidRPr="00756C4A">
              <w:t>Ceduna SA</w:t>
            </w:r>
          </w:p>
        </w:tc>
        <w:tc>
          <w:tcPr>
            <w:tcW w:w="1804" w:type="dxa"/>
            <w:shd w:val="clear" w:color="auto" w:fill="E4E4E4" w:themeFill="background2"/>
          </w:tcPr>
          <w:p w14:paraId="0D5A0FF6" w14:textId="77777777" w:rsidR="00727AEE" w:rsidRPr="00756C4A" w:rsidRDefault="00727AEE" w:rsidP="005C5A1B">
            <w:pPr>
              <w:pStyle w:val="Tablerowcolumnheadingcentred"/>
            </w:pPr>
            <w:r w:rsidRPr="00756C4A">
              <w:t>Geeveston TAS</w:t>
            </w:r>
          </w:p>
        </w:tc>
      </w:tr>
      <w:tr w:rsidR="00727AEE" w:rsidRPr="001362C0" w14:paraId="4C6E6B42" w14:textId="77777777" w:rsidTr="005C5A1B">
        <w:trPr>
          <w:cantSplit/>
        </w:trPr>
        <w:tc>
          <w:tcPr>
            <w:tcW w:w="1803" w:type="dxa"/>
          </w:tcPr>
          <w:p w14:paraId="01D001B7" w14:textId="77777777" w:rsidR="00727AEE" w:rsidRPr="001362C0" w:rsidRDefault="00727AEE" w:rsidP="005C5A1B">
            <w:pPr>
              <w:pStyle w:val="Tabletext"/>
            </w:pPr>
            <w:r w:rsidRPr="001362C0">
              <w:t xml:space="preserve">Beam </w:t>
            </w:r>
            <w:r w:rsidRPr="00981BAF">
              <w:t>3</w:t>
            </w:r>
            <w:r w:rsidR="005C5A1B">
              <w:t>—</w:t>
            </w:r>
            <w:r w:rsidRPr="00981BAF">
              <w:t>Whitsu</w:t>
            </w:r>
            <w:r>
              <w:t xml:space="preserve">ndays, </w:t>
            </w:r>
            <w:r w:rsidRPr="00981BAF">
              <w:t>QLD</w:t>
            </w:r>
          </w:p>
        </w:tc>
        <w:tc>
          <w:tcPr>
            <w:tcW w:w="1803" w:type="dxa"/>
          </w:tcPr>
          <w:p w14:paraId="23DE68E1" w14:textId="77777777" w:rsidR="00727AEE" w:rsidRPr="001362C0" w:rsidRDefault="00727AEE" w:rsidP="005C5A1B">
            <w:pPr>
              <w:pStyle w:val="Tabletext"/>
            </w:pPr>
            <w:r w:rsidRPr="00981BAF">
              <w:t xml:space="preserve">Beam </w:t>
            </w:r>
            <w:r w:rsidRPr="001362C0">
              <w:t>4</w:t>
            </w:r>
            <w:r w:rsidR="00BD5767">
              <w:t>—</w:t>
            </w:r>
            <w:r w:rsidRPr="001362C0">
              <w:t xml:space="preserve">Maxwelton, </w:t>
            </w:r>
            <w:r w:rsidRPr="00981BAF">
              <w:t>QLD</w:t>
            </w:r>
          </w:p>
        </w:tc>
        <w:tc>
          <w:tcPr>
            <w:tcW w:w="1803" w:type="dxa"/>
          </w:tcPr>
          <w:p w14:paraId="266A3757" w14:textId="77777777" w:rsidR="00727AEE" w:rsidRPr="00981BAF" w:rsidRDefault="00727AEE" w:rsidP="005C5A1B">
            <w:pPr>
              <w:pStyle w:val="Tabletextcentred"/>
            </w:pPr>
            <w:r w:rsidRPr="00981BAF">
              <w:t>Beam 7</w:t>
            </w:r>
            <w:r w:rsidR="00BD5767">
              <w:t>—</w:t>
            </w:r>
            <w:r w:rsidRPr="00981BAF">
              <w:t xml:space="preserve">Mackay, </w:t>
            </w:r>
            <w:r>
              <w:t>QLD</w:t>
            </w:r>
          </w:p>
        </w:tc>
        <w:tc>
          <w:tcPr>
            <w:tcW w:w="1803" w:type="dxa"/>
          </w:tcPr>
          <w:p w14:paraId="53D9C68B" w14:textId="77777777" w:rsidR="00727AEE" w:rsidRPr="00981BAF" w:rsidRDefault="00727AEE" w:rsidP="005C5A1B">
            <w:pPr>
              <w:pStyle w:val="Tabletextcentred"/>
            </w:pPr>
            <w:r w:rsidRPr="00981BAF">
              <w:t xml:space="preserve">8oom </w:t>
            </w:r>
            <w:r w:rsidRPr="001362C0">
              <w:t>1</w:t>
            </w:r>
            <w:r w:rsidR="00BD5767">
              <w:t>—</w:t>
            </w:r>
            <w:r w:rsidRPr="00981BAF">
              <w:t xml:space="preserve">Cairns, </w:t>
            </w:r>
            <w:r>
              <w:t>QLD</w:t>
            </w:r>
          </w:p>
        </w:tc>
        <w:tc>
          <w:tcPr>
            <w:tcW w:w="1804" w:type="dxa"/>
          </w:tcPr>
          <w:p w14:paraId="64A29657" w14:textId="77777777" w:rsidR="00727AEE" w:rsidRPr="00981BAF" w:rsidRDefault="00727AEE" w:rsidP="005C5A1B">
            <w:pPr>
              <w:pStyle w:val="Tabletextcentred"/>
            </w:pPr>
            <w:r w:rsidRPr="001362C0">
              <w:t xml:space="preserve">Beam </w:t>
            </w:r>
            <w:r w:rsidRPr="00981BAF">
              <w:t>6</w:t>
            </w:r>
            <w:r w:rsidR="00BD5767">
              <w:t>—</w:t>
            </w:r>
            <w:r w:rsidRPr="00981BAF">
              <w:t xml:space="preserve">Mount </w:t>
            </w:r>
            <w:r>
              <w:t>Wyatt, QLD</w:t>
            </w:r>
          </w:p>
        </w:tc>
      </w:tr>
      <w:tr w:rsidR="00727AEE" w:rsidRPr="001362C0" w14:paraId="459F80B0" w14:textId="77777777" w:rsidTr="005C5A1B">
        <w:trPr>
          <w:cantSplit/>
        </w:trPr>
        <w:tc>
          <w:tcPr>
            <w:tcW w:w="1803" w:type="dxa"/>
          </w:tcPr>
          <w:p w14:paraId="4315B325" w14:textId="77777777" w:rsidR="00727AEE" w:rsidRPr="001362C0" w:rsidRDefault="00727AEE" w:rsidP="005C5A1B">
            <w:pPr>
              <w:pStyle w:val="Tabletext"/>
            </w:pPr>
            <w:r>
              <w:t>Beam</w:t>
            </w:r>
            <w:r w:rsidRPr="00981BAF">
              <w:t xml:space="preserve"> 14</w:t>
            </w:r>
            <w:r w:rsidR="005C5A1B">
              <w:t>—</w:t>
            </w:r>
            <w:proofErr w:type="spellStart"/>
            <w:r w:rsidRPr="00981BAF">
              <w:t>Goomally</w:t>
            </w:r>
            <w:proofErr w:type="spellEnd"/>
            <w:r w:rsidRPr="00981BAF">
              <w:t xml:space="preserve">, </w:t>
            </w:r>
            <w:r w:rsidRPr="001362C0">
              <w:t>QL</w:t>
            </w:r>
            <w:r w:rsidRPr="00981BAF">
              <w:t>D</w:t>
            </w:r>
          </w:p>
        </w:tc>
        <w:tc>
          <w:tcPr>
            <w:tcW w:w="1803" w:type="dxa"/>
          </w:tcPr>
          <w:p w14:paraId="3286690F" w14:textId="77777777" w:rsidR="00727AEE" w:rsidRPr="001362C0" w:rsidRDefault="00727AEE" w:rsidP="005C5A1B">
            <w:pPr>
              <w:pStyle w:val="Tabletext"/>
            </w:pPr>
            <w:r w:rsidRPr="00981BAF">
              <w:t>Beam 22</w:t>
            </w:r>
            <w:r w:rsidR="00BD5767">
              <w:t>—</w:t>
            </w:r>
            <w:r w:rsidRPr="00981BAF">
              <w:t xml:space="preserve"> </w:t>
            </w:r>
            <w:r w:rsidRPr="001362C0">
              <w:t xml:space="preserve">Bollon, </w:t>
            </w:r>
            <w:r>
              <w:t>QLD</w:t>
            </w:r>
          </w:p>
        </w:tc>
        <w:tc>
          <w:tcPr>
            <w:tcW w:w="1803" w:type="dxa"/>
          </w:tcPr>
          <w:p w14:paraId="69793D63" w14:textId="77777777" w:rsidR="00727AEE" w:rsidRPr="00981BAF" w:rsidRDefault="00727AEE" w:rsidP="005C5A1B">
            <w:pPr>
              <w:pStyle w:val="Tabletextcentred"/>
            </w:pPr>
            <w:r>
              <w:t>Beam 11</w:t>
            </w:r>
            <w:r w:rsidR="005C5A1B">
              <w:t>—</w:t>
            </w:r>
            <w:r>
              <w:t xml:space="preserve">Rockhampton, </w:t>
            </w:r>
            <w:r w:rsidRPr="001362C0">
              <w:t>QLD</w:t>
            </w:r>
          </w:p>
        </w:tc>
        <w:tc>
          <w:tcPr>
            <w:tcW w:w="1803" w:type="dxa"/>
          </w:tcPr>
          <w:p w14:paraId="6B34F01B" w14:textId="77777777" w:rsidR="00727AEE" w:rsidRPr="00981BAF" w:rsidRDefault="00727AEE" w:rsidP="005C5A1B">
            <w:pPr>
              <w:pStyle w:val="Tabletextcentred"/>
            </w:pPr>
            <w:r>
              <w:t>Beam 12</w:t>
            </w:r>
            <w:r w:rsidR="00BD5767">
              <w:t>—</w:t>
            </w:r>
            <w:r w:rsidRPr="00981BAF">
              <w:t xml:space="preserve"> </w:t>
            </w:r>
            <w:r>
              <w:t>Bla</w:t>
            </w:r>
            <w:r w:rsidRPr="001362C0">
              <w:t>ckall</w:t>
            </w:r>
            <w:r>
              <w:t>,</w:t>
            </w:r>
            <w:r w:rsidRPr="001362C0">
              <w:t xml:space="preserve"> </w:t>
            </w:r>
            <w:r>
              <w:t>QLD</w:t>
            </w:r>
          </w:p>
        </w:tc>
        <w:tc>
          <w:tcPr>
            <w:tcW w:w="1804" w:type="dxa"/>
          </w:tcPr>
          <w:p w14:paraId="68EC2049" w14:textId="77777777" w:rsidR="00727AEE" w:rsidRPr="00981BAF" w:rsidRDefault="00727AEE" w:rsidP="005C5A1B">
            <w:pPr>
              <w:pStyle w:val="Tabletextcentred"/>
            </w:pPr>
            <w:r>
              <w:t>Beam</w:t>
            </w:r>
            <w:r w:rsidRPr="001362C0">
              <w:t xml:space="preserve"> </w:t>
            </w:r>
            <w:r w:rsidRPr="00981BAF">
              <w:t>8</w:t>
            </w:r>
            <w:r w:rsidR="00BD5767">
              <w:t>—</w:t>
            </w:r>
            <w:r w:rsidRPr="001362C0">
              <w:t>Longreach, QLD</w:t>
            </w:r>
          </w:p>
        </w:tc>
      </w:tr>
      <w:tr w:rsidR="00727AEE" w:rsidRPr="001362C0" w14:paraId="56C2D942" w14:textId="77777777" w:rsidTr="005C5A1B">
        <w:trPr>
          <w:cantSplit/>
        </w:trPr>
        <w:tc>
          <w:tcPr>
            <w:tcW w:w="1803" w:type="dxa"/>
          </w:tcPr>
          <w:p w14:paraId="1318B68F" w14:textId="77777777" w:rsidR="00727AEE" w:rsidRPr="001362C0" w:rsidRDefault="00727AEE" w:rsidP="005C5A1B">
            <w:pPr>
              <w:pStyle w:val="Tabletext"/>
            </w:pPr>
            <w:r w:rsidRPr="001362C0">
              <w:t xml:space="preserve">Beam </w:t>
            </w:r>
            <w:r w:rsidRPr="00981BAF">
              <w:t>24</w:t>
            </w:r>
            <w:r w:rsidR="00BD5767">
              <w:t>—</w:t>
            </w:r>
            <w:r w:rsidRPr="00981BAF">
              <w:t xml:space="preserve">Toowoomba, </w:t>
            </w:r>
            <w:r w:rsidRPr="001362C0">
              <w:t>QLD</w:t>
            </w:r>
          </w:p>
        </w:tc>
        <w:tc>
          <w:tcPr>
            <w:tcW w:w="1803" w:type="dxa"/>
          </w:tcPr>
          <w:p w14:paraId="36203E87" w14:textId="77777777" w:rsidR="00727AEE" w:rsidRPr="001362C0" w:rsidRDefault="00727AEE" w:rsidP="005C5A1B">
            <w:pPr>
              <w:pStyle w:val="Tabletext"/>
            </w:pPr>
            <w:r w:rsidRPr="00981BAF">
              <w:t>Beam 30</w:t>
            </w:r>
            <w:r w:rsidR="005C5A1B">
              <w:t>—</w:t>
            </w:r>
            <w:r w:rsidRPr="00981BAF">
              <w:t>Ceduna, SA</w:t>
            </w:r>
          </w:p>
        </w:tc>
        <w:tc>
          <w:tcPr>
            <w:tcW w:w="1803" w:type="dxa"/>
          </w:tcPr>
          <w:p w14:paraId="0E0B8BD3" w14:textId="77777777" w:rsidR="00727AEE" w:rsidRPr="00981BAF" w:rsidRDefault="00727AEE" w:rsidP="005C5A1B">
            <w:pPr>
              <w:pStyle w:val="Tabletextcentred"/>
            </w:pPr>
            <w:r w:rsidRPr="00981BAF">
              <w:t>Beam 28</w:t>
            </w:r>
            <w:r w:rsidR="005C5A1B">
              <w:t>—</w:t>
            </w:r>
            <w:r w:rsidRPr="00981BAF">
              <w:t>Tamworth, NSW</w:t>
            </w:r>
          </w:p>
        </w:tc>
        <w:tc>
          <w:tcPr>
            <w:tcW w:w="1803" w:type="dxa"/>
          </w:tcPr>
          <w:p w14:paraId="6BFFDBC4" w14:textId="77777777" w:rsidR="00727AEE" w:rsidRPr="00981BAF" w:rsidRDefault="00727AEE" w:rsidP="005C5A1B">
            <w:pPr>
              <w:pStyle w:val="Tabletextcentred"/>
            </w:pPr>
            <w:r w:rsidRPr="00981BAF">
              <w:t xml:space="preserve">Beam </w:t>
            </w:r>
            <w:r w:rsidRPr="001362C0">
              <w:t>15</w:t>
            </w:r>
            <w:r w:rsidR="005C5A1B">
              <w:t>—</w:t>
            </w:r>
            <w:r w:rsidRPr="001362C0">
              <w:t>Gladstone</w:t>
            </w:r>
            <w:r w:rsidRPr="00981BAF">
              <w:t xml:space="preserve">, </w:t>
            </w:r>
            <w:r w:rsidRPr="001362C0">
              <w:t>QLD</w:t>
            </w:r>
          </w:p>
        </w:tc>
        <w:tc>
          <w:tcPr>
            <w:tcW w:w="1804" w:type="dxa"/>
          </w:tcPr>
          <w:p w14:paraId="519EDE4C" w14:textId="77777777" w:rsidR="00727AEE" w:rsidRPr="00981BAF" w:rsidRDefault="00727AEE" w:rsidP="005C5A1B">
            <w:pPr>
              <w:pStyle w:val="Tabletextcentred"/>
            </w:pPr>
            <w:r>
              <w:t>Beam 46</w:t>
            </w:r>
            <w:r w:rsidR="00BD5767">
              <w:t>—</w:t>
            </w:r>
            <w:r>
              <w:t>Horsham</w:t>
            </w:r>
            <w:r w:rsidRPr="001362C0">
              <w:t>, VIC</w:t>
            </w:r>
          </w:p>
        </w:tc>
      </w:tr>
      <w:tr w:rsidR="00727AEE" w:rsidRPr="001362C0" w14:paraId="69619978" w14:textId="77777777" w:rsidTr="005C5A1B">
        <w:trPr>
          <w:cantSplit/>
        </w:trPr>
        <w:tc>
          <w:tcPr>
            <w:tcW w:w="1803" w:type="dxa"/>
          </w:tcPr>
          <w:p w14:paraId="0C15960A" w14:textId="77777777" w:rsidR="00727AEE" w:rsidRPr="001362C0" w:rsidRDefault="00727AEE" w:rsidP="005C5A1B">
            <w:pPr>
              <w:pStyle w:val="Tabletext"/>
            </w:pPr>
            <w:r w:rsidRPr="00981BAF">
              <w:t>Beam 26</w:t>
            </w:r>
            <w:r w:rsidR="00BD5767">
              <w:t>—</w:t>
            </w:r>
            <w:r w:rsidRPr="00981BAF">
              <w:t>Bou</w:t>
            </w:r>
            <w:r w:rsidRPr="001362C0">
              <w:t>r</w:t>
            </w:r>
            <w:r w:rsidRPr="00981BAF">
              <w:t>ke, N</w:t>
            </w:r>
            <w:r w:rsidRPr="001362C0">
              <w:t>S</w:t>
            </w:r>
            <w:r w:rsidRPr="00981BAF">
              <w:t>W</w:t>
            </w:r>
          </w:p>
        </w:tc>
        <w:tc>
          <w:tcPr>
            <w:tcW w:w="1803" w:type="dxa"/>
          </w:tcPr>
          <w:p w14:paraId="3329C80A" w14:textId="77777777" w:rsidR="00727AEE" w:rsidRPr="001362C0" w:rsidRDefault="00727AEE" w:rsidP="005C5A1B">
            <w:pPr>
              <w:pStyle w:val="Tabletext"/>
            </w:pPr>
            <w:r w:rsidRPr="00981BAF">
              <w:t>Beam 33</w:t>
            </w:r>
            <w:r w:rsidR="005C5A1B">
              <w:t>—</w:t>
            </w:r>
            <w:r w:rsidRPr="00981BAF">
              <w:t>M</w:t>
            </w:r>
            <w:r>
              <w:t xml:space="preserve">udgee, </w:t>
            </w:r>
            <w:r w:rsidRPr="001362C0">
              <w:t>NSW</w:t>
            </w:r>
          </w:p>
        </w:tc>
        <w:tc>
          <w:tcPr>
            <w:tcW w:w="1803" w:type="dxa"/>
          </w:tcPr>
          <w:p w14:paraId="64EBE945" w14:textId="77777777" w:rsidR="00727AEE" w:rsidRPr="00981BAF" w:rsidRDefault="00727AEE" w:rsidP="005C5A1B">
            <w:pPr>
              <w:pStyle w:val="Tabletextcentred"/>
            </w:pPr>
            <w:r w:rsidRPr="00981BAF">
              <w:t>Beam 32</w:t>
            </w:r>
            <w:r w:rsidR="00BD5767">
              <w:t>—</w:t>
            </w:r>
            <w:r w:rsidRPr="00981BAF">
              <w:t>Dubbo, N</w:t>
            </w:r>
            <w:r w:rsidRPr="001362C0">
              <w:t>SW</w:t>
            </w:r>
          </w:p>
        </w:tc>
        <w:tc>
          <w:tcPr>
            <w:tcW w:w="1803" w:type="dxa"/>
          </w:tcPr>
          <w:p w14:paraId="4960DA67" w14:textId="77777777" w:rsidR="00727AEE" w:rsidRPr="00981BAF" w:rsidRDefault="00727AEE" w:rsidP="005C5A1B">
            <w:pPr>
              <w:pStyle w:val="Tabletextcentred"/>
            </w:pPr>
            <w:r w:rsidRPr="00981BAF">
              <w:t xml:space="preserve">Beam </w:t>
            </w:r>
            <w:r w:rsidRPr="001362C0">
              <w:t>47</w:t>
            </w:r>
            <w:r w:rsidR="005C5A1B">
              <w:t>—</w:t>
            </w:r>
            <w:r w:rsidRPr="00981BAF">
              <w:t>S</w:t>
            </w:r>
            <w:r w:rsidRPr="001362C0">
              <w:t>hepparton</w:t>
            </w:r>
            <w:r>
              <w:t>,</w:t>
            </w:r>
            <w:r w:rsidRPr="001362C0">
              <w:t xml:space="preserve"> </w:t>
            </w:r>
            <w:r w:rsidRPr="00981BAF">
              <w:t>VIC</w:t>
            </w:r>
          </w:p>
        </w:tc>
        <w:tc>
          <w:tcPr>
            <w:tcW w:w="1804" w:type="dxa"/>
          </w:tcPr>
          <w:p w14:paraId="23A76F32" w14:textId="77777777" w:rsidR="00727AEE" w:rsidRPr="00981BAF" w:rsidRDefault="00727AEE" w:rsidP="005C5A1B">
            <w:pPr>
              <w:pStyle w:val="Tabletextcentred"/>
            </w:pPr>
            <w:r w:rsidRPr="00981BAF">
              <w:t>Beam 51</w:t>
            </w:r>
            <w:r w:rsidR="00BD5767">
              <w:t>—</w:t>
            </w:r>
            <w:r w:rsidRPr="00981BAF">
              <w:t xml:space="preserve">Melbourne, </w:t>
            </w:r>
            <w:r w:rsidRPr="001362C0">
              <w:t>VI</w:t>
            </w:r>
            <w:r w:rsidRPr="00981BAF">
              <w:t>C</w:t>
            </w:r>
          </w:p>
        </w:tc>
      </w:tr>
      <w:tr w:rsidR="00727AEE" w:rsidRPr="001362C0" w14:paraId="5067BAFB" w14:textId="77777777" w:rsidTr="005C5A1B">
        <w:trPr>
          <w:cantSplit/>
        </w:trPr>
        <w:tc>
          <w:tcPr>
            <w:tcW w:w="1803" w:type="dxa"/>
          </w:tcPr>
          <w:p w14:paraId="6049754C" w14:textId="77777777" w:rsidR="00727AEE" w:rsidRPr="001362C0" w:rsidRDefault="00727AEE" w:rsidP="005C5A1B">
            <w:pPr>
              <w:pStyle w:val="Tabletext"/>
            </w:pPr>
            <w:r w:rsidRPr="00981BAF">
              <w:t xml:space="preserve">Beam </w:t>
            </w:r>
            <w:r>
              <w:t>52</w:t>
            </w:r>
            <w:r w:rsidR="00BD5767">
              <w:t>—</w:t>
            </w:r>
            <w:r w:rsidRPr="00981BAF">
              <w:t xml:space="preserve">Wilson, </w:t>
            </w:r>
            <w:r w:rsidRPr="001362C0">
              <w:t>Promontory, V1C</w:t>
            </w:r>
          </w:p>
        </w:tc>
        <w:tc>
          <w:tcPr>
            <w:tcW w:w="1803" w:type="dxa"/>
          </w:tcPr>
          <w:p w14:paraId="7D25C33E" w14:textId="77777777" w:rsidR="00727AEE" w:rsidRPr="001362C0" w:rsidRDefault="00727AEE" w:rsidP="005C5A1B">
            <w:pPr>
              <w:pStyle w:val="Tabletext"/>
            </w:pPr>
            <w:r w:rsidRPr="00981BAF">
              <w:t>Bea</w:t>
            </w:r>
            <w:r>
              <w:t>m 44</w:t>
            </w:r>
            <w:r w:rsidR="00BD5767">
              <w:t>—</w:t>
            </w:r>
            <w:r w:rsidRPr="00981BAF">
              <w:t xml:space="preserve">South </w:t>
            </w:r>
            <w:r w:rsidRPr="001362C0">
              <w:t xml:space="preserve">Adelaide, </w:t>
            </w:r>
            <w:r w:rsidRPr="00981BAF">
              <w:t>SA</w:t>
            </w:r>
          </w:p>
        </w:tc>
        <w:tc>
          <w:tcPr>
            <w:tcW w:w="1803" w:type="dxa"/>
          </w:tcPr>
          <w:p w14:paraId="2CC00B2D" w14:textId="77777777" w:rsidR="00727AEE" w:rsidRPr="00981BAF" w:rsidRDefault="00727AEE" w:rsidP="005C5A1B">
            <w:pPr>
              <w:pStyle w:val="Tabletextcentred"/>
            </w:pPr>
            <w:r w:rsidRPr="00981BAF">
              <w:t>Beam 39</w:t>
            </w:r>
            <w:r w:rsidR="00BD5767">
              <w:t>—</w:t>
            </w:r>
            <w:r w:rsidRPr="001362C0">
              <w:t>Hay, NSW</w:t>
            </w:r>
          </w:p>
        </w:tc>
        <w:tc>
          <w:tcPr>
            <w:tcW w:w="1803" w:type="dxa"/>
          </w:tcPr>
          <w:p w14:paraId="5E797551" w14:textId="77777777" w:rsidR="00727AEE" w:rsidRPr="00981BAF" w:rsidRDefault="00727AEE" w:rsidP="005C5A1B">
            <w:pPr>
              <w:pStyle w:val="Tabletextcentred"/>
            </w:pPr>
            <w:r w:rsidRPr="00981BAF">
              <w:t>Beam 72</w:t>
            </w:r>
            <w:r w:rsidR="005C5A1B">
              <w:t>—</w:t>
            </w:r>
            <w:r w:rsidRPr="00981BAF">
              <w:t>Christmas</w:t>
            </w:r>
            <w:r>
              <w:t xml:space="preserve"> Is</w:t>
            </w:r>
          </w:p>
        </w:tc>
        <w:tc>
          <w:tcPr>
            <w:tcW w:w="1804" w:type="dxa"/>
          </w:tcPr>
          <w:p w14:paraId="74969890" w14:textId="77777777" w:rsidR="00727AEE" w:rsidRPr="00981BAF" w:rsidRDefault="00727AEE" w:rsidP="005C5A1B">
            <w:pPr>
              <w:pStyle w:val="Tabletextcentred"/>
            </w:pPr>
            <w:r w:rsidRPr="001362C0">
              <w:t xml:space="preserve">Beam </w:t>
            </w:r>
            <w:r w:rsidRPr="00981BAF">
              <w:t>53</w:t>
            </w:r>
            <w:r w:rsidR="005C5A1B">
              <w:t>—</w:t>
            </w:r>
            <w:r>
              <w:t xml:space="preserve">Orbost, </w:t>
            </w:r>
            <w:r w:rsidRPr="001362C0">
              <w:t>VIC</w:t>
            </w:r>
          </w:p>
        </w:tc>
      </w:tr>
      <w:tr w:rsidR="00727AEE" w:rsidRPr="001362C0" w14:paraId="026A49CB" w14:textId="77777777" w:rsidTr="005C5A1B">
        <w:trPr>
          <w:cantSplit/>
        </w:trPr>
        <w:tc>
          <w:tcPr>
            <w:tcW w:w="1803" w:type="dxa"/>
          </w:tcPr>
          <w:p w14:paraId="367D13F7" w14:textId="77777777" w:rsidR="00727AEE" w:rsidRPr="001362C0" w:rsidRDefault="00727AEE" w:rsidP="005C5A1B">
            <w:pPr>
              <w:pStyle w:val="Tabletext"/>
            </w:pPr>
            <w:r>
              <w:t>Beam 55</w:t>
            </w:r>
            <w:r w:rsidR="005C5A1B">
              <w:t>—</w:t>
            </w:r>
            <w:r>
              <w:t>Launceston, TAS</w:t>
            </w:r>
          </w:p>
        </w:tc>
        <w:tc>
          <w:tcPr>
            <w:tcW w:w="1803" w:type="dxa"/>
          </w:tcPr>
          <w:p w14:paraId="7773A9F8" w14:textId="77777777" w:rsidR="00727AEE" w:rsidRPr="001362C0" w:rsidRDefault="00727AEE" w:rsidP="005C5A1B">
            <w:pPr>
              <w:pStyle w:val="Tabletext"/>
            </w:pPr>
            <w:r>
              <w:t>Beam 48</w:t>
            </w:r>
            <w:r w:rsidR="00BD5767">
              <w:t>—</w:t>
            </w:r>
            <w:r w:rsidRPr="001362C0">
              <w:t>Vict</w:t>
            </w:r>
            <w:r w:rsidRPr="00981BAF">
              <w:t xml:space="preserve">orian </w:t>
            </w:r>
            <w:r>
              <w:t>Alp</w:t>
            </w:r>
            <w:r w:rsidRPr="00981BAF">
              <w:t xml:space="preserve">, </w:t>
            </w:r>
            <w:r w:rsidRPr="001362C0">
              <w:t>VIC</w:t>
            </w:r>
          </w:p>
        </w:tc>
        <w:tc>
          <w:tcPr>
            <w:tcW w:w="1803" w:type="dxa"/>
          </w:tcPr>
          <w:p w14:paraId="2B4C74A0" w14:textId="77777777" w:rsidR="00727AEE" w:rsidRPr="00981BAF" w:rsidRDefault="00727AEE" w:rsidP="005C5A1B">
            <w:pPr>
              <w:pStyle w:val="Tabletextcentred"/>
            </w:pPr>
            <w:r w:rsidRPr="00981BAF">
              <w:t xml:space="preserve">Beam </w:t>
            </w:r>
            <w:r>
              <w:t>40</w:t>
            </w:r>
            <w:r w:rsidR="00BD5767">
              <w:t>—</w:t>
            </w:r>
            <w:r w:rsidRPr="00981BAF">
              <w:t xml:space="preserve"> </w:t>
            </w:r>
            <w:r w:rsidRPr="001362C0">
              <w:t>Griffith, NSW</w:t>
            </w:r>
          </w:p>
        </w:tc>
        <w:tc>
          <w:tcPr>
            <w:tcW w:w="1803" w:type="dxa"/>
          </w:tcPr>
          <w:p w14:paraId="2F22D666" w14:textId="77777777" w:rsidR="00727AEE" w:rsidRPr="00981BAF" w:rsidRDefault="00727AEE" w:rsidP="005C5A1B">
            <w:pPr>
              <w:pStyle w:val="Tabletextcentred"/>
            </w:pPr>
            <w:r w:rsidRPr="00981BAF">
              <w:t xml:space="preserve">Beam </w:t>
            </w:r>
            <w:r w:rsidRPr="001362C0">
              <w:t>76</w:t>
            </w:r>
            <w:r w:rsidR="00BD5767">
              <w:t>—</w:t>
            </w:r>
            <w:r w:rsidRPr="001362C0">
              <w:t>Wyndham, WA</w:t>
            </w:r>
          </w:p>
        </w:tc>
        <w:tc>
          <w:tcPr>
            <w:tcW w:w="1804" w:type="dxa"/>
          </w:tcPr>
          <w:p w14:paraId="6687CA57" w14:textId="77777777" w:rsidR="00727AEE" w:rsidRPr="00981BAF" w:rsidRDefault="00727AEE" w:rsidP="005C5A1B">
            <w:pPr>
              <w:pStyle w:val="Tabletextcentred"/>
            </w:pPr>
            <w:r w:rsidRPr="001362C0">
              <w:t xml:space="preserve">Beam </w:t>
            </w:r>
            <w:r w:rsidRPr="00981BAF">
              <w:t>62</w:t>
            </w:r>
            <w:r w:rsidR="00BD5767">
              <w:t>—</w:t>
            </w:r>
            <w:r w:rsidRPr="00981BAF">
              <w:t>M</w:t>
            </w:r>
            <w:r>
              <w:t>t</w:t>
            </w:r>
            <w:r w:rsidRPr="001362C0">
              <w:t xml:space="preserve"> </w:t>
            </w:r>
            <w:r w:rsidRPr="00981BAF">
              <w:t>M</w:t>
            </w:r>
            <w:r>
              <w:t xml:space="preserve">agnet, </w:t>
            </w:r>
            <w:r w:rsidRPr="001362C0">
              <w:t>WA</w:t>
            </w:r>
          </w:p>
        </w:tc>
      </w:tr>
      <w:tr w:rsidR="00727AEE" w:rsidRPr="001362C0" w14:paraId="041227AA" w14:textId="77777777" w:rsidTr="005C5A1B">
        <w:trPr>
          <w:cantSplit/>
        </w:trPr>
        <w:tc>
          <w:tcPr>
            <w:tcW w:w="1803" w:type="dxa"/>
          </w:tcPr>
          <w:p w14:paraId="429DB096" w14:textId="77777777" w:rsidR="00727AEE" w:rsidRPr="001362C0" w:rsidRDefault="00727AEE" w:rsidP="005C5A1B">
            <w:pPr>
              <w:pStyle w:val="Tabletext"/>
            </w:pPr>
            <w:r w:rsidRPr="00981BAF">
              <w:t xml:space="preserve">Beam </w:t>
            </w:r>
            <w:r>
              <w:t>5</w:t>
            </w:r>
            <w:r w:rsidRPr="00981BAF">
              <w:t>8 -Top E</w:t>
            </w:r>
            <w:r w:rsidRPr="001362C0">
              <w:t xml:space="preserve">nd </w:t>
            </w:r>
            <w:r w:rsidRPr="00981BAF">
              <w:t xml:space="preserve">(small </w:t>
            </w:r>
            <w:r w:rsidRPr="001362C0">
              <w:t>beam)</w:t>
            </w:r>
            <w:r w:rsidRPr="00981BAF">
              <w:t xml:space="preserve">, </w:t>
            </w:r>
            <w:r>
              <w:t>NT</w:t>
            </w:r>
          </w:p>
        </w:tc>
        <w:tc>
          <w:tcPr>
            <w:tcW w:w="1803" w:type="dxa"/>
          </w:tcPr>
          <w:p w14:paraId="368C3B0B" w14:textId="77777777" w:rsidR="00727AEE" w:rsidRPr="001362C0" w:rsidRDefault="00727AEE" w:rsidP="005C5A1B">
            <w:pPr>
              <w:pStyle w:val="Tabletext"/>
            </w:pPr>
            <w:r>
              <w:t>Beam 54</w:t>
            </w:r>
            <w:r w:rsidR="005C5A1B">
              <w:t>—</w:t>
            </w:r>
            <w:r>
              <w:t>Burnie TAS</w:t>
            </w:r>
          </w:p>
        </w:tc>
        <w:tc>
          <w:tcPr>
            <w:tcW w:w="1803" w:type="dxa"/>
          </w:tcPr>
          <w:p w14:paraId="3CC1E997" w14:textId="77777777" w:rsidR="00727AEE" w:rsidRPr="00981BAF" w:rsidRDefault="00727AEE" w:rsidP="005C5A1B">
            <w:pPr>
              <w:pStyle w:val="Tabletextcentred"/>
            </w:pPr>
            <w:r w:rsidRPr="00981BAF">
              <w:t>Beam 7</w:t>
            </w:r>
            <w:r>
              <w:t>3</w:t>
            </w:r>
            <w:r w:rsidR="005C5A1B">
              <w:t>—</w:t>
            </w:r>
            <w:r>
              <w:t>Macquarie Is</w:t>
            </w:r>
          </w:p>
        </w:tc>
        <w:tc>
          <w:tcPr>
            <w:tcW w:w="1803" w:type="dxa"/>
          </w:tcPr>
          <w:p w14:paraId="762B2277" w14:textId="77777777" w:rsidR="00727AEE" w:rsidRPr="00981BAF" w:rsidRDefault="00727AEE" w:rsidP="005C5A1B">
            <w:pPr>
              <w:pStyle w:val="Tabletextcentred"/>
            </w:pPr>
            <w:r w:rsidRPr="00981BAF">
              <w:t>Beam 84</w:t>
            </w:r>
            <w:r w:rsidR="00BD5767">
              <w:t>—</w:t>
            </w:r>
            <w:r w:rsidRPr="00981BAF">
              <w:t xml:space="preserve">Southern Gulf of </w:t>
            </w:r>
            <w:r>
              <w:t>Carpentaria</w:t>
            </w:r>
            <w:r w:rsidRPr="001362C0">
              <w:t xml:space="preserve">, </w:t>
            </w:r>
            <w:r>
              <w:t>QLD</w:t>
            </w:r>
          </w:p>
        </w:tc>
        <w:tc>
          <w:tcPr>
            <w:tcW w:w="1804" w:type="dxa"/>
          </w:tcPr>
          <w:p w14:paraId="6FD61C8C" w14:textId="77777777" w:rsidR="00727AEE" w:rsidRPr="00981BAF" w:rsidRDefault="00727AEE" w:rsidP="005C5A1B">
            <w:pPr>
              <w:pStyle w:val="Tabletextcentred"/>
            </w:pPr>
            <w:r w:rsidRPr="00981BAF">
              <w:t xml:space="preserve">Beam </w:t>
            </w:r>
            <w:r>
              <w:t>67</w:t>
            </w:r>
            <w:r w:rsidR="005C5A1B">
              <w:t>—</w:t>
            </w:r>
            <w:r>
              <w:t xml:space="preserve">Narrogin, </w:t>
            </w:r>
            <w:r w:rsidRPr="00981BAF">
              <w:t>WA</w:t>
            </w:r>
          </w:p>
        </w:tc>
      </w:tr>
      <w:tr w:rsidR="00727AEE" w:rsidRPr="001362C0" w14:paraId="7DB21CF2" w14:textId="77777777" w:rsidTr="005C5A1B">
        <w:trPr>
          <w:cantSplit/>
        </w:trPr>
        <w:tc>
          <w:tcPr>
            <w:tcW w:w="1803" w:type="dxa"/>
          </w:tcPr>
          <w:p w14:paraId="47886186" w14:textId="77777777" w:rsidR="00727AEE" w:rsidRPr="001362C0" w:rsidRDefault="00727AEE" w:rsidP="005C5A1B">
            <w:pPr>
              <w:pStyle w:val="Tabletext"/>
            </w:pPr>
            <w:r>
              <w:t>Beam</w:t>
            </w:r>
            <w:r w:rsidRPr="001362C0">
              <w:t xml:space="preserve"> </w:t>
            </w:r>
            <w:r>
              <w:t>60</w:t>
            </w:r>
            <w:r w:rsidR="00BD5767">
              <w:t>—</w:t>
            </w:r>
            <w:r w:rsidRPr="00981BAF">
              <w:t>Meekatharra</w:t>
            </w:r>
            <w:r w:rsidRPr="001362C0">
              <w:t>, WA</w:t>
            </w:r>
          </w:p>
        </w:tc>
        <w:tc>
          <w:tcPr>
            <w:tcW w:w="1803" w:type="dxa"/>
          </w:tcPr>
          <w:p w14:paraId="5612376E" w14:textId="77777777" w:rsidR="00727AEE" w:rsidRPr="001362C0" w:rsidRDefault="00727AEE" w:rsidP="005C5A1B">
            <w:pPr>
              <w:pStyle w:val="Tabletext"/>
            </w:pPr>
            <w:r>
              <w:t>Beam</w:t>
            </w:r>
            <w:r w:rsidRPr="001362C0">
              <w:t xml:space="preserve"> </w:t>
            </w:r>
            <w:r>
              <w:t>82</w:t>
            </w:r>
            <w:r w:rsidR="00BD5767">
              <w:t>—</w:t>
            </w:r>
            <w:r w:rsidRPr="00981BAF">
              <w:t xml:space="preserve"> Vict</w:t>
            </w:r>
            <w:r w:rsidRPr="001362C0">
              <w:t>oria River, NT</w:t>
            </w:r>
          </w:p>
        </w:tc>
        <w:tc>
          <w:tcPr>
            <w:tcW w:w="1803" w:type="dxa"/>
          </w:tcPr>
          <w:p w14:paraId="13E56A6E" w14:textId="77777777" w:rsidR="00727AEE" w:rsidRPr="00981BAF" w:rsidRDefault="00727AEE" w:rsidP="005C5A1B">
            <w:pPr>
              <w:pStyle w:val="Tabletextcentred"/>
            </w:pPr>
            <w:r w:rsidRPr="00981BAF">
              <w:t xml:space="preserve">Beam </w:t>
            </w:r>
            <w:r w:rsidRPr="001362C0">
              <w:t>79</w:t>
            </w:r>
            <w:r w:rsidR="00BD5767">
              <w:t>—</w:t>
            </w:r>
            <w:r w:rsidRPr="00981BAF">
              <w:t xml:space="preserve">Cape </w:t>
            </w:r>
            <w:r>
              <w:t>York,</w:t>
            </w:r>
            <w:r w:rsidRPr="001362C0">
              <w:t xml:space="preserve"> </w:t>
            </w:r>
            <w:r>
              <w:t>QLD</w:t>
            </w:r>
          </w:p>
        </w:tc>
        <w:tc>
          <w:tcPr>
            <w:tcW w:w="1803" w:type="dxa"/>
          </w:tcPr>
          <w:p w14:paraId="6330ADEA" w14:textId="77777777" w:rsidR="00727AEE" w:rsidRPr="00981BAF" w:rsidRDefault="00727AEE" w:rsidP="005C5A1B">
            <w:pPr>
              <w:pStyle w:val="Tabletextcentred"/>
            </w:pPr>
            <w:r w:rsidRPr="001362C0">
              <w:t>Beam</w:t>
            </w:r>
            <w:r>
              <w:t xml:space="preserve"> </w:t>
            </w:r>
            <w:r w:rsidRPr="001362C0">
              <w:t>98</w:t>
            </w:r>
            <w:r w:rsidR="00BD5767">
              <w:t>—</w:t>
            </w:r>
            <w:r w:rsidRPr="00981BAF">
              <w:t xml:space="preserve">Cocklebiddy, </w:t>
            </w:r>
            <w:r w:rsidRPr="001362C0">
              <w:t>WA</w:t>
            </w:r>
          </w:p>
        </w:tc>
        <w:tc>
          <w:tcPr>
            <w:tcW w:w="1804" w:type="dxa"/>
          </w:tcPr>
          <w:p w14:paraId="5D8CCD70" w14:textId="77777777" w:rsidR="00727AEE" w:rsidRPr="00981BAF" w:rsidRDefault="00727AEE" w:rsidP="005C5A1B">
            <w:pPr>
              <w:pStyle w:val="Tabletextcentred"/>
            </w:pPr>
            <w:r>
              <w:t>Beam</w:t>
            </w:r>
            <w:r w:rsidRPr="001362C0">
              <w:t xml:space="preserve"> 7</w:t>
            </w:r>
            <w:r w:rsidRPr="00981BAF">
              <w:t>4</w:t>
            </w:r>
            <w:r w:rsidR="005C5A1B">
              <w:t>—</w:t>
            </w:r>
            <w:r>
              <w:t>Lord How Is</w:t>
            </w:r>
          </w:p>
        </w:tc>
      </w:tr>
      <w:tr w:rsidR="00727AEE" w:rsidRPr="001362C0" w14:paraId="5D1B30ED" w14:textId="77777777" w:rsidTr="005C5A1B">
        <w:trPr>
          <w:cantSplit/>
        </w:trPr>
        <w:tc>
          <w:tcPr>
            <w:tcW w:w="1803" w:type="dxa"/>
          </w:tcPr>
          <w:p w14:paraId="350D7942" w14:textId="77777777" w:rsidR="00727AEE" w:rsidRPr="001362C0" w:rsidRDefault="00727AEE" w:rsidP="005C5A1B">
            <w:pPr>
              <w:pStyle w:val="Tabletext"/>
            </w:pPr>
            <w:r>
              <w:t>Beam 6</w:t>
            </w:r>
            <w:r w:rsidRPr="00981BAF">
              <w:t>1</w:t>
            </w:r>
            <w:r w:rsidR="005C5A1B">
              <w:t>—</w:t>
            </w:r>
            <w:r>
              <w:t>Geraldton, WA</w:t>
            </w:r>
          </w:p>
        </w:tc>
        <w:tc>
          <w:tcPr>
            <w:tcW w:w="1803" w:type="dxa"/>
          </w:tcPr>
          <w:p w14:paraId="60F1B0DE" w14:textId="77777777" w:rsidR="00727AEE" w:rsidRPr="001362C0" w:rsidRDefault="00727AEE" w:rsidP="005C5A1B">
            <w:pPr>
              <w:pStyle w:val="Tabletext"/>
            </w:pPr>
            <w:r w:rsidRPr="001362C0">
              <w:t xml:space="preserve">Beam </w:t>
            </w:r>
            <w:r w:rsidRPr="00981BAF">
              <w:t>87</w:t>
            </w:r>
            <w:r w:rsidR="005C5A1B">
              <w:t>—</w:t>
            </w:r>
            <w:r>
              <w:t>Newman</w:t>
            </w:r>
            <w:r w:rsidRPr="001362C0">
              <w:t>, WA</w:t>
            </w:r>
          </w:p>
        </w:tc>
        <w:tc>
          <w:tcPr>
            <w:tcW w:w="1803" w:type="dxa"/>
          </w:tcPr>
          <w:p w14:paraId="331B10F6" w14:textId="77777777" w:rsidR="00727AEE" w:rsidRPr="00981BAF" w:rsidRDefault="00727AEE" w:rsidP="005C5A1B">
            <w:pPr>
              <w:pStyle w:val="Tabletextcentred"/>
            </w:pPr>
            <w:r w:rsidRPr="00981BAF">
              <w:t xml:space="preserve">Beam </w:t>
            </w:r>
            <w:r>
              <w:t>85</w:t>
            </w:r>
            <w:r w:rsidR="00BD5767">
              <w:t>—</w:t>
            </w:r>
            <w:r>
              <w:t>Cookt</w:t>
            </w:r>
            <w:r w:rsidRPr="00981BAF">
              <w:t xml:space="preserve">own, </w:t>
            </w:r>
            <w:r w:rsidRPr="001362C0">
              <w:t>QLD</w:t>
            </w:r>
          </w:p>
        </w:tc>
        <w:tc>
          <w:tcPr>
            <w:tcW w:w="1803" w:type="dxa"/>
          </w:tcPr>
          <w:p w14:paraId="30667ED1" w14:textId="77777777" w:rsidR="00727AEE" w:rsidRPr="00981BAF" w:rsidRDefault="00727AEE" w:rsidP="005C5A1B">
            <w:pPr>
              <w:pStyle w:val="Tabletextcentred"/>
            </w:pPr>
            <w:r w:rsidRPr="00981BAF">
              <w:t xml:space="preserve">Beam </w:t>
            </w:r>
            <w:r>
              <w:t>100</w:t>
            </w:r>
            <w:r w:rsidR="00BD5767">
              <w:t>—</w:t>
            </w:r>
            <w:r>
              <w:t>Broken</w:t>
            </w:r>
            <w:r w:rsidRPr="00981BAF">
              <w:t xml:space="preserve"> </w:t>
            </w:r>
            <w:r w:rsidRPr="001362C0">
              <w:t>Hil</w:t>
            </w:r>
            <w:r w:rsidRPr="00981BAF">
              <w:t>l,</w:t>
            </w:r>
          </w:p>
          <w:p w14:paraId="671BDC68" w14:textId="77777777" w:rsidR="00727AEE" w:rsidRPr="00981BAF" w:rsidRDefault="00727AEE" w:rsidP="005C5A1B">
            <w:pPr>
              <w:pStyle w:val="Tabletextcentred"/>
            </w:pPr>
            <w:r w:rsidRPr="001362C0">
              <w:t>NSW</w:t>
            </w:r>
          </w:p>
        </w:tc>
        <w:tc>
          <w:tcPr>
            <w:tcW w:w="1804" w:type="dxa"/>
          </w:tcPr>
          <w:p w14:paraId="32E382BC" w14:textId="77777777" w:rsidR="00727AEE" w:rsidRPr="00981BAF" w:rsidRDefault="00727AEE" w:rsidP="005C5A1B">
            <w:pPr>
              <w:pStyle w:val="Tabletextcentred"/>
            </w:pPr>
          </w:p>
        </w:tc>
      </w:tr>
      <w:tr w:rsidR="00727AEE" w:rsidRPr="001362C0" w14:paraId="0AEBFCB8" w14:textId="77777777" w:rsidTr="005C5A1B">
        <w:trPr>
          <w:cantSplit/>
        </w:trPr>
        <w:tc>
          <w:tcPr>
            <w:tcW w:w="1803" w:type="dxa"/>
          </w:tcPr>
          <w:p w14:paraId="7730CAA3" w14:textId="77777777" w:rsidR="00727AEE" w:rsidRPr="001362C0" w:rsidRDefault="00727AEE" w:rsidP="005C5A1B">
            <w:pPr>
              <w:pStyle w:val="Tabletext"/>
            </w:pPr>
            <w:r w:rsidRPr="00981BAF">
              <w:t xml:space="preserve">Beam </w:t>
            </w:r>
            <w:r>
              <w:t>70</w:t>
            </w:r>
            <w:r w:rsidR="00BD5767">
              <w:t>—</w:t>
            </w:r>
            <w:r w:rsidRPr="00981BAF">
              <w:t xml:space="preserve"> Esperance, WA</w:t>
            </w:r>
          </w:p>
        </w:tc>
        <w:tc>
          <w:tcPr>
            <w:tcW w:w="1803" w:type="dxa"/>
          </w:tcPr>
          <w:p w14:paraId="25DAC78D" w14:textId="77777777" w:rsidR="00727AEE" w:rsidRPr="001362C0" w:rsidRDefault="00727AEE" w:rsidP="005C5A1B">
            <w:pPr>
              <w:pStyle w:val="Tabletext"/>
            </w:pPr>
            <w:r w:rsidRPr="00981BAF">
              <w:t xml:space="preserve">Beam </w:t>
            </w:r>
            <w:r w:rsidRPr="001362C0">
              <w:t>88</w:t>
            </w:r>
            <w:r w:rsidR="005C5A1B">
              <w:t>—</w:t>
            </w:r>
            <w:r>
              <w:t>Gibson Desert, WA</w:t>
            </w:r>
          </w:p>
        </w:tc>
        <w:tc>
          <w:tcPr>
            <w:tcW w:w="1803" w:type="dxa"/>
          </w:tcPr>
          <w:p w14:paraId="55263B45" w14:textId="77777777" w:rsidR="00727AEE" w:rsidRPr="00981BAF" w:rsidRDefault="00727AEE" w:rsidP="005C5A1B">
            <w:pPr>
              <w:pStyle w:val="Tabletextcentred"/>
            </w:pPr>
            <w:r w:rsidRPr="00981BAF">
              <w:t>Beam 86 -</w:t>
            </w:r>
            <w:r>
              <w:t>Carnarvon</w:t>
            </w:r>
            <w:r w:rsidRPr="00981BAF">
              <w:t>, WA</w:t>
            </w:r>
          </w:p>
        </w:tc>
        <w:tc>
          <w:tcPr>
            <w:tcW w:w="1803" w:type="dxa"/>
          </w:tcPr>
          <w:p w14:paraId="36BCB81C" w14:textId="77777777" w:rsidR="00727AEE" w:rsidRPr="00981BAF" w:rsidRDefault="00727AEE" w:rsidP="005C5A1B">
            <w:pPr>
              <w:pStyle w:val="Tabletextcentred"/>
            </w:pPr>
          </w:p>
        </w:tc>
        <w:tc>
          <w:tcPr>
            <w:tcW w:w="1804" w:type="dxa"/>
          </w:tcPr>
          <w:p w14:paraId="00EFCF2F" w14:textId="77777777" w:rsidR="00727AEE" w:rsidRPr="00981BAF" w:rsidRDefault="00727AEE" w:rsidP="005C5A1B">
            <w:pPr>
              <w:pStyle w:val="Tabletextcentred"/>
            </w:pPr>
          </w:p>
        </w:tc>
      </w:tr>
      <w:tr w:rsidR="00727AEE" w:rsidRPr="001362C0" w14:paraId="1F09751F" w14:textId="77777777" w:rsidTr="005C5A1B">
        <w:trPr>
          <w:cantSplit/>
        </w:trPr>
        <w:tc>
          <w:tcPr>
            <w:tcW w:w="1803" w:type="dxa"/>
          </w:tcPr>
          <w:p w14:paraId="1A4ACCA1" w14:textId="77777777" w:rsidR="00727AEE" w:rsidRPr="001362C0" w:rsidRDefault="00727AEE" w:rsidP="005C5A1B">
            <w:pPr>
              <w:pStyle w:val="Tabletext"/>
            </w:pPr>
            <w:r>
              <w:t>Beam</w:t>
            </w:r>
            <w:r w:rsidRPr="001362C0">
              <w:t xml:space="preserve"> </w:t>
            </w:r>
            <w:r>
              <w:t>71</w:t>
            </w:r>
            <w:r w:rsidR="005C5A1B">
              <w:t>—</w:t>
            </w:r>
            <w:r>
              <w:t>Cocos Is, Cocos</w:t>
            </w:r>
          </w:p>
        </w:tc>
        <w:tc>
          <w:tcPr>
            <w:tcW w:w="1803" w:type="dxa"/>
          </w:tcPr>
          <w:p w14:paraId="4298FACB" w14:textId="77777777" w:rsidR="00727AEE" w:rsidRPr="001362C0" w:rsidRDefault="00727AEE" w:rsidP="005C5A1B">
            <w:pPr>
              <w:pStyle w:val="Tabletext"/>
            </w:pPr>
            <w:r>
              <w:t>Beam</w:t>
            </w:r>
            <w:r w:rsidRPr="001362C0">
              <w:t xml:space="preserve"> </w:t>
            </w:r>
            <w:r w:rsidRPr="00981BAF">
              <w:t>91</w:t>
            </w:r>
            <w:r w:rsidR="005C5A1B">
              <w:t>—</w:t>
            </w:r>
            <w:r w:rsidRPr="001362C0">
              <w:t>Hughenden</w:t>
            </w:r>
            <w:r>
              <w:t>,</w:t>
            </w:r>
            <w:r w:rsidRPr="00981BAF">
              <w:t xml:space="preserve"> QLD</w:t>
            </w:r>
          </w:p>
        </w:tc>
        <w:tc>
          <w:tcPr>
            <w:tcW w:w="1803" w:type="dxa"/>
          </w:tcPr>
          <w:p w14:paraId="01DA05B8" w14:textId="77777777" w:rsidR="00727AEE" w:rsidRPr="00981BAF" w:rsidRDefault="00727AEE" w:rsidP="005C5A1B">
            <w:pPr>
              <w:pStyle w:val="Tabletextcentred"/>
            </w:pPr>
            <w:r>
              <w:t>Beam 96</w:t>
            </w:r>
            <w:r w:rsidR="00BD5767">
              <w:t>—</w:t>
            </w:r>
            <w:r w:rsidRPr="00981BAF">
              <w:t xml:space="preserve">Birdsville, </w:t>
            </w:r>
            <w:r>
              <w:t>QLD</w:t>
            </w:r>
          </w:p>
        </w:tc>
        <w:tc>
          <w:tcPr>
            <w:tcW w:w="1803" w:type="dxa"/>
          </w:tcPr>
          <w:p w14:paraId="241A160C" w14:textId="77777777" w:rsidR="00727AEE" w:rsidRPr="00981BAF" w:rsidRDefault="00727AEE" w:rsidP="005C5A1B">
            <w:pPr>
              <w:pStyle w:val="Tabletextcentred"/>
            </w:pPr>
          </w:p>
        </w:tc>
        <w:tc>
          <w:tcPr>
            <w:tcW w:w="1804" w:type="dxa"/>
          </w:tcPr>
          <w:p w14:paraId="17CC98AA" w14:textId="77777777" w:rsidR="00727AEE" w:rsidRPr="00981BAF" w:rsidRDefault="00727AEE" w:rsidP="005C5A1B">
            <w:pPr>
              <w:pStyle w:val="Tabletextcentred"/>
            </w:pPr>
          </w:p>
        </w:tc>
      </w:tr>
      <w:tr w:rsidR="00727AEE" w:rsidRPr="001362C0" w14:paraId="2B59CBDA" w14:textId="77777777" w:rsidTr="005C5A1B">
        <w:trPr>
          <w:cantSplit/>
        </w:trPr>
        <w:tc>
          <w:tcPr>
            <w:tcW w:w="1803" w:type="dxa"/>
          </w:tcPr>
          <w:p w14:paraId="48DEE50D" w14:textId="77777777" w:rsidR="00727AEE" w:rsidRPr="001362C0" w:rsidRDefault="00727AEE" w:rsidP="005C5A1B">
            <w:pPr>
              <w:pStyle w:val="Tabletext"/>
            </w:pPr>
          </w:p>
        </w:tc>
        <w:tc>
          <w:tcPr>
            <w:tcW w:w="1803" w:type="dxa"/>
          </w:tcPr>
          <w:p w14:paraId="2A0605CE" w14:textId="77777777" w:rsidR="00727AEE" w:rsidRPr="001362C0" w:rsidRDefault="00727AEE" w:rsidP="005C5A1B">
            <w:pPr>
              <w:pStyle w:val="Tabletext"/>
            </w:pPr>
            <w:r>
              <w:t>Beam 95</w:t>
            </w:r>
            <w:r w:rsidR="00BD5767">
              <w:t>—</w:t>
            </w:r>
            <w:r w:rsidRPr="00981BAF">
              <w:t xml:space="preserve"> Oodnadatta, SA</w:t>
            </w:r>
          </w:p>
        </w:tc>
        <w:tc>
          <w:tcPr>
            <w:tcW w:w="1803" w:type="dxa"/>
          </w:tcPr>
          <w:p w14:paraId="441980C2" w14:textId="77777777" w:rsidR="00727AEE" w:rsidRPr="00981BAF" w:rsidRDefault="00727AEE" w:rsidP="005C5A1B">
            <w:pPr>
              <w:pStyle w:val="Tabletextcentred"/>
            </w:pPr>
            <w:r w:rsidRPr="00981BAF">
              <w:t>B</w:t>
            </w:r>
            <w:r>
              <w:t>eam 99</w:t>
            </w:r>
            <w:r w:rsidR="00BD5767">
              <w:t>—</w:t>
            </w:r>
            <w:r w:rsidRPr="00981BAF">
              <w:t>Ced</w:t>
            </w:r>
            <w:r w:rsidRPr="001362C0">
              <w:t xml:space="preserve">una, </w:t>
            </w:r>
            <w:r w:rsidRPr="00981BAF">
              <w:t xml:space="preserve">SA </w:t>
            </w:r>
            <w:r w:rsidRPr="001362C0">
              <w:t xml:space="preserve">(large </w:t>
            </w:r>
            <w:r w:rsidRPr="00981BAF">
              <w:t>beam)</w:t>
            </w:r>
          </w:p>
        </w:tc>
        <w:tc>
          <w:tcPr>
            <w:tcW w:w="1803" w:type="dxa"/>
          </w:tcPr>
          <w:p w14:paraId="216D72E9" w14:textId="77777777" w:rsidR="00727AEE" w:rsidRPr="00981BAF" w:rsidRDefault="00727AEE" w:rsidP="005C5A1B">
            <w:pPr>
              <w:pStyle w:val="Tabletextcentred"/>
            </w:pPr>
          </w:p>
        </w:tc>
        <w:tc>
          <w:tcPr>
            <w:tcW w:w="1804" w:type="dxa"/>
          </w:tcPr>
          <w:p w14:paraId="7EDE25B7" w14:textId="77777777" w:rsidR="00727AEE" w:rsidRPr="00981BAF" w:rsidRDefault="00727AEE" w:rsidP="005C5A1B">
            <w:pPr>
              <w:pStyle w:val="Tabletextcentred"/>
            </w:pPr>
          </w:p>
        </w:tc>
      </w:tr>
      <w:tr w:rsidR="00727AEE" w:rsidRPr="001362C0" w14:paraId="6A30F4C7" w14:textId="77777777" w:rsidTr="005C5A1B">
        <w:trPr>
          <w:cantSplit/>
        </w:trPr>
        <w:tc>
          <w:tcPr>
            <w:tcW w:w="1803" w:type="dxa"/>
          </w:tcPr>
          <w:p w14:paraId="2EEE331A" w14:textId="77777777" w:rsidR="00727AEE" w:rsidRPr="001362C0" w:rsidRDefault="00727AEE" w:rsidP="005C5A1B">
            <w:pPr>
              <w:pStyle w:val="Tabletext"/>
            </w:pPr>
          </w:p>
        </w:tc>
        <w:tc>
          <w:tcPr>
            <w:tcW w:w="1803" w:type="dxa"/>
          </w:tcPr>
          <w:p w14:paraId="032B3C2C" w14:textId="77777777" w:rsidR="00727AEE" w:rsidRPr="001362C0" w:rsidRDefault="00727AEE" w:rsidP="005C5A1B">
            <w:pPr>
              <w:pStyle w:val="Tabletext"/>
            </w:pPr>
            <w:r w:rsidRPr="00981BAF">
              <w:t>Beam 97</w:t>
            </w:r>
            <w:r w:rsidR="00BD5767">
              <w:t>—</w:t>
            </w:r>
            <w:r>
              <w:t>Ravensthorpe</w:t>
            </w:r>
            <w:r w:rsidRPr="001362C0">
              <w:t>, WA</w:t>
            </w:r>
          </w:p>
        </w:tc>
        <w:tc>
          <w:tcPr>
            <w:tcW w:w="1803" w:type="dxa"/>
          </w:tcPr>
          <w:p w14:paraId="2CB021A7" w14:textId="77777777" w:rsidR="00727AEE" w:rsidRPr="00981BAF" w:rsidRDefault="00727AEE" w:rsidP="005C5A1B">
            <w:pPr>
              <w:pStyle w:val="Tabletextcentred"/>
            </w:pPr>
            <w:r w:rsidRPr="00981BAF">
              <w:t xml:space="preserve">Beam 101 -Cobar, </w:t>
            </w:r>
            <w:r>
              <w:t>N</w:t>
            </w:r>
            <w:r w:rsidRPr="001362C0">
              <w:t>SW</w:t>
            </w:r>
          </w:p>
        </w:tc>
        <w:tc>
          <w:tcPr>
            <w:tcW w:w="1803" w:type="dxa"/>
          </w:tcPr>
          <w:p w14:paraId="7C07C9F3" w14:textId="77777777" w:rsidR="00727AEE" w:rsidRPr="00981BAF" w:rsidRDefault="00727AEE" w:rsidP="005C5A1B">
            <w:pPr>
              <w:pStyle w:val="Tabletextcentred"/>
            </w:pPr>
          </w:p>
        </w:tc>
        <w:tc>
          <w:tcPr>
            <w:tcW w:w="1804" w:type="dxa"/>
          </w:tcPr>
          <w:p w14:paraId="51DB6EA8" w14:textId="77777777" w:rsidR="00727AEE" w:rsidRPr="00981BAF" w:rsidRDefault="00727AEE" w:rsidP="005C5A1B">
            <w:pPr>
              <w:pStyle w:val="Tabletextcentred"/>
            </w:pPr>
          </w:p>
        </w:tc>
      </w:tr>
    </w:tbl>
    <w:p w14:paraId="732B56A6" w14:textId="77777777" w:rsidR="002F63E2" w:rsidRDefault="002F63E2" w:rsidP="00DE3BEE"/>
    <w:tbl>
      <w:tblPr>
        <w:tblStyle w:val="TableGrid"/>
        <w:tblW w:w="0" w:type="auto"/>
        <w:tblLook w:val="04A0" w:firstRow="1" w:lastRow="0" w:firstColumn="1" w:lastColumn="0" w:noHBand="0" w:noVBand="1"/>
        <w:tblDescription w:val="Figure A.2: Correspondence between downlink beams and gateway earth stations &#10;(Source: https://birrraus.com/2016/06/05/what-are-sky-muster-spot-beams/)&#10;&#10;Geraldton WA, Kalgoorlie WA,  TT&amp;C Site, Roma QLD, Waroona WA, Wolumla NSW,  TT&amp;C Site&#10;"/>
      </w:tblPr>
      <w:tblGrid>
        <w:gridCol w:w="1803"/>
        <w:gridCol w:w="1803"/>
        <w:gridCol w:w="1803"/>
        <w:gridCol w:w="1803"/>
        <w:gridCol w:w="1804"/>
      </w:tblGrid>
      <w:tr w:rsidR="002F63E2" w:rsidRPr="001362C0" w14:paraId="3081A060" w14:textId="77777777" w:rsidTr="00432DB3">
        <w:trPr>
          <w:cantSplit/>
          <w:tblHeader/>
        </w:trPr>
        <w:tc>
          <w:tcPr>
            <w:tcW w:w="1803" w:type="dxa"/>
            <w:shd w:val="clear" w:color="auto" w:fill="E4E4E4" w:themeFill="background2"/>
          </w:tcPr>
          <w:p w14:paraId="60A80EC5" w14:textId="77777777" w:rsidR="002F63E2" w:rsidRPr="00756C4A" w:rsidRDefault="002F63E2" w:rsidP="00432DB3">
            <w:pPr>
              <w:pStyle w:val="Tablerowcolumnheadingcentred"/>
            </w:pPr>
            <w:r w:rsidRPr="00756C4A">
              <w:t>Geraldton WA</w:t>
            </w:r>
          </w:p>
        </w:tc>
        <w:tc>
          <w:tcPr>
            <w:tcW w:w="1803" w:type="dxa"/>
            <w:shd w:val="clear" w:color="auto" w:fill="E4E4E4" w:themeFill="background2"/>
          </w:tcPr>
          <w:p w14:paraId="2A4B8E22" w14:textId="77777777" w:rsidR="002F63E2" w:rsidRPr="00756C4A" w:rsidRDefault="002F63E2" w:rsidP="00432DB3">
            <w:pPr>
              <w:pStyle w:val="Tablerowcolumnheadingcentred"/>
            </w:pPr>
            <w:r w:rsidRPr="00756C4A">
              <w:t>Kalgoorlie WA TT&amp;C Site</w:t>
            </w:r>
          </w:p>
        </w:tc>
        <w:tc>
          <w:tcPr>
            <w:tcW w:w="1803" w:type="dxa"/>
            <w:shd w:val="clear" w:color="auto" w:fill="E4E4E4" w:themeFill="background2"/>
          </w:tcPr>
          <w:p w14:paraId="2F987DC7" w14:textId="77777777" w:rsidR="002F63E2" w:rsidRPr="00756C4A" w:rsidRDefault="002F63E2" w:rsidP="00432DB3">
            <w:pPr>
              <w:pStyle w:val="Tablerowcolumnheadingcentred"/>
              <w:rPr>
                <w:color w:val="6B6B6B"/>
              </w:rPr>
            </w:pPr>
            <w:r w:rsidRPr="00756C4A">
              <w:rPr>
                <w:color w:val="6B6B6B"/>
              </w:rPr>
              <w:t>Roma QLD</w:t>
            </w:r>
          </w:p>
        </w:tc>
        <w:tc>
          <w:tcPr>
            <w:tcW w:w="1803" w:type="dxa"/>
            <w:shd w:val="clear" w:color="auto" w:fill="E4E4E4" w:themeFill="background2"/>
          </w:tcPr>
          <w:p w14:paraId="081E0374" w14:textId="77777777" w:rsidR="002F63E2" w:rsidRPr="00756C4A" w:rsidRDefault="002F63E2" w:rsidP="00432DB3">
            <w:pPr>
              <w:pStyle w:val="Tablerowcolumnheadingcentred"/>
            </w:pPr>
            <w:r w:rsidRPr="00756C4A">
              <w:t>Waroona WA</w:t>
            </w:r>
          </w:p>
        </w:tc>
        <w:tc>
          <w:tcPr>
            <w:tcW w:w="1804" w:type="dxa"/>
            <w:shd w:val="clear" w:color="auto" w:fill="E4E4E4" w:themeFill="background2"/>
          </w:tcPr>
          <w:p w14:paraId="0277298C" w14:textId="77777777" w:rsidR="002F63E2" w:rsidRPr="00756C4A" w:rsidRDefault="002F63E2" w:rsidP="00432DB3">
            <w:pPr>
              <w:pStyle w:val="Tablerowcolumnheadingcentred"/>
            </w:pPr>
            <w:r w:rsidRPr="00756C4A">
              <w:t>Wolumla NSW TT&amp;C Site</w:t>
            </w:r>
          </w:p>
        </w:tc>
      </w:tr>
      <w:tr w:rsidR="002F63E2" w:rsidRPr="001362C0" w14:paraId="6573CD34" w14:textId="77777777" w:rsidTr="00432DB3">
        <w:trPr>
          <w:cantSplit/>
        </w:trPr>
        <w:tc>
          <w:tcPr>
            <w:tcW w:w="1803" w:type="dxa"/>
          </w:tcPr>
          <w:p w14:paraId="77F24569" w14:textId="77777777" w:rsidR="002F63E2" w:rsidRPr="001362C0" w:rsidRDefault="002F63E2" w:rsidP="00432DB3">
            <w:pPr>
              <w:pStyle w:val="Tabletext"/>
            </w:pPr>
            <w:r>
              <w:t>Beam 05—Torrens Creek, QLD</w:t>
            </w:r>
          </w:p>
        </w:tc>
        <w:tc>
          <w:tcPr>
            <w:tcW w:w="1803" w:type="dxa"/>
          </w:tcPr>
          <w:p w14:paraId="245DC961" w14:textId="77777777" w:rsidR="002F63E2" w:rsidRPr="001362C0" w:rsidRDefault="002F63E2" w:rsidP="00432DB3">
            <w:pPr>
              <w:pStyle w:val="Tabletext"/>
            </w:pPr>
            <w:r>
              <w:t>Beam 10—Clermont, QLD</w:t>
            </w:r>
          </w:p>
        </w:tc>
        <w:tc>
          <w:tcPr>
            <w:tcW w:w="1803" w:type="dxa"/>
          </w:tcPr>
          <w:p w14:paraId="3D034802" w14:textId="77777777" w:rsidR="002F63E2" w:rsidRPr="001362C0" w:rsidRDefault="002F63E2" w:rsidP="00432DB3">
            <w:pPr>
              <w:pStyle w:val="Tabletextcentred"/>
            </w:pPr>
            <w:r>
              <w:t>Beam 09—Galilee Basin, QLD</w:t>
            </w:r>
          </w:p>
        </w:tc>
        <w:tc>
          <w:tcPr>
            <w:tcW w:w="1803" w:type="dxa"/>
          </w:tcPr>
          <w:p w14:paraId="41EE504A" w14:textId="77777777" w:rsidR="002F63E2" w:rsidRPr="001362C0" w:rsidRDefault="002F63E2" w:rsidP="00432DB3">
            <w:pPr>
              <w:pStyle w:val="Tabletextcentred"/>
            </w:pPr>
            <w:r>
              <w:t>Beam 2—Townsville, QLD</w:t>
            </w:r>
          </w:p>
        </w:tc>
        <w:tc>
          <w:tcPr>
            <w:tcW w:w="1804" w:type="dxa"/>
          </w:tcPr>
          <w:p w14:paraId="6E8AFF5F" w14:textId="77777777" w:rsidR="002F63E2" w:rsidRPr="001362C0" w:rsidRDefault="002F63E2" w:rsidP="00432DB3">
            <w:pPr>
              <w:pStyle w:val="Tabletext"/>
            </w:pPr>
            <w:r>
              <w:t>Standby site</w:t>
            </w:r>
          </w:p>
        </w:tc>
      </w:tr>
      <w:tr w:rsidR="002F63E2" w:rsidRPr="001362C0" w14:paraId="06F62AF8" w14:textId="77777777" w:rsidTr="00432DB3">
        <w:trPr>
          <w:cantSplit/>
        </w:trPr>
        <w:tc>
          <w:tcPr>
            <w:tcW w:w="1803" w:type="dxa"/>
          </w:tcPr>
          <w:p w14:paraId="26944119" w14:textId="77777777" w:rsidR="002F63E2" w:rsidRPr="001362C0" w:rsidRDefault="002F63E2" w:rsidP="00432DB3">
            <w:pPr>
              <w:pStyle w:val="Tabletext"/>
            </w:pPr>
            <w:r>
              <w:t>Beam 21—Cunnamulla, QLD</w:t>
            </w:r>
          </w:p>
        </w:tc>
        <w:tc>
          <w:tcPr>
            <w:tcW w:w="1803" w:type="dxa"/>
          </w:tcPr>
          <w:p w14:paraId="20922391" w14:textId="77777777" w:rsidR="002F63E2" w:rsidRPr="001362C0" w:rsidRDefault="002F63E2" w:rsidP="00432DB3">
            <w:pPr>
              <w:pStyle w:val="Tabletext"/>
            </w:pPr>
            <w:r>
              <w:t>Beam 13—Mantuan Downs, QLD</w:t>
            </w:r>
          </w:p>
        </w:tc>
        <w:tc>
          <w:tcPr>
            <w:tcW w:w="1803" w:type="dxa"/>
          </w:tcPr>
          <w:p w14:paraId="216B3018" w14:textId="77777777" w:rsidR="002F63E2" w:rsidRPr="001362C0" w:rsidRDefault="002F63E2" w:rsidP="00432DB3">
            <w:pPr>
              <w:pStyle w:val="Tabletextcentred"/>
            </w:pPr>
            <w:r>
              <w:t>Beam 18—Roma, QLD</w:t>
            </w:r>
          </w:p>
        </w:tc>
        <w:tc>
          <w:tcPr>
            <w:tcW w:w="1803" w:type="dxa"/>
          </w:tcPr>
          <w:p w14:paraId="2820C7F6" w14:textId="77777777" w:rsidR="002F63E2" w:rsidRPr="001362C0" w:rsidRDefault="002F63E2" w:rsidP="00432DB3">
            <w:pPr>
              <w:pStyle w:val="Tabletextcentred"/>
            </w:pPr>
            <w:r>
              <w:t>Beam 16—Bundaberg, QLD</w:t>
            </w:r>
          </w:p>
        </w:tc>
        <w:tc>
          <w:tcPr>
            <w:tcW w:w="1804" w:type="dxa"/>
          </w:tcPr>
          <w:p w14:paraId="0CA3E789" w14:textId="77777777" w:rsidR="002F63E2" w:rsidRPr="001362C0" w:rsidRDefault="002F63E2" w:rsidP="00432DB3">
            <w:pPr>
              <w:pStyle w:val="Tabletext"/>
            </w:pPr>
            <w:r>
              <w:t>Wolumla near Merimbula, can assume control of beams from any other Earth Station, in order to provide service in the event of catastrophic failure</w:t>
            </w:r>
          </w:p>
        </w:tc>
      </w:tr>
      <w:tr w:rsidR="002F63E2" w:rsidRPr="001362C0" w14:paraId="240CA805" w14:textId="77777777" w:rsidTr="00432DB3">
        <w:trPr>
          <w:cantSplit/>
        </w:trPr>
        <w:tc>
          <w:tcPr>
            <w:tcW w:w="1803" w:type="dxa"/>
          </w:tcPr>
          <w:p w14:paraId="2CDB286A" w14:textId="77777777" w:rsidR="002F63E2" w:rsidRDefault="002F63E2" w:rsidP="00432DB3">
            <w:pPr>
              <w:pStyle w:val="Tabletext"/>
            </w:pPr>
            <w:r>
              <w:lastRenderedPageBreak/>
              <w:t>Beam 23 Goondiwindi, QLD</w:t>
            </w:r>
          </w:p>
        </w:tc>
        <w:tc>
          <w:tcPr>
            <w:tcW w:w="1803" w:type="dxa"/>
          </w:tcPr>
          <w:p w14:paraId="6EAA2673" w14:textId="77777777" w:rsidR="002F63E2" w:rsidRDefault="002F63E2" w:rsidP="00432DB3">
            <w:pPr>
              <w:pStyle w:val="Tabletext"/>
            </w:pPr>
            <w:r>
              <w:t>Beam 20—Gympie, QLD</w:t>
            </w:r>
          </w:p>
        </w:tc>
        <w:tc>
          <w:tcPr>
            <w:tcW w:w="1803" w:type="dxa"/>
          </w:tcPr>
          <w:p w14:paraId="1091EF9C" w14:textId="77777777" w:rsidR="002F63E2" w:rsidRDefault="002F63E2" w:rsidP="00432DB3">
            <w:pPr>
              <w:pStyle w:val="Tabletextcentred"/>
            </w:pPr>
            <w:r>
              <w:t>Beam 29—Coffs Harbour, NSW</w:t>
            </w:r>
          </w:p>
        </w:tc>
        <w:tc>
          <w:tcPr>
            <w:tcW w:w="1803" w:type="dxa"/>
          </w:tcPr>
          <w:p w14:paraId="49A1E174" w14:textId="77777777" w:rsidR="002F63E2" w:rsidRDefault="002F63E2" w:rsidP="00432DB3">
            <w:pPr>
              <w:pStyle w:val="Tabletextcentred"/>
            </w:pPr>
            <w:r>
              <w:t>Beam 17—Charleville, QLD</w:t>
            </w:r>
          </w:p>
        </w:tc>
        <w:tc>
          <w:tcPr>
            <w:tcW w:w="1804" w:type="dxa"/>
          </w:tcPr>
          <w:p w14:paraId="6252F84E" w14:textId="77777777" w:rsidR="002F63E2" w:rsidRPr="001362C0" w:rsidRDefault="002F63E2" w:rsidP="00432DB3">
            <w:pPr>
              <w:pStyle w:val="Tabletext"/>
            </w:pPr>
            <w:r>
              <w:t>Wolumla near Merimbula, can assume control of beams from any other Earth Station, in order to provide service in the event of catastrophic failure</w:t>
            </w:r>
          </w:p>
        </w:tc>
      </w:tr>
      <w:tr w:rsidR="002F63E2" w:rsidRPr="001362C0" w14:paraId="6F13CE77" w14:textId="77777777" w:rsidTr="00432DB3">
        <w:trPr>
          <w:cantSplit/>
        </w:trPr>
        <w:tc>
          <w:tcPr>
            <w:tcW w:w="1803" w:type="dxa"/>
          </w:tcPr>
          <w:p w14:paraId="14969FEF" w14:textId="77777777" w:rsidR="002F63E2" w:rsidRDefault="002F63E2" w:rsidP="00432DB3">
            <w:pPr>
              <w:pStyle w:val="Tabletext"/>
            </w:pPr>
            <w:r>
              <w:t>Beam 25—Brisbane, QLD</w:t>
            </w:r>
          </w:p>
        </w:tc>
        <w:tc>
          <w:tcPr>
            <w:tcW w:w="1803" w:type="dxa"/>
          </w:tcPr>
          <w:p w14:paraId="71825EAD" w14:textId="77777777" w:rsidR="002F63E2" w:rsidRDefault="002F63E2" w:rsidP="00432DB3">
            <w:pPr>
              <w:pStyle w:val="Tabletext"/>
            </w:pPr>
            <w:r>
              <w:t>Beam 24—Forster, NSW</w:t>
            </w:r>
          </w:p>
        </w:tc>
        <w:tc>
          <w:tcPr>
            <w:tcW w:w="1803" w:type="dxa"/>
          </w:tcPr>
          <w:p w14:paraId="3176FE4C" w14:textId="77777777" w:rsidR="002F63E2" w:rsidRDefault="002F63E2" w:rsidP="00432DB3">
            <w:pPr>
              <w:pStyle w:val="Tabletextcentred"/>
            </w:pPr>
            <w:r>
              <w:t>Beam 35—Port Lincoln, SA</w:t>
            </w:r>
          </w:p>
        </w:tc>
        <w:tc>
          <w:tcPr>
            <w:tcW w:w="1803" w:type="dxa"/>
          </w:tcPr>
          <w:p w14:paraId="3D066F5E" w14:textId="77777777" w:rsidR="002F63E2" w:rsidRDefault="002F63E2" w:rsidP="00432DB3">
            <w:pPr>
              <w:pStyle w:val="Tabletextcentred"/>
            </w:pPr>
            <w:r>
              <w:t>Beam 19—Chinchilla, QLD</w:t>
            </w:r>
          </w:p>
        </w:tc>
        <w:tc>
          <w:tcPr>
            <w:tcW w:w="1804" w:type="dxa"/>
          </w:tcPr>
          <w:p w14:paraId="3AEB471C" w14:textId="77777777" w:rsidR="002F63E2" w:rsidRPr="001362C0" w:rsidRDefault="002F63E2" w:rsidP="00432DB3">
            <w:pPr>
              <w:pStyle w:val="Tabletext"/>
            </w:pPr>
            <w:r>
              <w:t>Wolumla near Merimbula, can assume control of beams from any other Earth Station, in order to provide service in the event of catastrophic failure</w:t>
            </w:r>
          </w:p>
        </w:tc>
      </w:tr>
      <w:tr w:rsidR="002F63E2" w:rsidRPr="001362C0" w14:paraId="6CC6E5EE" w14:textId="77777777" w:rsidTr="00432DB3">
        <w:trPr>
          <w:cantSplit/>
        </w:trPr>
        <w:tc>
          <w:tcPr>
            <w:tcW w:w="1803" w:type="dxa"/>
          </w:tcPr>
          <w:p w14:paraId="65E4AE81" w14:textId="77777777" w:rsidR="002F63E2" w:rsidRDefault="002F63E2" w:rsidP="00432DB3">
            <w:pPr>
              <w:pStyle w:val="Tabletext"/>
            </w:pPr>
            <w:r>
              <w:t>Beam 27—Lightning Ridge, NSW</w:t>
            </w:r>
          </w:p>
        </w:tc>
        <w:tc>
          <w:tcPr>
            <w:tcW w:w="1803" w:type="dxa"/>
          </w:tcPr>
          <w:p w14:paraId="11076DB2" w14:textId="77777777" w:rsidR="002F63E2" w:rsidRDefault="002F63E2" w:rsidP="00432DB3">
            <w:pPr>
              <w:pStyle w:val="Tabletext"/>
            </w:pPr>
            <w:r>
              <w:t>Beam 36—Whyalla, SA</w:t>
            </w:r>
          </w:p>
        </w:tc>
        <w:tc>
          <w:tcPr>
            <w:tcW w:w="1803" w:type="dxa"/>
          </w:tcPr>
          <w:p w14:paraId="65080F8B" w14:textId="77777777" w:rsidR="002F63E2" w:rsidRDefault="002F63E2" w:rsidP="00432DB3">
            <w:pPr>
              <w:pStyle w:val="Tabletextcentred"/>
            </w:pPr>
            <w:r>
              <w:t>Beam 37—Adelaide, SA</w:t>
            </w:r>
          </w:p>
        </w:tc>
        <w:tc>
          <w:tcPr>
            <w:tcW w:w="1803" w:type="dxa"/>
          </w:tcPr>
          <w:p w14:paraId="01492516" w14:textId="77777777" w:rsidR="002F63E2" w:rsidRDefault="002F63E2" w:rsidP="00432DB3">
            <w:pPr>
              <w:pStyle w:val="Tabletextcentred"/>
            </w:pPr>
            <w:r>
              <w:t>Beam 38—Mildura VIC</w:t>
            </w:r>
          </w:p>
        </w:tc>
        <w:tc>
          <w:tcPr>
            <w:tcW w:w="1804" w:type="dxa"/>
          </w:tcPr>
          <w:p w14:paraId="6E206B72" w14:textId="77777777" w:rsidR="002F63E2" w:rsidRPr="001362C0" w:rsidRDefault="002F63E2" w:rsidP="00432DB3">
            <w:pPr>
              <w:pStyle w:val="Tabletext"/>
            </w:pPr>
            <w:r>
              <w:t>Wolumla near Merimbula, can assume control of beams from any other Earth Station, in order to provide service in the event of catastrophic failure</w:t>
            </w:r>
          </w:p>
        </w:tc>
      </w:tr>
      <w:tr w:rsidR="002F63E2" w:rsidRPr="001362C0" w14:paraId="10BF8746" w14:textId="77777777" w:rsidTr="00432DB3">
        <w:trPr>
          <w:cantSplit/>
        </w:trPr>
        <w:tc>
          <w:tcPr>
            <w:tcW w:w="1803" w:type="dxa"/>
          </w:tcPr>
          <w:p w14:paraId="256FC809" w14:textId="77777777" w:rsidR="002F63E2" w:rsidRDefault="002F63E2" w:rsidP="00432DB3">
            <w:pPr>
              <w:pStyle w:val="Tabletext"/>
            </w:pPr>
            <w:r>
              <w:t>Beam 31—Port Augusta, SA</w:t>
            </w:r>
          </w:p>
        </w:tc>
        <w:tc>
          <w:tcPr>
            <w:tcW w:w="1803" w:type="dxa"/>
          </w:tcPr>
          <w:p w14:paraId="4C59BC63" w14:textId="77777777" w:rsidR="002F63E2" w:rsidRDefault="002F63E2" w:rsidP="00432DB3">
            <w:pPr>
              <w:pStyle w:val="Tabletext"/>
            </w:pPr>
            <w:r>
              <w:t>Beam 43—Kangaroo Island, SA</w:t>
            </w:r>
          </w:p>
        </w:tc>
        <w:tc>
          <w:tcPr>
            <w:tcW w:w="1803" w:type="dxa"/>
          </w:tcPr>
          <w:p w14:paraId="299D07DE" w14:textId="77777777" w:rsidR="002F63E2" w:rsidRDefault="002F63E2" w:rsidP="00432DB3">
            <w:pPr>
              <w:pStyle w:val="Tabletextcentred"/>
            </w:pPr>
            <w:r>
              <w:t>Beam 50—Warrnambool, VIC</w:t>
            </w:r>
          </w:p>
        </w:tc>
        <w:tc>
          <w:tcPr>
            <w:tcW w:w="1803" w:type="dxa"/>
          </w:tcPr>
          <w:p w14:paraId="0843AAB1" w14:textId="77777777" w:rsidR="002F63E2" w:rsidRDefault="002F63E2" w:rsidP="00432DB3">
            <w:pPr>
              <w:pStyle w:val="Tabletextcentred"/>
            </w:pPr>
            <w:r>
              <w:t>Beam 41—Canberra, ACT</w:t>
            </w:r>
          </w:p>
        </w:tc>
        <w:tc>
          <w:tcPr>
            <w:tcW w:w="1804" w:type="dxa"/>
          </w:tcPr>
          <w:p w14:paraId="26F7F004" w14:textId="77777777" w:rsidR="002F63E2" w:rsidRPr="001362C0" w:rsidRDefault="002F63E2" w:rsidP="00432DB3">
            <w:pPr>
              <w:pStyle w:val="Tabletext"/>
            </w:pPr>
            <w:r>
              <w:t>Wolumla near Merimbula, can assume control of beams from any other Earth Station, in order to provide service in the event of catastrophic failure</w:t>
            </w:r>
          </w:p>
        </w:tc>
      </w:tr>
      <w:tr w:rsidR="002F63E2" w:rsidRPr="001362C0" w14:paraId="4CDD30CD" w14:textId="77777777" w:rsidTr="00432DB3">
        <w:trPr>
          <w:cantSplit/>
        </w:trPr>
        <w:tc>
          <w:tcPr>
            <w:tcW w:w="1803" w:type="dxa"/>
          </w:tcPr>
          <w:p w14:paraId="1EB5364A" w14:textId="77777777" w:rsidR="002F63E2" w:rsidRDefault="002F63E2" w:rsidP="00432DB3">
            <w:pPr>
              <w:pStyle w:val="Tabletext"/>
            </w:pPr>
            <w:r>
              <w:t>Beam 42—Sydney, NSW</w:t>
            </w:r>
          </w:p>
        </w:tc>
        <w:tc>
          <w:tcPr>
            <w:tcW w:w="1803" w:type="dxa"/>
          </w:tcPr>
          <w:p w14:paraId="28F06EA7" w14:textId="77777777" w:rsidR="002F63E2" w:rsidRDefault="002F63E2" w:rsidP="00432DB3">
            <w:pPr>
              <w:pStyle w:val="Tabletext"/>
            </w:pPr>
            <w:r>
              <w:t>Beam 56—Hobart, TAS</w:t>
            </w:r>
          </w:p>
        </w:tc>
        <w:tc>
          <w:tcPr>
            <w:tcW w:w="1803" w:type="dxa"/>
          </w:tcPr>
          <w:p w14:paraId="2AD1D83B" w14:textId="77777777" w:rsidR="002F63E2" w:rsidRDefault="002F63E2" w:rsidP="00432DB3">
            <w:pPr>
              <w:pStyle w:val="Tabletextcentred"/>
            </w:pPr>
            <w:r>
              <w:t>Beam 57 –Bamaga, QLD</w:t>
            </w:r>
          </w:p>
        </w:tc>
        <w:tc>
          <w:tcPr>
            <w:tcW w:w="1803" w:type="dxa"/>
          </w:tcPr>
          <w:p w14:paraId="4F6127EC" w14:textId="77777777" w:rsidR="002F63E2" w:rsidRDefault="002F63E2" w:rsidP="00432DB3">
            <w:pPr>
              <w:pStyle w:val="Tabletextcentred"/>
            </w:pPr>
            <w:r>
              <w:t>Beam 66—Perth, WA</w:t>
            </w:r>
          </w:p>
        </w:tc>
        <w:tc>
          <w:tcPr>
            <w:tcW w:w="1804" w:type="dxa"/>
          </w:tcPr>
          <w:p w14:paraId="5D45766E" w14:textId="77777777" w:rsidR="002F63E2" w:rsidRPr="001362C0" w:rsidRDefault="002F63E2" w:rsidP="00432DB3">
            <w:pPr>
              <w:pStyle w:val="Tabletext"/>
            </w:pPr>
            <w:r>
              <w:t>Wolumla near Merimbula, can assume control of beams from any other Earth Station, in order to provide service in the event of catastrophic failure</w:t>
            </w:r>
          </w:p>
        </w:tc>
      </w:tr>
      <w:tr w:rsidR="002F63E2" w:rsidRPr="001362C0" w14:paraId="71C98108" w14:textId="77777777" w:rsidTr="00432DB3">
        <w:trPr>
          <w:cantSplit/>
        </w:trPr>
        <w:tc>
          <w:tcPr>
            <w:tcW w:w="1803" w:type="dxa"/>
          </w:tcPr>
          <w:p w14:paraId="5CA61651" w14:textId="77777777" w:rsidR="002F63E2" w:rsidRDefault="002F63E2" w:rsidP="00432DB3">
            <w:pPr>
              <w:pStyle w:val="Tabletext"/>
            </w:pPr>
            <w:r>
              <w:lastRenderedPageBreak/>
              <w:t>Beam 45—Bordertown, SA</w:t>
            </w:r>
          </w:p>
        </w:tc>
        <w:tc>
          <w:tcPr>
            <w:tcW w:w="1803" w:type="dxa"/>
          </w:tcPr>
          <w:p w14:paraId="6AB30634" w14:textId="77777777" w:rsidR="002F63E2" w:rsidRDefault="002F63E2" w:rsidP="00432DB3">
            <w:pPr>
              <w:pStyle w:val="Tabletext"/>
            </w:pPr>
            <w:r>
              <w:t>Beam 64—Koorda, WA</w:t>
            </w:r>
          </w:p>
        </w:tc>
        <w:tc>
          <w:tcPr>
            <w:tcW w:w="1803" w:type="dxa"/>
          </w:tcPr>
          <w:p w14:paraId="7101DE7E" w14:textId="77777777" w:rsidR="002F63E2" w:rsidRDefault="002F63E2" w:rsidP="00432DB3">
            <w:pPr>
              <w:pStyle w:val="Tabletextcentred"/>
            </w:pPr>
            <w:r>
              <w:t>Beam 59—Fitzroy Crossing, WA</w:t>
            </w:r>
          </w:p>
        </w:tc>
        <w:tc>
          <w:tcPr>
            <w:tcW w:w="1803" w:type="dxa"/>
          </w:tcPr>
          <w:p w14:paraId="6FC16D4C" w14:textId="77777777" w:rsidR="002F63E2" w:rsidRDefault="002F63E2" w:rsidP="00432DB3">
            <w:pPr>
              <w:pStyle w:val="Tabletextcentred"/>
            </w:pPr>
            <w:r>
              <w:t>Beam 69—Albany, WA</w:t>
            </w:r>
          </w:p>
        </w:tc>
        <w:tc>
          <w:tcPr>
            <w:tcW w:w="1804" w:type="dxa"/>
          </w:tcPr>
          <w:p w14:paraId="6A8B019B" w14:textId="77777777" w:rsidR="002F63E2" w:rsidRPr="001362C0" w:rsidRDefault="002F63E2" w:rsidP="00432DB3">
            <w:pPr>
              <w:pStyle w:val="Tabletext"/>
            </w:pPr>
            <w:r>
              <w:t>Wolumla near Merimbula, can assume control of beams from any other Earth Station, in order to provide service in the event of catastrophic failure</w:t>
            </w:r>
          </w:p>
        </w:tc>
      </w:tr>
      <w:tr w:rsidR="002F63E2" w:rsidRPr="001362C0" w14:paraId="7F9CC470" w14:textId="77777777" w:rsidTr="00432DB3">
        <w:trPr>
          <w:cantSplit/>
        </w:trPr>
        <w:tc>
          <w:tcPr>
            <w:tcW w:w="1803" w:type="dxa"/>
          </w:tcPr>
          <w:p w14:paraId="5A67F50F" w14:textId="77777777" w:rsidR="002F63E2" w:rsidRDefault="002F63E2" w:rsidP="00432DB3">
            <w:pPr>
              <w:pStyle w:val="Tabletext"/>
            </w:pPr>
            <w:r>
              <w:t>Beam 49—Merimbula, NSW</w:t>
            </w:r>
          </w:p>
        </w:tc>
        <w:tc>
          <w:tcPr>
            <w:tcW w:w="1803" w:type="dxa"/>
          </w:tcPr>
          <w:p w14:paraId="613122AE" w14:textId="77777777" w:rsidR="002F63E2" w:rsidRDefault="002F63E2" w:rsidP="00432DB3">
            <w:pPr>
              <w:pStyle w:val="Tabletext"/>
            </w:pPr>
            <w:r>
              <w:t>Beam 68—Augusta, WA</w:t>
            </w:r>
          </w:p>
        </w:tc>
        <w:tc>
          <w:tcPr>
            <w:tcW w:w="1803" w:type="dxa"/>
          </w:tcPr>
          <w:p w14:paraId="350C4C12" w14:textId="77777777" w:rsidR="002F63E2" w:rsidRDefault="002F63E2" w:rsidP="00432DB3">
            <w:pPr>
              <w:pStyle w:val="Tabletextcentred"/>
            </w:pPr>
            <w:r>
              <w:t>Beam 63—Cervantes, WA</w:t>
            </w:r>
          </w:p>
        </w:tc>
        <w:tc>
          <w:tcPr>
            <w:tcW w:w="1803" w:type="dxa"/>
          </w:tcPr>
          <w:p w14:paraId="33CF26BB" w14:textId="77777777" w:rsidR="002F63E2" w:rsidRDefault="002F63E2" w:rsidP="00432DB3">
            <w:pPr>
              <w:pStyle w:val="Tabletextcentred"/>
            </w:pPr>
            <w:r>
              <w:t>Beam 75—Norfolk Island</w:t>
            </w:r>
          </w:p>
        </w:tc>
        <w:tc>
          <w:tcPr>
            <w:tcW w:w="1804" w:type="dxa"/>
          </w:tcPr>
          <w:p w14:paraId="2D0DA5C2" w14:textId="77777777" w:rsidR="002F63E2" w:rsidRPr="001362C0" w:rsidRDefault="002F63E2" w:rsidP="00432DB3">
            <w:pPr>
              <w:pStyle w:val="Tabletext"/>
            </w:pPr>
            <w:r>
              <w:t>Wolumla near Merimbula, can assume control of beams from any other Earth Station, in order to provide service in the event of catastrophic failure</w:t>
            </w:r>
          </w:p>
        </w:tc>
      </w:tr>
      <w:tr w:rsidR="002F63E2" w:rsidRPr="001362C0" w14:paraId="0B63F09E" w14:textId="77777777" w:rsidTr="00432DB3">
        <w:trPr>
          <w:cantSplit/>
        </w:trPr>
        <w:tc>
          <w:tcPr>
            <w:tcW w:w="1803" w:type="dxa"/>
          </w:tcPr>
          <w:p w14:paraId="3C28E909" w14:textId="77777777" w:rsidR="002F63E2" w:rsidRDefault="002F63E2" w:rsidP="00432DB3">
            <w:pPr>
              <w:pStyle w:val="Tabletext"/>
            </w:pPr>
            <w:r>
              <w:t>Beam 77—Top End, NT (Large Beam)</w:t>
            </w:r>
          </w:p>
        </w:tc>
        <w:tc>
          <w:tcPr>
            <w:tcW w:w="1803" w:type="dxa"/>
          </w:tcPr>
          <w:p w14:paraId="0880CAED" w14:textId="77777777" w:rsidR="002F63E2" w:rsidRDefault="002F63E2" w:rsidP="00432DB3">
            <w:pPr>
              <w:pStyle w:val="Tabletext"/>
            </w:pPr>
          </w:p>
        </w:tc>
        <w:tc>
          <w:tcPr>
            <w:tcW w:w="1803" w:type="dxa"/>
          </w:tcPr>
          <w:p w14:paraId="4FF5929B" w14:textId="77777777" w:rsidR="002F63E2" w:rsidRDefault="002F63E2" w:rsidP="00432DB3">
            <w:pPr>
              <w:pStyle w:val="Tabletextcentred"/>
            </w:pPr>
            <w:r>
              <w:t>Beam 65—Leonora, WA</w:t>
            </w:r>
          </w:p>
        </w:tc>
        <w:tc>
          <w:tcPr>
            <w:tcW w:w="1803" w:type="dxa"/>
          </w:tcPr>
          <w:p w14:paraId="1B061A1B" w14:textId="77777777" w:rsidR="002F63E2" w:rsidRDefault="002F63E2" w:rsidP="00432DB3">
            <w:pPr>
              <w:pStyle w:val="Tabletextcentred"/>
            </w:pPr>
          </w:p>
        </w:tc>
        <w:tc>
          <w:tcPr>
            <w:tcW w:w="1804" w:type="dxa"/>
          </w:tcPr>
          <w:p w14:paraId="54243076" w14:textId="77777777" w:rsidR="002F63E2" w:rsidRPr="001362C0" w:rsidRDefault="002F63E2" w:rsidP="00432DB3">
            <w:pPr>
              <w:pStyle w:val="Tabletext"/>
            </w:pPr>
            <w:r>
              <w:t>Wolumla near Merimbula, can assume control of beams from any other Earth Station, in order to provide service in the event of catastrophic failure</w:t>
            </w:r>
          </w:p>
        </w:tc>
      </w:tr>
      <w:tr w:rsidR="002F63E2" w:rsidRPr="001362C0" w14:paraId="07F1513E" w14:textId="77777777" w:rsidTr="00432DB3">
        <w:trPr>
          <w:cantSplit/>
        </w:trPr>
        <w:tc>
          <w:tcPr>
            <w:tcW w:w="1803" w:type="dxa"/>
          </w:tcPr>
          <w:p w14:paraId="14129765" w14:textId="77777777" w:rsidR="002F63E2" w:rsidRDefault="002F63E2" w:rsidP="00432DB3">
            <w:pPr>
              <w:pStyle w:val="Tabletext"/>
            </w:pPr>
            <w:r>
              <w:t>Beam 78—Northern Gulf of Carpentaria, NT</w:t>
            </w:r>
          </w:p>
        </w:tc>
        <w:tc>
          <w:tcPr>
            <w:tcW w:w="1803" w:type="dxa"/>
          </w:tcPr>
          <w:p w14:paraId="2846C7CC" w14:textId="77777777" w:rsidR="002F63E2" w:rsidRDefault="002F63E2" w:rsidP="00432DB3">
            <w:pPr>
              <w:pStyle w:val="Tabletext"/>
            </w:pPr>
          </w:p>
        </w:tc>
        <w:tc>
          <w:tcPr>
            <w:tcW w:w="1803" w:type="dxa"/>
          </w:tcPr>
          <w:p w14:paraId="3E6BA93D" w14:textId="77777777" w:rsidR="002F63E2" w:rsidRDefault="002F63E2" w:rsidP="00432DB3">
            <w:pPr>
              <w:pStyle w:val="Tabletextcentred"/>
            </w:pPr>
            <w:r>
              <w:t>Beam 80—Port Headland, WA</w:t>
            </w:r>
          </w:p>
        </w:tc>
        <w:tc>
          <w:tcPr>
            <w:tcW w:w="1803" w:type="dxa"/>
          </w:tcPr>
          <w:p w14:paraId="4348519E" w14:textId="77777777" w:rsidR="002F63E2" w:rsidRDefault="002F63E2" w:rsidP="00432DB3">
            <w:pPr>
              <w:pStyle w:val="Tabletextcentred"/>
            </w:pPr>
          </w:p>
        </w:tc>
        <w:tc>
          <w:tcPr>
            <w:tcW w:w="1804" w:type="dxa"/>
          </w:tcPr>
          <w:p w14:paraId="486FE6AD" w14:textId="77777777" w:rsidR="002F63E2" w:rsidRPr="001362C0" w:rsidRDefault="002F63E2" w:rsidP="00432DB3">
            <w:pPr>
              <w:pStyle w:val="Tabletext"/>
            </w:pPr>
            <w:r>
              <w:t>Wolumla near Merimbula, can assume control of beams from any other Earth Station, in order to provide service in the event of catastrophic failure</w:t>
            </w:r>
          </w:p>
        </w:tc>
      </w:tr>
      <w:tr w:rsidR="002F63E2" w:rsidRPr="001362C0" w14:paraId="28EBA646" w14:textId="77777777" w:rsidTr="00432DB3">
        <w:trPr>
          <w:cantSplit/>
        </w:trPr>
        <w:tc>
          <w:tcPr>
            <w:tcW w:w="1803" w:type="dxa"/>
          </w:tcPr>
          <w:p w14:paraId="4FC67B8F" w14:textId="77777777" w:rsidR="002F63E2" w:rsidRDefault="002F63E2" w:rsidP="00432DB3">
            <w:pPr>
              <w:pStyle w:val="Tabletext"/>
            </w:pPr>
            <w:r>
              <w:t>Beam 89—Alice Springs, NT</w:t>
            </w:r>
          </w:p>
        </w:tc>
        <w:tc>
          <w:tcPr>
            <w:tcW w:w="1803" w:type="dxa"/>
          </w:tcPr>
          <w:p w14:paraId="0C7EF418" w14:textId="77777777" w:rsidR="002F63E2" w:rsidRDefault="002F63E2" w:rsidP="00432DB3">
            <w:pPr>
              <w:pStyle w:val="Tabletext"/>
            </w:pPr>
          </w:p>
        </w:tc>
        <w:tc>
          <w:tcPr>
            <w:tcW w:w="1803" w:type="dxa"/>
          </w:tcPr>
          <w:p w14:paraId="7D66F9B5" w14:textId="77777777" w:rsidR="002F63E2" w:rsidRDefault="002F63E2" w:rsidP="00432DB3">
            <w:pPr>
              <w:pStyle w:val="Tabletextcentred"/>
            </w:pPr>
            <w:r>
              <w:t>Beam 81—Derby, WA</w:t>
            </w:r>
          </w:p>
        </w:tc>
        <w:tc>
          <w:tcPr>
            <w:tcW w:w="1803" w:type="dxa"/>
          </w:tcPr>
          <w:p w14:paraId="72868F69" w14:textId="77777777" w:rsidR="002F63E2" w:rsidRDefault="002F63E2" w:rsidP="00432DB3">
            <w:pPr>
              <w:pStyle w:val="Tabletextcentred"/>
            </w:pPr>
          </w:p>
        </w:tc>
        <w:tc>
          <w:tcPr>
            <w:tcW w:w="1804" w:type="dxa"/>
          </w:tcPr>
          <w:p w14:paraId="2F389652" w14:textId="77777777" w:rsidR="002F63E2" w:rsidRPr="001362C0" w:rsidRDefault="002F63E2" w:rsidP="00432DB3">
            <w:pPr>
              <w:pStyle w:val="Tabletext"/>
            </w:pPr>
            <w:r>
              <w:t>Wolumla near Merimbula, can assume control of beams from any other Earth Station, in order to provide service in the event of catastrophic failure</w:t>
            </w:r>
          </w:p>
        </w:tc>
      </w:tr>
      <w:tr w:rsidR="002F63E2" w:rsidRPr="001362C0" w14:paraId="35207AC0" w14:textId="77777777" w:rsidTr="00432DB3">
        <w:trPr>
          <w:cantSplit/>
        </w:trPr>
        <w:tc>
          <w:tcPr>
            <w:tcW w:w="1803" w:type="dxa"/>
          </w:tcPr>
          <w:p w14:paraId="7356A724" w14:textId="77777777" w:rsidR="002F63E2" w:rsidRDefault="002F63E2" w:rsidP="00432DB3">
            <w:pPr>
              <w:pStyle w:val="Tabletext"/>
            </w:pPr>
            <w:r>
              <w:lastRenderedPageBreak/>
              <w:t>Beam 90—Mt Isa, QLD</w:t>
            </w:r>
          </w:p>
        </w:tc>
        <w:tc>
          <w:tcPr>
            <w:tcW w:w="1803" w:type="dxa"/>
          </w:tcPr>
          <w:p w14:paraId="5E56F681" w14:textId="77777777" w:rsidR="002F63E2" w:rsidRDefault="002F63E2" w:rsidP="00432DB3">
            <w:pPr>
              <w:pStyle w:val="Tabletext"/>
            </w:pPr>
          </w:p>
        </w:tc>
        <w:tc>
          <w:tcPr>
            <w:tcW w:w="1803" w:type="dxa"/>
          </w:tcPr>
          <w:p w14:paraId="493B9864" w14:textId="77777777" w:rsidR="002F63E2" w:rsidRDefault="002F63E2" w:rsidP="00432DB3">
            <w:pPr>
              <w:pStyle w:val="Tabletextcentred"/>
            </w:pPr>
            <w:r>
              <w:t>Beam 83—Newcastle Waters, NT</w:t>
            </w:r>
          </w:p>
        </w:tc>
        <w:tc>
          <w:tcPr>
            <w:tcW w:w="1803" w:type="dxa"/>
          </w:tcPr>
          <w:p w14:paraId="0E5212E4" w14:textId="77777777" w:rsidR="002F63E2" w:rsidRDefault="002F63E2" w:rsidP="00432DB3">
            <w:pPr>
              <w:pStyle w:val="Tabletextcentred"/>
            </w:pPr>
          </w:p>
        </w:tc>
        <w:tc>
          <w:tcPr>
            <w:tcW w:w="1804" w:type="dxa"/>
          </w:tcPr>
          <w:p w14:paraId="7DAB7124" w14:textId="77777777" w:rsidR="002F63E2" w:rsidRPr="001362C0" w:rsidRDefault="002F63E2" w:rsidP="00432DB3">
            <w:pPr>
              <w:pStyle w:val="Tabletext"/>
            </w:pPr>
            <w:r>
              <w:t>Wolumla near Merimbula, can assume control of beams from any other Earth Station, in order to provide service in the event of catastrophic failure</w:t>
            </w:r>
          </w:p>
        </w:tc>
      </w:tr>
      <w:tr w:rsidR="002F63E2" w:rsidRPr="001362C0" w14:paraId="4C6982BB" w14:textId="77777777" w:rsidTr="00432DB3">
        <w:trPr>
          <w:cantSplit/>
        </w:trPr>
        <w:tc>
          <w:tcPr>
            <w:tcW w:w="1803" w:type="dxa"/>
          </w:tcPr>
          <w:p w14:paraId="3A11D737" w14:textId="77777777" w:rsidR="002F63E2" w:rsidRDefault="002F63E2" w:rsidP="00432DB3">
            <w:pPr>
              <w:pStyle w:val="Tabletext"/>
            </w:pPr>
            <w:r>
              <w:t>Beam 92—Mt Magnet, WA (Large Beam)</w:t>
            </w:r>
          </w:p>
        </w:tc>
        <w:tc>
          <w:tcPr>
            <w:tcW w:w="1803" w:type="dxa"/>
          </w:tcPr>
          <w:p w14:paraId="597A2D0C" w14:textId="77777777" w:rsidR="002F63E2" w:rsidRDefault="002F63E2" w:rsidP="00432DB3">
            <w:pPr>
              <w:pStyle w:val="Tabletext"/>
            </w:pPr>
          </w:p>
        </w:tc>
        <w:tc>
          <w:tcPr>
            <w:tcW w:w="1803" w:type="dxa"/>
          </w:tcPr>
          <w:p w14:paraId="3F1F1DEB" w14:textId="77777777" w:rsidR="002F63E2" w:rsidRDefault="002F63E2" w:rsidP="00432DB3">
            <w:pPr>
              <w:pStyle w:val="Tabletextcentred"/>
            </w:pPr>
            <w:r>
              <w:t>Beam 93—Goldfield Region, WA</w:t>
            </w:r>
          </w:p>
        </w:tc>
        <w:tc>
          <w:tcPr>
            <w:tcW w:w="1803" w:type="dxa"/>
          </w:tcPr>
          <w:p w14:paraId="27CBA42D" w14:textId="77777777" w:rsidR="002F63E2" w:rsidRDefault="002F63E2" w:rsidP="00432DB3">
            <w:pPr>
              <w:pStyle w:val="Tabletextcentred"/>
            </w:pPr>
          </w:p>
        </w:tc>
        <w:tc>
          <w:tcPr>
            <w:tcW w:w="1804" w:type="dxa"/>
          </w:tcPr>
          <w:p w14:paraId="4A662A17" w14:textId="77777777" w:rsidR="002F63E2" w:rsidRPr="001362C0" w:rsidRDefault="002F63E2" w:rsidP="00432DB3">
            <w:pPr>
              <w:pStyle w:val="Tabletext"/>
            </w:pPr>
            <w:r>
              <w:t>Wolumla near Merimbula, can assume control of beams from any other Earth Station, in order to provide service in the event of catastrophic failure</w:t>
            </w:r>
          </w:p>
        </w:tc>
      </w:tr>
      <w:tr w:rsidR="002F63E2" w:rsidRPr="001362C0" w14:paraId="7C841D62" w14:textId="77777777" w:rsidTr="00432DB3">
        <w:trPr>
          <w:cantSplit/>
        </w:trPr>
        <w:tc>
          <w:tcPr>
            <w:tcW w:w="1803" w:type="dxa"/>
          </w:tcPr>
          <w:p w14:paraId="06C919A0" w14:textId="77777777" w:rsidR="002F63E2" w:rsidRDefault="002F63E2" w:rsidP="00432DB3">
            <w:pPr>
              <w:pStyle w:val="Tabletext"/>
            </w:pPr>
            <w:r>
              <w:t>Beam 94—North West, SA</w:t>
            </w:r>
          </w:p>
        </w:tc>
        <w:tc>
          <w:tcPr>
            <w:tcW w:w="1803" w:type="dxa"/>
          </w:tcPr>
          <w:p w14:paraId="6BE8D2DC" w14:textId="77777777" w:rsidR="002F63E2" w:rsidRDefault="002F63E2" w:rsidP="00432DB3">
            <w:pPr>
              <w:pStyle w:val="Tabletext"/>
            </w:pPr>
          </w:p>
        </w:tc>
        <w:tc>
          <w:tcPr>
            <w:tcW w:w="1803" w:type="dxa"/>
          </w:tcPr>
          <w:p w14:paraId="5DEE238D" w14:textId="77777777" w:rsidR="002F63E2" w:rsidRDefault="002F63E2" w:rsidP="00432DB3">
            <w:pPr>
              <w:pStyle w:val="Tabletextcentred"/>
            </w:pPr>
          </w:p>
        </w:tc>
        <w:tc>
          <w:tcPr>
            <w:tcW w:w="1803" w:type="dxa"/>
          </w:tcPr>
          <w:p w14:paraId="13D6CC24" w14:textId="77777777" w:rsidR="002F63E2" w:rsidRDefault="002F63E2" w:rsidP="00432DB3">
            <w:pPr>
              <w:pStyle w:val="Tabletextcentred"/>
            </w:pPr>
          </w:p>
        </w:tc>
        <w:tc>
          <w:tcPr>
            <w:tcW w:w="1804" w:type="dxa"/>
          </w:tcPr>
          <w:p w14:paraId="3262347B" w14:textId="77777777" w:rsidR="002F63E2" w:rsidRPr="001362C0" w:rsidRDefault="002F63E2" w:rsidP="00432DB3">
            <w:pPr>
              <w:pStyle w:val="Tabletext"/>
            </w:pPr>
            <w:r>
              <w:t>Wolumla near Merimbula, can assume control of beams from any other Earth Station, in order to provide service in the event of catastrophic failure</w:t>
            </w:r>
          </w:p>
        </w:tc>
      </w:tr>
    </w:tbl>
    <w:p w14:paraId="73683C79" w14:textId="77777777" w:rsidR="002F63E2" w:rsidRPr="00A133CF" w:rsidRDefault="002F63E2" w:rsidP="002F63E2">
      <w:pPr>
        <w:pStyle w:val="Tabletext"/>
        <w:spacing w:after="200"/>
      </w:pPr>
      <w:r>
        <w:t xml:space="preserve">Telemetry, tracking, and command (TT&amp;C) site monitors and control the </w:t>
      </w:r>
      <w:proofErr w:type="spellStart"/>
      <w:r>
        <w:t>spacecrafts</w:t>
      </w:r>
      <w:proofErr w:type="spellEnd"/>
      <w:r>
        <w:t xml:space="preserve"> health and location.</w:t>
      </w:r>
    </w:p>
    <w:p w14:paraId="00E4E22D" w14:textId="77777777" w:rsidR="00DE3BEE" w:rsidRPr="00A133CF" w:rsidRDefault="00DE3BEE" w:rsidP="00DE3BEE">
      <w:r w:rsidRPr="00A133CF">
        <w:t>The temperature value listed on the NBN’s satellite network filings is 800 K and 1200 K.</w:t>
      </w:r>
    </w:p>
    <w:p w14:paraId="67C58155" w14:textId="77777777" w:rsidR="00DE3BEE" w:rsidRPr="00A133CF" w:rsidRDefault="00DE3BEE" w:rsidP="00DE3BEE">
      <w:r w:rsidRPr="00A133CF">
        <w:t>Our understanding is that NBN’s existing satellites need to be replaced by 2032.</w:t>
      </w:r>
      <w:r w:rsidR="00232CCD">
        <w:t xml:space="preserve"> </w:t>
      </w:r>
      <w:r w:rsidRPr="00A133CF">
        <w:t xml:space="preserve">It is envisaged that these satellites will be high throughput </w:t>
      </w:r>
      <w:proofErr w:type="spellStart"/>
      <w:r w:rsidRPr="00A133CF">
        <w:t>multibeam</w:t>
      </w:r>
      <w:proofErr w:type="spellEnd"/>
      <w:r w:rsidRPr="00A133CF">
        <w:t xml:space="preserve"> satellites with high gain antennas leading to a G/T value of 30 dB/K which is 4 dB higher than the G/T level of current NBN satellites.</w:t>
      </w:r>
      <w:r w:rsidR="00232CCD">
        <w:t xml:space="preserve"> </w:t>
      </w:r>
      <w:r w:rsidRPr="00A133CF">
        <w:t xml:space="preserve"> </w:t>
      </w:r>
    </w:p>
    <w:p w14:paraId="1EFF816F" w14:textId="77777777" w:rsidR="00377E47" w:rsidRDefault="00377E47">
      <w:pPr>
        <w:spacing w:after="160" w:line="259" w:lineRule="auto"/>
      </w:pPr>
      <w:bookmarkStart w:id="82" w:name="_Toc15424130"/>
      <w:bookmarkStart w:id="83" w:name="_Toc19230544"/>
      <w:r>
        <w:br w:type="page"/>
      </w:r>
    </w:p>
    <w:p w14:paraId="4B153F50" w14:textId="77777777" w:rsidR="00DE3BEE" w:rsidRPr="00D21EAB" w:rsidRDefault="00377E47" w:rsidP="00377E47">
      <w:pPr>
        <w:pStyle w:val="Heading2"/>
        <w:rPr>
          <w:color w:val="7030A0"/>
        </w:rPr>
      </w:pPr>
      <w:bookmarkStart w:id="84" w:name="_Toc21429736"/>
      <w:r w:rsidRPr="00D21EAB">
        <w:rPr>
          <w:color w:val="7030A0"/>
        </w:rPr>
        <w:lastRenderedPageBreak/>
        <w:t>Appendix B—</w:t>
      </w:r>
      <w:r w:rsidR="00DE3BEE" w:rsidRPr="00D21EAB">
        <w:rPr>
          <w:color w:val="7030A0"/>
        </w:rPr>
        <w:t>Terrestrial use of 26 GHz</w:t>
      </w:r>
      <w:bookmarkEnd w:id="82"/>
      <w:bookmarkEnd w:id="83"/>
      <w:bookmarkEnd w:id="84"/>
    </w:p>
    <w:p w14:paraId="092ABE8D" w14:textId="77777777" w:rsidR="00DE3BEE" w:rsidRPr="00D21EAB" w:rsidRDefault="00377E47" w:rsidP="00377E47">
      <w:pPr>
        <w:pStyle w:val="Heading3"/>
        <w:rPr>
          <w:color w:val="7030A0"/>
        </w:rPr>
      </w:pPr>
      <w:bookmarkStart w:id="85" w:name="_Toc15424131"/>
      <w:bookmarkStart w:id="86" w:name="_Toc19230545"/>
      <w:bookmarkStart w:id="87" w:name="_Toc21429737"/>
      <w:r w:rsidRPr="00D21EAB">
        <w:rPr>
          <w:color w:val="7030A0"/>
        </w:rPr>
        <w:t>B.1</w:t>
      </w:r>
      <w:r w:rsidRPr="00D21EAB">
        <w:rPr>
          <w:color w:val="7030A0"/>
        </w:rPr>
        <w:tab/>
      </w:r>
      <w:r w:rsidR="00DE3BEE" w:rsidRPr="00D21EAB">
        <w:rPr>
          <w:color w:val="7030A0"/>
        </w:rPr>
        <w:t>Introduction</w:t>
      </w:r>
      <w:bookmarkEnd w:id="85"/>
      <w:bookmarkEnd w:id="86"/>
      <w:bookmarkEnd w:id="87"/>
    </w:p>
    <w:p w14:paraId="47DCDC92" w14:textId="77777777" w:rsidR="00DE3BEE" w:rsidRPr="00A133CF" w:rsidRDefault="00DE3BEE" w:rsidP="00DE3BEE">
      <w:r w:rsidRPr="00A133CF">
        <w:t xml:space="preserve">It is important to recognise that the 26 GHz band is one of a number of frequency bands that have been identified for 5G. Other key </w:t>
      </w:r>
      <w:proofErr w:type="spellStart"/>
      <w:r w:rsidRPr="00A133CF">
        <w:t>bands</w:t>
      </w:r>
      <w:proofErr w:type="spellEnd"/>
      <w:r w:rsidRPr="00A133CF">
        <w:t xml:space="preserve"> include 700 MHz and 3.5 GHz and over time other frequencies will become available either through re-farming from other services or through the operators upgrading their technologies.</w:t>
      </w:r>
    </w:p>
    <w:p w14:paraId="7F06B376" w14:textId="77777777" w:rsidR="00DE3BEE" w:rsidRPr="00A133CF" w:rsidRDefault="00DE3BEE" w:rsidP="00DE3BEE">
      <w:r w:rsidRPr="00A133CF">
        <w:t>Millimetre wave bands are seen as providing services at hot spots, in addition to the other frequency bands, as they can support higher bandwidth. It is not expected that millimetre wave bands will be used over a wide geographic area due to the small cell size and lower density of population making it less economic for operators. Business case modelling assumes that mobile demand will be mainly consumed indoors with, for example, predictions of 80% of mobile demand being indoors</w:t>
      </w:r>
      <w:r w:rsidRPr="00377E47">
        <w:rPr>
          <w:vertAlign w:val="superscript"/>
        </w:rPr>
        <w:footnoteReference w:id="16"/>
      </w:r>
      <w:r w:rsidRPr="00A133CF">
        <w:t>.</w:t>
      </w:r>
    </w:p>
    <w:p w14:paraId="3F1FC1AF" w14:textId="77777777" w:rsidR="00DE3BEE" w:rsidRPr="00A133CF" w:rsidRDefault="00DE3BEE" w:rsidP="00DE3BEE">
      <w:bookmarkStart w:id="88" w:name="_Toc18332954"/>
      <w:bookmarkStart w:id="89" w:name="_Toc18364984"/>
      <w:bookmarkStart w:id="90" w:name="_Toc18332955"/>
      <w:bookmarkStart w:id="91" w:name="_Toc18364985"/>
      <w:bookmarkStart w:id="92" w:name="_Toc18332956"/>
      <w:bookmarkStart w:id="93" w:name="_Toc18364986"/>
      <w:bookmarkEnd w:id="88"/>
      <w:bookmarkEnd w:id="89"/>
      <w:bookmarkEnd w:id="90"/>
      <w:bookmarkEnd w:id="91"/>
      <w:bookmarkEnd w:id="92"/>
      <w:bookmarkEnd w:id="93"/>
      <w:r w:rsidRPr="00A133CF">
        <w:t>The main use case areas include the provision of Enhanced Mobile Broadband (</w:t>
      </w:r>
      <w:proofErr w:type="spellStart"/>
      <w:r w:rsidRPr="00A133CF">
        <w:t>eMBB</w:t>
      </w:r>
      <w:proofErr w:type="spellEnd"/>
      <w:r w:rsidRPr="00A133CF">
        <w:t>) based-services for high capacity applications and services dedicated to vertical sectors.</w:t>
      </w:r>
      <w:r w:rsidR="00232CCD">
        <w:t xml:space="preserve"> </w:t>
      </w:r>
      <w:r w:rsidRPr="00A133CF">
        <w:t>Public safety and backhauling applications are also potential areas for the use of mm-wave bands including the 26 GHz band.</w:t>
      </w:r>
    </w:p>
    <w:p w14:paraId="40562E51" w14:textId="77777777" w:rsidR="00DE3BEE" w:rsidRPr="00D21EAB" w:rsidRDefault="00377E47" w:rsidP="00377E47">
      <w:pPr>
        <w:pStyle w:val="Heading3"/>
        <w:rPr>
          <w:color w:val="7030A0"/>
        </w:rPr>
      </w:pPr>
      <w:bookmarkStart w:id="94" w:name="_Toc19230546"/>
      <w:bookmarkStart w:id="95" w:name="_Toc21429738"/>
      <w:r w:rsidRPr="00D21EAB">
        <w:rPr>
          <w:color w:val="7030A0"/>
        </w:rPr>
        <w:t>B.2</w:t>
      </w:r>
      <w:r w:rsidRPr="00D21EAB">
        <w:rPr>
          <w:color w:val="7030A0"/>
        </w:rPr>
        <w:tab/>
      </w:r>
      <w:proofErr w:type="spellStart"/>
      <w:r w:rsidR="00DE3BEE" w:rsidRPr="00D21EAB">
        <w:rPr>
          <w:color w:val="7030A0"/>
        </w:rPr>
        <w:t>eMBB</w:t>
      </w:r>
      <w:proofErr w:type="spellEnd"/>
      <w:r w:rsidR="00DE3BEE" w:rsidRPr="00D21EAB">
        <w:rPr>
          <w:color w:val="7030A0"/>
        </w:rPr>
        <w:t xml:space="preserve"> services</w:t>
      </w:r>
      <w:bookmarkEnd w:id="94"/>
      <w:bookmarkEnd w:id="95"/>
    </w:p>
    <w:p w14:paraId="453BA7CD" w14:textId="77777777" w:rsidR="00DE3BEE" w:rsidRPr="00A133CF" w:rsidRDefault="00DE3BEE" w:rsidP="00DE3BEE">
      <w:r w:rsidRPr="00A133CF">
        <w:t>The following potential use cases can be considered as examples of the mm-wave deployment scenarios.</w:t>
      </w:r>
    </w:p>
    <w:p w14:paraId="1CA13D2A" w14:textId="77777777" w:rsidR="00DE3BEE" w:rsidRPr="00A133CF" w:rsidRDefault="00DE3BEE" w:rsidP="00377E47">
      <w:pPr>
        <w:pStyle w:val="Listparagraphbullets"/>
      </w:pPr>
      <w:r w:rsidRPr="00A133CF">
        <w:t>Urban / suburban hotspots;</w:t>
      </w:r>
    </w:p>
    <w:p w14:paraId="70B437FE" w14:textId="77777777" w:rsidR="00DE3BEE" w:rsidRPr="00A133CF" w:rsidRDefault="00DE3BEE" w:rsidP="00377E47">
      <w:pPr>
        <w:pStyle w:val="Listparagraphbullets"/>
      </w:pPr>
      <w:r w:rsidRPr="00A133CF">
        <w:t>Stadiums/arenas and other indoor venues with ultra-high density of users;</w:t>
      </w:r>
    </w:p>
    <w:p w14:paraId="4CD4ECE8" w14:textId="77777777" w:rsidR="00DE3BEE" w:rsidRPr="00A133CF" w:rsidRDefault="00DE3BEE" w:rsidP="00377E47">
      <w:pPr>
        <w:pStyle w:val="Listparagraphbullets"/>
      </w:pPr>
      <w:r w:rsidRPr="00A133CF">
        <w:t>Airports, railway stations and other transport hubs with very high user concentrations; and</w:t>
      </w:r>
    </w:p>
    <w:p w14:paraId="1F914DD6" w14:textId="77777777" w:rsidR="00DE3BEE" w:rsidRPr="00A133CF" w:rsidRDefault="00DE3BEE" w:rsidP="00377E47">
      <w:pPr>
        <w:pStyle w:val="Listparagraphbullets"/>
      </w:pPr>
      <w:r w:rsidRPr="00A133CF">
        <w:t>Rural areas for fixed wireless access.</w:t>
      </w:r>
    </w:p>
    <w:p w14:paraId="2463BE25" w14:textId="77777777" w:rsidR="00DE3BEE" w:rsidRPr="00A133CF" w:rsidRDefault="00DE3BEE" w:rsidP="00DE3BEE">
      <w:r w:rsidRPr="00A133CF">
        <w:t>In the scenarios outlined above, expected example services and applications include.</w:t>
      </w:r>
    </w:p>
    <w:p w14:paraId="21825C26" w14:textId="77777777" w:rsidR="00DE3BEE" w:rsidRPr="00A133CF" w:rsidRDefault="00DE3BEE" w:rsidP="00377E47">
      <w:pPr>
        <w:pStyle w:val="Listparagraphbullets"/>
      </w:pPr>
      <w:r w:rsidRPr="00A133CF">
        <w:t>High data rate video and media delivery; and</w:t>
      </w:r>
    </w:p>
    <w:p w14:paraId="2115D4F4" w14:textId="77777777" w:rsidR="00DE3BEE" w:rsidRPr="00A133CF" w:rsidRDefault="00DE3BEE" w:rsidP="00377E47">
      <w:pPr>
        <w:pStyle w:val="Listparagraphbullets"/>
      </w:pPr>
      <w:r w:rsidRPr="00A133CF">
        <w:t>Virtual Reality (VR) / Augmented Reality (AR) applications;</w:t>
      </w:r>
    </w:p>
    <w:p w14:paraId="5D97627D" w14:textId="77777777" w:rsidR="00D848F2" w:rsidRDefault="00DE3BEE" w:rsidP="00DE3BEE">
      <w:bookmarkStart w:id="96" w:name="_Hlk17099964"/>
      <w:r w:rsidRPr="00A133CF">
        <w:t>ONE5G</w:t>
      </w:r>
      <w:r w:rsidRPr="00377E47">
        <w:rPr>
          <w:vertAlign w:val="superscript"/>
        </w:rPr>
        <w:footnoteReference w:id="17"/>
      </w:r>
      <w:r w:rsidRPr="00A133CF">
        <w:t xml:space="preserve"> is a European Commission funded project where </w:t>
      </w:r>
      <w:proofErr w:type="spellStart"/>
      <w:r w:rsidRPr="00A133CF">
        <w:t>eMBB</w:t>
      </w:r>
      <w:proofErr w:type="spellEnd"/>
      <w:r w:rsidRPr="00A133CF">
        <w:t xml:space="preserve"> use cases have been considered.</w:t>
      </w:r>
      <w:r w:rsidR="00232CCD">
        <w:t xml:space="preserve"> </w:t>
      </w:r>
      <w:r w:rsidRPr="00A133CF">
        <w:t>One of the use cases considered is ‘outdoor hotspots and smart offices with AR/VR and media applications’</w:t>
      </w:r>
      <w:r w:rsidRPr="00377E47">
        <w:rPr>
          <w:vertAlign w:val="superscript"/>
        </w:rPr>
        <w:footnoteReference w:id="18"/>
      </w:r>
      <w:r w:rsidRPr="00A133CF">
        <w:t>.</w:t>
      </w:r>
      <w:r w:rsidR="00232CCD">
        <w:t xml:space="preserve"> </w:t>
      </w:r>
      <w:r w:rsidRPr="00A133CF">
        <w:t>The use case is mainly characterised by a high throughput demand and the use of services like augmented reality (AR), virtual reality (VR), high-quality video streaming or file transmissions in smart offices and stadiums/arenas.</w:t>
      </w:r>
      <w:r w:rsidR="00232CCD">
        <w:t xml:space="preserve"> </w:t>
      </w:r>
      <w:r w:rsidRPr="00A133CF">
        <w:t>In the outdoor hotspot scenario, the scenario assumes that macro cells are deployed around 4 GHz band with a 200 m inter site distance.</w:t>
      </w:r>
      <w:r w:rsidR="00232CCD">
        <w:t xml:space="preserve"> </w:t>
      </w:r>
      <w:r w:rsidRPr="00A133CF">
        <w:t>It is further assumed that there could be up to three micro cells assumed to be operating around 30 GHz band and clustered around per macro cell.</w:t>
      </w:r>
      <w:r w:rsidR="00232CCD">
        <w:t xml:space="preserve"> </w:t>
      </w:r>
      <w:r w:rsidRPr="00A133CF">
        <w:t>BS antenna arrays of up to 256 x 256 elements and UE antenna arrays up to 32 x 32 elements are suggested.</w:t>
      </w:r>
      <w:r w:rsidR="00232CCD">
        <w:t xml:space="preserve"> </w:t>
      </w:r>
      <w:r w:rsidRPr="00A133CF">
        <w:t>Connection densities of 200</w:t>
      </w:r>
      <w:r w:rsidR="00377E47">
        <w:t>—</w:t>
      </w:r>
      <w:r w:rsidRPr="00A133CF">
        <w:t>2500 km2 are defined</w:t>
      </w:r>
      <w:bookmarkEnd w:id="96"/>
      <w:r w:rsidR="00D848F2">
        <w:t>.</w:t>
      </w:r>
    </w:p>
    <w:p w14:paraId="13AA4B0D" w14:textId="77777777" w:rsidR="00DE3BEE" w:rsidRPr="00D21EAB" w:rsidRDefault="00377E47" w:rsidP="00DF0DE7">
      <w:pPr>
        <w:pStyle w:val="Heading3"/>
        <w:spacing w:after="120"/>
        <w:rPr>
          <w:color w:val="7030A0"/>
        </w:rPr>
      </w:pPr>
      <w:bookmarkStart w:id="97" w:name="_Toc19230547"/>
      <w:bookmarkStart w:id="98" w:name="_Toc21429739"/>
      <w:r w:rsidRPr="00D21EAB">
        <w:rPr>
          <w:color w:val="7030A0"/>
        </w:rPr>
        <w:lastRenderedPageBreak/>
        <w:t>B.3</w:t>
      </w:r>
      <w:r w:rsidRPr="00D21EAB">
        <w:rPr>
          <w:color w:val="7030A0"/>
        </w:rPr>
        <w:tab/>
      </w:r>
      <w:r w:rsidR="00DE3BEE" w:rsidRPr="00D21EAB">
        <w:rPr>
          <w:color w:val="7030A0"/>
        </w:rPr>
        <w:t>Services for vertical sectors</w:t>
      </w:r>
      <w:bookmarkEnd w:id="97"/>
      <w:bookmarkEnd w:id="98"/>
    </w:p>
    <w:p w14:paraId="070DEBF2" w14:textId="77777777" w:rsidR="00DE3BEE" w:rsidRPr="00A133CF" w:rsidRDefault="00DE3BEE" w:rsidP="00DF0DE7">
      <w:pPr>
        <w:keepNext/>
        <w:spacing w:after="120"/>
      </w:pPr>
      <w:r w:rsidRPr="00A133CF">
        <w:t>There are a range of vertical sectors that could potentially make use of mm-wave bands.</w:t>
      </w:r>
      <w:r w:rsidR="00232CCD">
        <w:t xml:space="preserve"> </w:t>
      </w:r>
      <w:r w:rsidRPr="00A133CF">
        <w:t>Some examples include</w:t>
      </w:r>
      <w:r w:rsidR="00377E47">
        <w:t>:</w:t>
      </w:r>
    </w:p>
    <w:p w14:paraId="3C215B8F" w14:textId="77777777" w:rsidR="00DE3BEE" w:rsidRPr="00A133CF" w:rsidRDefault="00DE3BEE" w:rsidP="00DF0DE7">
      <w:pPr>
        <w:pStyle w:val="Listparagraphbullets"/>
        <w:spacing w:after="0"/>
      </w:pPr>
      <w:r w:rsidRPr="00A133CF">
        <w:t>transportation including autonomous vehicles (V2X: Vehicle-to-everything) and 5G on trains and buses;</w:t>
      </w:r>
    </w:p>
    <w:p w14:paraId="66C26313" w14:textId="77777777" w:rsidR="00DE3BEE" w:rsidRPr="00A133CF" w:rsidRDefault="00DE3BEE" w:rsidP="00DF0DE7">
      <w:pPr>
        <w:pStyle w:val="Listparagraphbullets"/>
        <w:spacing w:after="0"/>
      </w:pPr>
      <w:r w:rsidRPr="00A133CF">
        <w:t>medical applications;</w:t>
      </w:r>
    </w:p>
    <w:p w14:paraId="4A5FBFD8" w14:textId="77777777" w:rsidR="00DE3BEE" w:rsidRPr="00A133CF" w:rsidRDefault="00DE3BEE" w:rsidP="00DF0DE7">
      <w:pPr>
        <w:pStyle w:val="Listparagraphbullets"/>
        <w:spacing w:after="0"/>
      </w:pPr>
      <w:r w:rsidRPr="00A133CF">
        <w:t>manufacturing and industrial automation; and</w:t>
      </w:r>
    </w:p>
    <w:p w14:paraId="564FA98B" w14:textId="77777777" w:rsidR="00DE3BEE" w:rsidRPr="00A133CF" w:rsidRDefault="00DE3BEE" w:rsidP="00377E47">
      <w:pPr>
        <w:pStyle w:val="Listparagraphbullets"/>
      </w:pPr>
      <w:proofErr w:type="gramStart"/>
      <w:r w:rsidRPr="00A133CF">
        <w:t>smart</w:t>
      </w:r>
      <w:proofErr w:type="gramEnd"/>
      <w:r w:rsidRPr="00A133CF">
        <w:t xml:space="preserve"> cities.</w:t>
      </w:r>
    </w:p>
    <w:p w14:paraId="49281ECD" w14:textId="77777777" w:rsidR="00D848F2" w:rsidRDefault="00DE3BEE" w:rsidP="00DE3BEE">
      <w:r w:rsidRPr="00A133CF">
        <w:t>V2X use cases encompass vehicle communications with other vehicles (V2V), pedestrians (V2P), road infrastructure (V2I) and the internet (V2N).</w:t>
      </w:r>
      <w:r w:rsidR="00232CCD">
        <w:t xml:space="preserve"> </w:t>
      </w:r>
      <w:r w:rsidRPr="00A133CF">
        <w:t>It is however worth noting that much of autonomous vehicle standardisation activities to date (within ETSI and IEEE 802.11p) are in the unlicensed 5.9 GHz band (i.e. 5.85</w:t>
      </w:r>
      <w:r w:rsidR="00377E47">
        <w:t>—</w:t>
      </w:r>
      <w:r w:rsidRPr="00A133CF">
        <w:t>5.925 GHz).</w:t>
      </w:r>
      <w:r w:rsidR="00232CCD">
        <w:t xml:space="preserve"> </w:t>
      </w:r>
      <w:r w:rsidRPr="00A133CF">
        <w:t>Similarly, vehicle information and entertainment use cases mainly target below 6 GHz bands and a limited number of mm-wave band use cases (e.g. Wi-Fi hotspot backhauling, video streaming with increased definition and high-resolution navigation maps downloading) can be considered, for example, when a car is parked or in very dense urban areas.</w:t>
      </w:r>
      <w:r w:rsidR="00232CCD">
        <w:t xml:space="preserve"> </w:t>
      </w:r>
      <w:r w:rsidRPr="00A133CF">
        <w:t>In the case of 5G on public transport systems (e.g. trains and buses), mm-wave bands could provide high-bandwidth backhaul links between base stations on tracksides / roadsides and access units on vehicles.</w:t>
      </w:r>
      <w:r w:rsidR="00232CCD">
        <w:t xml:space="preserve"> </w:t>
      </w:r>
      <w:r w:rsidRPr="00A133CF">
        <w:t>However, establishing links with high speed vehicles in mm-waves is very challenging and a limited number of use cases are likely to be realised in early years of 5G deployments</w:t>
      </w:r>
      <w:r w:rsidR="00D848F2">
        <w:t>.</w:t>
      </w:r>
    </w:p>
    <w:p w14:paraId="23326821" w14:textId="77777777" w:rsidR="00DE3BEE" w:rsidRPr="00A133CF" w:rsidRDefault="00DE3BEE" w:rsidP="00DE3BEE">
      <w:r w:rsidRPr="00A133CF">
        <w:t>Potential medical application use cases include remote monitoring of patient health, asset management (e.g. real time tracking of wheelchairs, ECG monitors and drugs), intervention management (e.g. surgery planning activities), remote surgery (e.g. use of robotics) and smart medication (e.g. applying medication through embedded connected devices).</w:t>
      </w:r>
      <w:r w:rsidR="00232CCD">
        <w:t xml:space="preserve"> </w:t>
      </w:r>
      <w:r w:rsidRPr="00A133CF">
        <w:t>The use of mm-wave bands in such use cases could provide capability of handling high throughputs which may result from low-latency real time data gathering from many devices or performing remote surgery.</w:t>
      </w:r>
    </w:p>
    <w:p w14:paraId="5FD182AB" w14:textId="77777777" w:rsidR="00D848F2" w:rsidRDefault="00DE3BEE" w:rsidP="00DE3BEE">
      <w:r w:rsidRPr="00A133CF">
        <w:t>In the manufacturing and industrial automation area, a smart factory concept is an example use case and includes the use of 3D real-time technologies and virtual reality in the design and engineering phase; the integration of the entire shop floor in an ICT-controlled system; the use of mobile devices, wearables and augmented reality to enhance operator abilities; the ubiquitous deployment of sensors on the shop floor, the use of tracking technologies to follow goods along production cycles and 3D scanners for quality control; and the production process using advanced prediction technologies and decision-support systems</w:t>
      </w:r>
      <w:r w:rsidR="00D848F2">
        <w:t>.</w:t>
      </w:r>
    </w:p>
    <w:p w14:paraId="038EBB4F" w14:textId="77777777" w:rsidR="00DE3BEE" w:rsidRPr="00A133CF" w:rsidRDefault="00DE3BEE" w:rsidP="00DE3BEE">
      <w:r w:rsidRPr="00A133CF">
        <w:t>Smart cities make use of extensive sensor and Wi-Fi technologies.</w:t>
      </w:r>
      <w:r w:rsidR="00232CCD">
        <w:t xml:space="preserve"> </w:t>
      </w:r>
      <w:r w:rsidRPr="00A133CF">
        <w:t>Backhauling of these is a potential use case for mm-wave bands.</w:t>
      </w:r>
      <w:r w:rsidR="00232CCD">
        <w:t xml:space="preserve"> </w:t>
      </w:r>
      <w:r w:rsidRPr="00A133CF">
        <w:t>One example is improved video surveillance systems with high resolution cameras.</w:t>
      </w:r>
      <w:r w:rsidR="00232CCD">
        <w:t xml:space="preserve"> </w:t>
      </w:r>
      <w:r w:rsidRPr="00A133CF">
        <w:t>A further example is the provision of video based outdoor advertising especially in urban areas.</w:t>
      </w:r>
      <w:r w:rsidR="00232CCD">
        <w:t xml:space="preserve"> </w:t>
      </w:r>
      <w:r w:rsidRPr="00A133CF">
        <w:t xml:space="preserve"> </w:t>
      </w:r>
    </w:p>
    <w:p w14:paraId="15B4695E" w14:textId="77777777" w:rsidR="00DE3BEE" w:rsidRPr="00D21EAB" w:rsidRDefault="00377E47" w:rsidP="00DF0DE7">
      <w:pPr>
        <w:pStyle w:val="Heading3"/>
        <w:spacing w:after="120"/>
        <w:rPr>
          <w:color w:val="7030A0"/>
        </w:rPr>
      </w:pPr>
      <w:bookmarkStart w:id="99" w:name="_Toc19230548"/>
      <w:bookmarkStart w:id="100" w:name="_Toc21429740"/>
      <w:r w:rsidRPr="00D21EAB">
        <w:rPr>
          <w:color w:val="7030A0"/>
        </w:rPr>
        <w:t>B.4</w:t>
      </w:r>
      <w:r w:rsidRPr="00D21EAB">
        <w:rPr>
          <w:color w:val="7030A0"/>
        </w:rPr>
        <w:tab/>
      </w:r>
      <w:r w:rsidR="00DE3BEE" w:rsidRPr="00D21EAB">
        <w:rPr>
          <w:color w:val="7030A0"/>
        </w:rPr>
        <w:t>Public safety</w:t>
      </w:r>
      <w:bookmarkEnd w:id="99"/>
      <w:bookmarkEnd w:id="100"/>
    </w:p>
    <w:p w14:paraId="453B004F" w14:textId="77777777" w:rsidR="00D848F2" w:rsidRDefault="00DE3BEE" w:rsidP="00DE3BEE">
      <w:r w:rsidRPr="00A133CF">
        <w:t>Public service use cases include requirements like real time video and high-quality picture transmissions in typical scenarios including disaster recovery, rescue and relief operations; routine or “day-to-day” operation; large and/or planned event operation; and critical assets protection.</w:t>
      </w:r>
      <w:r w:rsidR="00232CCD">
        <w:t xml:space="preserve"> </w:t>
      </w:r>
      <w:r w:rsidRPr="00A133CF">
        <w:t>The use of mm-wave can help to satisfy associated high bandwidth and low latency requirements</w:t>
      </w:r>
      <w:r w:rsidR="00D848F2">
        <w:t>.</w:t>
      </w:r>
    </w:p>
    <w:p w14:paraId="0387A348" w14:textId="77777777" w:rsidR="00DE3BEE" w:rsidRPr="00D21EAB" w:rsidRDefault="00377E47" w:rsidP="00DF0DE7">
      <w:pPr>
        <w:pStyle w:val="Heading3"/>
        <w:spacing w:after="120"/>
        <w:rPr>
          <w:color w:val="7030A0"/>
        </w:rPr>
      </w:pPr>
      <w:bookmarkStart w:id="101" w:name="_Toc19230549"/>
      <w:bookmarkStart w:id="102" w:name="_Toc21429741"/>
      <w:r w:rsidRPr="00D21EAB">
        <w:rPr>
          <w:color w:val="7030A0"/>
        </w:rPr>
        <w:t>4.2</w:t>
      </w:r>
      <w:r w:rsidRPr="00D21EAB">
        <w:rPr>
          <w:color w:val="7030A0"/>
        </w:rPr>
        <w:tab/>
      </w:r>
      <w:r w:rsidR="00DE3BEE" w:rsidRPr="00D21EAB">
        <w:rPr>
          <w:color w:val="7030A0"/>
        </w:rPr>
        <w:t>Backhauling</w:t>
      </w:r>
      <w:bookmarkEnd w:id="101"/>
      <w:bookmarkEnd w:id="102"/>
    </w:p>
    <w:p w14:paraId="72FAD493" w14:textId="6AA4434F" w:rsidR="00377E47" w:rsidRDefault="00DE3BEE" w:rsidP="00DF0DE7">
      <w:r w:rsidRPr="00A133CF">
        <w:t>High data rates of 5G radio access links increase bandwidth requirements for backhauling significantly.</w:t>
      </w:r>
      <w:r w:rsidR="00232CCD">
        <w:t xml:space="preserve"> </w:t>
      </w:r>
      <w:r w:rsidRPr="00A133CF">
        <w:t>When there is no fibre availability in-band backhauling using mm-wave spectrum could be an option.</w:t>
      </w:r>
      <w:bookmarkStart w:id="103" w:name="_Ref16521661"/>
      <w:bookmarkStart w:id="104" w:name="_Toc19230550"/>
      <w:r w:rsidR="00377E47">
        <w:br w:type="page"/>
      </w:r>
    </w:p>
    <w:p w14:paraId="1BBA0A69" w14:textId="77777777" w:rsidR="00DE3BEE" w:rsidRPr="00D21EAB" w:rsidRDefault="00377E47" w:rsidP="00377E47">
      <w:pPr>
        <w:pStyle w:val="Heading2"/>
        <w:rPr>
          <w:color w:val="7030A0"/>
        </w:rPr>
      </w:pPr>
      <w:bookmarkStart w:id="105" w:name="_Appendix_C—Overview_of"/>
      <w:bookmarkStart w:id="106" w:name="_Toc21429742"/>
      <w:bookmarkEnd w:id="105"/>
      <w:r w:rsidRPr="00D21EAB">
        <w:rPr>
          <w:color w:val="7030A0"/>
        </w:rPr>
        <w:lastRenderedPageBreak/>
        <w:t>Appendix C—</w:t>
      </w:r>
      <w:r w:rsidR="00DE3BEE" w:rsidRPr="00D21EAB">
        <w:rPr>
          <w:color w:val="7030A0"/>
        </w:rPr>
        <w:t>Overview of TG5/1 studies</w:t>
      </w:r>
      <w:bookmarkEnd w:id="103"/>
      <w:bookmarkEnd w:id="104"/>
      <w:bookmarkEnd w:id="106"/>
    </w:p>
    <w:p w14:paraId="4B2E0D20" w14:textId="77777777" w:rsidR="00DE3BEE" w:rsidRPr="00D21EAB" w:rsidRDefault="00377E47" w:rsidP="00377E47">
      <w:pPr>
        <w:pStyle w:val="Heading3"/>
        <w:rPr>
          <w:color w:val="7030A0"/>
        </w:rPr>
      </w:pPr>
      <w:bookmarkStart w:id="107" w:name="_Ref16167402"/>
      <w:bookmarkStart w:id="108" w:name="_Toc19230551"/>
      <w:bookmarkStart w:id="109" w:name="_Toc21429743"/>
      <w:r w:rsidRPr="00D21EAB">
        <w:rPr>
          <w:color w:val="7030A0"/>
        </w:rPr>
        <w:t>C.1</w:t>
      </w:r>
      <w:r w:rsidRPr="00D21EAB">
        <w:rPr>
          <w:color w:val="7030A0"/>
        </w:rPr>
        <w:tab/>
      </w:r>
      <w:r w:rsidR="00DE3BEE" w:rsidRPr="00D21EAB">
        <w:rPr>
          <w:color w:val="7030A0"/>
        </w:rPr>
        <w:t>Input assumptions (terrestrial)</w:t>
      </w:r>
      <w:bookmarkEnd w:id="107"/>
      <w:bookmarkEnd w:id="108"/>
      <w:bookmarkEnd w:id="109"/>
    </w:p>
    <w:p w14:paraId="40BA5A32" w14:textId="77777777" w:rsidR="00D848F2" w:rsidRDefault="00DE3BEE" w:rsidP="00DE3BEE">
      <w:r w:rsidRPr="00A133CF">
        <w:t>IMT system parameters intended for sharing and compatibility studies in the frequency range between 24.25 GHz and 86 GHz were provided by a liaison statement from WP 5D to TG 5/1</w:t>
      </w:r>
      <w:r w:rsidRPr="00C026B7">
        <w:rPr>
          <w:vertAlign w:val="superscript"/>
        </w:rPr>
        <w:footnoteReference w:id="19"/>
      </w:r>
      <w:r w:rsidRPr="00A133CF">
        <w:t>.</w:t>
      </w:r>
      <w:r w:rsidR="00232CCD">
        <w:t xml:space="preserve"> </w:t>
      </w:r>
      <w:r w:rsidRPr="00A133CF">
        <w:t>These parameters include system characteristics and deployment scenarios</w:t>
      </w:r>
      <w:r w:rsidR="00D848F2">
        <w:t>.</w:t>
      </w:r>
    </w:p>
    <w:p w14:paraId="4822F446" w14:textId="77777777" w:rsidR="00DE3BEE" w:rsidRPr="00A133CF" w:rsidRDefault="00DE3BEE" w:rsidP="00DE3BEE">
      <w:r w:rsidRPr="00A133CF">
        <w:t>In terms of potential deployment environments, the following options are considered in the liaison statement.</w:t>
      </w:r>
    </w:p>
    <w:p w14:paraId="0001FF8B" w14:textId="77777777" w:rsidR="00DE3BEE" w:rsidRPr="00A133CF" w:rsidRDefault="00DE3BEE" w:rsidP="00377E47">
      <w:pPr>
        <w:pStyle w:val="Listparagraphbullets"/>
      </w:pPr>
      <w:r w:rsidRPr="00377E47">
        <w:rPr>
          <w:b/>
        </w:rPr>
        <w:t>Outdoor suburban hotspot</w:t>
      </w:r>
      <w:r w:rsidR="00377E47">
        <w:t>—</w:t>
      </w:r>
      <w:r w:rsidRPr="00A133CF">
        <w:t>corresponding to ‘local office centres, commercial &amp; shopping precincts/malls, railway stations, airports, public venues &amp; central parks’ where ‘base station antennas are typically wall- or pole-mounted a few metres above ground level and users are mostly outdoors’.</w:t>
      </w:r>
    </w:p>
    <w:p w14:paraId="67B5305D" w14:textId="77777777" w:rsidR="00DE3BEE" w:rsidRPr="00A133CF" w:rsidRDefault="00DE3BEE" w:rsidP="00377E47">
      <w:pPr>
        <w:pStyle w:val="Listparagraphbullets"/>
      </w:pPr>
      <w:r w:rsidRPr="00377E47">
        <w:rPr>
          <w:b/>
        </w:rPr>
        <w:t>Outdoor suburban open space hotspot</w:t>
      </w:r>
      <w:r w:rsidR="00377E47">
        <w:t>—</w:t>
      </w:r>
      <w:r w:rsidRPr="00A133CF">
        <w:t>corresponding to ‘a small portion of locations such as shopping precincts/malls, railway stations, public venues &amp; central parks in suburban areas, where a high density of users may occur in the open spaces surrounding or within those locations.</w:t>
      </w:r>
      <w:r w:rsidR="00232CCD">
        <w:t xml:space="preserve"> </w:t>
      </w:r>
      <w:r w:rsidRPr="00A133CF">
        <w:t>Operators may use sites at the edge of roof of low-rise buildings within such venues or adjacent to them.</w:t>
      </w:r>
      <w:r w:rsidR="00232CCD">
        <w:t xml:space="preserve"> </w:t>
      </w:r>
      <w:r w:rsidRPr="00A133CF">
        <w:t>Such sites may be standalone or complementary to an outdoor suburban hotspot deployment’.</w:t>
      </w:r>
    </w:p>
    <w:p w14:paraId="2D0D5AD2" w14:textId="77777777" w:rsidR="00DE3BEE" w:rsidRPr="00A133CF" w:rsidRDefault="00DE3BEE" w:rsidP="00377E47">
      <w:pPr>
        <w:pStyle w:val="Listparagraphbullets"/>
      </w:pPr>
      <w:r w:rsidRPr="00377E47">
        <w:rPr>
          <w:b/>
        </w:rPr>
        <w:t>Outdoor Urban hotspot</w:t>
      </w:r>
      <w:r w:rsidR="00BD5767">
        <w:t>—</w:t>
      </w:r>
      <w:r w:rsidRPr="00A133CF">
        <w:t>corresponding to ‘densely populated areas, such as high-rise central business districts, and the surroundings of crowded locations (for example: city/town squares/plazas, railway stations, airports and open-air malls) where base station antennas are typically wall- or pole-mounted a few metres above ground-level and users are mostly outdoors’.</w:t>
      </w:r>
    </w:p>
    <w:p w14:paraId="7461F55D" w14:textId="77777777" w:rsidR="00DE3BEE" w:rsidRPr="00A133CF" w:rsidRDefault="00DE3BEE" w:rsidP="00377E47">
      <w:pPr>
        <w:pStyle w:val="Listparagraphbullets"/>
      </w:pPr>
      <w:r w:rsidRPr="00377E47">
        <w:rPr>
          <w:b/>
        </w:rPr>
        <w:t>Indoor</w:t>
      </w:r>
      <w:r w:rsidR="00377E47">
        <w:t>—</w:t>
      </w:r>
      <w:r w:rsidRPr="00A133CF">
        <w:t>where ‘base stations and user terminals are indoors’.</w:t>
      </w:r>
    </w:p>
    <w:p w14:paraId="6D0EF123" w14:textId="77777777" w:rsidR="00DE3BEE" w:rsidRPr="00A133CF" w:rsidRDefault="00DE3BEE" w:rsidP="00DE3BEE">
      <w:r w:rsidRPr="00A133CF">
        <w:t>The methodology recommended for examining sharing scenarios involving IMT systems is described in ITU-R Recommendation M.2101.</w:t>
      </w:r>
    </w:p>
    <w:p w14:paraId="7145AB65" w14:textId="77777777" w:rsidR="00D848F2" w:rsidRDefault="00DE3BEE" w:rsidP="00DE3BEE">
      <w:r w:rsidRPr="00A133CF">
        <w:fldChar w:fldCharType="begin"/>
      </w:r>
      <w:r w:rsidRPr="00A133CF">
        <w:instrText xml:space="preserve"> REF _Ref15983885 </w:instrText>
      </w:r>
      <w:r>
        <w:instrText xml:space="preserve"> \* MERGEFORMAT </w:instrText>
      </w:r>
      <w:r w:rsidRPr="00A133CF">
        <w:fldChar w:fldCharType="separate"/>
      </w:r>
      <w:r w:rsidRPr="00A133CF">
        <w:t>Table C.1</w:t>
      </w:r>
      <w:r w:rsidRPr="00A133CF">
        <w:fldChar w:fldCharType="end"/>
      </w:r>
      <w:r w:rsidRPr="00A133CF">
        <w:t xml:space="preserve"> below shows IMT parameters relevant to the key IMT</w:t>
      </w:r>
      <w:r w:rsidR="00377E47">
        <w:t>—</w:t>
      </w:r>
      <w:r w:rsidRPr="00A133CF">
        <w:t>FSS sharing scenarios (i.e. outdoor deployments) examined within TG 5/1 for the frequency range 24.25</w:t>
      </w:r>
      <w:r w:rsidR="00377E47">
        <w:t>—</w:t>
      </w:r>
      <w:r w:rsidRPr="00A133CF">
        <w:t>27.5 GHz</w:t>
      </w:r>
      <w:r w:rsidR="00D848F2">
        <w:t>.</w:t>
      </w:r>
    </w:p>
    <w:p w14:paraId="18CD403F" w14:textId="79D8F9D9" w:rsidR="00DE3BEE" w:rsidRPr="00A133CF" w:rsidRDefault="00DE3BEE" w:rsidP="00377E47">
      <w:pPr>
        <w:pStyle w:val="Tablefigureheading"/>
      </w:pPr>
      <w:bookmarkStart w:id="110" w:name="_Ref15983885"/>
      <w:bookmarkStart w:id="111" w:name="_Toc21429770"/>
      <w:r w:rsidRPr="00A133CF">
        <w:t xml:space="preserve">Table </w:t>
      </w:r>
      <w:r w:rsidR="009D475F">
        <w:fldChar w:fldCharType="begin"/>
      </w:r>
      <w:r w:rsidR="009D475F">
        <w:instrText xml:space="preserve"> STYLEREF 6 \s </w:instrText>
      </w:r>
      <w:r w:rsidR="009D475F">
        <w:fldChar w:fldCharType="separate"/>
      </w:r>
      <w:r w:rsidRPr="00A133CF">
        <w:t>C</w:t>
      </w:r>
      <w:r w:rsidR="009D475F">
        <w:fldChar w:fldCharType="end"/>
      </w:r>
      <w:r w:rsidRPr="00A133CF">
        <w:t>.</w:t>
      </w:r>
      <w:r w:rsidR="009D475F">
        <w:fldChar w:fldCharType="begin"/>
      </w:r>
      <w:r w:rsidR="009D475F">
        <w:instrText xml:space="preserve"> SEQ Table \* ARABIC \s 6 </w:instrText>
      </w:r>
      <w:r w:rsidR="009D475F">
        <w:fldChar w:fldCharType="separate"/>
      </w:r>
      <w:r w:rsidRPr="00A133CF">
        <w:t>1</w:t>
      </w:r>
      <w:r w:rsidR="009D475F">
        <w:fldChar w:fldCharType="end"/>
      </w:r>
      <w:bookmarkEnd w:id="110"/>
      <w:r w:rsidRPr="00A133CF">
        <w:t>: IMT parameters (Document 5-1/36, February 2017)</w:t>
      </w:r>
      <w:bookmarkEnd w:id="111"/>
    </w:p>
    <w:tbl>
      <w:tblPr>
        <w:tblStyle w:val="PlumTable"/>
        <w:tblW w:w="9341" w:type="dxa"/>
        <w:tblLayout w:type="fixed"/>
        <w:tblCellMar>
          <w:top w:w="28" w:type="dxa"/>
          <w:bottom w:w="28" w:type="dxa"/>
        </w:tblCellMar>
        <w:tblLook w:val="0420" w:firstRow="1" w:lastRow="0" w:firstColumn="0" w:lastColumn="0" w:noHBand="0" w:noVBand="1"/>
        <w:tblDescription w:val="Table C.1: IMT parameters (Document 5-1/36, February 2017)."/>
      </w:tblPr>
      <w:tblGrid>
        <w:gridCol w:w="2537"/>
        <w:gridCol w:w="6804"/>
      </w:tblGrid>
      <w:tr w:rsidR="00DE3BEE" w:rsidRPr="00A133CF" w14:paraId="5F20F280" w14:textId="77777777" w:rsidTr="007D38FF">
        <w:trPr>
          <w:cnfStyle w:val="100000000000" w:firstRow="1" w:lastRow="0" w:firstColumn="0" w:lastColumn="0" w:oddVBand="0" w:evenVBand="0" w:oddHBand="0" w:evenHBand="0" w:firstRowFirstColumn="0" w:firstRowLastColumn="0" w:lastRowFirstColumn="0" w:lastRowLastColumn="0"/>
          <w:tblHeader/>
        </w:trPr>
        <w:tc>
          <w:tcPr>
            <w:tcW w:w="2537" w:type="dxa"/>
            <w:shd w:val="clear" w:color="auto" w:fill="4F2683"/>
          </w:tcPr>
          <w:p w14:paraId="152682C9" w14:textId="77777777" w:rsidR="00DE3BEE" w:rsidRPr="00A133CF" w:rsidRDefault="00DE3BEE" w:rsidP="00377E47">
            <w:pPr>
              <w:pStyle w:val="Tablerowcolumnheading"/>
            </w:pPr>
            <w:r w:rsidRPr="00A133CF">
              <w:t>Parameter</w:t>
            </w:r>
          </w:p>
        </w:tc>
        <w:tc>
          <w:tcPr>
            <w:tcW w:w="6804" w:type="dxa"/>
            <w:shd w:val="clear" w:color="auto" w:fill="522785"/>
          </w:tcPr>
          <w:p w14:paraId="017420F4" w14:textId="77777777" w:rsidR="00DE3BEE" w:rsidRPr="00A133CF" w:rsidRDefault="00DE3BEE" w:rsidP="00377E47">
            <w:pPr>
              <w:pStyle w:val="Tablerowcolumnheading"/>
            </w:pPr>
            <w:r w:rsidRPr="00A133CF">
              <w:t>Value</w:t>
            </w:r>
          </w:p>
        </w:tc>
      </w:tr>
      <w:tr w:rsidR="00DE3BEE" w:rsidRPr="00A133CF" w14:paraId="4BB71354" w14:textId="77777777" w:rsidTr="007D38FF">
        <w:tc>
          <w:tcPr>
            <w:tcW w:w="2537" w:type="dxa"/>
          </w:tcPr>
          <w:p w14:paraId="0E040BBF" w14:textId="77777777" w:rsidR="00DE3BEE" w:rsidRPr="00A133CF" w:rsidRDefault="00DE3BEE" w:rsidP="00377E47">
            <w:pPr>
              <w:pStyle w:val="Tabletext"/>
            </w:pPr>
            <w:r w:rsidRPr="00A133CF">
              <w:t>Duplex method</w:t>
            </w:r>
          </w:p>
        </w:tc>
        <w:tc>
          <w:tcPr>
            <w:tcW w:w="6804" w:type="dxa"/>
          </w:tcPr>
          <w:p w14:paraId="4C4344E6" w14:textId="77777777" w:rsidR="00DE3BEE" w:rsidRPr="00A133CF" w:rsidRDefault="00DE3BEE" w:rsidP="00377E47">
            <w:pPr>
              <w:pStyle w:val="Tabletext"/>
            </w:pPr>
            <w:r w:rsidRPr="00A133CF">
              <w:t>TDD</w:t>
            </w:r>
          </w:p>
        </w:tc>
      </w:tr>
      <w:tr w:rsidR="00DE3BEE" w:rsidRPr="00A133CF" w14:paraId="60A88449" w14:textId="77777777" w:rsidTr="007D38FF">
        <w:trPr>
          <w:cnfStyle w:val="000000010000" w:firstRow="0" w:lastRow="0" w:firstColumn="0" w:lastColumn="0" w:oddVBand="0" w:evenVBand="0" w:oddHBand="0" w:evenHBand="1" w:firstRowFirstColumn="0" w:firstRowLastColumn="0" w:lastRowFirstColumn="0" w:lastRowLastColumn="0"/>
        </w:trPr>
        <w:tc>
          <w:tcPr>
            <w:tcW w:w="2537" w:type="dxa"/>
          </w:tcPr>
          <w:p w14:paraId="496D6D4F" w14:textId="77777777" w:rsidR="00DE3BEE" w:rsidRPr="00A133CF" w:rsidRDefault="00DE3BEE" w:rsidP="00377E47">
            <w:pPr>
              <w:pStyle w:val="Tabletext"/>
            </w:pPr>
            <w:r w:rsidRPr="00A133CF">
              <w:t>Channel bandwidth (MHz)</w:t>
            </w:r>
          </w:p>
        </w:tc>
        <w:tc>
          <w:tcPr>
            <w:tcW w:w="6804" w:type="dxa"/>
          </w:tcPr>
          <w:p w14:paraId="060749D8" w14:textId="77777777" w:rsidR="00DE3BEE" w:rsidRPr="00A133CF" w:rsidRDefault="00DE3BEE" w:rsidP="00377E47">
            <w:pPr>
              <w:pStyle w:val="Tabletext"/>
            </w:pPr>
            <w:r w:rsidRPr="00A133CF">
              <w:t xml:space="preserve">200 </w:t>
            </w:r>
            <w:r w:rsidRPr="00A133CF">
              <w:br/>
              <w:t>(90% of this value is signal bandwidth)</w:t>
            </w:r>
          </w:p>
        </w:tc>
      </w:tr>
    </w:tbl>
    <w:p w14:paraId="3E49C9F1" w14:textId="77777777" w:rsidR="00964AC6" w:rsidRDefault="00964AC6" w:rsidP="007D38FF">
      <w:pPr>
        <w:spacing w:after="0"/>
        <w:rPr>
          <w:b/>
        </w:rPr>
      </w:pPr>
    </w:p>
    <w:p w14:paraId="2D6A5AC8" w14:textId="185EF2E6" w:rsidR="00964AC6" w:rsidRPr="00CB7D2D" w:rsidRDefault="00964AC6" w:rsidP="007D38FF">
      <w:pPr>
        <w:pStyle w:val="Tablefigureheading"/>
      </w:pPr>
      <w:bookmarkStart w:id="112" w:name="_Toc21429771"/>
      <w:r>
        <w:lastRenderedPageBreak/>
        <w:t>T</w:t>
      </w:r>
      <w:r w:rsidRPr="00CB7D2D">
        <w:t>able C.1A: IMT Parameters (Base Stations)</w:t>
      </w:r>
      <w:bookmarkEnd w:id="112"/>
    </w:p>
    <w:tbl>
      <w:tblPr>
        <w:tblStyle w:val="PlumTable"/>
        <w:tblW w:w="9341" w:type="dxa"/>
        <w:tblLayout w:type="fixed"/>
        <w:tblCellMar>
          <w:top w:w="28" w:type="dxa"/>
          <w:bottom w:w="28" w:type="dxa"/>
        </w:tblCellMar>
        <w:tblLook w:val="0420" w:firstRow="1" w:lastRow="0" w:firstColumn="0" w:lastColumn="0" w:noHBand="0" w:noVBand="1"/>
        <w:tblDescription w:val="Table C.1A: IMT Parameters (Base Stations)."/>
      </w:tblPr>
      <w:tblGrid>
        <w:gridCol w:w="2537"/>
        <w:gridCol w:w="2268"/>
        <w:gridCol w:w="2268"/>
        <w:gridCol w:w="2268"/>
      </w:tblGrid>
      <w:tr w:rsidR="00964AC6" w:rsidRPr="00A133CF" w14:paraId="15AC40A4" w14:textId="77777777" w:rsidTr="007D38FF">
        <w:trPr>
          <w:cnfStyle w:val="100000000000" w:firstRow="1" w:lastRow="0" w:firstColumn="0" w:lastColumn="0" w:oddVBand="0" w:evenVBand="0" w:oddHBand="0" w:evenHBand="0" w:firstRowFirstColumn="0" w:firstRowLastColumn="0" w:lastRowFirstColumn="0" w:lastRowLastColumn="0"/>
          <w:trHeight w:val="19"/>
          <w:tblHeader/>
        </w:trPr>
        <w:tc>
          <w:tcPr>
            <w:tcW w:w="2537" w:type="dxa"/>
            <w:shd w:val="clear" w:color="auto" w:fill="411F6B"/>
          </w:tcPr>
          <w:p w14:paraId="64296852" w14:textId="77777777" w:rsidR="00964AC6" w:rsidRPr="00CB7D2D" w:rsidRDefault="00964AC6" w:rsidP="000620D9">
            <w:pPr>
              <w:pStyle w:val="Tabletext"/>
            </w:pPr>
          </w:p>
        </w:tc>
        <w:tc>
          <w:tcPr>
            <w:tcW w:w="2268" w:type="dxa"/>
            <w:shd w:val="clear" w:color="auto" w:fill="411F6B"/>
          </w:tcPr>
          <w:p w14:paraId="2393FE70" w14:textId="77777777" w:rsidR="00964AC6" w:rsidRPr="00CB7D2D" w:rsidRDefault="00964AC6" w:rsidP="000620D9">
            <w:pPr>
              <w:pStyle w:val="Tabletext"/>
              <w:rPr>
                <w:b/>
                <w:sz w:val="20"/>
              </w:rPr>
            </w:pPr>
            <w:r w:rsidRPr="00CB7D2D">
              <w:rPr>
                <w:b/>
                <w:sz w:val="20"/>
              </w:rPr>
              <w:t>Outdoor suburban open space hotspot</w:t>
            </w:r>
          </w:p>
        </w:tc>
        <w:tc>
          <w:tcPr>
            <w:tcW w:w="2268" w:type="dxa"/>
            <w:shd w:val="clear" w:color="auto" w:fill="411F6B"/>
          </w:tcPr>
          <w:p w14:paraId="7F94D0B2" w14:textId="77777777" w:rsidR="00964AC6" w:rsidRPr="00CB7D2D" w:rsidRDefault="00964AC6" w:rsidP="000620D9">
            <w:pPr>
              <w:pStyle w:val="Tabletext"/>
              <w:rPr>
                <w:b/>
                <w:sz w:val="20"/>
              </w:rPr>
            </w:pPr>
            <w:r w:rsidRPr="00CB7D2D">
              <w:rPr>
                <w:b/>
                <w:sz w:val="20"/>
              </w:rPr>
              <w:t>Outdoor suburban hotspot</w:t>
            </w:r>
          </w:p>
        </w:tc>
        <w:tc>
          <w:tcPr>
            <w:tcW w:w="2268" w:type="dxa"/>
            <w:shd w:val="clear" w:color="auto" w:fill="411F6B"/>
          </w:tcPr>
          <w:p w14:paraId="0B173DD8" w14:textId="77777777" w:rsidR="00964AC6" w:rsidRPr="00CB7D2D" w:rsidRDefault="00964AC6" w:rsidP="000620D9">
            <w:pPr>
              <w:pStyle w:val="Tabletext"/>
              <w:rPr>
                <w:b/>
                <w:sz w:val="20"/>
              </w:rPr>
            </w:pPr>
            <w:r w:rsidRPr="00CB7D2D">
              <w:rPr>
                <w:b/>
                <w:sz w:val="20"/>
              </w:rPr>
              <w:t>Outdoor urban hotspot</w:t>
            </w:r>
          </w:p>
        </w:tc>
      </w:tr>
      <w:tr w:rsidR="00964AC6" w:rsidRPr="00A133CF" w14:paraId="69F01BEE" w14:textId="77777777" w:rsidTr="007D38FF">
        <w:trPr>
          <w:cnfStyle w:val="100000000000" w:firstRow="1" w:lastRow="0" w:firstColumn="0" w:lastColumn="0" w:oddVBand="0" w:evenVBand="0" w:oddHBand="0" w:evenHBand="0" w:firstRowFirstColumn="0" w:firstRowLastColumn="0" w:lastRowFirstColumn="0" w:lastRowLastColumn="0"/>
          <w:trHeight w:val="115"/>
          <w:tblHeader/>
        </w:trPr>
        <w:tc>
          <w:tcPr>
            <w:tcW w:w="2537" w:type="dxa"/>
            <w:shd w:val="clear" w:color="auto" w:fill="411F6B"/>
          </w:tcPr>
          <w:p w14:paraId="0C389DC3" w14:textId="77777777" w:rsidR="00964AC6" w:rsidRPr="00CB7D2D" w:rsidRDefault="00964AC6" w:rsidP="000620D9">
            <w:pPr>
              <w:pStyle w:val="Tabletext"/>
              <w:rPr>
                <w:b/>
                <w:sz w:val="20"/>
              </w:rPr>
            </w:pPr>
            <w:r w:rsidRPr="00CB7D2D">
              <w:rPr>
                <w:b/>
                <w:sz w:val="20"/>
              </w:rPr>
              <w:t>Parameter</w:t>
            </w:r>
          </w:p>
        </w:tc>
        <w:tc>
          <w:tcPr>
            <w:tcW w:w="2268" w:type="dxa"/>
            <w:shd w:val="clear" w:color="auto" w:fill="411F6B"/>
          </w:tcPr>
          <w:p w14:paraId="7308EE92" w14:textId="77777777" w:rsidR="00964AC6" w:rsidRPr="00A133CF" w:rsidRDefault="00964AC6" w:rsidP="000620D9">
            <w:pPr>
              <w:pStyle w:val="Tabletext"/>
            </w:pPr>
          </w:p>
        </w:tc>
        <w:tc>
          <w:tcPr>
            <w:tcW w:w="2268" w:type="dxa"/>
            <w:shd w:val="clear" w:color="auto" w:fill="411F6B"/>
          </w:tcPr>
          <w:p w14:paraId="38B541BD" w14:textId="77777777" w:rsidR="00964AC6" w:rsidRPr="00A133CF" w:rsidRDefault="00964AC6" w:rsidP="000620D9">
            <w:pPr>
              <w:pStyle w:val="Tabletext"/>
            </w:pPr>
          </w:p>
        </w:tc>
        <w:tc>
          <w:tcPr>
            <w:tcW w:w="2268" w:type="dxa"/>
            <w:shd w:val="clear" w:color="auto" w:fill="411F6B"/>
          </w:tcPr>
          <w:p w14:paraId="1CA7BC50" w14:textId="77777777" w:rsidR="00964AC6" w:rsidRPr="00A133CF" w:rsidRDefault="00964AC6" w:rsidP="000620D9">
            <w:pPr>
              <w:pStyle w:val="Tabletext"/>
            </w:pPr>
          </w:p>
        </w:tc>
      </w:tr>
      <w:tr w:rsidR="00964AC6" w:rsidRPr="00A133CF" w14:paraId="201B5271" w14:textId="77777777" w:rsidTr="007D38FF">
        <w:tc>
          <w:tcPr>
            <w:tcW w:w="2537" w:type="dxa"/>
          </w:tcPr>
          <w:p w14:paraId="3B6C759E" w14:textId="77777777" w:rsidR="00964AC6" w:rsidRPr="00A133CF" w:rsidRDefault="00964AC6" w:rsidP="000620D9">
            <w:pPr>
              <w:pStyle w:val="Tabletext"/>
            </w:pPr>
            <w:r w:rsidRPr="00A133CF">
              <w:t>Density (per Sq. km)</w:t>
            </w:r>
          </w:p>
          <w:p w14:paraId="4AE9076A" w14:textId="77777777" w:rsidR="00964AC6" w:rsidRPr="00A133CF" w:rsidRDefault="00964AC6" w:rsidP="000620D9">
            <w:pPr>
              <w:pStyle w:val="Tabletext"/>
            </w:pPr>
            <w:r w:rsidRPr="00A133CF">
              <w:t>See NOTE 1</w:t>
            </w:r>
          </w:p>
        </w:tc>
        <w:tc>
          <w:tcPr>
            <w:tcW w:w="2268" w:type="dxa"/>
          </w:tcPr>
          <w:p w14:paraId="68CE3F41" w14:textId="77777777" w:rsidR="00964AC6" w:rsidRPr="00A133CF" w:rsidRDefault="00964AC6" w:rsidP="000620D9">
            <w:pPr>
              <w:pStyle w:val="Tabletext"/>
            </w:pPr>
            <w:r w:rsidRPr="00A133CF">
              <w:t>0 or 1</w:t>
            </w:r>
            <w:r w:rsidRPr="00C026B7">
              <w:rPr>
                <w:vertAlign w:val="superscript"/>
              </w:rPr>
              <w:footnoteReference w:id="20"/>
            </w:r>
          </w:p>
        </w:tc>
        <w:tc>
          <w:tcPr>
            <w:tcW w:w="2268" w:type="dxa"/>
          </w:tcPr>
          <w:p w14:paraId="4B5D80F8" w14:textId="77777777" w:rsidR="00964AC6" w:rsidRPr="00A133CF" w:rsidRDefault="00964AC6" w:rsidP="000620D9">
            <w:pPr>
              <w:pStyle w:val="Tabletext"/>
            </w:pPr>
            <w:r w:rsidRPr="00A133CF">
              <w:t>10</w:t>
            </w:r>
          </w:p>
        </w:tc>
        <w:tc>
          <w:tcPr>
            <w:tcW w:w="2268" w:type="dxa"/>
          </w:tcPr>
          <w:p w14:paraId="5D299A8F" w14:textId="77777777" w:rsidR="00964AC6" w:rsidRPr="00A133CF" w:rsidRDefault="00964AC6" w:rsidP="000620D9">
            <w:pPr>
              <w:pStyle w:val="Tabletext"/>
            </w:pPr>
            <w:r w:rsidRPr="00A133CF">
              <w:t>30</w:t>
            </w:r>
          </w:p>
        </w:tc>
      </w:tr>
      <w:tr w:rsidR="00964AC6" w:rsidRPr="00A133CF" w14:paraId="31BBA91A" w14:textId="77777777" w:rsidTr="007D38FF">
        <w:trPr>
          <w:cnfStyle w:val="000000010000" w:firstRow="0" w:lastRow="0" w:firstColumn="0" w:lastColumn="0" w:oddVBand="0" w:evenVBand="0" w:oddHBand="0" w:evenHBand="1" w:firstRowFirstColumn="0" w:firstRowLastColumn="0" w:lastRowFirstColumn="0" w:lastRowLastColumn="0"/>
        </w:trPr>
        <w:tc>
          <w:tcPr>
            <w:tcW w:w="2537" w:type="dxa"/>
          </w:tcPr>
          <w:p w14:paraId="53368181" w14:textId="77777777" w:rsidR="00964AC6" w:rsidRPr="00A133CF" w:rsidRDefault="00964AC6" w:rsidP="000620D9">
            <w:pPr>
              <w:pStyle w:val="Tabletext"/>
            </w:pPr>
            <w:r w:rsidRPr="00A133CF">
              <w:t>Frequency re-use</w:t>
            </w:r>
          </w:p>
        </w:tc>
        <w:tc>
          <w:tcPr>
            <w:tcW w:w="2268" w:type="dxa"/>
          </w:tcPr>
          <w:p w14:paraId="6D132480" w14:textId="77777777" w:rsidR="00964AC6" w:rsidRPr="00A133CF" w:rsidRDefault="00964AC6" w:rsidP="000620D9">
            <w:pPr>
              <w:pStyle w:val="Tabletext"/>
            </w:pPr>
            <w:r w:rsidRPr="00A133CF">
              <w:t>1</w:t>
            </w:r>
          </w:p>
        </w:tc>
        <w:tc>
          <w:tcPr>
            <w:tcW w:w="2268" w:type="dxa"/>
          </w:tcPr>
          <w:p w14:paraId="126C3F42" w14:textId="77777777" w:rsidR="00964AC6" w:rsidRPr="00A133CF" w:rsidRDefault="00964AC6" w:rsidP="000620D9">
            <w:pPr>
              <w:pStyle w:val="Tabletext"/>
            </w:pPr>
            <w:r w:rsidRPr="00A133CF">
              <w:t>1</w:t>
            </w:r>
          </w:p>
        </w:tc>
        <w:tc>
          <w:tcPr>
            <w:tcW w:w="2268" w:type="dxa"/>
          </w:tcPr>
          <w:p w14:paraId="5DC38B16" w14:textId="77777777" w:rsidR="00964AC6" w:rsidRPr="00A133CF" w:rsidRDefault="00964AC6" w:rsidP="000620D9">
            <w:pPr>
              <w:pStyle w:val="Tabletext"/>
            </w:pPr>
            <w:r w:rsidRPr="00A133CF">
              <w:t>1</w:t>
            </w:r>
          </w:p>
        </w:tc>
      </w:tr>
      <w:tr w:rsidR="00964AC6" w:rsidRPr="00A133CF" w14:paraId="71AADFDC" w14:textId="77777777" w:rsidTr="007D38FF">
        <w:tc>
          <w:tcPr>
            <w:tcW w:w="2537" w:type="dxa"/>
          </w:tcPr>
          <w:p w14:paraId="075329AF" w14:textId="77777777" w:rsidR="00964AC6" w:rsidRPr="00A133CF" w:rsidRDefault="00964AC6" w:rsidP="000620D9">
            <w:pPr>
              <w:pStyle w:val="Tabletext"/>
            </w:pPr>
            <w:r w:rsidRPr="00A133CF">
              <w:t>Antenna height (</w:t>
            </w:r>
            <w:proofErr w:type="spellStart"/>
            <w:r w:rsidRPr="00A133CF">
              <w:t>a.g.l</w:t>
            </w:r>
            <w:proofErr w:type="spellEnd"/>
            <w:r w:rsidRPr="00A133CF">
              <w:t>.) (m)</w:t>
            </w:r>
          </w:p>
        </w:tc>
        <w:tc>
          <w:tcPr>
            <w:tcW w:w="2268" w:type="dxa"/>
          </w:tcPr>
          <w:p w14:paraId="1C72CCE2" w14:textId="77777777" w:rsidR="00964AC6" w:rsidRPr="00A133CF" w:rsidRDefault="00964AC6" w:rsidP="000620D9">
            <w:pPr>
              <w:pStyle w:val="Tabletext"/>
            </w:pPr>
            <w:r w:rsidRPr="00A133CF">
              <w:t>15</w:t>
            </w:r>
          </w:p>
        </w:tc>
        <w:tc>
          <w:tcPr>
            <w:tcW w:w="2268" w:type="dxa"/>
          </w:tcPr>
          <w:p w14:paraId="7B2AB751" w14:textId="77777777" w:rsidR="00964AC6" w:rsidRPr="00A133CF" w:rsidRDefault="00964AC6" w:rsidP="000620D9">
            <w:pPr>
              <w:pStyle w:val="Tabletext"/>
            </w:pPr>
            <w:r w:rsidRPr="00A133CF">
              <w:t>6</w:t>
            </w:r>
          </w:p>
        </w:tc>
        <w:tc>
          <w:tcPr>
            <w:tcW w:w="2268" w:type="dxa"/>
          </w:tcPr>
          <w:p w14:paraId="30C787A0" w14:textId="77777777" w:rsidR="00964AC6" w:rsidRPr="00A133CF" w:rsidRDefault="00964AC6" w:rsidP="000620D9">
            <w:pPr>
              <w:pStyle w:val="Tabletext"/>
            </w:pPr>
            <w:r w:rsidRPr="00A133CF">
              <w:t>6</w:t>
            </w:r>
          </w:p>
        </w:tc>
      </w:tr>
      <w:tr w:rsidR="00964AC6" w:rsidRPr="00A133CF" w14:paraId="428F86F5" w14:textId="77777777" w:rsidTr="007D38FF">
        <w:trPr>
          <w:cnfStyle w:val="000000010000" w:firstRow="0" w:lastRow="0" w:firstColumn="0" w:lastColumn="0" w:oddVBand="0" w:evenVBand="0" w:oddHBand="0" w:evenHBand="1" w:firstRowFirstColumn="0" w:firstRowLastColumn="0" w:lastRowFirstColumn="0" w:lastRowLastColumn="0"/>
        </w:trPr>
        <w:tc>
          <w:tcPr>
            <w:tcW w:w="2537" w:type="dxa"/>
          </w:tcPr>
          <w:p w14:paraId="435AF9DA" w14:textId="77777777" w:rsidR="00964AC6" w:rsidRPr="00A133CF" w:rsidRDefault="00964AC6" w:rsidP="000620D9">
            <w:pPr>
              <w:pStyle w:val="Tabletext"/>
            </w:pPr>
            <w:proofErr w:type="spellStart"/>
            <w:r w:rsidRPr="00A133CF">
              <w:t>Sectorisation</w:t>
            </w:r>
            <w:proofErr w:type="spellEnd"/>
          </w:p>
        </w:tc>
        <w:tc>
          <w:tcPr>
            <w:tcW w:w="2268" w:type="dxa"/>
          </w:tcPr>
          <w:p w14:paraId="142FEEA6" w14:textId="77777777" w:rsidR="00964AC6" w:rsidRPr="00A133CF" w:rsidRDefault="00964AC6" w:rsidP="000620D9">
            <w:pPr>
              <w:pStyle w:val="Tabletext"/>
            </w:pPr>
            <w:r w:rsidRPr="00A133CF">
              <w:t>1</w:t>
            </w:r>
          </w:p>
        </w:tc>
        <w:tc>
          <w:tcPr>
            <w:tcW w:w="2268" w:type="dxa"/>
          </w:tcPr>
          <w:p w14:paraId="0DE3109A" w14:textId="77777777" w:rsidR="00964AC6" w:rsidRPr="00A133CF" w:rsidRDefault="00964AC6" w:rsidP="000620D9">
            <w:pPr>
              <w:pStyle w:val="Tabletext"/>
            </w:pPr>
            <w:r w:rsidRPr="00A133CF">
              <w:t>1</w:t>
            </w:r>
          </w:p>
        </w:tc>
        <w:tc>
          <w:tcPr>
            <w:tcW w:w="2268" w:type="dxa"/>
          </w:tcPr>
          <w:p w14:paraId="5B00A38F" w14:textId="77777777" w:rsidR="00964AC6" w:rsidRPr="00A133CF" w:rsidRDefault="00964AC6" w:rsidP="000620D9">
            <w:pPr>
              <w:pStyle w:val="Tabletext"/>
            </w:pPr>
            <w:r w:rsidRPr="00A133CF">
              <w:t>1</w:t>
            </w:r>
          </w:p>
        </w:tc>
      </w:tr>
      <w:tr w:rsidR="00964AC6" w:rsidRPr="00A133CF" w14:paraId="28272AD1" w14:textId="77777777" w:rsidTr="007D38FF">
        <w:tc>
          <w:tcPr>
            <w:tcW w:w="2537" w:type="dxa"/>
          </w:tcPr>
          <w:p w14:paraId="17392EF6" w14:textId="77777777" w:rsidR="00964AC6" w:rsidRPr="00A133CF" w:rsidRDefault="00964AC6" w:rsidP="000620D9">
            <w:pPr>
              <w:pStyle w:val="Tabletext"/>
            </w:pPr>
            <w:proofErr w:type="spellStart"/>
            <w:r w:rsidRPr="00A133CF">
              <w:t>Downtilt</w:t>
            </w:r>
            <w:proofErr w:type="spellEnd"/>
            <w:r w:rsidRPr="00A133CF">
              <w:t xml:space="preserve"> (degrees)</w:t>
            </w:r>
          </w:p>
        </w:tc>
        <w:tc>
          <w:tcPr>
            <w:tcW w:w="2268" w:type="dxa"/>
          </w:tcPr>
          <w:p w14:paraId="07CB5190" w14:textId="77777777" w:rsidR="00964AC6" w:rsidRPr="00A133CF" w:rsidRDefault="00964AC6" w:rsidP="000620D9">
            <w:pPr>
              <w:pStyle w:val="Tabletext"/>
            </w:pPr>
            <w:r w:rsidRPr="00A133CF">
              <w:t>15</w:t>
            </w:r>
          </w:p>
        </w:tc>
        <w:tc>
          <w:tcPr>
            <w:tcW w:w="2268" w:type="dxa"/>
          </w:tcPr>
          <w:p w14:paraId="1E04ABA6" w14:textId="77777777" w:rsidR="00964AC6" w:rsidRPr="00A133CF" w:rsidRDefault="00964AC6" w:rsidP="000620D9">
            <w:pPr>
              <w:pStyle w:val="Tabletext"/>
            </w:pPr>
            <w:r w:rsidRPr="00A133CF">
              <w:t>10</w:t>
            </w:r>
          </w:p>
        </w:tc>
        <w:tc>
          <w:tcPr>
            <w:tcW w:w="2268" w:type="dxa"/>
          </w:tcPr>
          <w:p w14:paraId="3439CAD5" w14:textId="77777777" w:rsidR="00964AC6" w:rsidRPr="00A133CF" w:rsidRDefault="00964AC6" w:rsidP="000620D9">
            <w:pPr>
              <w:pStyle w:val="Tabletext"/>
            </w:pPr>
            <w:r w:rsidRPr="00A133CF">
              <w:t>10</w:t>
            </w:r>
          </w:p>
        </w:tc>
      </w:tr>
      <w:tr w:rsidR="00964AC6" w:rsidRPr="00A133CF" w14:paraId="3F5CBB92" w14:textId="77777777" w:rsidTr="007D38FF">
        <w:trPr>
          <w:cnfStyle w:val="000000010000" w:firstRow="0" w:lastRow="0" w:firstColumn="0" w:lastColumn="0" w:oddVBand="0" w:evenVBand="0" w:oddHBand="0" w:evenHBand="1" w:firstRowFirstColumn="0" w:firstRowLastColumn="0" w:lastRowFirstColumn="0" w:lastRowLastColumn="0"/>
        </w:trPr>
        <w:tc>
          <w:tcPr>
            <w:tcW w:w="2537" w:type="dxa"/>
          </w:tcPr>
          <w:p w14:paraId="01A25AD0" w14:textId="77777777" w:rsidR="00964AC6" w:rsidRPr="00A133CF" w:rsidRDefault="00964AC6" w:rsidP="000620D9">
            <w:pPr>
              <w:pStyle w:val="Tabletext"/>
            </w:pPr>
            <w:r w:rsidRPr="00A133CF">
              <w:t>Antenna deployment</w:t>
            </w:r>
          </w:p>
        </w:tc>
        <w:tc>
          <w:tcPr>
            <w:tcW w:w="2268" w:type="dxa"/>
          </w:tcPr>
          <w:p w14:paraId="4C828A98" w14:textId="77777777" w:rsidR="00964AC6" w:rsidRPr="00A133CF" w:rsidRDefault="00964AC6" w:rsidP="000620D9">
            <w:pPr>
              <w:pStyle w:val="Tabletext"/>
            </w:pPr>
            <w:r w:rsidRPr="00A133CF">
              <w:t>Roof edge</w:t>
            </w:r>
          </w:p>
        </w:tc>
        <w:tc>
          <w:tcPr>
            <w:tcW w:w="2268" w:type="dxa"/>
          </w:tcPr>
          <w:p w14:paraId="470BC96E" w14:textId="77777777" w:rsidR="00964AC6" w:rsidRPr="00A133CF" w:rsidRDefault="00964AC6" w:rsidP="000620D9">
            <w:pPr>
              <w:pStyle w:val="Tabletext"/>
            </w:pPr>
            <w:r w:rsidRPr="00A133CF">
              <w:t>Below roof top</w:t>
            </w:r>
          </w:p>
        </w:tc>
        <w:tc>
          <w:tcPr>
            <w:tcW w:w="2268" w:type="dxa"/>
          </w:tcPr>
          <w:p w14:paraId="2A3B4898" w14:textId="77777777" w:rsidR="00964AC6" w:rsidRPr="00A133CF" w:rsidRDefault="00964AC6" w:rsidP="000620D9">
            <w:pPr>
              <w:pStyle w:val="Tabletext"/>
            </w:pPr>
            <w:r w:rsidRPr="00A133CF">
              <w:t>Below roof top</w:t>
            </w:r>
          </w:p>
        </w:tc>
      </w:tr>
      <w:tr w:rsidR="00964AC6" w:rsidRPr="00A133CF" w14:paraId="1D72BEE9" w14:textId="77777777" w:rsidTr="007D38FF">
        <w:tc>
          <w:tcPr>
            <w:tcW w:w="2537" w:type="dxa"/>
          </w:tcPr>
          <w:p w14:paraId="6394AD66" w14:textId="77777777" w:rsidR="00964AC6" w:rsidRPr="00A133CF" w:rsidRDefault="00964AC6" w:rsidP="000620D9">
            <w:pPr>
              <w:pStyle w:val="Tabletext"/>
            </w:pPr>
            <w:r w:rsidRPr="00A133CF">
              <w:t>Average BS activity</w:t>
            </w:r>
            <w:r w:rsidRPr="00C026B7">
              <w:rPr>
                <w:vertAlign w:val="superscript"/>
              </w:rPr>
              <w:footnoteReference w:id="21"/>
            </w:r>
          </w:p>
          <w:p w14:paraId="59CD0855" w14:textId="77777777" w:rsidR="00964AC6" w:rsidRPr="00A133CF" w:rsidRDefault="00964AC6" w:rsidP="000620D9">
            <w:pPr>
              <w:pStyle w:val="Tabletext"/>
            </w:pPr>
            <w:r w:rsidRPr="00A133CF">
              <w:t>(Network loading factor) (%)</w:t>
            </w:r>
          </w:p>
        </w:tc>
        <w:tc>
          <w:tcPr>
            <w:tcW w:w="2268" w:type="dxa"/>
          </w:tcPr>
          <w:p w14:paraId="29C57C66" w14:textId="77777777" w:rsidR="00964AC6" w:rsidRPr="00A133CF" w:rsidRDefault="00964AC6" w:rsidP="000620D9">
            <w:pPr>
              <w:pStyle w:val="Tabletext"/>
            </w:pPr>
            <w:r w:rsidRPr="00A133CF">
              <w:t>20, 50</w:t>
            </w:r>
          </w:p>
        </w:tc>
        <w:tc>
          <w:tcPr>
            <w:tcW w:w="2268" w:type="dxa"/>
          </w:tcPr>
          <w:p w14:paraId="18420E87" w14:textId="77777777" w:rsidR="00964AC6" w:rsidRPr="00A133CF" w:rsidRDefault="00964AC6" w:rsidP="000620D9">
            <w:pPr>
              <w:pStyle w:val="Tabletext"/>
            </w:pPr>
            <w:r w:rsidRPr="00A133CF">
              <w:t>20, 50</w:t>
            </w:r>
          </w:p>
        </w:tc>
        <w:tc>
          <w:tcPr>
            <w:tcW w:w="2268" w:type="dxa"/>
          </w:tcPr>
          <w:p w14:paraId="393410BC" w14:textId="77777777" w:rsidR="00964AC6" w:rsidRPr="00A133CF" w:rsidRDefault="00964AC6" w:rsidP="000620D9">
            <w:pPr>
              <w:pStyle w:val="Tabletext"/>
            </w:pPr>
            <w:r w:rsidRPr="00A133CF">
              <w:t>20% 50</w:t>
            </w:r>
          </w:p>
        </w:tc>
      </w:tr>
      <w:tr w:rsidR="00964AC6" w:rsidRPr="00A133CF" w14:paraId="38E2E269" w14:textId="77777777" w:rsidTr="007D38FF">
        <w:trPr>
          <w:cnfStyle w:val="000000010000" w:firstRow="0" w:lastRow="0" w:firstColumn="0" w:lastColumn="0" w:oddVBand="0" w:evenVBand="0" w:oddHBand="0" w:evenHBand="1" w:firstRowFirstColumn="0" w:firstRowLastColumn="0" w:lastRowFirstColumn="0" w:lastRowLastColumn="0"/>
        </w:trPr>
        <w:tc>
          <w:tcPr>
            <w:tcW w:w="2537" w:type="dxa"/>
          </w:tcPr>
          <w:p w14:paraId="5612B67A" w14:textId="77777777" w:rsidR="00964AC6" w:rsidRPr="00A133CF" w:rsidRDefault="00964AC6" w:rsidP="000620D9">
            <w:pPr>
              <w:pStyle w:val="Tabletext"/>
            </w:pPr>
            <w:r w:rsidRPr="00A133CF">
              <w:t>BS TDD activity factor (%)</w:t>
            </w:r>
          </w:p>
        </w:tc>
        <w:tc>
          <w:tcPr>
            <w:tcW w:w="2268" w:type="dxa"/>
          </w:tcPr>
          <w:p w14:paraId="26EF4B40" w14:textId="77777777" w:rsidR="00964AC6" w:rsidRPr="00A133CF" w:rsidRDefault="00964AC6" w:rsidP="000620D9">
            <w:pPr>
              <w:pStyle w:val="Tabletext"/>
            </w:pPr>
            <w:r w:rsidRPr="00A133CF">
              <w:t>80</w:t>
            </w:r>
          </w:p>
        </w:tc>
        <w:tc>
          <w:tcPr>
            <w:tcW w:w="2268" w:type="dxa"/>
          </w:tcPr>
          <w:p w14:paraId="4526A36D" w14:textId="77777777" w:rsidR="00964AC6" w:rsidRPr="00A133CF" w:rsidRDefault="00964AC6" w:rsidP="000620D9">
            <w:pPr>
              <w:pStyle w:val="Tabletext"/>
            </w:pPr>
            <w:r w:rsidRPr="00A133CF">
              <w:t>80</w:t>
            </w:r>
          </w:p>
        </w:tc>
        <w:tc>
          <w:tcPr>
            <w:tcW w:w="2268" w:type="dxa"/>
          </w:tcPr>
          <w:p w14:paraId="765869E1" w14:textId="77777777" w:rsidR="00964AC6" w:rsidRPr="00A133CF" w:rsidRDefault="00964AC6" w:rsidP="000620D9">
            <w:pPr>
              <w:pStyle w:val="Tabletext"/>
            </w:pPr>
            <w:r w:rsidRPr="00A133CF">
              <w:t>80</w:t>
            </w:r>
          </w:p>
        </w:tc>
      </w:tr>
      <w:tr w:rsidR="00964AC6" w:rsidRPr="00A133CF" w14:paraId="002A43F2" w14:textId="77777777" w:rsidTr="007D38FF">
        <w:tc>
          <w:tcPr>
            <w:tcW w:w="2537" w:type="dxa"/>
          </w:tcPr>
          <w:p w14:paraId="7314B1C7" w14:textId="77777777" w:rsidR="00964AC6" w:rsidRPr="00A133CF" w:rsidRDefault="00964AC6" w:rsidP="000620D9">
            <w:pPr>
              <w:pStyle w:val="Tabletext"/>
            </w:pPr>
            <w:r w:rsidRPr="00A133CF">
              <w:t>Antenna Pattern</w:t>
            </w:r>
          </w:p>
        </w:tc>
        <w:tc>
          <w:tcPr>
            <w:tcW w:w="2268" w:type="dxa"/>
          </w:tcPr>
          <w:p w14:paraId="7BF5251D" w14:textId="77777777" w:rsidR="00964AC6" w:rsidRPr="00A133CF" w:rsidRDefault="00964AC6" w:rsidP="000620D9">
            <w:pPr>
              <w:pStyle w:val="Tabletext"/>
            </w:pPr>
            <w:r w:rsidRPr="00A133CF">
              <w:t>Rec. M 2101</w:t>
            </w:r>
          </w:p>
        </w:tc>
        <w:tc>
          <w:tcPr>
            <w:tcW w:w="2268" w:type="dxa"/>
          </w:tcPr>
          <w:p w14:paraId="069DB343" w14:textId="77777777" w:rsidR="00964AC6" w:rsidRPr="00A133CF" w:rsidRDefault="00964AC6" w:rsidP="000620D9">
            <w:pPr>
              <w:pStyle w:val="Tabletext"/>
            </w:pPr>
            <w:r w:rsidRPr="00A133CF">
              <w:t>Rec. M 2101</w:t>
            </w:r>
          </w:p>
        </w:tc>
        <w:tc>
          <w:tcPr>
            <w:tcW w:w="2268" w:type="dxa"/>
          </w:tcPr>
          <w:p w14:paraId="6AF2D034" w14:textId="77777777" w:rsidR="00964AC6" w:rsidRPr="00A133CF" w:rsidRDefault="00964AC6" w:rsidP="000620D9">
            <w:pPr>
              <w:pStyle w:val="Tabletext"/>
            </w:pPr>
            <w:r w:rsidRPr="00A133CF">
              <w:t>Rec. M 2101</w:t>
            </w:r>
          </w:p>
        </w:tc>
      </w:tr>
      <w:tr w:rsidR="00964AC6" w:rsidRPr="00A133CF" w14:paraId="006A41E2" w14:textId="77777777" w:rsidTr="007D38FF">
        <w:trPr>
          <w:cnfStyle w:val="000000010000" w:firstRow="0" w:lastRow="0" w:firstColumn="0" w:lastColumn="0" w:oddVBand="0" w:evenVBand="0" w:oddHBand="0" w:evenHBand="1" w:firstRowFirstColumn="0" w:firstRowLastColumn="0" w:lastRowFirstColumn="0" w:lastRowLastColumn="0"/>
        </w:trPr>
        <w:tc>
          <w:tcPr>
            <w:tcW w:w="2537" w:type="dxa"/>
          </w:tcPr>
          <w:p w14:paraId="707D4180" w14:textId="77777777" w:rsidR="00964AC6" w:rsidRPr="00A133CF" w:rsidRDefault="00964AC6" w:rsidP="000620D9">
            <w:pPr>
              <w:pStyle w:val="Tabletext"/>
            </w:pPr>
            <w:r w:rsidRPr="00A133CF">
              <w:t>Polarisation</w:t>
            </w:r>
          </w:p>
        </w:tc>
        <w:tc>
          <w:tcPr>
            <w:tcW w:w="2268" w:type="dxa"/>
          </w:tcPr>
          <w:p w14:paraId="1046BA40" w14:textId="77777777" w:rsidR="00964AC6" w:rsidRPr="00A133CF" w:rsidRDefault="00964AC6" w:rsidP="000620D9">
            <w:pPr>
              <w:pStyle w:val="Tabletext"/>
            </w:pPr>
            <w:r w:rsidRPr="00A133CF">
              <w:t>Linear (+/-45 degrees)</w:t>
            </w:r>
          </w:p>
        </w:tc>
        <w:tc>
          <w:tcPr>
            <w:tcW w:w="2268" w:type="dxa"/>
          </w:tcPr>
          <w:p w14:paraId="0463D696" w14:textId="77777777" w:rsidR="00964AC6" w:rsidRPr="00A133CF" w:rsidRDefault="00964AC6" w:rsidP="000620D9">
            <w:pPr>
              <w:pStyle w:val="Tabletext"/>
            </w:pPr>
            <w:r w:rsidRPr="00A133CF">
              <w:t>Linear (+/-45 degrees)</w:t>
            </w:r>
          </w:p>
        </w:tc>
        <w:tc>
          <w:tcPr>
            <w:tcW w:w="2268" w:type="dxa"/>
          </w:tcPr>
          <w:p w14:paraId="052BE7DA" w14:textId="77777777" w:rsidR="00964AC6" w:rsidRPr="00A133CF" w:rsidRDefault="00964AC6" w:rsidP="000620D9">
            <w:pPr>
              <w:pStyle w:val="Tabletext"/>
            </w:pPr>
            <w:r w:rsidRPr="00A133CF">
              <w:t>Linear (+/-45 degrees)</w:t>
            </w:r>
          </w:p>
        </w:tc>
      </w:tr>
      <w:tr w:rsidR="00964AC6" w:rsidRPr="00A133CF" w14:paraId="4271C939" w14:textId="77777777" w:rsidTr="007D38FF">
        <w:tc>
          <w:tcPr>
            <w:tcW w:w="2537" w:type="dxa"/>
          </w:tcPr>
          <w:p w14:paraId="076E2A9C" w14:textId="77777777" w:rsidR="00964AC6" w:rsidRPr="00A133CF" w:rsidRDefault="00964AC6" w:rsidP="000620D9">
            <w:pPr>
              <w:pStyle w:val="Tabletext"/>
            </w:pPr>
            <w:r w:rsidRPr="00A133CF">
              <w:t xml:space="preserve">3 dB </w:t>
            </w:r>
            <w:proofErr w:type="spellStart"/>
            <w:r w:rsidRPr="00A133CF">
              <w:t>beamwidth</w:t>
            </w:r>
            <w:proofErr w:type="spellEnd"/>
            <w:r w:rsidRPr="00A133CF">
              <w:t xml:space="preserve"> for single antenna element (degrees)</w:t>
            </w:r>
          </w:p>
        </w:tc>
        <w:tc>
          <w:tcPr>
            <w:tcW w:w="2268" w:type="dxa"/>
          </w:tcPr>
          <w:p w14:paraId="28655C4B" w14:textId="46DFDD3A" w:rsidR="00964AC6" w:rsidRPr="00A133CF" w:rsidRDefault="000620D9" w:rsidP="000620D9">
            <w:pPr>
              <w:pStyle w:val="Tabletext"/>
            </w:pPr>
            <w:r>
              <w:t>65</w:t>
            </w:r>
            <w:r w:rsidR="00964AC6" w:rsidRPr="00A133CF">
              <w:br/>
              <w:t>(for Horizontal and Vertical)</w:t>
            </w:r>
          </w:p>
        </w:tc>
        <w:tc>
          <w:tcPr>
            <w:tcW w:w="2268" w:type="dxa"/>
          </w:tcPr>
          <w:p w14:paraId="5392825F" w14:textId="4115BC5A" w:rsidR="00964AC6" w:rsidRPr="00A133CF" w:rsidRDefault="000620D9" w:rsidP="000620D9">
            <w:pPr>
              <w:pStyle w:val="Tabletext"/>
            </w:pPr>
            <w:r>
              <w:t>65</w:t>
            </w:r>
            <w:r w:rsidR="00964AC6" w:rsidRPr="00A133CF">
              <w:br/>
              <w:t>(for Horizontal and Vertical)</w:t>
            </w:r>
          </w:p>
        </w:tc>
        <w:tc>
          <w:tcPr>
            <w:tcW w:w="2268" w:type="dxa"/>
          </w:tcPr>
          <w:p w14:paraId="36A065E5" w14:textId="0D3C9A6D" w:rsidR="00964AC6" w:rsidRPr="00A133CF" w:rsidRDefault="000620D9" w:rsidP="000620D9">
            <w:pPr>
              <w:pStyle w:val="Tabletext"/>
            </w:pPr>
            <w:r>
              <w:t>65</w:t>
            </w:r>
            <w:r w:rsidR="00964AC6" w:rsidRPr="00A133CF">
              <w:br/>
              <w:t>(for Horizontal and Vertical)</w:t>
            </w:r>
          </w:p>
        </w:tc>
      </w:tr>
      <w:tr w:rsidR="00964AC6" w:rsidRPr="00A133CF" w14:paraId="1786EEE6" w14:textId="77777777" w:rsidTr="007D38FF">
        <w:trPr>
          <w:cnfStyle w:val="000000010000" w:firstRow="0" w:lastRow="0" w:firstColumn="0" w:lastColumn="0" w:oddVBand="0" w:evenVBand="0" w:oddHBand="0" w:evenHBand="1" w:firstRowFirstColumn="0" w:firstRowLastColumn="0" w:lastRowFirstColumn="0" w:lastRowLastColumn="0"/>
        </w:trPr>
        <w:tc>
          <w:tcPr>
            <w:tcW w:w="2537" w:type="dxa"/>
          </w:tcPr>
          <w:p w14:paraId="2241710B" w14:textId="77777777" w:rsidR="00964AC6" w:rsidRPr="00A133CF" w:rsidRDefault="00964AC6" w:rsidP="000620D9">
            <w:pPr>
              <w:pStyle w:val="Tabletext"/>
            </w:pPr>
            <w:r w:rsidRPr="00A133CF">
              <w:t>Antenna front to back ratio (dB)</w:t>
            </w:r>
          </w:p>
        </w:tc>
        <w:tc>
          <w:tcPr>
            <w:tcW w:w="2268" w:type="dxa"/>
          </w:tcPr>
          <w:p w14:paraId="439A6499" w14:textId="422CE941" w:rsidR="00964AC6" w:rsidRPr="00A133CF" w:rsidRDefault="000620D9" w:rsidP="000620D9">
            <w:pPr>
              <w:pStyle w:val="Tabletext"/>
            </w:pPr>
            <w:r>
              <w:t>30</w:t>
            </w:r>
            <w:r w:rsidR="00964AC6" w:rsidRPr="00A133CF">
              <w:br/>
              <w:t>(for Horizontal and Vertical)</w:t>
            </w:r>
          </w:p>
        </w:tc>
        <w:tc>
          <w:tcPr>
            <w:tcW w:w="2268" w:type="dxa"/>
          </w:tcPr>
          <w:p w14:paraId="151224DD" w14:textId="598DBBC1" w:rsidR="00964AC6" w:rsidRPr="00A133CF" w:rsidRDefault="000620D9" w:rsidP="000620D9">
            <w:pPr>
              <w:pStyle w:val="Tabletext"/>
            </w:pPr>
            <w:r>
              <w:t>30</w:t>
            </w:r>
            <w:r w:rsidR="00964AC6" w:rsidRPr="00A133CF">
              <w:br/>
              <w:t>(for Horizontal and Vertical)</w:t>
            </w:r>
          </w:p>
        </w:tc>
        <w:tc>
          <w:tcPr>
            <w:tcW w:w="2268" w:type="dxa"/>
          </w:tcPr>
          <w:p w14:paraId="741CFF9C" w14:textId="6539994E" w:rsidR="00964AC6" w:rsidRPr="00A133CF" w:rsidRDefault="000620D9" w:rsidP="000620D9">
            <w:pPr>
              <w:pStyle w:val="Tabletext"/>
            </w:pPr>
            <w:r>
              <w:t>30</w:t>
            </w:r>
            <w:r w:rsidR="00964AC6" w:rsidRPr="00A133CF">
              <w:br/>
              <w:t>(for Horizontal and Vertical)</w:t>
            </w:r>
          </w:p>
        </w:tc>
      </w:tr>
      <w:tr w:rsidR="00964AC6" w:rsidRPr="00A133CF" w14:paraId="583C80C7" w14:textId="77777777" w:rsidTr="007D38FF">
        <w:tc>
          <w:tcPr>
            <w:tcW w:w="2537" w:type="dxa"/>
          </w:tcPr>
          <w:p w14:paraId="2E879E56" w14:textId="77777777" w:rsidR="00964AC6" w:rsidRPr="00A133CF" w:rsidRDefault="00964AC6" w:rsidP="000620D9">
            <w:pPr>
              <w:pStyle w:val="Tabletext"/>
            </w:pPr>
            <w:r w:rsidRPr="00A133CF">
              <w:t>Antenna element gain (</w:t>
            </w:r>
            <w:proofErr w:type="spellStart"/>
            <w:r w:rsidRPr="00A133CF">
              <w:t>dBi</w:t>
            </w:r>
            <w:proofErr w:type="spellEnd"/>
            <w:r w:rsidRPr="00A133CF">
              <w:t>)</w:t>
            </w:r>
          </w:p>
          <w:p w14:paraId="23D2063C" w14:textId="77777777" w:rsidR="00964AC6" w:rsidRPr="00A133CF" w:rsidRDefault="00964AC6" w:rsidP="000620D9">
            <w:pPr>
              <w:pStyle w:val="Tabletext"/>
            </w:pPr>
            <w:r w:rsidRPr="00A133CF">
              <w:t>See NOTE 2</w:t>
            </w:r>
          </w:p>
        </w:tc>
        <w:tc>
          <w:tcPr>
            <w:tcW w:w="2268" w:type="dxa"/>
          </w:tcPr>
          <w:p w14:paraId="4B460017" w14:textId="77777777" w:rsidR="00964AC6" w:rsidRPr="00A133CF" w:rsidRDefault="00964AC6" w:rsidP="000620D9">
            <w:pPr>
              <w:pStyle w:val="Tabletext"/>
            </w:pPr>
            <w:r w:rsidRPr="00A133CF">
              <w:t>5</w:t>
            </w:r>
          </w:p>
        </w:tc>
        <w:tc>
          <w:tcPr>
            <w:tcW w:w="2268" w:type="dxa"/>
          </w:tcPr>
          <w:p w14:paraId="577E5975" w14:textId="77777777" w:rsidR="00964AC6" w:rsidRPr="00A133CF" w:rsidRDefault="00964AC6" w:rsidP="000620D9">
            <w:pPr>
              <w:pStyle w:val="Tabletext"/>
            </w:pPr>
            <w:r w:rsidRPr="00A133CF">
              <w:t>5</w:t>
            </w:r>
          </w:p>
        </w:tc>
        <w:tc>
          <w:tcPr>
            <w:tcW w:w="2268" w:type="dxa"/>
          </w:tcPr>
          <w:p w14:paraId="253AB4F2" w14:textId="77777777" w:rsidR="00964AC6" w:rsidRPr="00A133CF" w:rsidRDefault="00964AC6" w:rsidP="000620D9">
            <w:pPr>
              <w:pStyle w:val="Tabletext"/>
            </w:pPr>
            <w:r w:rsidRPr="00A133CF">
              <w:t>5</w:t>
            </w:r>
          </w:p>
        </w:tc>
      </w:tr>
      <w:tr w:rsidR="00964AC6" w:rsidRPr="00A133CF" w14:paraId="01A66AE7" w14:textId="77777777" w:rsidTr="007D38FF">
        <w:trPr>
          <w:cnfStyle w:val="000000010000" w:firstRow="0" w:lastRow="0" w:firstColumn="0" w:lastColumn="0" w:oddVBand="0" w:evenVBand="0" w:oddHBand="0" w:evenHBand="1" w:firstRowFirstColumn="0" w:firstRowLastColumn="0" w:lastRowFirstColumn="0" w:lastRowLastColumn="0"/>
        </w:trPr>
        <w:tc>
          <w:tcPr>
            <w:tcW w:w="2537" w:type="dxa"/>
          </w:tcPr>
          <w:p w14:paraId="24253C78" w14:textId="77777777" w:rsidR="00964AC6" w:rsidRPr="00A133CF" w:rsidRDefault="00964AC6" w:rsidP="000620D9">
            <w:pPr>
              <w:pStyle w:val="Tabletext"/>
            </w:pPr>
            <w:r w:rsidRPr="00A133CF">
              <w:t>Antenna array</w:t>
            </w:r>
          </w:p>
        </w:tc>
        <w:tc>
          <w:tcPr>
            <w:tcW w:w="2268" w:type="dxa"/>
          </w:tcPr>
          <w:p w14:paraId="438D89D5" w14:textId="77777777" w:rsidR="00964AC6" w:rsidRPr="00A133CF" w:rsidRDefault="00964AC6" w:rsidP="000620D9">
            <w:pPr>
              <w:pStyle w:val="Tabletext"/>
            </w:pPr>
            <w:r w:rsidRPr="00A133CF">
              <w:t>8x8 elements</w:t>
            </w:r>
          </w:p>
        </w:tc>
        <w:tc>
          <w:tcPr>
            <w:tcW w:w="2268" w:type="dxa"/>
          </w:tcPr>
          <w:p w14:paraId="27ED79BC" w14:textId="77777777" w:rsidR="00964AC6" w:rsidRPr="00A133CF" w:rsidRDefault="00964AC6" w:rsidP="000620D9">
            <w:pPr>
              <w:pStyle w:val="Tabletext"/>
            </w:pPr>
            <w:r w:rsidRPr="00A133CF">
              <w:t>8x8 elements</w:t>
            </w:r>
          </w:p>
        </w:tc>
        <w:tc>
          <w:tcPr>
            <w:tcW w:w="2268" w:type="dxa"/>
          </w:tcPr>
          <w:p w14:paraId="5C63F477" w14:textId="77777777" w:rsidR="00964AC6" w:rsidRPr="00A133CF" w:rsidRDefault="00964AC6" w:rsidP="000620D9">
            <w:pPr>
              <w:pStyle w:val="Tabletext"/>
            </w:pPr>
            <w:r w:rsidRPr="00A133CF">
              <w:t>8x8 elements</w:t>
            </w:r>
          </w:p>
        </w:tc>
      </w:tr>
      <w:tr w:rsidR="00964AC6" w:rsidRPr="00A133CF" w14:paraId="68B07A30" w14:textId="77777777" w:rsidTr="007D38FF">
        <w:tc>
          <w:tcPr>
            <w:tcW w:w="2537" w:type="dxa"/>
          </w:tcPr>
          <w:p w14:paraId="685FC215" w14:textId="77777777" w:rsidR="00964AC6" w:rsidRPr="00A133CF" w:rsidRDefault="00964AC6" w:rsidP="000620D9">
            <w:pPr>
              <w:pStyle w:val="Tabletext"/>
            </w:pPr>
            <w:r w:rsidRPr="00A133CF">
              <w:t xml:space="preserve">Antenna array </w:t>
            </w:r>
            <w:proofErr w:type="spellStart"/>
            <w:r w:rsidRPr="00A133CF">
              <w:t>Ohmic</w:t>
            </w:r>
            <w:proofErr w:type="spellEnd"/>
            <w:r w:rsidRPr="00A133CF">
              <w:t xml:space="preserve"> loss (dB)</w:t>
            </w:r>
          </w:p>
        </w:tc>
        <w:tc>
          <w:tcPr>
            <w:tcW w:w="2268" w:type="dxa"/>
          </w:tcPr>
          <w:p w14:paraId="3CA5993D" w14:textId="77777777" w:rsidR="00964AC6" w:rsidRPr="00A133CF" w:rsidRDefault="00964AC6" w:rsidP="000620D9">
            <w:pPr>
              <w:pStyle w:val="Tabletext"/>
            </w:pPr>
            <w:r w:rsidRPr="00A133CF">
              <w:t>3</w:t>
            </w:r>
          </w:p>
        </w:tc>
        <w:tc>
          <w:tcPr>
            <w:tcW w:w="2268" w:type="dxa"/>
          </w:tcPr>
          <w:p w14:paraId="37F496E5" w14:textId="77777777" w:rsidR="00964AC6" w:rsidRPr="00A133CF" w:rsidRDefault="00964AC6" w:rsidP="000620D9">
            <w:pPr>
              <w:pStyle w:val="Tabletext"/>
            </w:pPr>
            <w:r w:rsidRPr="00A133CF">
              <w:t>3</w:t>
            </w:r>
          </w:p>
        </w:tc>
        <w:tc>
          <w:tcPr>
            <w:tcW w:w="2268" w:type="dxa"/>
          </w:tcPr>
          <w:p w14:paraId="3D4DB1F3" w14:textId="77777777" w:rsidR="00964AC6" w:rsidRPr="00A133CF" w:rsidRDefault="00964AC6" w:rsidP="000620D9">
            <w:pPr>
              <w:pStyle w:val="Tabletext"/>
            </w:pPr>
            <w:r w:rsidRPr="00A133CF">
              <w:t>3</w:t>
            </w:r>
          </w:p>
        </w:tc>
      </w:tr>
      <w:tr w:rsidR="00964AC6" w:rsidRPr="00A133CF" w14:paraId="29921C26" w14:textId="77777777" w:rsidTr="007D38FF">
        <w:trPr>
          <w:cnfStyle w:val="000000010000" w:firstRow="0" w:lastRow="0" w:firstColumn="0" w:lastColumn="0" w:oddVBand="0" w:evenVBand="0" w:oddHBand="0" w:evenHBand="1" w:firstRowFirstColumn="0" w:firstRowLastColumn="0" w:lastRowFirstColumn="0" w:lastRowLastColumn="0"/>
        </w:trPr>
        <w:tc>
          <w:tcPr>
            <w:tcW w:w="2537" w:type="dxa"/>
          </w:tcPr>
          <w:p w14:paraId="554C6525" w14:textId="77777777" w:rsidR="00964AC6" w:rsidRPr="00A133CF" w:rsidRDefault="00964AC6" w:rsidP="000620D9">
            <w:pPr>
              <w:pStyle w:val="Tabletext"/>
            </w:pPr>
            <w:r w:rsidRPr="00A133CF">
              <w:t xml:space="preserve">Conducted power per antenna element before </w:t>
            </w:r>
            <w:proofErr w:type="spellStart"/>
            <w:r w:rsidRPr="00A133CF">
              <w:t>Ohmic</w:t>
            </w:r>
            <w:proofErr w:type="spellEnd"/>
            <w:r w:rsidRPr="00A133CF">
              <w:t xml:space="preserve"> loss (</w:t>
            </w:r>
            <w:proofErr w:type="spellStart"/>
            <w:r w:rsidRPr="00A133CF">
              <w:t>dBm</w:t>
            </w:r>
            <w:proofErr w:type="spellEnd"/>
            <w:r w:rsidRPr="00A133CF">
              <w:t xml:space="preserve"> in channel bandwidth)</w:t>
            </w:r>
          </w:p>
        </w:tc>
        <w:tc>
          <w:tcPr>
            <w:tcW w:w="2268" w:type="dxa"/>
          </w:tcPr>
          <w:p w14:paraId="6ED110E2" w14:textId="77777777" w:rsidR="00964AC6" w:rsidRPr="00A133CF" w:rsidRDefault="00964AC6" w:rsidP="000620D9">
            <w:pPr>
              <w:pStyle w:val="Tabletext"/>
            </w:pPr>
            <w:r w:rsidRPr="00A133CF">
              <w:t>10</w:t>
            </w:r>
          </w:p>
        </w:tc>
        <w:tc>
          <w:tcPr>
            <w:tcW w:w="2268" w:type="dxa"/>
          </w:tcPr>
          <w:p w14:paraId="6581A323" w14:textId="77777777" w:rsidR="00964AC6" w:rsidRPr="00A133CF" w:rsidRDefault="00964AC6" w:rsidP="000620D9">
            <w:pPr>
              <w:pStyle w:val="Tabletext"/>
            </w:pPr>
            <w:r w:rsidRPr="00A133CF">
              <w:t>10</w:t>
            </w:r>
          </w:p>
        </w:tc>
        <w:tc>
          <w:tcPr>
            <w:tcW w:w="2268" w:type="dxa"/>
          </w:tcPr>
          <w:p w14:paraId="395C6B6E" w14:textId="77777777" w:rsidR="00964AC6" w:rsidRPr="00A133CF" w:rsidRDefault="00964AC6" w:rsidP="000620D9">
            <w:pPr>
              <w:pStyle w:val="Tabletext"/>
            </w:pPr>
            <w:r w:rsidRPr="00A133CF">
              <w:t>10</w:t>
            </w:r>
          </w:p>
        </w:tc>
      </w:tr>
      <w:tr w:rsidR="00964AC6" w:rsidRPr="00A133CF" w14:paraId="1D676693" w14:textId="77777777" w:rsidTr="007D38FF">
        <w:tc>
          <w:tcPr>
            <w:tcW w:w="2537" w:type="dxa"/>
          </w:tcPr>
          <w:p w14:paraId="654EB8B1" w14:textId="77777777" w:rsidR="00964AC6" w:rsidRPr="00A133CF" w:rsidRDefault="00964AC6" w:rsidP="000620D9">
            <w:pPr>
              <w:pStyle w:val="Tabletext"/>
            </w:pPr>
            <w:r w:rsidRPr="00A133CF">
              <w:t>Maximum coverage angle in horizontal plane (degrees)</w:t>
            </w:r>
          </w:p>
        </w:tc>
        <w:tc>
          <w:tcPr>
            <w:tcW w:w="2268" w:type="dxa"/>
          </w:tcPr>
          <w:p w14:paraId="181044CE" w14:textId="77777777" w:rsidR="00964AC6" w:rsidRPr="00A133CF" w:rsidRDefault="00964AC6" w:rsidP="000620D9">
            <w:pPr>
              <w:pStyle w:val="Tabletext"/>
            </w:pPr>
            <w:r w:rsidRPr="00A133CF">
              <w:t>120</w:t>
            </w:r>
          </w:p>
        </w:tc>
        <w:tc>
          <w:tcPr>
            <w:tcW w:w="2268" w:type="dxa"/>
          </w:tcPr>
          <w:p w14:paraId="432C58E5" w14:textId="77777777" w:rsidR="00964AC6" w:rsidRPr="00A133CF" w:rsidRDefault="00964AC6" w:rsidP="000620D9">
            <w:pPr>
              <w:pStyle w:val="Tabletext"/>
            </w:pPr>
            <w:r w:rsidRPr="00A133CF">
              <w:t>120</w:t>
            </w:r>
          </w:p>
        </w:tc>
        <w:tc>
          <w:tcPr>
            <w:tcW w:w="2268" w:type="dxa"/>
          </w:tcPr>
          <w:p w14:paraId="175B1CAA" w14:textId="77777777" w:rsidR="00964AC6" w:rsidRPr="00A133CF" w:rsidRDefault="00964AC6" w:rsidP="000620D9">
            <w:pPr>
              <w:pStyle w:val="Tabletext"/>
            </w:pPr>
            <w:r w:rsidRPr="00A133CF">
              <w:t>120</w:t>
            </w:r>
          </w:p>
        </w:tc>
      </w:tr>
    </w:tbl>
    <w:p w14:paraId="22D6CD73" w14:textId="77777777" w:rsidR="00964AC6" w:rsidRDefault="00964AC6" w:rsidP="00964AC6"/>
    <w:p w14:paraId="25948986" w14:textId="77777777" w:rsidR="00964AC6" w:rsidRPr="00606058" w:rsidRDefault="00964AC6" w:rsidP="007D38FF">
      <w:pPr>
        <w:pStyle w:val="Tablefigureheading"/>
      </w:pPr>
      <w:bookmarkStart w:id="113" w:name="_Toc21429772"/>
      <w:r w:rsidRPr="00606058">
        <w:lastRenderedPageBreak/>
        <w:t>Table C.1B: IMT Parameters (User Equipment)</w:t>
      </w:r>
      <w:bookmarkEnd w:id="113"/>
    </w:p>
    <w:tbl>
      <w:tblPr>
        <w:tblStyle w:val="PlumTable"/>
        <w:tblW w:w="9341" w:type="dxa"/>
        <w:tblLayout w:type="fixed"/>
        <w:tblCellMar>
          <w:top w:w="28" w:type="dxa"/>
          <w:bottom w:w="28" w:type="dxa"/>
        </w:tblCellMar>
        <w:tblLook w:val="0420" w:firstRow="1" w:lastRow="0" w:firstColumn="0" w:lastColumn="0" w:noHBand="0" w:noVBand="1"/>
        <w:tblDescription w:val="Table C.1B: IMT Parameters (User Equipment)."/>
      </w:tblPr>
      <w:tblGrid>
        <w:gridCol w:w="2537"/>
        <w:gridCol w:w="2410"/>
        <w:gridCol w:w="2268"/>
        <w:gridCol w:w="2126"/>
      </w:tblGrid>
      <w:tr w:rsidR="00964AC6" w:rsidRPr="00A133CF" w14:paraId="12DA3FA5" w14:textId="77777777" w:rsidTr="007D38FF">
        <w:trPr>
          <w:cnfStyle w:val="100000000000" w:firstRow="1" w:lastRow="0" w:firstColumn="0" w:lastColumn="0" w:oddVBand="0" w:evenVBand="0" w:oddHBand="0" w:evenHBand="0" w:firstRowFirstColumn="0" w:firstRowLastColumn="0" w:lastRowFirstColumn="0" w:lastRowLastColumn="0"/>
          <w:tblHeader/>
        </w:trPr>
        <w:tc>
          <w:tcPr>
            <w:tcW w:w="2537" w:type="dxa"/>
            <w:shd w:val="clear" w:color="auto" w:fill="411F6B"/>
          </w:tcPr>
          <w:p w14:paraId="4E6C9DDD" w14:textId="77777777" w:rsidR="00964AC6" w:rsidRPr="00CB7D2D" w:rsidRDefault="00964AC6" w:rsidP="000620D9">
            <w:pPr>
              <w:pStyle w:val="Tabletext"/>
            </w:pPr>
          </w:p>
        </w:tc>
        <w:tc>
          <w:tcPr>
            <w:tcW w:w="2410" w:type="dxa"/>
            <w:shd w:val="clear" w:color="auto" w:fill="411F6B"/>
          </w:tcPr>
          <w:p w14:paraId="37F10C5D" w14:textId="77777777" w:rsidR="00964AC6" w:rsidRPr="00CB7D2D" w:rsidRDefault="00964AC6" w:rsidP="000620D9">
            <w:pPr>
              <w:pStyle w:val="Tabletext"/>
              <w:rPr>
                <w:b/>
                <w:sz w:val="20"/>
              </w:rPr>
            </w:pPr>
            <w:r w:rsidRPr="00CB7D2D">
              <w:rPr>
                <w:b/>
                <w:sz w:val="20"/>
              </w:rPr>
              <w:t>Outdoor suburban open space hotspot</w:t>
            </w:r>
          </w:p>
        </w:tc>
        <w:tc>
          <w:tcPr>
            <w:tcW w:w="2268" w:type="dxa"/>
            <w:shd w:val="clear" w:color="auto" w:fill="411F6B"/>
          </w:tcPr>
          <w:p w14:paraId="357426E6" w14:textId="77777777" w:rsidR="00964AC6" w:rsidRPr="00CB7D2D" w:rsidRDefault="00964AC6" w:rsidP="000620D9">
            <w:pPr>
              <w:pStyle w:val="Tabletext"/>
              <w:rPr>
                <w:b/>
                <w:sz w:val="20"/>
              </w:rPr>
            </w:pPr>
            <w:r w:rsidRPr="00CB7D2D">
              <w:rPr>
                <w:b/>
                <w:sz w:val="20"/>
              </w:rPr>
              <w:t>Outdoor suburban hotspot</w:t>
            </w:r>
          </w:p>
        </w:tc>
        <w:tc>
          <w:tcPr>
            <w:tcW w:w="2126" w:type="dxa"/>
            <w:shd w:val="clear" w:color="auto" w:fill="411F6B"/>
          </w:tcPr>
          <w:p w14:paraId="44051A99" w14:textId="77777777" w:rsidR="00964AC6" w:rsidRPr="00CB7D2D" w:rsidRDefault="00964AC6" w:rsidP="000620D9">
            <w:pPr>
              <w:pStyle w:val="Tabletext"/>
              <w:rPr>
                <w:b/>
                <w:sz w:val="20"/>
              </w:rPr>
            </w:pPr>
            <w:r w:rsidRPr="00CB7D2D">
              <w:rPr>
                <w:b/>
                <w:sz w:val="20"/>
              </w:rPr>
              <w:t>Outdoor urban hotspot</w:t>
            </w:r>
          </w:p>
        </w:tc>
      </w:tr>
      <w:tr w:rsidR="00964AC6" w:rsidRPr="00A133CF" w14:paraId="0020FF19" w14:textId="77777777" w:rsidTr="007D38FF">
        <w:trPr>
          <w:cnfStyle w:val="100000000000" w:firstRow="1" w:lastRow="0" w:firstColumn="0" w:lastColumn="0" w:oddVBand="0" w:evenVBand="0" w:oddHBand="0" w:evenHBand="0" w:firstRowFirstColumn="0" w:firstRowLastColumn="0" w:lastRowFirstColumn="0" w:lastRowLastColumn="0"/>
          <w:tblHeader/>
        </w:trPr>
        <w:tc>
          <w:tcPr>
            <w:tcW w:w="2537" w:type="dxa"/>
            <w:shd w:val="clear" w:color="auto" w:fill="411F6B"/>
          </w:tcPr>
          <w:p w14:paraId="59C84B2C" w14:textId="77777777" w:rsidR="00964AC6" w:rsidRPr="00CB7D2D" w:rsidRDefault="00964AC6" w:rsidP="000620D9">
            <w:pPr>
              <w:pStyle w:val="Tabletext"/>
              <w:rPr>
                <w:b/>
                <w:sz w:val="20"/>
              </w:rPr>
            </w:pPr>
            <w:r w:rsidRPr="00CB7D2D">
              <w:rPr>
                <w:b/>
                <w:sz w:val="20"/>
              </w:rPr>
              <w:t>Parameter</w:t>
            </w:r>
          </w:p>
        </w:tc>
        <w:tc>
          <w:tcPr>
            <w:tcW w:w="2410" w:type="dxa"/>
            <w:shd w:val="clear" w:color="auto" w:fill="411F6B"/>
          </w:tcPr>
          <w:p w14:paraId="73F8B398" w14:textId="77777777" w:rsidR="00964AC6" w:rsidRPr="00A133CF" w:rsidRDefault="00964AC6" w:rsidP="000620D9">
            <w:pPr>
              <w:pStyle w:val="Tabletext"/>
            </w:pPr>
          </w:p>
        </w:tc>
        <w:tc>
          <w:tcPr>
            <w:tcW w:w="2268" w:type="dxa"/>
            <w:shd w:val="clear" w:color="auto" w:fill="411F6B"/>
          </w:tcPr>
          <w:p w14:paraId="270EBB8A" w14:textId="77777777" w:rsidR="00964AC6" w:rsidRPr="00A133CF" w:rsidRDefault="00964AC6" w:rsidP="000620D9">
            <w:pPr>
              <w:pStyle w:val="Tabletext"/>
            </w:pPr>
          </w:p>
        </w:tc>
        <w:tc>
          <w:tcPr>
            <w:tcW w:w="2126" w:type="dxa"/>
            <w:shd w:val="clear" w:color="auto" w:fill="411F6B"/>
          </w:tcPr>
          <w:p w14:paraId="7B3D7791" w14:textId="77777777" w:rsidR="00964AC6" w:rsidRPr="00A133CF" w:rsidRDefault="00964AC6" w:rsidP="000620D9">
            <w:pPr>
              <w:pStyle w:val="Tabletext"/>
            </w:pPr>
          </w:p>
        </w:tc>
      </w:tr>
      <w:tr w:rsidR="00964AC6" w:rsidRPr="00A133CF" w14:paraId="6B188E41" w14:textId="77777777" w:rsidTr="007D38FF">
        <w:tc>
          <w:tcPr>
            <w:tcW w:w="2537" w:type="dxa"/>
          </w:tcPr>
          <w:p w14:paraId="0CE71AA8" w14:textId="77777777" w:rsidR="00964AC6" w:rsidRPr="00A133CF" w:rsidRDefault="00964AC6" w:rsidP="000620D9">
            <w:pPr>
              <w:pStyle w:val="Tabletext"/>
            </w:pPr>
            <w:r w:rsidRPr="00A133CF">
              <w:t>Density (per Sq. km)</w:t>
            </w:r>
          </w:p>
          <w:p w14:paraId="18F657D5" w14:textId="77777777" w:rsidR="00964AC6" w:rsidRPr="00A133CF" w:rsidRDefault="00964AC6" w:rsidP="000620D9">
            <w:pPr>
              <w:pStyle w:val="Tabletext"/>
            </w:pPr>
            <w:r w:rsidRPr="00A133CF">
              <w:t>(Simultaneously transmitting terminals)</w:t>
            </w:r>
          </w:p>
        </w:tc>
        <w:tc>
          <w:tcPr>
            <w:tcW w:w="2410" w:type="dxa"/>
          </w:tcPr>
          <w:p w14:paraId="3D943C18" w14:textId="77777777" w:rsidR="00964AC6" w:rsidRPr="00A133CF" w:rsidRDefault="00964AC6" w:rsidP="000620D9">
            <w:pPr>
              <w:pStyle w:val="Tabletext"/>
            </w:pPr>
            <w:r w:rsidRPr="00A133CF">
              <w:t>30</w:t>
            </w:r>
          </w:p>
        </w:tc>
        <w:tc>
          <w:tcPr>
            <w:tcW w:w="2268" w:type="dxa"/>
          </w:tcPr>
          <w:p w14:paraId="7AD2385F" w14:textId="77777777" w:rsidR="00964AC6" w:rsidRPr="00A133CF" w:rsidRDefault="00964AC6" w:rsidP="000620D9">
            <w:pPr>
              <w:pStyle w:val="Tabletext"/>
            </w:pPr>
            <w:r w:rsidRPr="00A133CF">
              <w:t>30</w:t>
            </w:r>
          </w:p>
        </w:tc>
        <w:tc>
          <w:tcPr>
            <w:tcW w:w="2126" w:type="dxa"/>
          </w:tcPr>
          <w:p w14:paraId="6DC9A053" w14:textId="77777777" w:rsidR="00964AC6" w:rsidRPr="00A133CF" w:rsidRDefault="00964AC6" w:rsidP="000620D9">
            <w:pPr>
              <w:pStyle w:val="Tabletext"/>
            </w:pPr>
            <w:r w:rsidRPr="00A133CF">
              <w:t>100</w:t>
            </w:r>
          </w:p>
        </w:tc>
      </w:tr>
      <w:tr w:rsidR="00964AC6" w:rsidRPr="00A133CF" w14:paraId="4F1BDABC" w14:textId="77777777" w:rsidTr="007D38FF">
        <w:trPr>
          <w:cnfStyle w:val="000000010000" w:firstRow="0" w:lastRow="0" w:firstColumn="0" w:lastColumn="0" w:oddVBand="0" w:evenVBand="0" w:oddHBand="0" w:evenHBand="1" w:firstRowFirstColumn="0" w:firstRowLastColumn="0" w:lastRowFirstColumn="0" w:lastRowLastColumn="0"/>
        </w:trPr>
        <w:tc>
          <w:tcPr>
            <w:tcW w:w="2537" w:type="dxa"/>
          </w:tcPr>
          <w:p w14:paraId="2816486E" w14:textId="77777777" w:rsidR="00964AC6" w:rsidRPr="00A133CF" w:rsidRDefault="00964AC6" w:rsidP="000620D9">
            <w:pPr>
              <w:pStyle w:val="Tabletext"/>
            </w:pPr>
            <w:r w:rsidRPr="00A133CF">
              <w:t>Body loss (dB)</w:t>
            </w:r>
          </w:p>
          <w:p w14:paraId="79E55E54" w14:textId="77777777" w:rsidR="00964AC6" w:rsidRPr="00A133CF" w:rsidRDefault="00964AC6" w:rsidP="000620D9">
            <w:pPr>
              <w:pStyle w:val="Tabletext"/>
            </w:pPr>
            <w:r w:rsidRPr="00A133CF">
              <w:t>(Resulting from proximity effects)</w:t>
            </w:r>
            <w:r w:rsidRPr="00C026B7">
              <w:rPr>
                <w:vertAlign w:val="superscript"/>
              </w:rPr>
              <w:footnoteReference w:id="22"/>
            </w:r>
          </w:p>
        </w:tc>
        <w:tc>
          <w:tcPr>
            <w:tcW w:w="2410" w:type="dxa"/>
          </w:tcPr>
          <w:p w14:paraId="6F60A975" w14:textId="77777777" w:rsidR="00964AC6" w:rsidRPr="00A133CF" w:rsidRDefault="00964AC6" w:rsidP="000620D9">
            <w:pPr>
              <w:pStyle w:val="Tabletext"/>
            </w:pPr>
            <w:r w:rsidRPr="00A133CF">
              <w:t>4</w:t>
            </w:r>
          </w:p>
        </w:tc>
        <w:tc>
          <w:tcPr>
            <w:tcW w:w="2268" w:type="dxa"/>
          </w:tcPr>
          <w:p w14:paraId="6A51F1E6" w14:textId="77777777" w:rsidR="00964AC6" w:rsidRPr="00A133CF" w:rsidRDefault="00964AC6" w:rsidP="000620D9">
            <w:pPr>
              <w:pStyle w:val="Tabletext"/>
            </w:pPr>
            <w:r w:rsidRPr="00A133CF">
              <w:t>4</w:t>
            </w:r>
          </w:p>
        </w:tc>
        <w:tc>
          <w:tcPr>
            <w:tcW w:w="2126" w:type="dxa"/>
          </w:tcPr>
          <w:p w14:paraId="64BA0342" w14:textId="77777777" w:rsidR="00964AC6" w:rsidRPr="00A133CF" w:rsidRDefault="00964AC6" w:rsidP="000620D9">
            <w:pPr>
              <w:pStyle w:val="Tabletext"/>
            </w:pPr>
            <w:r w:rsidRPr="00A133CF">
              <w:t>4</w:t>
            </w:r>
          </w:p>
        </w:tc>
      </w:tr>
      <w:tr w:rsidR="00964AC6" w:rsidRPr="00A133CF" w14:paraId="19061C1B" w14:textId="77777777" w:rsidTr="007D38FF">
        <w:tc>
          <w:tcPr>
            <w:tcW w:w="2537" w:type="dxa"/>
          </w:tcPr>
          <w:p w14:paraId="7AA33D61" w14:textId="77777777" w:rsidR="00964AC6" w:rsidRPr="00A133CF" w:rsidRDefault="00964AC6" w:rsidP="000620D9">
            <w:pPr>
              <w:pStyle w:val="Tabletext"/>
            </w:pPr>
            <w:r w:rsidRPr="00A133CF">
              <w:t>Indoor terminal usage (%)</w:t>
            </w:r>
          </w:p>
        </w:tc>
        <w:tc>
          <w:tcPr>
            <w:tcW w:w="2410" w:type="dxa"/>
          </w:tcPr>
          <w:p w14:paraId="63769F55" w14:textId="77777777" w:rsidR="00964AC6" w:rsidRPr="00A133CF" w:rsidRDefault="00964AC6" w:rsidP="000620D9">
            <w:pPr>
              <w:pStyle w:val="Tabletext"/>
            </w:pPr>
            <w:r w:rsidRPr="00A133CF">
              <w:t>5</w:t>
            </w:r>
          </w:p>
        </w:tc>
        <w:tc>
          <w:tcPr>
            <w:tcW w:w="2268" w:type="dxa"/>
          </w:tcPr>
          <w:p w14:paraId="58CB6BB3" w14:textId="77777777" w:rsidR="00964AC6" w:rsidRPr="00A133CF" w:rsidRDefault="00964AC6" w:rsidP="000620D9">
            <w:pPr>
              <w:pStyle w:val="Tabletext"/>
            </w:pPr>
            <w:r w:rsidRPr="00A133CF">
              <w:t>5</w:t>
            </w:r>
          </w:p>
        </w:tc>
        <w:tc>
          <w:tcPr>
            <w:tcW w:w="2126" w:type="dxa"/>
          </w:tcPr>
          <w:p w14:paraId="0EEF9A7B" w14:textId="77777777" w:rsidR="00964AC6" w:rsidRPr="00A133CF" w:rsidRDefault="00964AC6" w:rsidP="000620D9">
            <w:pPr>
              <w:pStyle w:val="Tabletext"/>
            </w:pPr>
            <w:r w:rsidRPr="00A133CF">
              <w:t>5</w:t>
            </w:r>
          </w:p>
        </w:tc>
      </w:tr>
      <w:tr w:rsidR="00964AC6" w:rsidRPr="00A133CF" w14:paraId="16062EDD" w14:textId="77777777" w:rsidTr="007D38FF">
        <w:trPr>
          <w:cnfStyle w:val="000000010000" w:firstRow="0" w:lastRow="0" w:firstColumn="0" w:lastColumn="0" w:oddVBand="0" w:evenVBand="0" w:oddHBand="0" w:evenHBand="1" w:firstRowFirstColumn="0" w:firstRowLastColumn="0" w:lastRowFirstColumn="0" w:lastRowLastColumn="0"/>
        </w:trPr>
        <w:tc>
          <w:tcPr>
            <w:tcW w:w="2537" w:type="dxa"/>
          </w:tcPr>
          <w:p w14:paraId="1A70ECDC" w14:textId="77777777" w:rsidR="00964AC6" w:rsidRPr="00A133CF" w:rsidRDefault="00964AC6" w:rsidP="000620D9">
            <w:pPr>
              <w:pStyle w:val="Tabletext"/>
            </w:pPr>
            <w:r w:rsidRPr="00A133CF">
              <w:t>UE TDD activity factor (%)</w:t>
            </w:r>
          </w:p>
        </w:tc>
        <w:tc>
          <w:tcPr>
            <w:tcW w:w="2410" w:type="dxa"/>
          </w:tcPr>
          <w:p w14:paraId="793B7E79" w14:textId="77777777" w:rsidR="00964AC6" w:rsidRPr="00A133CF" w:rsidRDefault="00964AC6" w:rsidP="000620D9">
            <w:pPr>
              <w:pStyle w:val="Tabletext"/>
            </w:pPr>
            <w:r w:rsidRPr="00A133CF">
              <w:t>20</w:t>
            </w:r>
          </w:p>
        </w:tc>
        <w:tc>
          <w:tcPr>
            <w:tcW w:w="2268" w:type="dxa"/>
          </w:tcPr>
          <w:p w14:paraId="7A6FDDE4" w14:textId="77777777" w:rsidR="00964AC6" w:rsidRPr="00A133CF" w:rsidRDefault="00964AC6" w:rsidP="000620D9">
            <w:pPr>
              <w:pStyle w:val="Tabletext"/>
            </w:pPr>
            <w:r w:rsidRPr="00A133CF">
              <w:t>20</w:t>
            </w:r>
          </w:p>
        </w:tc>
        <w:tc>
          <w:tcPr>
            <w:tcW w:w="2126" w:type="dxa"/>
          </w:tcPr>
          <w:p w14:paraId="30A0706F" w14:textId="77777777" w:rsidR="00964AC6" w:rsidRPr="00A133CF" w:rsidRDefault="00964AC6" w:rsidP="000620D9">
            <w:pPr>
              <w:pStyle w:val="Tabletext"/>
            </w:pPr>
            <w:r w:rsidRPr="00A133CF">
              <w:t>20</w:t>
            </w:r>
          </w:p>
        </w:tc>
      </w:tr>
      <w:tr w:rsidR="00964AC6" w:rsidRPr="00A133CF" w14:paraId="266F1899" w14:textId="77777777" w:rsidTr="007D38FF">
        <w:tc>
          <w:tcPr>
            <w:tcW w:w="2537" w:type="dxa"/>
          </w:tcPr>
          <w:p w14:paraId="06409447" w14:textId="77777777" w:rsidR="00964AC6" w:rsidRPr="00A133CF" w:rsidRDefault="00964AC6" w:rsidP="000620D9">
            <w:pPr>
              <w:pStyle w:val="Tabletext"/>
            </w:pPr>
            <w:r w:rsidRPr="00A133CF">
              <w:t>Antenna Pattern</w:t>
            </w:r>
          </w:p>
        </w:tc>
        <w:tc>
          <w:tcPr>
            <w:tcW w:w="2410" w:type="dxa"/>
          </w:tcPr>
          <w:p w14:paraId="76851FE9" w14:textId="77777777" w:rsidR="00964AC6" w:rsidRPr="00A133CF" w:rsidRDefault="00964AC6" w:rsidP="000620D9">
            <w:pPr>
              <w:pStyle w:val="Tabletext"/>
            </w:pPr>
            <w:r w:rsidRPr="00A133CF">
              <w:t>Rec. M 2101</w:t>
            </w:r>
          </w:p>
        </w:tc>
        <w:tc>
          <w:tcPr>
            <w:tcW w:w="2268" w:type="dxa"/>
          </w:tcPr>
          <w:p w14:paraId="6C262FB8" w14:textId="77777777" w:rsidR="00964AC6" w:rsidRPr="00A133CF" w:rsidRDefault="00964AC6" w:rsidP="000620D9">
            <w:pPr>
              <w:pStyle w:val="Tabletext"/>
            </w:pPr>
            <w:r w:rsidRPr="00A133CF">
              <w:t>Rec. M 2101</w:t>
            </w:r>
          </w:p>
        </w:tc>
        <w:tc>
          <w:tcPr>
            <w:tcW w:w="2126" w:type="dxa"/>
          </w:tcPr>
          <w:p w14:paraId="10018C46" w14:textId="77777777" w:rsidR="00964AC6" w:rsidRPr="00A133CF" w:rsidRDefault="00964AC6" w:rsidP="000620D9">
            <w:pPr>
              <w:pStyle w:val="Tabletext"/>
            </w:pPr>
            <w:r w:rsidRPr="00A133CF">
              <w:t>Rec. M 2101</w:t>
            </w:r>
          </w:p>
        </w:tc>
      </w:tr>
      <w:tr w:rsidR="00964AC6" w:rsidRPr="00A133CF" w14:paraId="4BA60D31" w14:textId="77777777" w:rsidTr="007D38FF">
        <w:trPr>
          <w:cnfStyle w:val="000000010000" w:firstRow="0" w:lastRow="0" w:firstColumn="0" w:lastColumn="0" w:oddVBand="0" w:evenVBand="0" w:oddHBand="0" w:evenHBand="1" w:firstRowFirstColumn="0" w:firstRowLastColumn="0" w:lastRowFirstColumn="0" w:lastRowLastColumn="0"/>
        </w:trPr>
        <w:tc>
          <w:tcPr>
            <w:tcW w:w="2537" w:type="dxa"/>
          </w:tcPr>
          <w:p w14:paraId="0F0F5DC8" w14:textId="77777777" w:rsidR="00964AC6" w:rsidRPr="00A133CF" w:rsidRDefault="00964AC6" w:rsidP="000620D9">
            <w:pPr>
              <w:pStyle w:val="Tabletext"/>
            </w:pPr>
            <w:r w:rsidRPr="00A133CF">
              <w:t>Polarisation</w:t>
            </w:r>
          </w:p>
        </w:tc>
        <w:tc>
          <w:tcPr>
            <w:tcW w:w="2410" w:type="dxa"/>
          </w:tcPr>
          <w:p w14:paraId="5B8D7DF9" w14:textId="77777777" w:rsidR="00964AC6" w:rsidRPr="00A133CF" w:rsidRDefault="00964AC6" w:rsidP="000620D9">
            <w:pPr>
              <w:pStyle w:val="Tabletext"/>
            </w:pPr>
            <w:r w:rsidRPr="00A133CF">
              <w:t>Linear (+/-45 degrees)</w:t>
            </w:r>
          </w:p>
        </w:tc>
        <w:tc>
          <w:tcPr>
            <w:tcW w:w="2268" w:type="dxa"/>
          </w:tcPr>
          <w:p w14:paraId="5E269BC3" w14:textId="77777777" w:rsidR="00964AC6" w:rsidRPr="00A133CF" w:rsidRDefault="00964AC6" w:rsidP="000620D9">
            <w:pPr>
              <w:pStyle w:val="Tabletext"/>
            </w:pPr>
            <w:r w:rsidRPr="00A133CF">
              <w:t>Linear (+/-45 degrees)</w:t>
            </w:r>
          </w:p>
        </w:tc>
        <w:tc>
          <w:tcPr>
            <w:tcW w:w="2126" w:type="dxa"/>
          </w:tcPr>
          <w:p w14:paraId="0A326DAC" w14:textId="77777777" w:rsidR="00964AC6" w:rsidRPr="00A133CF" w:rsidRDefault="00964AC6" w:rsidP="000620D9">
            <w:pPr>
              <w:pStyle w:val="Tabletext"/>
            </w:pPr>
            <w:r w:rsidRPr="00A133CF">
              <w:t>Linear (+/-45 degrees)</w:t>
            </w:r>
          </w:p>
        </w:tc>
      </w:tr>
      <w:tr w:rsidR="00964AC6" w:rsidRPr="00A133CF" w14:paraId="6E7A0AF3" w14:textId="77777777" w:rsidTr="007D38FF">
        <w:tc>
          <w:tcPr>
            <w:tcW w:w="2537" w:type="dxa"/>
          </w:tcPr>
          <w:p w14:paraId="3C54E2FF" w14:textId="77777777" w:rsidR="00964AC6" w:rsidRPr="00A133CF" w:rsidRDefault="00964AC6" w:rsidP="000620D9">
            <w:pPr>
              <w:pStyle w:val="Tabletext"/>
            </w:pPr>
            <w:r w:rsidRPr="00A133CF">
              <w:t xml:space="preserve">3 dB </w:t>
            </w:r>
            <w:proofErr w:type="spellStart"/>
            <w:r w:rsidRPr="00A133CF">
              <w:t>beamwidth</w:t>
            </w:r>
            <w:proofErr w:type="spellEnd"/>
            <w:r w:rsidRPr="00A133CF">
              <w:t xml:space="preserve"> for single antenna element (degrees)</w:t>
            </w:r>
          </w:p>
        </w:tc>
        <w:tc>
          <w:tcPr>
            <w:tcW w:w="2410" w:type="dxa"/>
          </w:tcPr>
          <w:p w14:paraId="1F953472" w14:textId="77777777" w:rsidR="00964AC6" w:rsidRPr="00A133CF" w:rsidRDefault="00964AC6" w:rsidP="000620D9">
            <w:pPr>
              <w:pStyle w:val="Tabletext"/>
            </w:pPr>
            <w:r w:rsidRPr="00A133CF">
              <w:t xml:space="preserve">90 </w:t>
            </w:r>
            <w:r w:rsidRPr="00A133CF">
              <w:br/>
              <w:t>(for Horizontal and Vertical)</w:t>
            </w:r>
          </w:p>
        </w:tc>
        <w:tc>
          <w:tcPr>
            <w:tcW w:w="2268" w:type="dxa"/>
          </w:tcPr>
          <w:p w14:paraId="3A09AACB" w14:textId="77777777" w:rsidR="00964AC6" w:rsidRPr="00A133CF" w:rsidRDefault="00964AC6" w:rsidP="000620D9">
            <w:pPr>
              <w:pStyle w:val="Tabletext"/>
            </w:pPr>
            <w:r w:rsidRPr="00A133CF">
              <w:t xml:space="preserve">90 </w:t>
            </w:r>
            <w:r w:rsidRPr="00A133CF">
              <w:br/>
              <w:t>(for Horizontal and Vertical)</w:t>
            </w:r>
          </w:p>
        </w:tc>
        <w:tc>
          <w:tcPr>
            <w:tcW w:w="2126" w:type="dxa"/>
          </w:tcPr>
          <w:p w14:paraId="1FE9FC20" w14:textId="77777777" w:rsidR="00964AC6" w:rsidRPr="00A133CF" w:rsidRDefault="00964AC6" w:rsidP="000620D9">
            <w:pPr>
              <w:pStyle w:val="Tabletext"/>
            </w:pPr>
            <w:r w:rsidRPr="00A133CF">
              <w:t xml:space="preserve">90 </w:t>
            </w:r>
            <w:r w:rsidRPr="00A133CF">
              <w:br/>
              <w:t>(for Horizontal and Vertical)</w:t>
            </w:r>
          </w:p>
        </w:tc>
      </w:tr>
      <w:tr w:rsidR="00964AC6" w:rsidRPr="00A133CF" w14:paraId="595ECE43" w14:textId="77777777" w:rsidTr="007D38FF">
        <w:trPr>
          <w:cnfStyle w:val="000000010000" w:firstRow="0" w:lastRow="0" w:firstColumn="0" w:lastColumn="0" w:oddVBand="0" w:evenVBand="0" w:oddHBand="0" w:evenHBand="1" w:firstRowFirstColumn="0" w:firstRowLastColumn="0" w:lastRowFirstColumn="0" w:lastRowLastColumn="0"/>
        </w:trPr>
        <w:tc>
          <w:tcPr>
            <w:tcW w:w="2537" w:type="dxa"/>
          </w:tcPr>
          <w:p w14:paraId="5B02F660" w14:textId="77777777" w:rsidR="00964AC6" w:rsidRPr="00A133CF" w:rsidRDefault="00964AC6" w:rsidP="000620D9">
            <w:pPr>
              <w:pStyle w:val="Tabletext"/>
            </w:pPr>
            <w:r w:rsidRPr="00A133CF">
              <w:t>Antenna front to back ratio (dB)</w:t>
            </w:r>
          </w:p>
        </w:tc>
        <w:tc>
          <w:tcPr>
            <w:tcW w:w="2410" w:type="dxa"/>
          </w:tcPr>
          <w:p w14:paraId="1BB2A282" w14:textId="77777777" w:rsidR="00964AC6" w:rsidRPr="00A133CF" w:rsidRDefault="00964AC6" w:rsidP="000620D9">
            <w:pPr>
              <w:pStyle w:val="Tabletext"/>
            </w:pPr>
            <w:r w:rsidRPr="00A133CF">
              <w:t xml:space="preserve">25 </w:t>
            </w:r>
            <w:r w:rsidRPr="00A133CF">
              <w:br/>
              <w:t>(for Horizontal and Vertical)</w:t>
            </w:r>
          </w:p>
        </w:tc>
        <w:tc>
          <w:tcPr>
            <w:tcW w:w="2268" w:type="dxa"/>
          </w:tcPr>
          <w:p w14:paraId="2F1122B4" w14:textId="77777777" w:rsidR="00964AC6" w:rsidRPr="00A133CF" w:rsidRDefault="00964AC6" w:rsidP="000620D9">
            <w:pPr>
              <w:pStyle w:val="Tabletext"/>
            </w:pPr>
            <w:r w:rsidRPr="00A133CF">
              <w:t xml:space="preserve">25 </w:t>
            </w:r>
            <w:r w:rsidRPr="00A133CF">
              <w:br/>
              <w:t>(for Horizontal and Vertical)</w:t>
            </w:r>
          </w:p>
        </w:tc>
        <w:tc>
          <w:tcPr>
            <w:tcW w:w="2126" w:type="dxa"/>
          </w:tcPr>
          <w:p w14:paraId="3F6D2630" w14:textId="77777777" w:rsidR="00964AC6" w:rsidRPr="00A133CF" w:rsidRDefault="00964AC6" w:rsidP="000620D9">
            <w:pPr>
              <w:pStyle w:val="Tabletext"/>
            </w:pPr>
            <w:r w:rsidRPr="00A133CF">
              <w:t xml:space="preserve">25 </w:t>
            </w:r>
            <w:r w:rsidRPr="00A133CF">
              <w:br/>
              <w:t>(for Horizontal and Vertical)</w:t>
            </w:r>
          </w:p>
        </w:tc>
      </w:tr>
      <w:tr w:rsidR="00964AC6" w:rsidRPr="00A133CF" w14:paraId="3F989979" w14:textId="77777777" w:rsidTr="007D38FF">
        <w:tc>
          <w:tcPr>
            <w:tcW w:w="2537" w:type="dxa"/>
          </w:tcPr>
          <w:p w14:paraId="251BBD7A" w14:textId="77777777" w:rsidR="00964AC6" w:rsidRPr="00A133CF" w:rsidRDefault="00964AC6" w:rsidP="000620D9">
            <w:pPr>
              <w:pStyle w:val="Tabletext"/>
            </w:pPr>
            <w:r w:rsidRPr="00A133CF">
              <w:t>Antenna element gain (</w:t>
            </w:r>
            <w:proofErr w:type="spellStart"/>
            <w:r w:rsidRPr="00A133CF">
              <w:t>dBi</w:t>
            </w:r>
            <w:proofErr w:type="spellEnd"/>
            <w:r w:rsidRPr="00A133CF">
              <w:t>)</w:t>
            </w:r>
          </w:p>
          <w:p w14:paraId="3440C2B2" w14:textId="77777777" w:rsidR="00964AC6" w:rsidRPr="00A133CF" w:rsidRDefault="00964AC6" w:rsidP="000620D9">
            <w:pPr>
              <w:pStyle w:val="Tabletext"/>
            </w:pPr>
            <w:r w:rsidRPr="00A133CF">
              <w:t>See NOTE 2</w:t>
            </w:r>
          </w:p>
        </w:tc>
        <w:tc>
          <w:tcPr>
            <w:tcW w:w="2410" w:type="dxa"/>
          </w:tcPr>
          <w:p w14:paraId="3379E42E" w14:textId="77777777" w:rsidR="00964AC6" w:rsidRPr="00A133CF" w:rsidRDefault="00964AC6" w:rsidP="000620D9">
            <w:pPr>
              <w:pStyle w:val="Tabletext"/>
            </w:pPr>
            <w:r w:rsidRPr="00A133CF">
              <w:t>5</w:t>
            </w:r>
          </w:p>
        </w:tc>
        <w:tc>
          <w:tcPr>
            <w:tcW w:w="2268" w:type="dxa"/>
          </w:tcPr>
          <w:p w14:paraId="6633976B" w14:textId="77777777" w:rsidR="00964AC6" w:rsidRPr="00A133CF" w:rsidRDefault="00964AC6" w:rsidP="000620D9">
            <w:pPr>
              <w:pStyle w:val="Tabletext"/>
            </w:pPr>
            <w:r w:rsidRPr="00A133CF">
              <w:t>5</w:t>
            </w:r>
          </w:p>
        </w:tc>
        <w:tc>
          <w:tcPr>
            <w:tcW w:w="2126" w:type="dxa"/>
          </w:tcPr>
          <w:p w14:paraId="6444D47D" w14:textId="77777777" w:rsidR="00964AC6" w:rsidRPr="00A133CF" w:rsidRDefault="00964AC6" w:rsidP="000620D9">
            <w:pPr>
              <w:pStyle w:val="Tabletext"/>
            </w:pPr>
            <w:r w:rsidRPr="00A133CF">
              <w:t>5</w:t>
            </w:r>
          </w:p>
        </w:tc>
      </w:tr>
      <w:tr w:rsidR="00964AC6" w:rsidRPr="00A133CF" w14:paraId="10DF9DFA" w14:textId="77777777" w:rsidTr="007D38FF">
        <w:trPr>
          <w:cnfStyle w:val="000000010000" w:firstRow="0" w:lastRow="0" w:firstColumn="0" w:lastColumn="0" w:oddVBand="0" w:evenVBand="0" w:oddHBand="0" w:evenHBand="1" w:firstRowFirstColumn="0" w:firstRowLastColumn="0" w:lastRowFirstColumn="0" w:lastRowLastColumn="0"/>
        </w:trPr>
        <w:tc>
          <w:tcPr>
            <w:tcW w:w="2537" w:type="dxa"/>
          </w:tcPr>
          <w:p w14:paraId="5C449D88" w14:textId="77777777" w:rsidR="00964AC6" w:rsidRPr="00A133CF" w:rsidRDefault="00964AC6" w:rsidP="000620D9">
            <w:pPr>
              <w:pStyle w:val="Tabletext"/>
            </w:pPr>
            <w:r w:rsidRPr="00A133CF">
              <w:t>Antenna array</w:t>
            </w:r>
          </w:p>
        </w:tc>
        <w:tc>
          <w:tcPr>
            <w:tcW w:w="2410" w:type="dxa"/>
          </w:tcPr>
          <w:p w14:paraId="4F5C5DCC" w14:textId="77777777" w:rsidR="00964AC6" w:rsidRPr="00A133CF" w:rsidRDefault="00964AC6" w:rsidP="000620D9">
            <w:pPr>
              <w:pStyle w:val="Tabletext"/>
            </w:pPr>
            <w:r w:rsidRPr="00A133CF">
              <w:t>4x4 elements</w:t>
            </w:r>
          </w:p>
        </w:tc>
        <w:tc>
          <w:tcPr>
            <w:tcW w:w="2268" w:type="dxa"/>
          </w:tcPr>
          <w:p w14:paraId="25872A76" w14:textId="77777777" w:rsidR="00964AC6" w:rsidRPr="00A133CF" w:rsidRDefault="00964AC6" w:rsidP="000620D9">
            <w:pPr>
              <w:pStyle w:val="Tabletext"/>
            </w:pPr>
            <w:r w:rsidRPr="00A133CF">
              <w:t>4x4 elements</w:t>
            </w:r>
          </w:p>
        </w:tc>
        <w:tc>
          <w:tcPr>
            <w:tcW w:w="2126" w:type="dxa"/>
          </w:tcPr>
          <w:p w14:paraId="4D74B20E" w14:textId="77777777" w:rsidR="00964AC6" w:rsidRPr="00A133CF" w:rsidRDefault="00964AC6" w:rsidP="000620D9">
            <w:pPr>
              <w:pStyle w:val="Tabletext"/>
            </w:pPr>
            <w:r w:rsidRPr="00A133CF">
              <w:t>4x4 elements</w:t>
            </w:r>
          </w:p>
        </w:tc>
      </w:tr>
      <w:tr w:rsidR="00964AC6" w:rsidRPr="00A133CF" w14:paraId="6D925B25" w14:textId="77777777" w:rsidTr="007D38FF">
        <w:tc>
          <w:tcPr>
            <w:tcW w:w="2537" w:type="dxa"/>
          </w:tcPr>
          <w:p w14:paraId="6DBC3FF5" w14:textId="77777777" w:rsidR="00964AC6" w:rsidRPr="00A133CF" w:rsidRDefault="00964AC6" w:rsidP="000620D9">
            <w:pPr>
              <w:pStyle w:val="Tabletext"/>
            </w:pPr>
            <w:r w:rsidRPr="00A133CF">
              <w:t xml:space="preserve">Antenna array </w:t>
            </w:r>
            <w:proofErr w:type="spellStart"/>
            <w:r w:rsidRPr="00A133CF">
              <w:t>Ohmic</w:t>
            </w:r>
            <w:proofErr w:type="spellEnd"/>
            <w:r w:rsidRPr="00A133CF">
              <w:t xml:space="preserve"> loss (dB)</w:t>
            </w:r>
          </w:p>
        </w:tc>
        <w:tc>
          <w:tcPr>
            <w:tcW w:w="2410" w:type="dxa"/>
          </w:tcPr>
          <w:p w14:paraId="69EE866C" w14:textId="77777777" w:rsidR="00964AC6" w:rsidRPr="00A133CF" w:rsidRDefault="00964AC6" w:rsidP="000620D9">
            <w:pPr>
              <w:pStyle w:val="Tabletext"/>
            </w:pPr>
            <w:r w:rsidRPr="00A133CF">
              <w:t>3</w:t>
            </w:r>
          </w:p>
        </w:tc>
        <w:tc>
          <w:tcPr>
            <w:tcW w:w="2268" w:type="dxa"/>
          </w:tcPr>
          <w:p w14:paraId="7EA7D724" w14:textId="77777777" w:rsidR="00964AC6" w:rsidRPr="00A133CF" w:rsidRDefault="00964AC6" w:rsidP="000620D9">
            <w:pPr>
              <w:pStyle w:val="Tabletext"/>
            </w:pPr>
            <w:r w:rsidRPr="00A133CF">
              <w:t>3</w:t>
            </w:r>
          </w:p>
        </w:tc>
        <w:tc>
          <w:tcPr>
            <w:tcW w:w="2126" w:type="dxa"/>
          </w:tcPr>
          <w:p w14:paraId="07F56E3A" w14:textId="77777777" w:rsidR="00964AC6" w:rsidRPr="00A133CF" w:rsidRDefault="00964AC6" w:rsidP="000620D9">
            <w:pPr>
              <w:pStyle w:val="Tabletext"/>
            </w:pPr>
            <w:r w:rsidRPr="00A133CF">
              <w:t>3</w:t>
            </w:r>
          </w:p>
        </w:tc>
      </w:tr>
      <w:tr w:rsidR="00964AC6" w:rsidRPr="00A133CF" w14:paraId="294B5046" w14:textId="77777777" w:rsidTr="007D38FF">
        <w:trPr>
          <w:cnfStyle w:val="000000010000" w:firstRow="0" w:lastRow="0" w:firstColumn="0" w:lastColumn="0" w:oddVBand="0" w:evenVBand="0" w:oddHBand="0" w:evenHBand="1" w:firstRowFirstColumn="0" w:firstRowLastColumn="0" w:lastRowFirstColumn="0" w:lastRowLastColumn="0"/>
        </w:trPr>
        <w:tc>
          <w:tcPr>
            <w:tcW w:w="2537" w:type="dxa"/>
          </w:tcPr>
          <w:p w14:paraId="22BF7D80" w14:textId="77777777" w:rsidR="00964AC6" w:rsidRPr="00A133CF" w:rsidRDefault="00964AC6" w:rsidP="000620D9">
            <w:pPr>
              <w:pStyle w:val="Tabletext"/>
            </w:pPr>
            <w:r w:rsidRPr="00A133CF">
              <w:t xml:space="preserve">Conducted power per antenna element before </w:t>
            </w:r>
            <w:proofErr w:type="spellStart"/>
            <w:r w:rsidRPr="00A133CF">
              <w:t>Ohmic</w:t>
            </w:r>
            <w:proofErr w:type="spellEnd"/>
            <w:r w:rsidRPr="00A133CF">
              <w:t xml:space="preserve"> loss (</w:t>
            </w:r>
            <w:proofErr w:type="spellStart"/>
            <w:r w:rsidRPr="00A133CF">
              <w:t>dBm</w:t>
            </w:r>
            <w:proofErr w:type="spellEnd"/>
            <w:r w:rsidRPr="00A133CF">
              <w:t xml:space="preserve"> in channel bandwidth)</w:t>
            </w:r>
          </w:p>
        </w:tc>
        <w:tc>
          <w:tcPr>
            <w:tcW w:w="2410" w:type="dxa"/>
          </w:tcPr>
          <w:p w14:paraId="273E5013" w14:textId="77777777" w:rsidR="00964AC6" w:rsidRPr="00A133CF" w:rsidRDefault="00964AC6" w:rsidP="000620D9">
            <w:pPr>
              <w:pStyle w:val="Tabletext"/>
            </w:pPr>
            <w:r w:rsidRPr="00A133CF">
              <w:t xml:space="preserve">10 </w:t>
            </w:r>
          </w:p>
        </w:tc>
        <w:tc>
          <w:tcPr>
            <w:tcW w:w="2268" w:type="dxa"/>
          </w:tcPr>
          <w:p w14:paraId="1C92A1B3" w14:textId="77777777" w:rsidR="00964AC6" w:rsidRPr="00A133CF" w:rsidRDefault="00964AC6" w:rsidP="000620D9">
            <w:pPr>
              <w:pStyle w:val="Tabletext"/>
            </w:pPr>
            <w:r w:rsidRPr="00A133CF">
              <w:t>10</w:t>
            </w:r>
          </w:p>
        </w:tc>
        <w:tc>
          <w:tcPr>
            <w:tcW w:w="2126" w:type="dxa"/>
          </w:tcPr>
          <w:p w14:paraId="40521DBA" w14:textId="77777777" w:rsidR="00964AC6" w:rsidRPr="00A133CF" w:rsidRDefault="00964AC6" w:rsidP="000620D9">
            <w:pPr>
              <w:pStyle w:val="Tabletext"/>
            </w:pPr>
            <w:r w:rsidRPr="00A133CF">
              <w:t>10</w:t>
            </w:r>
          </w:p>
        </w:tc>
      </w:tr>
      <w:tr w:rsidR="00964AC6" w:rsidRPr="00A133CF" w14:paraId="78ADB112" w14:textId="77777777" w:rsidTr="007D38FF">
        <w:tc>
          <w:tcPr>
            <w:tcW w:w="2537" w:type="dxa"/>
          </w:tcPr>
          <w:p w14:paraId="49534FE4" w14:textId="77777777" w:rsidR="00964AC6" w:rsidRPr="00A133CF" w:rsidRDefault="00964AC6" w:rsidP="000620D9">
            <w:pPr>
              <w:pStyle w:val="Tabletext"/>
            </w:pPr>
            <w:r w:rsidRPr="00A133CF">
              <w:t>Maximum output power (</w:t>
            </w:r>
            <w:proofErr w:type="spellStart"/>
            <w:r w:rsidRPr="00A133CF">
              <w:t>dBm</w:t>
            </w:r>
            <w:proofErr w:type="spellEnd"/>
            <w:r w:rsidRPr="00A133CF">
              <w:t xml:space="preserve">) (PCMAX) </w:t>
            </w:r>
          </w:p>
          <w:p w14:paraId="1C2CBC17" w14:textId="77777777" w:rsidR="00964AC6" w:rsidRPr="00A133CF" w:rsidRDefault="00964AC6" w:rsidP="000620D9">
            <w:pPr>
              <w:pStyle w:val="Tabletext"/>
            </w:pPr>
            <w:r w:rsidRPr="00A133CF">
              <w:t>See NOTE 3</w:t>
            </w:r>
          </w:p>
        </w:tc>
        <w:tc>
          <w:tcPr>
            <w:tcW w:w="2410" w:type="dxa"/>
          </w:tcPr>
          <w:p w14:paraId="7B388529" w14:textId="77777777" w:rsidR="00964AC6" w:rsidRPr="00A133CF" w:rsidRDefault="00964AC6" w:rsidP="000620D9">
            <w:pPr>
              <w:pStyle w:val="Tabletext"/>
            </w:pPr>
            <w:r w:rsidRPr="00A133CF">
              <w:t>22</w:t>
            </w:r>
          </w:p>
        </w:tc>
        <w:tc>
          <w:tcPr>
            <w:tcW w:w="2268" w:type="dxa"/>
          </w:tcPr>
          <w:p w14:paraId="425968AF" w14:textId="77777777" w:rsidR="00964AC6" w:rsidRPr="00A133CF" w:rsidRDefault="00964AC6" w:rsidP="000620D9">
            <w:pPr>
              <w:pStyle w:val="Tabletext"/>
            </w:pPr>
            <w:r w:rsidRPr="00A133CF">
              <w:t>22</w:t>
            </w:r>
          </w:p>
        </w:tc>
        <w:tc>
          <w:tcPr>
            <w:tcW w:w="2126" w:type="dxa"/>
          </w:tcPr>
          <w:p w14:paraId="7B11E5E6" w14:textId="77777777" w:rsidR="00964AC6" w:rsidRPr="00A133CF" w:rsidRDefault="00964AC6" w:rsidP="000620D9">
            <w:pPr>
              <w:pStyle w:val="Tabletext"/>
            </w:pPr>
            <w:r w:rsidRPr="00A133CF">
              <w:t>22</w:t>
            </w:r>
          </w:p>
        </w:tc>
      </w:tr>
      <w:tr w:rsidR="00964AC6" w:rsidRPr="00A133CF" w14:paraId="08D0AA2A" w14:textId="77777777" w:rsidTr="007D38FF">
        <w:trPr>
          <w:cnfStyle w:val="000000010000" w:firstRow="0" w:lastRow="0" w:firstColumn="0" w:lastColumn="0" w:oddVBand="0" w:evenVBand="0" w:oddHBand="0" w:evenHBand="1" w:firstRowFirstColumn="0" w:firstRowLastColumn="0" w:lastRowFirstColumn="0" w:lastRowLastColumn="0"/>
        </w:trPr>
        <w:tc>
          <w:tcPr>
            <w:tcW w:w="2537" w:type="dxa"/>
          </w:tcPr>
          <w:p w14:paraId="3A6EFDF2" w14:textId="77777777" w:rsidR="00964AC6" w:rsidRPr="00A133CF" w:rsidRDefault="00964AC6" w:rsidP="000620D9">
            <w:pPr>
              <w:pStyle w:val="Tabletext"/>
            </w:pPr>
            <w:r w:rsidRPr="00A133CF">
              <w:t>Target transmit power per 180 kHz (</w:t>
            </w:r>
            <w:proofErr w:type="spellStart"/>
            <w:r w:rsidRPr="00A133CF">
              <w:t>dBm</w:t>
            </w:r>
            <w:proofErr w:type="spellEnd"/>
            <w:r w:rsidRPr="00A133CF">
              <w:t>) (PPUSCH)</w:t>
            </w:r>
          </w:p>
        </w:tc>
        <w:tc>
          <w:tcPr>
            <w:tcW w:w="2410" w:type="dxa"/>
          </w:tcPr>
          <w:p w14:paraId="4F10F0E0" w14:textId="77777777" w:rsidR="00964AC6" w:rsidRPr="00A133CF" w:rsidRDefault="00964AC6" w:rsidP="000620D9">
            <w:pPr>
              <w:pStyle w:val="Tabletext"/>
            </w:pPr>
            <w:r w:rsidRPr="00A133CF">
              <w:t>-95</w:t>
            </w:r>
          </w:p>
        </w:tc>
        <w:tc>
          <w:tcPr>
            <w:tcW w:w="2268" w:type="dxa"/>
          </w:tcPr>
          <w:p w14:paraId="57F5918C" w14:textId="77777777" w:rsidR="00964AC6" w:rsidRPr="00A133CF" w:rsidRDefault="00964AC6" w:rsidP="000620D9">
            <w:pPr>
              <w:pStyle w:val="Tabletext"/>
            </w:pPr>
            <w:r w:rsidRPr="00A133CF">
              <w:t>-95</w:t>
            </w:r>
          </w:p>
        </w:tc>
        <w:tc>
          <w:tcPr>
            <w:tcW w:w="2126" w:type="dxa"/>
          </w:tcPr>
          <w:p w14:paraId="02DD8F57" w14:textId="77777777" w:rsidR="00964AC6" w:rsidRPr="00A133CF" w:rsidRDefault="00964AC6" w:rsidP="000620D9">
            <w:pPr>
              <w:pStyle w:val="Tabletext"/>
            </w:pPr>
            <w:r w:rsidRPr="00A133CF">
              <w:t>-95</w:t>
            </w:r>
          </w:p>
        </w:tc>
      </w:tr>
      <w:tr w:rsidR="00964AC6" w:rsidRPr="00A133CF" w14:paraId="6E55FB5A" w14:textId="77777777" w:rsidTr="007D38FF">
        <w:tc>
          <w:tcPr>
            <w:tcW w:w="2537" w:type="dxa"/>
          </w:tcPr>
          <w:p w14:paraId="481CD185" w14:textId="77777777" w:rsidR="00964AC6" w:rsidRPr="00A133CF" w:rsidRDefault="00964AC6" w:rsidP="000620D9">
            <w:pPr>
              <w:pStyle w:val="Tabletext"/>
            </w:pPr>
            <w:r w:rsidRPr="00A133CF">
              <w:t>Power control model</w:t>
            </w:r>
          </w:p>
        </w:tc>
        <w:tc>
          <w:tcPr>
            <w:tcW w:w="2410" w:type="dxa"/>
          </w:tcPr>
          <w:p w14:paraId="149EB7FF" w14:textId="77777777" w:rsidR="00964AC6" w:rsidRPr="00A133CF" w:rsidRDefault="00964AC6" w:rsidP="000620D9">
            <w:pPr>
              <w:pStyle w:val="Tabletext"/>
            </w:pPr>
            <w:r w:rsidRPr="00A133CF">
              <w:t xml:space="preserve">Rec. M 2101 </w:t>
            </w:r>
            <w:r w:rsidRPr="00A133CF">
              <w:br/>
              <w:t>(α=1)</w:t>
            </w:r>
          </w:p>
        </w:tc>
        <w:tc>
          <w:tcPr>
            <w:tcW w:w="2268" w:type="dxa"/>
          </w:tcPr>
          <w:p w14:paraId="28057047" w14:textId="77777777" w:rsidR="00964AC6" w:rsidRPr="00A133CF" w:rsidRDefault="00964AC6" w:rsidP="000620D9">
            <w:pPr>
              <w:pStyle w:val="Tabletext"/>
            </w:pPr>
            <w:r w:rsidRPr="00A133CF">
              <w:t xml:space="preserve">Rec. M 2101 </w:t>
            </w:r>
            <w:r w:rsidRPr="00A133CF">
              <w:br/>
              <w:t>(α=1)</w:t>
            </w:r>
          </w:p>
        </w:tc>
        <w:tc>
          <w:tcPr>
            <w:tcW w:w="2126" w:type="dxa"/>
          </w:tcPr>
          <w:p w14:paraId="73B127EF" w14:textId="77777777" w:rsidR="00964AC6" w:rsidRPr="00A133CF" w:rsidRDefault="00964AC6" w:rsidP="000620D9">
            <w:pPr>
              <w:pStyle w:val="Tabletext"/>
            </w:pPr>
            <w:r w:rsidRPr="00A133CF">
              <w:t xml:space="preserve">Rec. M 2101 </w:t>
            </w:r>
            <w:r w:rsidRPr="00A133CF">
              <w:br/>
              <w:t>(α=1)</w:t>
            </w:r>
          </w:p>
        </w:tc>
      </w:tr>
    </w:tbl>
    <w:p w14:paraId="73988B87" w14:textId="77777777" w:rsidR="00964AC6" w:rsidRDefault="00964AC6" w:rsidP="007D38FF">
      <w:pPr>
        <w:spacing w:after="0"/>
      </w:pPr>
    </w:p>
    <w:p w14:paraId="0D9165B6" w14:textId="58208D2E" w:rsidR="00377E47" w:rsidRDefault="00377E47" w:rsidP="007D38FF">
      <w:pPr>
        <w:shd w:val="clear" w:color="auto" w:fill="F1F2F2"/>
        <w:spacing w:after="120"/>
      </w:pPr>
      <w:r w:rsidRPr="00A133CF">
        <w:t>NOTE 1: The BS (sector) density must be translated into the Inter-Site Distance (ISD) according to the network topology for use as input in Recommendation ITU-R M.2101.</w:t>
      </w:r>
      <w:r>
        <w:t xml:space="preserve"> </w:t>
      </w:r>
      <w:r w:rsidRPr="00A133CF">
        <w:t>Dense urban environments are likely to be served by single sector small cells.</w:t>
      </w:r>
    </w:p>
    <w:p w14:paraId="1DF7B4C9" w14:textId="77777777" w:rsidR="00377E47" w:rsidRPr="00A133CF" w:rsidRDefault="00377E47" w:rsidP="007D38FF">
      <w:pPr>
        <w:shd w:val="clear" w:color="auto" w:fill="E6E7E8"/>
        <w:spacing w:after="120"/>
      </w:pPr>
      <w:r w:rsidRPr="00A133CF">
        <w:t>NOTE 2: The antenna pattern for base station or user equipment depends on the antenna array configuration and the antenna element pattern and gain.</w:t>
      </w:r>
      <w:r>
        <w:t xml:space="preserve"> </w:t>
      </w:r>
      <w:r w:rsidRPr="00A133CF">
        <w:t xml:space="preserve">For example, the antenna array composed of 8x8 identical antenna elements with 5 </w:t>
      </w:r>
      <w:proofErr w:type="spellStart"/>
      <w:r w:rsidRPr="00A133CF">
        <w:t>dBi</w:t>
      </w:r>
      <w:proofErr w:type="spellEnd"/>
      <w:r w:rsidRPr="00A133CF">
        <w:t xml:space="preserve"> gain each produces a maximum 23 </w:t>
      </w:r>
      <w:proofErr w:type="spellStart"/>
      <w:r w:rsidRPr="00A133CF">
        <w:t>dBi</w:t>
      </w:r>
      <w:proofErr w:type="spellEnd"/>
      <w:r w:rsidRPr="00A133CF">
        <w:t xml:space="preserve"> main beam antenna gain for base stations and an antenna array composed of 4x4 identical antenna elements with 5 </w:t>
      </w:r>
      <w:proofErr w:type="spellStart"/>
      <w:r w:rsidRPr="00A133CF">
        <w:t>dBi</w:t>
      </w:r>
      <w:proofErr w:type="spellEnd"/>
      <w:r w:rsidRPr="00A133CF">
        <w:t xml:space="preserve"> gain each produces a maximum 17 </w:t>
      </w:r>
      <w:proofErr w:type="spellStart"/>
      <w:r w:rsidRPr="00A133CF">
        <w:t>dBi</w:t>
      </w:r>
      <w:proofErr w:type="spellEnd"/>
      <w:r w:rsidRPr="00A133CF">
        <w:t xml:space="preserve"> main beam antenna gain for user terminal.</w:t>
      </w:r>
    </w:p>
    <w:p w14:paraId="42DF494D" w14:textId="77777777" w:rsidR="00D848F2" w:rsidRDefault="00377E47" w:rsidP="007D38FF">
      <w:pPr>
        <w:shd w:val="clear" w:color="auto" w:fill="E6E7E8"/>
        <w:spacing w:after="120"/>
      </w:pPr>
      <w:r w:rsidRPr="00A133CF">
        <w:lastRenderedPageBreak/>
        <w:t>Antenna gain in directions other than the main beam is reduced according to the antenna model described in Recommendation ITU-R M.2101</w:t>
      </w:r>
      <w:r w:rsidR="00D848F2">
        <w:t>.</w:t>
      </w:r>
    </w:p>
    <w:p w14:paraId="0B0BF75A" w14:textId="77777777" w:rsidR="00377E47" w:rsidRDefault="00377E47" w:rsidP="007D38FF">
      <w:pPr>
        <w:shd w:val="clear" w:color="auto" w:fill="E6E7E8"/>
        <w:spacing w:after="120"/>
      </w:pPr>
      <w:r w:rsidRPr="00A133CF">
        <w:t>The use of antenna array configurations other than those indicated in the table above should not lead to an increase of interference to other services to which the bands are currently allocated and should not increase the EIRP, by adjusting the other relevant parameters.</w:t>
      </w:r>
    </w:p>
    <w:p w14:paraId="651CEC25" w14:textId="77777777" w:rsidR="00377E47" w:rsidRDefault="00377E47" w:rsidP="00377E47">
      <w:pPr>
        <w:shd w:val="clear" w:color="auto" w:fill="F1F2F2"/>
      </w:pPr>
      <w:r w:rsidRPr="00A133CF">
        <w:t xml:space="preserve">NOTE 3: Maximum user terminal output power depends on the antenna array configuration and conducted power (before </w:t>
      </w:r>
      <w:proofErr w:type="spellStart"/>
      <w:r w:rsidRPr="00A133CF">
        <w:t>Ohmic</w:t>
      </w:r>
      <w:proofErr w:type="spellEnd"/>
      <w:r w:rsidRPr="00A133CF">
        <w:t xml:space="preserve"> loss) per antenna element. For example, the antenna array composed of 4x4 identical antenna elements with conducted power per antenna element 10 </w:t>
      </w:r>
      <w:proofErr w:type="spellStart"/>
      <w:r w:rsidRPr="00A133CF">
        <w:t>dBm</w:t>
      </w:r>
      <w:proofErr w:type="spellEnd"/>
      <w:r w:rsidRPr="00A133CF">
        <w:t xml:space="preserve"> produces 22 </w:t>
      </w:r>
      <w:proofErr w:type="spellStart"/>
      <w:r w:rsidRPr="00A133CF">
        <w:t>dBm</w:t>
      </w:r>
      <w:proofErr w:type="spellEnd"/>
      <w:r w:rsidRPr="00A133CF">
        <w:t xml:space="preserve"> maximum user terminal output power.</w:t>
      </w:r>
      <w:r>
        <w:t xml:space="preserve"> </w:t>
      </w:r>
      <w:r w:rsidRPr="00A133CF">
        <w:t xml:space="preserve">The reduction of maximum user terminal output power resulting from power control model is applied to each element within antenna array; i.e. conducted power (before </w:t>
      </w:r>
      <w:proofErr w:type="spellStart"/>
      <w:r w:rsidRPr="00A133CF">
        <w:t>Ohmic</w:t>
      </w:r>
      <w:proofErr w:type="spellEnd"/>
      <w:r w:rsidRPr="00A133CF">
        <w:t xml:space="preserve"> loss) per antenna element is reduced to same extent as PPUSCH reduced compared to PCMAX.</w:t>
      </w:r>
    </w:p>
    <w:p w14:paraId="219C26FA" w14:textId="77777777" w:rsidR="00D848F2" w:rsidRDefault="00DE3BEE" w:rsidP="00DE3BEE">
      <w:r w:rsidRPr="00A133CF">
        <w:t xml:space="preserve">It is argued that the deployment density figures given in </w:t>
      </w:r>
      <w:r w:rsidRPr="00A133CF">
        <w:fldChar w:fldCharType="begin"/>
      </w:r>
      <w:r w:rsidRPr="00A133CF">
        <w:instrText xml:space="preserve"> REF _Ref15983885 </w:instrText>
      </w:r>
      <w:r>
        <w:instrText xml:space="preserve"> \* MERGEFORMAT </w:instrText>
      </w:r>
      <w:r w:rsidRPr="00A133CF">
        <w:fldChar w:fldCharType="separate"/>
      </w:r>
      <w:r w:rsidRPr="00A133CF">
        <w:t>Table C.1</w:t>
      </w:r>
      <w:r w:rsidRPr="00A133CF">
        <w:fldChar w:fldCharType="end"/>
      </w:r>
      <w:r w:rsidRPr="00A133CF">
        <w:t xml:space="preserve"> are for hotspots and applicable for studies considering an area of a single hotspot or a small cluster of cells as described in Recommendation ITU-R M.2101.</w:t>
      </w:r>
      <w:r w:rsidR="00232CCD">
        <w:t xml:space="preserve"> </w:t>
      </w:r>
      <w:r w:rsidRPr="00A133CF">
        <w:t>If sharing studies consider deployments in wider areas (e.g. city, county or region) where hotspot areas represent only a small percentage of the total area, as would be in the case of IMT</w:t>
      </w:r>
      <w:r w:rsidR="00377E47">
        <w:t>—</w:t>
      </w:r>
      <w:r w:rsidRPr="00A133CF">
        <w:t xml:space="preserve">FSS uplink sharing scenarios, the density figures given in </w:t>
      </w:r>
      <w:r w:rsidRPr="00A133CF">
        <w:fldChar w:fldCharType="begin"/>
      </w:r>
      <w:r w:rsidRPr="00A133CF">
        <w:instrText xml:space="preserve"> REF _Ref15983885 </w:instrText>
      </w:r>
      <w:r>
        <w:instrText xml:space="preserve"> \* MERGEFORMAT </w:instrText>
      </w:r>
      <w:r w:rsidRPr="00A133CF">
        <w:fldChar w:fldCharType="separate"/>
      </w:r>
      <w:r w:rsidRPr="00A133CF">
        <w:t>Table C.1</w:t>
      </w:r>
      <w:r w:rsidRPr="00A133CF">
        <w:fldChar w:fldCharType="end"/>
      </w:r>
      <w:r w:rsidRPr="00A133CF">
        <w:t xml:space="preserve"> need to be multiplied by ‘Ra’ and ‘</w:t>
      </w:r>
      <w:proofErr w:type="spellStart"/>
      <w:r w:rsidRPr="00A133CF">
        <w:t>Rb</w:t>
      </w:r>
      <w:proofErr w:type="spellEnd"/>
      <w:r w:rsidRPr="00A133CF">
        <w:t>’ which are ratio of hotspot areas to areas of cities/built areas/districts and ratio of built areas to total area of region considered in the study, respectively.</w:t>
      </w:r>
      <w:r w:rsidR="00232CCD">
        <w:t xml:space="preserve"> </w:t>
      </w:r>
      <w:r w:rsidRPr="00A133CF">
        <w:t>The values recommended for ‘Ra’ are 7% for urban and 3% for suburban.</w:t>
      </w:r>
      <w:r w:rsidR="00232CCD">
        <w:t xml:space="preserve"> </w:t>
      </w:r>
      <w:r w:rsidRPr="00A133CF">
        <w:t>The value suggested for ‘</w:t>
      </w:r>
      <w:proofErr w:type="spellStart"/>
      <w:r w:rsidRPr="00A133CF">
        <w:t>Rb</w:t>
      </w:r>
      <w:proofErr w:type="spellEnd"/>
      <w:r w:rsidRPr="00A133CF">
        <w:t>’ is 5%.</w:t>
      </w:r>
      <w:r w:rsidR="00232CCD">
        <w:t xml:space="preserve"> </w:t>
      </w:r>
      <w:r w:rsidRPr="00A133CF">
        <w:t>These values appear to be adopted in the sharing studies submitted to TG 5/1</w:t>
      </w:r>
      <w:r w:rsidR="00D848F2">
        <w:t>.</w:t>
      </w:r>
    </w:p>
    <w:p w14:paraId="7E900EFF" w14:textId="77777777" w:rsidR="00DE3BEE" w:rsidRPr="00D21EAB" w:rsidRDefault="00377E47" w:rsidP="00377E47">
      <w:pPr>
        <w:pStyle w:val="Heading3"/>
        <w:rPr>
          <w:color w:val="7030A0"/>
        </w:rPr>
      </w:pPr>
      <w:bookmarkStart w:id="114" w:name="_Ref16167407"/>
      <w:bookmarkStart w:id="115" w:name="_Toc19230552"/>
      <w:bookmarkStart w:id="116" w:name="_Toc21429744"/>
      <w:r w:rsidRPr="00D21EAB">
        <w:rPr>
          <w:color w:val="7030A0"/>
        </w:rPr>
        <w:t>C.2</w:t>
      </w:r>
      <w:r w:rsidRPr="00D21EAB">
        <w:rPr>
          <w:color w:val="7030A0"/>
        </w:rPr>
        <w:tab/>
      </w:r>
      <w:r w:rsidR="00DE3BEE" w:rsidRPr="00D21EAB">
        <w:rPr>
          <w:color w:val="7030A0"/>
        </w:rPr>
        <w:t>Input assumptions (satellite)</w:t>
      </w:r>
      <w:bookmarkEnd w:id="114"/>
      <w:bookmarkEnd w:id="115"/>
      <w:bookmarkEnd w:id="116"/>
    </w:p>
    <w:p w14:paraId="779C4618" w14:textId="77777777" w:rsidR="00DE3BEE" w:rsidRPr="00A133CF" w:rsidRDefault="00DE3BEE" w:rsidP="00DE3BEE">
      <w:r w:rsidRPr="00A133CF">
        <w:t>A WP 4A liaison statement</w:t>
      </w:r>
      <w:r w:rsidRPr="00CF5D4A">
        <w:rPr>
          <w:vertAlign w:val="superscript"/>
        </w:rPr>
        <w:footnoteReference w:id="23"/>
      </w:r>
      <w:r w:rsidRPr="00A133CF">
        <w:t xml:space="preserve"> to TG 5/1 provides a ‘streamlined’ version of FSS/BSS technical parameters developed earlier for sharing studies undertaken under the World Radio Conference 2019 agenda item 1.13</w:t>
      </w:r>
      <w:r w:rsidRPr="00CF5D4A">
        <w:rPr>
          <w:vertAlign w:val="superscript"/>
        </w:rPr>
        <w:footnoteReference w:id="24"/>
      </w:r>
      <w:r w:rsidRPr="00A133CF">
        <w:t>.</w:t>
      </w:r>
    </w:p>
    <w:p w14:paraId="4139F17E" w14:textId="77777777" w:rsidR="00DE3BEE" w:rsidRPr="00A133CF" w:rsidRDefault="00DE3BEE" w:rsidP="00DE3BEE">
      <w:r w:rsidRPr="00A133CF">
        <w:t>In the uplink direction, the parameters list includes three example carriers, named Carrier 13, 14 and 19, in the band 27-27.5 GHz.</w:t>
      </w:r>
      <w:r w:rsidR="00232CCD">
        <w:t xml:space="preserve"> </w:t>
      </w:r>
      <w:r w:rsidRPr="00A133CF">
        <w:fldChar w:fldCharType="begin"/>
      </w:r>
      <w:r w:rsidRPr="00A133CF">
        <w:instrText xml:space="preserve"> REF _Ref16315342 </w:instrText>
      </w:r>
      <w:r>
        <w:instrText xml:space="preserve"> \* MERGEFORMAT </w:instrText>
      </w:r>
      <w:r w:rsidRPr="00A133CF">
        <w:fldChar w:fldCharType="separate"/>
      </w:r>
      <w:r w:rsidRPr="00A133CF">
        <w:t>Table C.2</w:t>
      </w:r>
      <w:r w:rsidRPr="00A133CF">
        <w:fldChar w:fldCharType="end"/>
      </w:r>
      <w:r w:rsidRPr="00A133CF">
        <w:t xml:space="preserve"> below shows the parameter values provided for all three carriers</w:t>
      </w:r>
      <w:r w:rsidRPr="00CF5D4A">
        <w:rPr>
          <w:vertAlign w:val="superscript"/>
        </w:rPr>
        <w:footnoteReference w:id="25"/>
      </w:r>
      <w:r w:rsidR="00CF5D4A">
        <w:t>.</w:t>
      </w:r>
    </w:p>
    <w:p w14:paraId="66F24277" w14:textId="77777777" w:rsidR="00DE3BEE" w:rsidRPr="00A133CF" w:rsidRDefault="00DE3BEE" w:rsidP="005321C7">
      <w:pPr>
        <w:pStyle w:val="Tablefigureheading"/>
      </w:pPr>
      <w:bookmarkStart w:id="117" w:name="_Ref16315342"/>
      <w:bookmarkStart w:id="118" w:name="_Toc21429773"/>
      <w:r w:rsidRPr="00A133CF">
        <w:t xml:space="preserve">Table </w:t>
      </w:r>
      <w:r w:rsidR="009D475F">
        <w:fldChar w:fldCharType="begin"/>
      </w:r>
      <w:r w:rsidR="009D475F">
        <w:instrText xml:space="preserve"> STYLEREF 6 \s </w:instrText>
      </w:r>
      <w:r w:rsidR="009D475F">
        <w:fldChar w:fldCharType="separate"/>
      </w:r>
      <w:r w:rsidRPr="00A133CF">
        <w:t>C</w:t>
      </w:r>
      <w:r w:rsidR="009D475F">
        <w:fldChar w:fldCharType="end"/>
      </w:r>
      <w:r w:rsidRPr="00A133CF">
        <w:t>.</w:t>
      </w:r>
      <w:r w:rsidR="009D475F">
        <w:fldChar w:fldCharType="begin"/>
      </w:r>
      <w:r w:rsidR="009D475F">
        <w:instrText xml:space="preserve"> SEQ Table \* ARA</w:instrText>
      </w:r>
      <w:r w:rsidR="009D475F">
        <w:instrText xml:space="preserve">BIC \s 6 </w:instrText>
      </w:r>
      <w:r w:rsidR="009D475F">
        <w:fldChar w:fldCharType="separate"/>
      </w:r>
      <w:r w:rsidRPr="00A133CF">
        <w:t>2</w:t>
      </w:r>
      <w:r w:rsidR="009D475F">
        <w:fldChar w:fldCharType="end"/>
      </w:r>
      <w:bookmarkEnd w:id="117"/>
      <w:r w:rsidRPr="00A133CF">
        <w:t>: FSS uplink parameters (Document 5-1/89, May 2017)</w:t>
      </w:r>
      <w:bookmarkEnd w:id="118"/>
    </w:p>
    <w:tbl>
      <w:tblPr>
        <w:tblStyle w:val="PlumTable"/>
        <w:tblW w:w="9638" w:type="dxa"/>
        <w:tblLayout w:type="fixed"/>
        <w:tblCellMar>
          <w:top w:w="28" w:type="dxa"/>
          <w:bottom w:w="28" w:type="dxa"/>
        </w:tblCellMar>
        <w:tblLook w:val="0420" w:firstRow="1" w:lastRow="0" w:firstColumn="0" w:lastColumn="0" w:noHBand="0" w:noVBand="1"/>
        <w:tblDescription w:val="Table C.2: FSS uplink parameters (Document 5-1/89, May 2017)"/>
      </w:tblPr>
      <w:tblGrid>
        <w:gridCol w:w="3212"/>
        <w:gridCol w:w="3213"/>
        <w:gridCol w:w="3213"/>
      </w:tblGrid>
      <w:tr w:rsidR="00DE3BEE" w:rsidRPr="00A133CF" w14:paraId="21F6A590" w14:textId="77777777" w:rsidTr="007D38FF">
        <w:trPr>
          <w:cnfStyle w:val="100000000000" w:firstRow="1" w:lastRow="0" w:firstColumn="0" w:lastColumn="0" w:oddVBand="0" w:evenVBand="0" w:oddHBand="0" w:evenHBand="0" w:firstRowFirstColumn="0" w:firstRowLastColumn="0" w:lastRowFirstColumn="0" w:lastRowLastColumn="0"/>
          <w:tblHeader/>
        </w:trPr>
        <w:tc>
          <w:tcPr>
            <w:tcW w:w="3212" w:type="dxa"/>
            <w:shd w:val="clear" w:color="auto" w:fill="4F2683"/>
          </w:tcPr>
          <w:p w14:paraId="76ECCB4F" w14:textId="77777777" w:rsidR="00DE3BEE" w:rsidRPr="00A133CF" w:rsidRDefault="00DE3BEE" w:rsidP="00377E47">
            <w:pPr>
              <w:pStyle w:val="Tablerowcolumnheading"/>
            </w:pPr>
            <w:r w:rsidRPr="00A133CF">
              <w:t>Parameter</w:t>
            </w:r>
          </w:p>
        </w:tc>
        <w:tc>
          <w:tcPr>
            <w:tcW w:w="3213" w:type="dxa"/>
            <w:shd w:val="clear" w:color="auto" w:fill="4F2683"/>
          </w:tcPr>
          <w:p w14:paraId="75408E1B" w14:textId="77777777" w:rsidR="00DE3BEE" w:rsidRPr="00A133CF" w:rsidRDefault="00DE3BEE" w:rsidP="00377E47">
            <w:pPr>
              <w:pStyle w:val="Tablerowcolumnheading"/>
            </w:pPr>
            <w:r w:rsidRPr="00A133CF">
              <w:t>Carrier 13 and 14</w:t>
            </w:r>
          </w:p>
        </w:tc>
        <w:tc>
          <w:tcPr>
            <w:tcW w:w="3213" w:type="dxa"/>
            <w:shd w:val="clear" w:color="auto" w:fill="4F2683"/>
          </w:tcPr>
          <w:p w14:paraId="48989E1D" w14:textId="77777777" w:rsidR="00DE3BEE" w:rsidRPr="00A133CF" w:rsidRDefault="00DE3BEE" w:rsidP="00377E47">
            <w:pPr>
              <w:pStyle w:val="Tablerowcolumnheading"/>
            </w:pPr>
            <w:r w:rsidRPr="00A133CF">
              <w:t>Carrier 19</w:t>
            </w:r>
          </w:p>
        </w:tc>
      </w:tr>
      <w:tr w:rsidR="00DE3BEE" w:rsidRPr="00A133CF" w14:paraId="5C896604" w14:textId="77777777" w:rsidTr="007D38FF">
        <w:tc>
          <w:tcPr>
            <w:tcW w:w="3212" w:type="dxa"/>
          </w:tcPr>
          <w:p w14:paraId="0E3A55CA" w14:textId="77777777" w:rsidR="00DE3BEE" w:rsidRPr="00A133CF" w:rsidRDefault="00DE3BEE" w:rsidP="00377E47">
            <w:pPr>
              <w:pStyle w:val="Tabletext"/>
            </w:pPr>
            <w:r w:rsidRPr="00A133CF">
              <w:t>Frequency range (GHz)</w:t>
            </w:r>
          </w:p>
        </w:tc>
        <w:tc>
          <w:tcPr>
            <w:tcW w:w="3213" w:type="dxa"/>
          </w:tcPr>
          <w:p w14:paraId="6EF9DD01" w14:textId="77777777" w:rsidR="00DE3BEE" w:rsidRPr="00A133CF" w:rsidRDefault="00DE3BEE" w:rsidP="00377E47">
            <w:pPr>
              <w:pStyle w:val="Tabletext"/>
            </w:pPr>
            <w:r w:rsidRPr="00A133CF">
              <w:t>24.65-25.25 and 27-27.5</w:t>
            </w:r>
          </w:p>
        </w:tc>
        <w:tc>
          <w:tcPr>
            <w:tcW w:w="3213" w:type="dxa"/>
          </w:tcPr>
          <w:p w14:paraId="02A0592B" w14:textId="77777777" w:rsidR="00DE3BEE" w:rsidRPr="00A133CF" w:rsidRDefault="00DE3BEE" w:rsidP="00377E47">
            <w:pPr>
              <w:pStyle w:val="Tabletext"/>
            </w:pPr>
            <w:r w:rsidRPr="00A133CF">
              <w:t>24.65-25.25 and 27-27.5</w:t>
            </w:r>
          </w:p>
        </w:tc>
      </w:tr>
      <w:tr w:rsidR="00DE3BEE" w:rsidRPr="00A133CF" w14:paraId="726091A6" w14:textId="77777777" w:rsidTr="007D38FF">
        <w:trPr>
          <w:cnfStyle w:val="000000010000" w:firstRow="0" w:lastRow="0" w:firstColumn="0" w:lastColumn="0" w:oddVBand="0" w:evenVBand="0" w:oddHBand="0" w:evenHBand="1" w:firstRowFirstColumn="0" w:firstRowLastColumn="0" w:lastRowFirstColumn="0" w:lastRowLastColumn="0"/>
        </w:trPr>
        <w:tc>
          <w:tcPr>
            <w:tcW w:w="3212" w:type="dxa"/>
          </w:tcPr>
          <w:p w14:paraId="1E1B856B" w14:textId="77777777" w:rsidR="00DE3BEE" w:rsidRPr="00A133CF" w:rsidRDefault="00DE3BEE" w:rsidP="00377E47">
            <w:pPr>
              <w:pStyle w:val="Tabletext"/>
            </w:pPr>
            <w:r w:rsidRPr="00A133CF">
              <w:t>Noise bandwidth (MHz)</w:t>
            </w:r>
          </w:p>
        </w:tc>
        <w:tc>
          <w:tcPr>
            <w:tcW w:w="3213" w:type="dxa"/>
          </w:tcPr>
          <w:p w14:paraId="20DA1BCF" w14:textId="77777777" w:rsidR="00DE3BEE" w:rsidRPr="00A133CF" w:rsidRDefault="00DE3BEE" w:rsidP="00377E47">
            <w:pPr>
              <w:pStyle w:val="Tabletext"/>
            </w:pPr>
            <w:r w:rsidRPr="00A133CF">
              <w:t>20</w:t>
            </w:r>
            <w:r w:rsidR="00BD5767">
              <w:t>—</w:t>
            </w:r>
            <w:r w:rsidRPr="00A133CF">
              <w:t>100</w:t>
            </w:r>
          </w:p>
        </w:tc>
        <w:tc>
          <w:tcPr>
            <w:tcW w:w="3213" w:type="dxa"/>
          </w:tcPr>
          <w:p w14:paraId="6A69A80B" w14:textId="77777777" w:rsidR="00DE3BEE" w:rsidRPr="00A133CF" w:rsidRDefault="00DE3BEE" w:rsidP="00377E47">
            <w:pPr>
              <w:pStyle w:val="Tabletext"/>
            </w:pPr>
            <w:r w:rsidRPr="00A133CF">
              <w:t>20</w:t>
            </w:r>
            <w:r w:rsidR="00BD5767">
              <w:t>—</w:t>
            </w:r>
            <w:r w:rsidRPr="00A133CF">
              <w:t>250</w:t>
            </w:r>
          </w:p>
        </w:tc>
      </w:tr>
      <w:tr w:rsidR="00DE3BEE" w:rsidRPr="00A133CF" w14:paraId="2021CD83" w14:textId="77777777" w:rsidTr="007D38FF">
        <w:tc>
          <w:tcPr>
            <w:tcW w:w="3212" w:type="dxa"/>
          </w:tcPr>
          <w:p w14:paraId="7DC07D78" w14:textId="77777777" w:rsidR="00DE3BEE" w:rsidRPr="00A133CF" w:rsidRDefault="00DE3BEE" w:rsidP="00377E47">
            <w:pPr>
              <w:pStyle w:val="Tabletext"/>
            </w:pPr>
            <w:r w:rsidRPr="00A133CF">
              <w:t>Maximum receive antenna gain (</w:t>
            </w:r>
            <w:proofErr w:type="spellStart"/>
            <w:r w:rsidRPr="00A133CF">
              <w:t>dBi</w:t>
            </w:r>
            <w:proofErr w:type="spellEnd"/>
            <w:r w:rsidRPr="00A133CF">
              <w:t>)</w:t>
            </w:r>
          </w:p>
        </w:tc>
        <w:tc>
          <w:tcPr>
            <w:tcW w:w="3213" w:type="dxa"/>
          </w:tcPr>
          <w:p w14:paraId="5C9A61A6" w14:textId="77777777" w:rsidR="00DE3BEE" w:rsidRPr="00A133CF" w:rsidRDefault="00DE3BEE" w:rsidP="00377E47">
            <w:pPr>
              <w:pStyle w:val="Tabletext"/>
            </w:pPr>
            <w:r w:rsidRPr="00A133CF">
              <w:t>46.6</w:t>
            </w:r>
          </w:p>
        </w:tc>
        <w:tc>
          <w:tcPr>
            <w:tcW w:w="3213" w:type="dxa"/>
          </w:tcPr>
          <w:p w14:paraId="29A0FD4A" w14:textId="77777777" w:rsidR="00DE3BEE" w:rsidRPr="00A133CF" w:rsidRDefault="00DE3BEE" w:rsidP="00377E47">
            <w:pPr>
              <w:pStyle w:val="Tabletext"/>
            </w:pPr>
            <w:r w:rsidRPr="00A133CF">
              <w:t>33</w:t>
            </w:r>
          </w:p>
        </w:tc>
      </w:tr>
      <w:tr w:rsidR="00DE3BEE" w:rsidRPr="00A133CF" w14:paraId="2DC75C97" w14:textId="77777777" w:rsidTr="007D38FF">
        <w:trPr>
          <w:cnfStyle w:val="000000010000" w:firstRow="0" w:lastRow="0" w:firstColumn="0" w:lastColumn="0" w:oddVBand="0" w:evenVBand="0" w:oddHBand="0" w:evenHBand="1" w:firstRowFirstColumn="0" w:firstRowLastColumn="0" w:lastRowFirstColumn="0" w:lastRowLastColumn="0"/>
        </w:trPr>
        <w:tc>
          <w:tcPr>
            <w:tcW w:w="3212" w:type="dxa"/>
          </w:tcPr>
          <w:p w14:paraId="4BD5D4F5" w14:textId="77777777" w:rsidR="00DE3BEE" w:rsidRPr="00A133CF" w:rsidRDefault="00DE3BEE" w:rsidP="00377E47">
            <w:pPr>
              <w:pStyle w:val="Tabletext"/>
            </w:pPr>
            <w:r w:rsidRPr="00A133CF">
              <w:t>Antenna pattern</w:t>
            </w:r>
          </w:p>
        </w:tc>
        <w:tc>
          <w:tcPr>
            <w:tcW w:w="3213" w:type="dxa"/>
          </w:tcPr>
          <w:p w14:paraId="6557A7F3" w14:textId="77777777" w:rsidR="00DE3BEE" w:rsidRPr="00A133CF" w:rsidRDefault="00DE3BEE" w:rsidP="00377E47">
            <w:pPr>
              <w:pStyle w:val="Tabletext"/>
            </w:pPr>
            <w:r w:rsidRPr="00A133CF">
              <w:t xml:space="preserve">Section 1.1 of Annex 1 in </w:t>
            </w:r>
            <w:r w:rsidRPr="00A133CF">
              <w:br/>
              <w:t>Rec. ITU-R S.672-4 (Ls = -25 dB)</w:t>
            </w:r>
          </w:p>
        </w:tc>
        <w:tc>
          <w:tcPr>
            <w:tcW w:w="3213" w:type="dxa"/>
          </w:tcPr>
          <w:p w14:paraId="6ED2F329" w14:textId="77777777" w:rsidR="00DE3BEE" w:rsidRPr="00A133CF" w:rsidRDefault="00DE3BEE" w:rsidP="00377E47">
            <w:pPr>
              <w:pStyle w:val="Tabletext"/>
            </w:pPr>
            <w:r w:rsidRPr="00A133CF">
              <w:t xml:space="preserve">Section 1.1 of Annex 1 in </w:t>
            </w:r>
            <w:r w:rsidRPr="00A133CF">
              <w:br/>
              <w:t>Rec. ITU-R S.672-4 (Ls = -20 dB)</w:t>
            </w:r>
          </w:p>
        </w:tc>
      </w:tr>
      <w:tr w:rsidR="00DE3BEE" w:rsidRPr="00A133CF" w14:paraId="483378CD" w14:textId="77777777" w:rsidTr="007D38FF">
        <w:tc>
          <w:tcPr>
            <w:tcW w:w="3212" w:type="dxa"/>
          </w:tcPr>
          <w:p w14:paraId="5437C786" w14:textId="77777777" w:rsidR="00DE3BEE" w:rsidRPr="00A133CF" w:rsidRDefault="00DE3BEE" w:rsidP="00377E47">
            <w:pPr>
              <w:pStyle w:val="Tabletext"/>
            </w:pPr>
            <w:proofErr w:type="spellStart"/>
            <w:r w:rsidRPr="00A133CF">
              <w:t>Beamwidth</w:t>
            </w:r>
            <w:proofErr w:type="spellEnd"/>
            <w:r w:rsidRPr="00A133CF">
              <w:t xml:space="preserve"> (degrees)</w:t>
            </w:r>
          </w:p>
        </w:tc>
        <w:tc>
          <w:tcPr>
            <w:tcW w:w="3213" w:type="dxa"/>
          </w:tcPr>
          <w:p w14:paraId="7AEE4222" w14:textId="77777777" w:rsidR="00DE3BEE" w:rsidRPr="00A133CF" w:rsidRDefault="00DE3BEE" w:rsidP="00377E47">
            <w:pPr>
              <w:pStyle w:val="Tabletext"/>
            </w:pPr>
            <w:r w:rsidRPr="00A133CF">
              <w:t>0.8</w:t>
            </w:r>
          </w:p>
        </w:tc>
        <w:tc>
          <w:tcPr>
            <w:tcW w:w="3213" w:type="dxa"/>
          </w:tcPr>
          <w:p w14:paraId="216C061E" w14:textId="77777777" w:rsidR="00DE3BEE" w:rsidRPr="00A133CF" w:rsidRDefault="00DE3BEE" w:rsidP="00377E47">
            <w:pPr>
              <w:pStyle w:val="Tabletext"/>
            </w:pPr>
            <w:r w:rsidRPr="00A133CF">
              <w:t>3 x 7 (elliptical)</w:t>
            </w:r>
          </w:p>
        </w:tc>
      </w:tr>
      <w:tr w:rsidR="00DE3BEE" w:rsidRPr="00A133CF" w14:paraId="6AE1BF3C" w14:textId="77777777" w:rsidTr="007D38FF">
        <w:trPr>
          <w:cnfStyle w:val="000000010000" w:firstRow="0" w:lastRow="0" w:firstColumn="0" w:lastColumn="0" w:oddVBand="0" w:evenVBand="0" w:oddHBand="0" w:evenHBand="1" w:firstRowFirstColumn="0" w:firstRowLastColumn="0" w:lastRowFirstColumn="0" w:lastRowLastColumn="0"/>
        </w:trPr>
        <w:tc>
          <w:tcPr>
            <w:tcW w:w="3212" w:type="dxa"/>
          </w:tcPr>
          <w:p w14:paraId="79AE2A62" w14:textId="77777777" w:rsidR="00DE3BEE" w:rsidRPr="00A133CF" w:rsidRDefault="00DE3BEE" w:rsidP="00377E47">
            <w:pPr>
              <w:pStyle w:val="Tabletext"/>
            </w:pPr>
            <w:r w:rsidRPr="00A133CF">
              <w:t>System receive noise temperature (K)</w:t>
            </w:r>
          </w:p>
        </w:tc>
        <w:tc>
          <w:tcPr>
            <w:tcW w:w="3213" w:type="dxa"/>
          </w:tcPr>
          <w:p w14:paraId="299CF09B" w14:textId="77777777" w:rsidR="00DE3BEE" w:rsidRPr="00A133CF" w:rsidRDefault="00DE3BEE" w:rsidP="00377E47">
            <w:pPr>
              <w:pStyle w:val="Tabletext"/>
            </w:pPr>
            <w:r w:rsidRPr="00A133CF">
              <w:t>400</w:t>
            </w:r>
          </w:p>
        </w:tc>
        <w:tc>
          <w:tcPr>
            <w:tcW w:w="3213" w:type="dxa"/>
          </w:tcPr>
          <w:p w14:paraId="04C73FA8" w14:textId="77777777" w:rsidR="00DE3BEE" w:rsidRPr="00A133CF" w:rsidRDefault="00DE3BEE" w:rsidP="00377E47">
            <w:pPr>
              <w:pStyle w:val="Tabletext"/>
            </w:pPr>
            <w:r w:rsidRPr="00A133CF">
              <w:t>900</w:t>
            </w:r>
          </w:p>
        </w:tc>
      </w:tr>
    </w:tbl>
    <w:p w14:paraId="4731A986" w14:textId="77777777" w:rsidR="007D38FF" w:rsidRDefault="007D38FF" w:rsidP="00DE3BEE"/>
    <w:p w14:paraId="71724B44" w14:textId="5E964DC0" w:rsidR="00DE3BEE" w:rsidRPr="00A133CF" w:rsidRDefault="00DE3BEE" w:rsidP="00DE3BEE">
      <w:r w:rsidRPr="00A133CF">
        <w:lastRenderedPageBreak/>
        <w:t xml:space="preserve">The liaison statement notes that </w:t>
      </w:r>
      <w:proofErr w:type="gramStart"/>
      <w:r w:rsidRPr="00A133CF">
        <w:t>‘ …</w:t>
      </w:r>
      <w:proofErr w:type="gramEnd"/>
      <w:r w:rsidRPr="00A133CF">
        <w:t xml:space="preserve"> the interference protection criterion requires, as a matter of urgency, further analysis for the bands under study under WRC-19 agenda item 1.13’.</w:t>
      </w:r>
      <w:r w:rsidR="00232CCD">
        <w:t xml:space="preserve"> </w:t>
      </w:r>
      <w:r w:rsidRPr="00A133CF">
        <w:t>There have been long discussions within WP 4A on the protection criteria issue with no clear decision emerging during the sharing studies submitted to TG 5/1.</w:t>
      </w:r>
      <w:r w:rsidR="00232CCD">
        <w:t xml:space="preserve"> </w:t>
      </w:r>
      <w:r w:rsidRPr="00A133CF">
        <w:t>The key discussion points have included</w:t>
      </w:r>
    </w:p>
    <w:p w14:paraId="48BE7440" w14:textId="77777777" w:rsidR="00DE3BEE" w:rsidRPr="00A133CF" w:rsidRDefault="00DE3BEE" w:rsidP="00CF5D4A">
      <w:pPr>
        <w:pStyle w:val="Listparagraphbullets"/>
      </w:pPr>
      <w:r w:rsidRPr="00A133CF">
        <w:t>Whether the allocation of 6% of clear sky satellite system noise temperature to interference from other co-primary services to provide long term interference protection corresponds to I/N of -12.2 dB or I/N of -10.5 dB (for FSS systems not implementing frequency re-use) or -10.8 dB (for FSS systems implementing frequency re-use)</w:t>
      </w:r>
      <w:r w:rsidRPr="00CF5D4A">
        <w:rPr>
          <w:vertAlign w:val="superscript"/>
        </w:rPr>
        <w:footnoteReference w:id="26"/>
      </w:r>
      <w:r w:rsidR="00CF5D4A">
        <w:t>;</w:t>
      </w:r>
    </w:p>
    <w:p w14:paraId="4D7EA187" w14:textId="77777777" w:rsidR="00DE3BEE" w:rsidRPr="00A133CF" w:rsidRDefault="00DE3BEE" w:rsidP="00CF5D4A">
      <w:pPr>
        <w:pStyle w:val="Listparagraphbullets"/>
      </w:pPr>
      <w:r w:rsidRPr="00A133CF">
        <w:t>Whether the percentage time associated with the long term I/N criterion level should be 20% or 50%;</w:t>
      </w:r>
    </w:p>
    <w:p w14:paraId="0E078F90" w14:textId="77777777" w:rsidR="00DE3BEE" w:rsidRPr="00A133CF" w:rsidRDefault="00DE3BEE" w:rsidP="00CF5D4A">
      <w:pPr>
        <w:pStyle w:val="Listparagraphbullets"/>
      </w:pPr>
      <w:r w:rsidRPr="00A133CF">
        <w:t>Whether the long term I/N criterion should be further apportioned to accommodate multiple co-primary services; and</w:t>
      </w:r>
    </w:p>
    <w:p w14:paraId="531B40C8" w14:textId="77777777" w:rsidR="00DE3BEE" w:rsidRPr="00A133CF" w:rsidRDefault="00DE3BEE" w:rsidP="00CF5D4A">
      <w:pPr>
        <w:pStyle w:val="Listparagraphbullets"/>
      </w:pPr>
      <w:r w:rsidRPr="00A133CF">
        <w:t>Whether short term effects need to be taken into consideration and what should be the appropriate short-term protection criteria.</w:t>
      </w:r>
    </w:p>
    <w:p w14:paraId="57911EB5" w14:textId="77777777" w:rsidR="00D848F2" w:rsidRDefault="00DE3BEE" w:rsidP="00DE3BEE">
      <w:r w:rsidRPr="00A133CF">
        <w:fldChar w:fldCharType="begin"/>
      </w:r>
      <w:r w:rsidRPr="00A133CF">
        <w:instrText xml:space="preserve"> REF _Ref16319569 </w:instrText>
      </w:r>
      <w:r>
        <w:instrText xml:space="preserve"> \* MERGEFORMAT </w:instrText>
      </w:r>
      <w:r w:rsidRPr="00A133CF">
        <w:fldChar w:fldCharType="separate"/>
      </w:r>
      <w:r w:rsidRPr="00A133CF">
        <w:t>Table C.3</w:t>
      </w:r>
      <w:r w:rsidRPr="00A133CF">
        <w:fldChar w:fldCharType="end"/>
      </w:r>
      <w:r w:rsidRPr="00A133CF">
        <w:t xml:space="preserve"> below provides the list of assumed protection criteria within studies submitted to TG 5/1 to address the IMT uplink interference into FSS satellite receivers operating in the 27.0</w:t>
      </w:r>
      <w:r w:rsidR="00377E47">
        <w:t>—</w:t>
      </w:r>
      <w:r w:rsidRPr="00A133CF">
        <w:t>27.5 GHz band</w:t>
      </w:r>
      <w:r w:rsidR="00D848F2">
        <w:t>.</w:t>
      </w:r>
    </w:p>
    <w:p w14:paraId="7553EEBA" w14:textId="77777777" w:rsidR="00DE3BEE" w:rsidRPr="00A133CF" w:rsidRDefault="00DE3BEE" w:rsidP="00CF5D4A">
      <w:pPr>
        <w:pStyle w:val="Tablefigureheading"/>
      </w:pPr>
      <w:bookmarkStart w:id="119" w:name="_Ref16319569"/>
      <w:bookmarkStart w:id="120" w:name="_Toc21429774"/>
      <w:r w:rsidRPr="00A133CF">
        <w:t xml:space="preserve">Table </w:t>
      </w:r>
      <w:r w:rsidR="009D475F">
        <w:fldChar w:fldCharType="begin"/>
      </w:r>
      <w:r w:rsidR="009D475F">
        <w:instrText xml:space="preserve"> STYLEREF 6 \s </w:instrText>
      </w:r>
      <w:r w:rsidR="009D475F">
        <w:fldChar w:fldCharType="separate"/>
      </w:r>
      <w:r w:rsidRPr="00A133CF">
        <w:t>C</w:t>
      </w:r>
      <w:r w:rsidR="009D475F">
        <w:fldChar w:fldCharType="end"/>
      </w:r>
      <w:r w:rsidRPr="00A133CF">
        <w:t>.</w:t>
      </w:r>
      <w:r w:rsidR="009D475F">
        <w:fldChar w:fldCharType="begin"/>
      </w:r>
      <w:r w:rsidR="009D475F">
        <w:instrText xml:space="preserve"> SEQ Table \* ARABIC \s 6 </w:instrText>
      </w:r>
      <w:r w:rsidR="009D475F">
        <w:fldChar w:fldCharType="separate"/>
      </w:r>
      <w:r w:rsidRPr="00A133CF">
        <w:t>3</w:t>
      </w:r>
      <w:r w:rsidR="009D475F">
        <w:fldChar w:fldCharType="end"/>
      </w:r>
      <w:bookmarkEnd w:id="119"/>
      <w:r w:rsidRPr="00A133CF">
        <w:t xml:space="preserve">: Assumed FSS protection criteria (Attachment 3 to Annex 3 to </w:t>
      </w:r>
      <w:bookmarkStart w:id="121" w:name="_Hlk16438119"/>
      <w:r w:rsidRPr="00A133CF">
        <w:t>TG 5/1’s final Chairman’s report, Document 5-1/478</w:t>
      </w:r>
      <w:bookmarkEnd w:id="121"/>
      <w:r w:rsidRPr="00A133CF">
        <w:t>, September 2018)</w:t>
      </w:r>
      <w:bookmarkEnd w:id="120"/>
    </w:p>
    <w:tbl>
      <w:tblPr>
        <w:tblStyle w:val="PlumTable"/>
        <w:tblW w:w="9638" w:type="dxa"/>
        <w:tblLayout w:type="fixed"/>
        <w:tblCellMar>
          <w:top w:w="28" w:type="dxa"/>
          <w:bottom w:w="28" w:type="dxa"/>
        </w:tblCellMar>
        <w:tblLook w:val="0420" w:firstRow="1" w:lastRow="0" w:firstColumn="0" w:lastColumn="0" w:noHBand="0" w:noVBand="1"/>
        <w:tblDescription w:val="Table C.3: Assumed FSS protection criteria (Attachment 3 to Annex 3 to TG 5/1’s final Chairman’s report, Document 5-1/478, September 2018)"/>
      </w:tblPr>
      <w:tblGrid>
        <w:gridCol w:w="1686"/>
        <w:gridCol w:w="7952"/>
      </w:tblGrid>
      <w:tr w:rsidR="00DE3BEE" w:rsidRPr="00A133CF" w14:paraId="2BFEA287" w14:textId="77777777" w:rsidTr="007D38FF">
        <w:trPr>
          <w:cnfStyle w:val="100000000000" w:firstRow="1" w:lastRow="0" w:firstColumn="0" w:lastColumn="0" w:oddVBand="0" w:evenVBand="0" w:oddHBand="0" w:evenHBand="0" w:firstRowFirstColumn="0" w:firstRowLastColumn="0" w:lastRowFirstColumn="0" w:lastRowLastColumn="0"/>
          <w:tblHeader/>
        </w:trPr>
        <w:tc>
          <w:tcPr>
            <w:tcW w:w="1686" w:type="dxa"/>
            <w:shd w:val="clear" w:color="auto" w:fill="4F2683"/>
          </w:tcPr>
          <w:p w14:paraId="2FFA41C5" w14:textId="77777777" w:rsidR="00DE3BEE" w:rsidRPr="00A133CF" w:rsidRDefault="00DE3BEE" w:rsidP="005321C7">
            <w:pPr>
              <w:pStyle w:val="Tablerowcolumnheading"/>
              <w:keepNext/>
            </w:pPr>
            <w:r w:rsidRPr="00A133CF">
              <w:t>Study</w:t>
            </w:r>
          </w:p>
        </w:tc>
        <w:tc>
          <w:tcPr>
            <w:tcW w:w="7952" w:type="dxa"/>
            <w:shd w:val="clear" w:color="auto" w:fill="4F2683"/>
          </w:tcPr>
          <w:p w14:paraId="2EB9E122" w14:textId="77777777" w:rsidR="00DE3BEE" w:rsidRPr="00A133CF" w:rsidRDefault="00DE3BEE" w:rsidP="005321C7">
            <w:pPr>
              <w:pStyle w:val="Tablerowcolumnheading"/>
              <w:keepNext/>
            </w:pPr>
            <w:r w:rsidRPr="00A133CF">
              <w:t>Assumed FSS protection criteria (I/N)</w:t>
            </w:r>
          </w:p>
        </w:tc>
      </w:tr>
      <w:tr w:rsidR="00DE3BEE" w:rsidRPr="00A133CF" w14:paraId="2F06FD4A" w14:textId="77777777" w:rsidTr="007D38FF">
        <w:tc>
          <w:tcPr>
            <w:tcW w:w="1686" w:type="dxa"/>
          </w:tcPr>
          <w:p w14:paraId="62ADF254" w14:textId="77777777" w:rsidR="00DE3BEE" w:rsidRPr="00A133CF" w:rsidRDefault="00DE3BEE" w:rsidP="005321C7">
            <w:pPr>
              <w:pStyle w:val="Tabletext"/>
              <w:keepNext/>
            </w:pPr>
            <w:r w:rsidRPr="00A133CF">
              <w:t>A</w:t>
            </w:r>
          </w:p>
        </w:tc>
        <w:tc>
          <w:tcPr>
            <w:tcW w:w="7952" w:type="dxa"/>
          </w:tcPr>
          <w:p w14:paraId="46365FD3" w14:textId="77777777" w:rsidR="00DE3BEE" w:rsidRPr="00A133CF" w:rsidRDefault="00DE3BEE" w:rsidP="005321C7">
            <w:pPr>
              <w:pStyle w:val="Tabletext"/>
              <w:keepNext/>
            </w:pPr>
            <w:r w:rsidRPr="00A133CF">
              <w:t>-10.5 dB</w:t>
            </w:r>
          </w:p>
        </w:tc>
      </w:tr>
      <w:tr w:rsidR="00DE3BEE" w:rsidRPr="00A133CF" w14:paraId="35CC19EE" w14:textId="77777777" w:rsidTr="007D38FF">
        <w:trPr>
          <w:cnfStyle w:val="000000010000" w:firstRow="0" w:lastRow="0" w:firstColumn="0" w:lastColumn="0" w:oddVBand="0" w:evenVBand="0" w:oddHBand="0" w:evenHBand="1" w:firstRowFirstColumn="0" w:firstRowLastColumn="0" w:lastRowFirstColumn="0" w:lastRowLastColumn="0"/>
        </w:trPr>
        <w:tc>
          <w:tcPr>
            <w:tcW w:w="1686" w:type="dxa"/>
          </w:tcPr>
          <w:p w14:paraId="3A2FDF58" w14:textId="77777777" w:rsidR="00DE3BEE" w:rsidRPr="00A133CF" w:rsidRDefault="00DE3BEE" w:rsidP="005321C7">
            <w:pPr>
              <w:pStyle w:val="Tabletext"/>
              <w:keepNext/>
            </w:pPr>
            <w:r w:rsidRPr="00A133CF">
              <w:t>B</w:t>
            </w:r>
          </w:p>
        </w:tc>
        <w:tc>
          <w:tcPr>
            <w:tcW w:w="7952" w:type="dxa"/>
          </w:tcPr>
          <w:p w14:paraId="5997F62E" w14:textId="77777777" w:rsidR="00DE3BEE" w:rsidRPr="00A133CF" w:rsidRDefault="00DE3BEE" w:rsidP="005321C7">
            <w:pPr>
              <w:pStyle w:val="Tabletext"/>
              <w:keepNext/>
            </w:pPr>
            <w:r w:rsidRPr="00A133CF">
              <w:t>-12.2 dB 20%</w:t>
            </w:r>
          </w:p>
        </w:tc>
      </w:tr>
      <w:tr w:rsidR="00DE3BEE" w:rsidRPr="00A133CF" w14:paraId="0A3FFB69" w14:textId="77777777" w:rsidTr="007D38FF">
        <w:tc>
          <w:tcPr>
            <w:tcW w:w="1686" w:type="dxa"/>
          </w:tcPr>
          <w:p w14:paraId="720B836B" w14:textId="77777777" w:rsidR="00DE3BEE" w:rsidRPr="00A133CF" w:rsidRDefault="00DE3BEE" w:rsidP="005321C7">
            <w:pPr>
              <w:pStyle w:val="Tabletext"/>
              <w:keepNext/>
            </w:pPr>
            <w:r w:rsidRPr="00A133CF">
              <w:t>C</w:t>
            </w:r>
          </w:p>
        </w:tc>
        <w:tc>
          <w:tcPr>
            <w:tcW w:w="7952" w:type="dxa"/>
          </w:tcPr>
          <w:p w14:paraId="3EBD9668" w14:textId="77777777" w:rsidR="00DE3BEE" w:rsidRPr="00A133CF" w:rsidRDefault="00DE3BEE" w:rsidP="005321C7">
            <w:pPr>
              <w:pStyle w:val="Tabletext"/>
              <w:keepNext/>
            </w:pPr>
            <w:r w:rsidRPr="00A133CF">
              <w:t>0 dB 0.02%, -6 dB 0.6%, -10.5 dB 20%</w:t>
            </w:r>
          </w:p>
        </w:tc>
      </w:tr>
      <w:tr w:rsidR="00DE3BEE" w:rsidRPr="00A133CF" w14:paraId="27F7BD04" w14:textId="77777777" w:rsidTr="007D38FF">
        <w:trPr>
          <w:cnfStyle w:val="000000010000" w:firstRow="0" w:lastRow="0" w:firstColumn="0" w:lastColumn="0" w:oddVBand="0" w:evenVBand="0" w:oddHBand="0" w:evenHBand="1" w:firstRowFirstColumn="0" w:firstRowLastColumn="0" w:lastRowFirstColumn="0" w:lastRowLastColumn="0"/>
        </w:trPr>
        <w:tc>
          <w:tcPr>
            <w:tcW w:w="1686" w:type="dxa"/>
          </w:tcPr>
          <w:p w14:paraId="539CA6A3" w14:textId="77777777" w:rsidR="00DE3BEE" w:rsidRPr="00A133CF" w:rsidRDefault="00DE3BEE" w:rsidP="00CF5D4A">
            <w:pPr>
              <w:pStyle w:val="Tabletext"/>
            </w:pPr>
            <w:r w:rsidRPr="00A133CF">
              <w:t>E</w:t>
            </w:r>
          </w:p>
        </w:tc>
        <w:tc>
          <w:tcPr>
            <w:tcW w:w="7952" w:type="dxa"/>
          </w:tcPr>
          <w:p w14:paraId="3BB19D99" w14:textId="77777777" w:rsidR="00DE3BEE" w:rsidRPr="00A133CF" w:rsidRDefault="00DE3BEE" w:rsidP="00CF5D4A">
            <w:pPr>
              <w:pStyle w:val="Tabletext"/>
            </w:pPr>
            <w:r w:rsidRPr="00A133CF">
              <w:t>-6 dB, -10 dB, -12.2 dB</w:t>
            </w:r>
          </w:p>
        </w:tc>
      </w:tr>
      <w:tr w:rsidR="00DE3BEE" w:rsidRPr="00A133CF" w14:paraId="3BA78932" w14:textId="77777777" w:rsidTr="007D38FF">
        <w:tc>
          <w:tcPr>
            <w:tcW w:w="1686" w:type="dxa"/>
          </w:tcPr>
          <w:p w14:paraId="661B1266" w14:textId="77777777" w:rsidR="00DE3BEE" w:rsidRPr="00A133CF" w:rsidRDefault="00DE3BEE" w:rsidP="00CF5D4A">
            <w:pPr>
              <w:pStyle w:val="Tabletext"/>
            </w:pPr>
            <w:r w:rsidRPr="00A133CF">
              <w:t>F</w:t>
            </w:r>
          </w:p>
        </w:tc>
        <w:tc>
          <w:tcPr>
            <w:tcW w:w="7952" w:type="dxa"/>
          </w:tcPr>
          <w:p w14:paraId="379DCBFD" w14:textId="77777777" w:rsidR="00DE3BEE" w:rsidRPr="00A133CF" w:rsidRDefault="00DE3BEE" w:rsidP="00CF5D4A">
            <w:pPr>
              <w:pStyle w:val="Tabletext"/>
            </w:pPr>
            <w:r w:rsidRPr="00A133CF">
              <w:t>-10.5 dB</w:t>
            </w:r>
          </w:p>
        </w:tc>
      </w:tr>
      <w:tr w:rsidR="00DE3BEE" w:rsidRPr="00A133CF" w14:paraId="3E7BBACA" w14:textId="77777777" w:rsidTr="007D38FF">
        <w:trPr>
          <w:cnfStyle w:val="000000010000" w:firstRow="0" w:lastRow="0" w:firstColumn="0" w:lastColumn="0" w:oddVBand="0" w:evenVBand="0" w:oddHBand="0" w:evenHBand="1" w:firstRowFirstColumn="0" w:firstRowLastColumn="0" w:lastRowFirstColumn="0" w:lastRowLastColumn="0"/>
        </w:trPr>
        <w:tc>
          <w:tcPr>
            <w:tcW w:w="1686" w:type="dxa"/>
          </w:tcPr>
          <w:p w14:paraId="2547064D" w14:textId="77777777" w:rsidR="00DE3BEE" w:rsidRPr="00A133CF" w:rsidRDefault="00DE3BEE" w:rsidP="00CF5D4A">
            <w:pPr>
              <w:pStyle w:val="Tabletext"/>
            </w:pPr>
            <w:r w:rsidRPr="00A133CF">
              <w:t>H</w:t>
            </w:r>
          </w:p>
        </w:tc>
        <w:tc>
          <w:tcPr>
            <w:tcW w:w="7952" w:type="dxa"/>
          </w:tcPr>
          <w:p w14:paraId="30C98839" w14:textId="77777777" w:rsidR="00DE3BEE" w:rsidRPr="00A133CF" w:rsidRDefault="00DE3BEE" w:rsidP="00CF5D4A">
            <w:pPr>
              <w:pStyle w:val="Tabletext"/>
            </w:pPr>
            <w:r w:rsidRPr="00A133CF">
              <w:t>-10 dB</w:t>
            </w:r>
          </w:p>
        </w:tc>
      </w:tr>
      <w:tr w:rsidR="00DE3BEE" w:rsidRPr="00A133CF" w14:paraId="60235A47" w14:textId="77777777" w:rsidTr="007D38FF">
        <w:tc>
          <w:tcPr>
            <w:tcW w:w="1686" w:type="dxa"/>
          </w:tcPr>
          <w:p w14:paraId="2BB9A72F" w14:textId="77777777" w:rsidR="00DE3BEE" w:rsidRPr="00A133CF" w:rsidRDefault="00DE3BEE" w:rsidP="00CF5D4A">
            <w:pPr>
              <w:pStyle w:val="Tabletext"/>
            </w:pPr>
            <w:r w:rsidRPr="00A133CF">
              <w:t>I</w:t>
            </w:r>
          </w:p>
        </w:tc>
        <w:tc>
          <w:tcPr>
            <w:tcW w:w="7952" w:type="dxa"/>
          </w:tcPr>
          <w:p w14:paraId="0C4F7AB6" w14:textId="77777777" w:rsidR="00DE3BEE" w:rsidRPr="00A133CF" w:rsidRDefault="00DE3BEE" w:rsidP="00CF5D4A">
            <w:pPr>
              <w:pStyle w:val="Tabletext"/>
            </w:pPr>
            <w:r w:rsidRPr="00A133CF">
              <w:t>0 dB 0.02%, -6 dB 0.6%, -10.5 dB 20% (Further apportionment of 3 dB is also considered)</w:t>
            </w:r>
          </w:p>
        </w:tc>
      </w:tr>
      <w:tr w:rsidR="00DE3BEE" w:rsidRPr="00A133CF" w14:paraId="3EA1DD50" w14:textId="77777777" w:rsidTr="007D38FF">
        <w:trPr>
          <w:cnfStyle w:val="000000010000" w:firstRow="0" w:lastRow="0" w:firstColumn="0" w:lastColumn="0" w:oddVBand="0" w:evenVBand="0" w:oddHBand="0" w:evenHBand="1" w:firstRowFirstColumn="0" w:firstRowLastColumn="0" w:lastRowFirstColumn="0" w:lastRowLastColumn="0"/>
        </w:trPr>
        <w:tc>
          <w:tcPr>
            <w:tcW w:w="1686" w:type="dxa"/>
          </w:tcPr>
          <w:p w14:paraId="474B3E8B" w14:textId="77777777" w:rsidR="00DE3BEE" w:rsidRPr="00A133CF" w:rsidRDefault="00DE3BEE" w:rsidP="00CF5D4A">
            <w:pPr>
              <w:pStyle w:val="Tabletext"/>
            </w:pPr>
            <w:r w:rsidRPr="00A133CF">
              <w:t>J</w:t>
            </w:r>
          </w:p>
        </w:tc>
        <w:tc>
          <w:tcPr>
            <w:tcW w:w="7952" w:type="dxa"/>
          </w:tcPr>
          <w:p w14:paraId="2CAB31CA" w14:textId="77777777" w:rsidR="00DE3BEE" w:rsidRPr="00A133CF" w:rsidRDefault="00DE3BEE" w:rsidP="00CF5D4A">
            <w:pPr>
              <w:pStyle w:val="Tabletext"/>
            </w:pPr>
            <w:r w:rsidRPr="00A133CF">
              <w:t>-12.2 dB (Further apportionment of 3 and 4.7 dB is also considered)</w:t>
            </w:r>
          </w:p>
        </w:tc>
      </w:tr>
      <w:tr w:rsidR="00DE3BEE" w:rsidRPr="00A133CF" w14:paraId="5E8C085D" w14:textId="77777777" w:rsidTr="007D38FF">
        <w:tc>
          <w:tcPr>
            <w:tcW w:w="1686" w:type="dxa"/>
          </w:tcPr>
          <w:p w14:paraId="62B4121D" w14:textId="77777777" w:rsidR="00DE3BEE" w:rsidRPr="00A133CF" w:rsidRDefault="00DE3BEE" w:rsidP="00CF5D4A">
            <w:pPr>
              <w:pStyle w:val="Tabletext"/>
            </w:pPr>
            <w:r w:rsidRPr="00A133CF">
              <w:t>K</w:t>
            </w:r>
          </w:p>
        </w:tc>
        <w:tc>
          <w:tcPr>
            <w:tcW w:w="7952" w:type="dxa"/>
          </w:tcPr>
          <w:p w14:paraId="3127CA63" w14:textId="77777777" w:rsidR="00DE3BEE" w:rsidRPr="00A133CF" w:rsidRDefault="00DE3BEE" w:rsidP="00CF5D4A">
            <w:pPr>
              <w:pStyle w:val="Tabletext"/>
            </w:pPr>
            <w:r w:rsidRPr="00A133CF">
              <w:t xml:space="preserve">0 dB 0.02%, -6 dB 0.6%, -10.5 dB 20% </w:t>
            </w:r>
          </w:p>
        </w:tc>
      </w:tr>
      <w:tr w:rsidR="00DE3BEE" w:rsidRPr="00A133CF" w14:paraId="520D0B13" w14:textId="77777777" w:rsidTr="007D38FF">
        <w:trPr>
          <w:cnfStyle w:val="000000010000" w:firstRow="0" w:lastRow="0" w:firstColumn="0" w:lastColumn="0" w:oddVBand="0" w:evenVBand="0" w:oddHBand="0" w:evenHBand="1" w:firstRowFirstColumn="0" w:firstRowLastColumn="0" w:lastRowFirstColumn="0" w:lastRowLastColumn="0"/>
        </w:trPr>
        <w:tc>
          <w:tcPr>
            <w:tcW w:w="1686" w:type="dxa"/>
          </w:tcPr>
          <w:p w14:paraId="3D29ADCE" w14:textId="77777777" w:rsidR="00DE3BEE" w:rsidRPr="00A133CF" w:rsidRDefault="00DE3BEE" w:rsidP="00CF5D4A">
            <w:pPr>
              <w:pStyle w:val="Tabletext"/>
            </w:pPr>
            <w:r w:rsidRPr="00A133CF">
              <w:t>L</w:t>
            </w:r>
          </w:p>
        </w:tc>
        <w:tc>
          <w:tcPr>
            <w:tcW w:w="7952" w:type="dxa"/>
          </w:tcPr>
          <w:p w14:paraId="02FD7F66" w14:textId="77777777" w:rsidR="00DE3BEE" w:rsidRPr="00A133CF" w:rsidRDefault="00DE3BEE" w:rsidP="00CF5D4A">
            <w:pPr>
              <w:pStyle w:val="Tabletext"/>
            </w:pPr>
            <w:r w:rsidRPr="00A133CF">
              <w:t>-12.2 dB (Further apportionment of 3 dB is also assumed)</w:t>
            </w:r>
          </w:p>
        </w:tc>
      </w:tr>
      <w:tr w:rsidR="00DE3BEE" w:rsidRPr="00A133CF" w14:paraId="0D3A0A34" w14:textId="77777777" w:rsidTr="007D38FF">
        <w:tc>
          <w:tcPr>
            <w:tcW w:w="1686" w:type="dxa"/>
          </w:tcPr>
          <w:p w14:paraId="596EB963" w14:textId="77777777" w:rsidR="00DE3BEE" w:rsidRPr="00A133CF" w:rsidRDefault="00DE3BEE" w:rsidP="00CF5D4A">
            <w:pPr>
              <w:pStyle w:val="Tabletext"/>
            </w:pPr>
            <w:r w:rsidRPr="00A133CF">
              <w:t>M</w:t>
            </w:r>
          </w:p>
        </w:tc>
        <w:tc>
          <w:tcPr>
            <w:tcW w:w="7952" w:type="dxa"/>
          </w:tcPr>
          <w:p w14:paraId="07CAE183" w14:textId="77777777" w:rsidR="00DE3BEE" w:rsidRPr="00A133CF" w:rsidRDefault="00DE3BEE" w:rsidP="00CF5D4A">
            <w:pPr>
              <w:pStyle w:val="Tabletext"/>
            </w:pPr>
            <w:r w:rsidRPr="00A133CF">
              <w:t>-10.5 dB (Further apportionment of 3 and 4.7 dB is also considered)</w:t>
            </w:r>
          </w:p>
        </w:tc>
      </w:tr>
      <w:tr w:rsidR="00DE3BEE" w:rsidRPr="00A133CF" w14:paraId="4C22F8A4" w14:textId="77777777" w:rsidTr="007D38FF">
        <w:trPr>
          <w:cnfStyle w:val="000000010000" w:firstRow="0" w:lastRow="0" w:firstColumn="0" w:lastColumn="0" w:oddVBand="0" w:evenVBand="0" w:oddHBand="0" w:evenHBand="1" w:firstRowFirstColumn="0" w:firstRowLastColumn="0" w:lastRowFirstColumn="0" w:lastRowLastColumn="0"/>
        </w:trPr>
        <w:tc>
          <w:tcPr>
            <w:tcW w:w="1686" w:type="dxa"/>
          </w:tcPr>
          <w:p w14:paraId="06A6156E" w14:textId="77777777" w:rsidR="00DE3BEE" w:rsidRPr="00A133CF" w:rsidRDefault="00DE3BEE" w:rsidP="00CF5D4A">
            <w:pPr>
              <w:pStyle w:val="Tabletext"/>
            </w:pPr>
            <w:r w:rsidRPr="00A133CF">
              <w:t>N</w:t>
            </w:r>
          </w:p>
        </w:tc>
        <w:tc>
          <w:tcPr>
            <w:tcW w:w="7952" w:type="dxa"/>
          </w:tcPr>
          <w:p w14:paraId="2C90DAB4" w14:textId="77777777" w:rsidR="00DE3BEE" w:rsidRPr="00A133CF" w:rsidRDefault="00DE3BEE" w:rsidP="00CF5D4A">
            <w:pPr>
              <w:pStyle w:val="Tabletext"/>
            </w:pPr>
            <w:r w:rsidRPr="00A133CF">
              <w:t>-12.2 dB</w:t>
            </w:r>
          </w:p>
        </w:tc>
      </w:tr>
      <w:tr w:rsidR="00DE3BEE" w:rsidRPr="00A133CF" w14:paraId="187ECBC4" w14:textId="77777777" w:rsidTr="007D38FF">
        <w:tc>
          <w:tcPr>
            <w:tcW w:w="1686" w:type="dxa"/>
          </w:tcPr>
          <w:p w14:paraId="74A98FD4" w14:textId="77777777" w:rsidR="00DE3BEE" w:rsidRPr="00A133CF" w:rsidRDefault="00DE3BEE" w:rsidP="00CF5D4A">
            <w:pPr>
              <w:pStyle w:val="Tabletext"/>
            </w:pPr>
            <w:r w:rsidRPr="00A133CF">
              <w:t>P</w:t>
            </w:r>
          </w:p>
        </w:tc>
        <w:tc>
          <w:tcPr>
            <w:tcW w:w="7952" w:type="dxa"/>
          </w:tcPr>
          <w:p w14:paraId="27FFB992" w14:textId="77777777" w:rsidR="00DE3BEE" w:rsidRPr="00A133CF" w:rsidRDefault="00DE3BEE" w:rsidP="00CF5D4A">
            <w:pPr>
              <w:pStyle w:val="Tabletext"/>
            </w:pPr>
            <w:r w:rsidRPr="00A133CF">
              <w:t>No criterion is specified to compare against the calculated I/N of -28 dB for FSS NGSO system</w:t>
            </w:r>
          </w:p>
        </w:tc>
      </w:tr>
      <w:tr w:rsidR="00DE3BEE" w:rsidRPr="00A133CF" w14:paraId="08D3B144" w14:textId="77777777" w:rsidTr="007D38FF">
        <w:trPr>
          <w:cnfStyle w:val="000000010000" w:firstRow="0" w:lastRow="0" w:firstColumn="0" w:lastColumn="0" w:oddVBand="0" w:evenVBand="0" w:oddHBand="0" w:evenHBand="1" w:firstRowFirstColumn="0" w:firstRowLastColumn="0" w:lastRowFirstColumn="0" w:lastRowLastColumn="0"/>
        </w:trPr>
        <w:tc>
          <w:tcPr>
            <w:tcW w:w="1686" w:type="dxa"/>
          </w:tcPr>
          <w:p w14:paraId="535BDABF" w14:textId="77777777" w:rsidR="00DE3BEE" w:rsidRPr="00A133CF" w:rsidRDefault="00DE3BEE" w:rsidP="00CF5D4A">
            <w:pPr>
              <w:pStyle w:val="Tabletext"/>
            </w:pPr>
            <w:r w:rsidRPr="00A133CF">
              <w:t>Q</w:t>
            </w:r>
          </w:p>
        </w:tc>
        <w:tc>
          <w:tcPr>
            <w:tcW w:w="7952" w:type="dxa"/>
          </w:tcPr>
          <w:p w14:paraId="05E3A23D" w14:textId="77777777" w:rsidR="00DE3BEE" w:rsidRPr="00A133CF" w:rsidRDefault="00DE3BEE" w:rsidP="00CF5D4A">
            <w:pPr>
              <w:pStyle w:val="Tabletext"/>
            </w:pPr>
            <w:r w:rsidRPr="00A133CF">
              <w:t>-10.5 dB 20%</w:t>
            </w:r>
          </w:p>
        </w:tc>
      </w:tr>
      <w:tr w:rsidR="00DE3BEE" w:rsidRPr="00A133CF" w14:paraId="61F27AC5" w14:textId="77777777" w:rsidTr="007D38FF">
        <w:tc>
          <w:tcPr>
            <w:tcW w:w="1686" w:type="dxa"/>
          </w:tcPr>
          <w:p w14:paraId="3C442C89" w14:textId="77777777" w:rsidR="00DE3BEE" w:rsidRPr="00A133CF" w:rsidRDefault="00DE3BEE" w:rsidP="00CF5D4A">
            <w:pPr>
              <w:pStyle w:val="Tabletext"/>
            </w:pPr>
            <w:r w:rsidRPr="00A133CF">
              <w:t>R</w:t>
            </w:r>
          </w:p>
        </w:tc>
        <w:tc>
          <w:tcPr>
            <w:tcW w:w="7952" w:type="dxa"/>
          </w:tcPr>
          <w:p w14:paraId="1E6D4B67" w14:textId="77777777" w:rsidR="00DE3BEE" w:rsidRPr="00A133CF" w:rsidRDefault="00DE3BEE" w:rsidP="00CF5D4A">
            <w:pPr>
              <w:pStyle w:val="Tabletext"/>
            </w:pPr>
            <w:r w:rsidRPr="00A133CF">
              <w:t>-10.5 dB 20% (for FSS NGSO system)</w:t>
            </w:r>
          </w:p>
        </w:tc>
      </w:tr>
    </w:tbl>
    <w:p w14:paraId="37E9EB8A" w14:textId="77777777" w:rsidR="007D38FF" w:rsidRDefault="007D38FF" w:rsidP="00DE3BEE"/>
    <w:p w14:paraId="2E5CB4EE" w14:textId="48C13A64" w:rsidR="00DE3BEE" w:rsidRPr="00A133CF" w:rsidRDefault="00DE3BEE" w:rsidP="007D38FF">
      <w:pPr>
        <w:keepNext/>
      </w:pPr>
      <w:r w:rsidRPr="00A133CF">
        <w:lastRenderedPageBreak/>
        <w:t>In July 2018, a reply liaison statement from WP 4A to TG 5/1 included the following I/N criteria agreed for the 24.65</w:t>
      </w:r>
      <w:r w:rsidR="00377E47">
        <w:t>—</w:t>
      </w:r>
      <w:r w:rsidRPr="00A133CF">
        <w:t>25.25 GHz and 27.0</w:t>
      </w:r>
      <w:r w:rsidR="00377E47">
        <w:t>—</w:t>
      </w:r>
      <w:r w:rsidRPr="00A133CF">
        <w:t>27.5 GHz bands</w:t>
      </w:r>
      <w:r w:rsidRPr="00CF5D4A">
        <w:rPr>
          <w:vertAlign w:val="superscript"/>
        </w:rPr>
        <w:footnoteReference w:id="27"/>
      </w:r>
      <w:r w:rsidRPr="00A133CF">
        <w:t>:</w:t>
      </w:r>
    </w:p>
    <w:p w14:paraId="3595CE60" w14:textId="77777777" w:rsidR="00DE3BEE" w:rsidRPr="00A133CF" w:rsidRDefault="00DE3BEE" w:rsidP="00CF5D4A">
      <w:pPr>
        <w:pStyle w:val="Listparagraphbullets"/>
      </w:pPr>
      <w:r w:rsidRPr="00A133CF">
        <w:t>I/N = 0 dB to be exceeded for 0.02% of time, probability or location;</w:t>
      </w:r>
    </w:p>
    <w:p w14:paraId="4F1B1064" w14:textId="77777777" w:rsidR="00DE3BEE" w:rsidRPr="00A133CF" w:rsidRDefault="00DE3BEE" w:rsidP="00CF5D4A">
      <w:pPr>
        <w:pStyle w:val="Listparagraphbullets"/>
      </w:pPr>
      <w:r w:rsidRPr="00A133CF">
        <w:t>I/N = -6 dB to be exceeded for 0.6% of time, probability or location; and</w:t>
      </w:r>
    </w:p>
    <w:p w14:paraId="5C50AC29" w14:textId="77777777" w:rsidR="00DE3BEE" w:rsidRPr="00A133CF" w:rsidRDefault="00DE3BEE" w:rsidP="00CF5D4A">
      <w:pPr>
        <w:pStyle w:val="Listparagraphbullets"/>
      </w:pPr>
      <w:r w:rsidRPr="00A133CF">
        <w:t>I/N = -10.5 dB to be exceeded for 20% or I/N average of time, probability or location.</w:t>
      </w:r>
    </w:p>
    <w:p w14:paraId="1DE986F3" w14:textId="77777777" w:rsidR="00DE3BEE" w:rsidRPr="00A133CF" w:rsidRDefault="00DE3BEE" w:rsidP="00DE3BEE">
      <w:r w:rsidRPr="00A133CF">
        <w:t>The liaison statement notes that “The noise N in the I/N criteria as specified above is the system receiver noise (i.e. thermal noise) and is equal to the receiver antenna noise plus the receiver noise referred to the antenna as contained in the technical parameters liaised to Task Group (TG) 5/1 by WP 4A. Hence studies conducted by TG 5/1 should only use the values presented above when evaluating the compliance with the protection criteria.”</w:t>
      </w:r>
    </w:p>
    <w:p w14:paraId="22EADAE4" w14:textId="77777777" w:rsidR="00DE3BEE" w:rsidRPr="00A133CF" w:rsidRDefault="00DE3BEE" w:rsidP="00DE3BEE">
      <w:r w:rsidRPr="00A133CF">
        <w:t>It is further noted that “For interference analysis where the degradation is due to atmospheric attenuation, which varies as a function of time, it is appropriate to specify protection criteria based on a percentage of time. However, sharing studies conducted between satellites and IMT systems under WRC-19 agenda item 1.13 may involve far more complex considerations and calculations, based on additional variables which are not a function of time. These studies may include geographical locations in the space domain associated to the IMT position. As such, the definition of the protection criteria cannot be expressed simply in terms of values against a percentage of time. Therefore, as depicted in Table 1, the percentage is expressed as a percentage of time, location or probability (for example, for Monte Carlo simulations, the percentage can be expressed in terms of a number of snapshots).”</w:t>
      </w:r>
    </w:p>
    <w:p w14:paraId="26DC22AA" w14:textId="77777777" w:rsidR="00DE3BEE" w:rsidRPr="00A133CF" w:rsidRDefault="00DE3BEE" w:rsidP="00DE3BEE">
      <w:r w:rsidRPr="00A133CF">
        <w:t xml:space="preserve">It is also stated that the apportionment of </w:t>
      </w:r>
      <w:proofErr w:type="gramStart"/>
      <w:r w:rsidRPr="00A133CF">
        <w:t>the I</w:t>
      </w:r>
      <w:proofErr w:type="gramEnd"/>
      <w:r w:rsidRPr="00A133CF">
        <w:t>/N criterion should be implemented on a case-by-case basis.</w:t>
      </w:r>
    </w:p>
    <w:p w14:paraId="662A9252" w14:textId="77777777" w:rsidR="00DE3BEE" w:rsidRPr="00A133CF" w:rsidRDefault="00DE3BEE" w:rsidP="00DE3BEE">
      <w:r w:rsidRPr="00A133CF">
        <w:t>Finally, it is noted that the work on developing short term criteria is ongoing, the current values are provided to complete the work for WRC-19 agenda item 1.13 and they may evolve in future.</w:t>
      </w:r>
    </w:p>
    <w:p w14:paraId="0A3C4755" w14:textId="77777777" w:rsidR="00DE3BEE" w:rsidRPr="00D21EAB" w:rsidRDefault="00CF5D4A" w:rsidP="00CF5D4A">
      <w:pPr>
        <w:pStyle w:val="Heading3"/>
        <w:rPr>
          <w:color w:val="7030A0"/>
        </w:rPr>
      </w:pPr>
      <w:bookmarkStart w:id="122" w:name="_Ref18249452"/>
      <w:bookmarkStart w:id="123" w:name="_Ref18249490"/>
      <w:bookmarkStart w:id="124" w:name="_Toc19230553"/>
      <w:bookmarkStart w:id="125" w:name="_Toc21429745"/>
      <w:r w:rsidRPr="00D21EAB">
        <w:rPr>
          <w:color w:val="7030A0"/>
        </w:rPr>
        <w:t>C.3</w:t>
      </w:r>
      <w:r w:rsidRPr="00D21EAB">
        <w:rPr>
          <w:color w:val="7030A0"/>
        </w:rPr>
        <w:tab/>
      </w:r>
      <w:r w:rsidR="00DE3BEE" w:rsidRPr="00D21EAB">
        <w:rPr>
          <w:color w:val="7030A0"/>
        </w:rPr>
        <w:t>Modelling</w:t>
      </w:r>
      <w:bookmarkEnd w:id="122"/>
      <w:bookmarkEnd w:id="123"/>
      <w:bookmarkEnd w:id="124"/>
      <w:bookmarkEnd w:id="125"/>
    </w:p>
    <w:p w14:paraId="45893ECD" w14:textId="77777777" w:rsidR="00D848F2" w:rsidRDefault="00DE3BEE" w:rsidP="00DE3BEE">
      <w:r w:rsidRPr="00A133CF">
        <w:t>The TG 5/1 chairman’s final report (Document 5-1/478) includes Attachment 3 to Annex 3 where studies on the analysis of sharing and compatibility of the FSS and IMT operating in the 24.25</w:t>
      </w:r>
      <w:r w:rsidR="00377E47">
        <w:t>—</w:t>
      </w:r>
      <w:r w:rsidRPr="00A133CF">
        <w:t>27.5 GHz frequency range are provided.</w:t>
      </w:r>
      <w:r w:rsidR="00232CCD">
        <w:t xml:space="preserve"> </w:t>
      </w:r>
      <w:r w:rsidRPr="00A133CF">
        <w:t>In the attachment, there are 15 studies (Studies A to R) examining the impact of IMT uplink interference into FSS satellite receivers.</w:t>
      </w:r>
      <w:r w:rsidR="00232CCD">
        <w:t xml:space="preserve"> </w:t>
      </w:r>
      <w:r w:rsidRPr="00A133CF">
        <w:t>An extensive summary of the studies outlining modelling assumptions, methodology and results is also presented in the attachment</w:t>
      </w:r>
      <w:r w:rsidR="00D848F2">
        <w:t>.</w:t>
      </w:r>
    </w:p>
    <w:p w14:paraId="3D3B1DC8" w14:textId="77777777" w:rsidR="00DE3BEE" w:rsidRPr="00A133CF" w:rsidRDefault="00DE3BEE" w:rsidP="00DE3BEE">
      <w:r w:rsidRPr="00A133CF">
        <w:t>An overview of these studies is provided below in terms of the modelling assumptions, analysis methodology applied and study outcomes.</w:t>
      </w:r>
    </w:p>
    <w:p w14:paraId="1FF25D4C" w14:textId="77777777" w:rsidR="00DE3BEE" w:rsidRPr="00D21EAB" w:rsidRDefault="00CF5D4A" w:rsidP="00CF5D4A">
      <w:pPr>
        <w:pStyle w:val="Heading4"/>
        <w:rPr>
          <w:color w:val="7030A0"/>
        </w:rPr>
      </w:pPr>
      <w:bookmarkStart w:id="126" w:name="_Ref18249502"/>
      <w:bookmarkStart w:id="127" w:name="_Toc21429746"/>
      <w:r w:rsidRPr="00D21EAB">
        <w:rPr>
          <w:color w:val="7030A0"/>
        </w:rPr>
        <w:lastRenderedPageBreak/>
        <w:t>C.3.1</w:t>
      </w:r>
      <w:r w:rsidRPr="00D21EAB">
        <w:rPr>
          <w:color w:val="7030A0"/>
        </w:rPr>
        <w:tab/>
      </w:r>
      <w:r w:rsidR="00DE3BEE" w:rsidRPr="00D21EAB">
        <w:rPr>
          <w:color w:val="7030A0"/>
        </w:rPr>
        <w:t>Input assumptions</w:t>
      </w:r>
      <w:bookmarkEnd w:id="126"/>
      <w:bookmarkEnd w:id="127"/>
    </w:p>
    <w:p w14:paraId="2FF1E5B5" w14:textId="77777777" w:rsidR="00DE3BEE" w:rsidRPr="00A133CF" w:rsidRDefault="00DE3BEE" w:rsidP="007D38FF">
      <w:pPr>
        <w:keepNext/>
        <w:keepLines/>
      </w:pPr>
      <w:r w:rsidRPr="00A133CF">
        <w:t>Studies have mainly adopted the IMT and FSS parameters outlined in the preceding two sections.</w:t>
      </w:r>
      <w:r w:rsidR="00232CCD">
        <w:t xml:space="preserve"> </w:t>
      </w:r>
      <w:r w:rsidRPr="00A133CF">
        <w:t>Propagation effects, clutter loss and building entry loss have been modelled using ITU-R Recommendations P.619, P.2108 and P.2109, respectively.</w:t>
      </w:r>
      <w:r w:rsidR="00232CCD">
        <w:t xml:space="preserve"> </w:t>
      </w:r>
      <w:r w:rsidRPr="00A133CF">
        <w:t>Parameters where there have been differences in assumed values are as follows.</w:t>
      </w:r>
    </w:p>
    <w:p w14:paraId="6E0613F6" w14:textId="77777777" w:rsidR="00DE3BEE" w:rsidRPr="00A133CF" w:rsidRDefault="00DE3BEE" w:rsidP="00CF5D4A">
      <w:pPr>
        <w:pStyle w:val="Listparagraphbullets"/>
      </w:pPr>
      <w:r w:rsidRPr="00A133CF">
        <w:t>The assumed number of BS and UE transmitters show variations depending on assumptions related to the satellite orbital position and populated areas within the satellite receiver footprint.</w:t>
      </w:r>
      <w:r w:rsidR="00232CCD">
        <w:t xml:space="preserve"> </w:t>
      </w:r>
      <w:r w:rsidRPr="00A133CF">
        <w:t>Two studies have considered the impact of BS interferers only.</w:t>
      </w:r>
    </w:p>
    <w:p w14:paraId="7A38C1F2" w14:textId="77777777" w:rsidR="00D848F2" w:rsidRDefault="00DE3BEE" w:rsidP="00CF5D4A">
      <w:pPr>
        <w:pStyle w:val="Listparagraphbullets"/>
      </w:pPr>
      <w:r w:rsidRPr="00A133CF">
        <w:t xml:space="preserve">The normalisation of IMT transmitter antenna has been considered in the majority of studies to ensure that the total integrated gain is 0 </w:t>
      </w:r>
      <w:proofErr w:type="spellStart"/>
      <w:r w:rsidRPr="00A133CF">
        <w:t>dBi</w:t>
      </w:r>
      <w:proofErr w:type="spellEnd"/>
      <w:r w:rsidRPr="00A133CF">
        <w:t xml:space="preserve"> as outlined in Section 16 of Annex 1 to the final TG 5/1 chairman’s report</w:t>
      </w:r>
      <w:r w:rsidR="00D848F2">
        <w:t>.</w:t>
      </w:r>
    </w:p>
    <w:p w14:paraId="6E754B3C" w14:textId="77777777" w:rsidR="00D848F2" w:rsidRDefault="00DE3BEE" w:rsidP="00CF5D4A">
      <w:pPr>
        <w:pStyle w:val="Listparagraphbullets"/>
      </w:pPr>
      <w:r w:rsidRPr="00A133CF">
        <w:t>The cross-polarisation loss value of 3 dB has been applied to aggregate interference in most of the studies</w:t>
      </w:r>
      <w:r w:rsidR="00D848F2">
        <w:t>.</w:t>
      </w:r>
    </w:p>
    <w:p w14:paraId="24D43369" w14:textId="77777777" w:rsidR="00DE3BEE" w:rsidRPr="00D21EAB" w:rsidRDefault="00CF5D4A" w:rsidP="00CF5D4A">
      <w:pPr>
        <w:pStyle w:val="Heading4"/>
        <w:rPr>
          <w:color w:val="7030A0"/>
        </w:rPr>
      </w:pPr>
      <w:bookmarkStart w:id="128" w:name="_Toc21429747"/>
      <w:r w:rsidRPr="00D21EAB">
        <w:rPr>
          <w:color w:val="7030A0"/>
        </w:rPr>
        <w:t>C.3.2</w:t>
      </w:r>
      <w:r w:rsidRPr="00D21EAB">
        <w:rPr>
          <w:color w:val="7030A0"/>
        </w:rPr>
        <w:tab/>
      </w:r>
      <w:r w:rsidR="00DE3BEE" w:rsidRPr="00D21EAB">
        <w:rPr>
          <w:color w:val="7030A0"/>
        </w:rPr>
        <w:t>Methodology</w:t>
      </w:r>
      <w:bookmarkEnd w:id="128"/>
    </w:p>
    <w:p w14:paraId="7BC50B4C" w14:textId="77777777" w:rsidR="00DE3BEE" w:rsidRPr="00A133CF" w:rsidRDefault="00DE3BEE" w:rsidP="00DE3BEE">
      <w:r w:rsidRPr="00A133CF">
        <w:t>A statistical modelling approach based on Monte Carlo analysis has been commonly adopted in the studies by using elements of the simulation methodology described in ITU-R Rec.2101.</w:t>
      </w:r>
      <w:r w:rsidR="00232CCD">
        <w:t xml:space="preserve"> </w:t>
      </w:r>
      <w:r w:rsidRPr="00A133CF">
        <w:t>The approach is based on an aggregation of interference from a population of BS and UE interferers assumed to be deployed in populated areas covered within the satellite receiver visibility.</w:t>
      </w:r>
      <w:r w:rsidR="00232CCD">
        <w:t xml:space="preserve"> </w:t>
      </w:r>
      <w:r w:rsidRPr="00A133CF">
        <w:t>Typical suburban and urban deployment scenario parameters have been used to model IMT interferers.</w:t>
      </w:r>
      <w:r w:rsidR="00232CCD">
        <w:t xml:space="preserve"> </w:t>
      </w:r>
      <w:r w:rsidRPr="00A133CF">
        <w:t>Statistics of IMT BS and UE antenna gain, UE transmit power, clutter and building entry losses have been taken into account to derive aggregate interference levels at the victim satellite receiver.</w:t>
      </w:r>
    </w:p>
    <w:p w14:paraId="514F5FBD" w14:textId="77777777" w:rsidR="00D848F2" w:rsidRDefault="00DE3BEE" w:rsidP="00DE3BEE">
      <w:r w:rsidRPr="00A133CF">
        <w:t xml:space="preserve">A more detailed summary of the adopted methodology is provided in Section </w:t>
      </w:r>
      <w:r w:rsidRPr="00A133CF">
        <w:fldChar w:fldCharType="begin"/>
      </w:r>
      <w:r w:rsidRPr="00A133CF">
        <w:instrText xml:space="preserve"> REF _Ref16438362 \n </w:instrText>
      </w:r>
      <w:r>
        <w:instrText xml:space="preserve"> \* MERGEFORMAT </w:instrText>
      </w:r>
      <w:r w:rsidRPr="00A133CF">
        <w:fldChar w:fldCharType="separate"/>
      </w:r>
      <w:r w:rsidRPr="00A133CF">
        <w:t>C.3.4</w:t>
      </w:r>
      <w:r w:rsidRPr="00A133CF">
        <w:fldChar w:fldCharType="end"/>
      </w:r>
      <w:r w:rsidRPr="00A133CF">
        <w:t xml:space="preserve"> as part of the review of ACMA’s submissions</w:t>
      </w:r>
      <w:r w:rsidR="00D848F2">
        <w:t>.</w:t>
      </w:r>
    </w:p>
    <w:p w14:paraId="6D18BCAF" w14:textId="77777777" w:rsidR="00DE3BEE" w:rsidRPr="00D21EAB" w:rsidRDefault="00CF5D4A" w:rsidP="00CF5D4A">
      <w:pPr>
        <w:pStyle w:val="Heading4"/>
        <w:rPr>
          <w:color w:val="7030A0"/>
        </w:rPr>
      </w:pPr>
      <w:bookmarkStart w:id="129" w:name="_Ref18249622"/>
      <w:bookmarkStart w:id="130" w:name="_Toc21429748"/>
      <w:r w:rsidRPr="00D21EAB">
        <w:rPr>
          <w:color w:val="7030A0"/>
        </w:rPr>
        <w:t>C.3.3</w:t>
      </w:r>
      <w:r w:rsidRPr="00D21EAB">
        <w:rPr>
          <w:color w:val="7030A0"/>
        </w:rPr>
        <w:tab/>
      </w:r>
      <w:r w:rsidR="00DE3BEE" w:rsidRPr="00D21EAB">
        <w:rPr>
          <w:color w:val="7030A0"/>
        </w:rPr>
        <w:t>Outcome</w:t>
      </w:r>
      <w:bookmarkEnd w:id="129"/>
      <w:bookmarkEnd w:id="130"/>
    </w:p>
    <w:p w14:paraId="690B7C69" w14:textId="77777777" w:rsidR="00DE3BEE" w:rsidRPr="00A133CF" w:rsidRDefault="00DE3BEE" w:rsidP="00DE3BEE">
      <w:r w:rsidRPr="00A133CF">
        <w:t>The study outcomes have been presented as I/N ratios which are then compared against the assumed I/N long</w:t>
      </w:r>
      <w:r w:rsidRPr="00A133CF">
        <w:noBreakHyphen/>
        <w:t>term threshold levels to determine the protection margins.</w:t>
      </w:r>
      <w:r w:rsidR="00232CCD">
        <w:t xml:space="preserve"> </w:t>
      </w:r>
      <w:r w:rsidRPr="00A133CF">
        <w:t>In most cases, the calculated I/N ratios are well-below the assumed thresholds and large protection margins (&gt; 10</w:t>
      </w:r>
      <w:r w:rsidR="00BD5767">
        <w:t>—</w:t>
      </w:r>
      <w:r w:rsidRPr="00A133CF">
        <w:t>20 dB) exist. The exception is one study (Study M) where while baseline modelling results show protection margins of 4</w:t>
      </w:r>
      <w:r w:rsidR="00377E47">
        <w:t>—</w:t>
      </w:r>
      <w:r w:rsidRPr="00A133CF">
        <w:t>6 dB these are ‘consumed’ in the sensitivity analysis which assumes an increased IMT base station interferer power, antenna array, number of sectors and network loading resulting in an exceedance of 6</w:t>
      </w:r>
      <w:r w:rsidR="00CF5D4A">
        <w:t>–</w:t>
      </w:r>
      <w:r w:rsidRPr="00A133CF">
        <w:t>8 dB compared against the assumed -10.5 dB I/N threshold value.</w:t>
      </w:r>
      <w:r w:rsidR="00232CCD">
        <w:t xml:space="preserve"> </w:t>
      </w:r>
      <w:r w:rsidRPr="00A133CF">
        <w:t xml:space="preserve"> </w:t>
      </w:r>
    </w:p>
    <w:p w14:paraId="78B0A547" w14:textId="77777777" w:rsidR="00DE3BEE" w:rsidRPr="00D21EAB" w:rsidRDefault="00CF5D4A" w:rsidP="00CF5D4A">
      <w:pPr>
        <w:pStyle w:val="Heading4"/>
        <w:rPr>
          <w:color w:val="7030A0"/>
        </w:rPr>
      </w:pPr>
      <w:bookmarkStart w:id="131" w:name="_Ref16438362"/>
      <w:bookmarkStart w:id="132" w:name="_Toc21429749"/>
      <w:r w:rsidRPr="00D21EAB">
        <w:rPr>
          <w:color w:val="7030A0"/>
        </w:rPr>
        <w:t>C.3.4</w:t>
      </w:r>
      <w:r w:rsidRPr="00D21EAB">
        <w:rPr>
          <w:color w:val="7030A0"/>
        </w:rPr>
        <w:tab/>
      </w:r>
      <w:r w:rsidR="00DE3BEE" w:rsidRPr="00D21EAB">
        <w:rPr>
          <w:color w:val="7030A0"/>
        </w:rPr>
        <w:t>ACMA Submissions to TG 5/1</w:t>
      </w:r>
      <w:bookmarkEnd w:id="131"/>
      <w:bookmarkEnd w:id="132"/>
    </w:p>
    <w:p w14:paraId="2BC18C88" w14:textId="77777777" w:rsidR="00D848F2" w:rsidRDefault="00DE3BEE" w:rsidP="00DE3BEE">
      <w:r w:rsidRPr="00A133CF">
        <w:t>In this section, we have provided a more detailed review of ACMA’s submissions to TG 5/1 as these were used to establish NBN’s counter arguments</w:t>
      </w:r>
      <w:r w:rsidR="00D848F2">
        <w:t>.</w:t>
      </w:r>
    </w:p>
    <w:p w14:paraId="3B38FB13" w14:textId="77777777" w:rsidR="00DE3BEE" w:rsidRPr="00A133CF" w:rsidRDefault="00DE3BEE" w:rsidP="00DE3BEE">
      <w:r w:rsidRPr="00A133CF">
        <w:t>ACMA made three submissions to TG 5/1 on sharing between FSS and IMT in the 24.25</w:t>
      </w:r>
      <w:r w:rsidR="00377E47">
        <w:t>—</w:t>
      </w:r>
      <w:r w:rsidRPr="00A133CF">
        <w:t>27.5 GHz.</w:t>
      </w:r>
      <w:r w:rsidR="00232CCD">
        <w:t xml:space="preserve"> </w:t>
      </w:r>
      <w:r w:rsidRPr="00A133CF">
        <w:t>The key points identified from the review of these submissions are summarised below.</w:t>
      </w:r>
    </w:p>
    <w:p w14:paraId="1404CE30" w14:textId="77777777" w:rsidR="00DE3BEE" w:rsidRPr="00D21EAB" w:rsidRDefault="00CF5D4A" w:rsidP="00CF5D4A">
      <w:pPr>
        <w:pStyle w:val="Heading5"/>
        <w:rPr>
          <w:color w:val="7030A0"/>
        </w:rPr>
      </w:pPr>
      <w:r w:rsidRPr="00D21EAB">
        <w:rPr>
          <w:color w:val="7030A0"/>
        </w:rPr>
        <w:lastRenderedPageBreak/>
        <w:t>C.3.4.1</w:t>
      </w:r>
      <w:r w:rsidRPr="00D21EAB">
        <w:rPr>
          <w:color w:val="7030A0"/>
        </w:rPr>
        <w:tab/>
      </w:r>
      <w:r w:rsidR="00DE3BEE" w:rsidRPr="00D21EAB">
        <w:rPr>
          <w:color w:val="7030A0"/>
        </w:rPr>
        <w:t>Document 5-1/117 (September 2017)</w:t>
      </w:r>
    </w:p>
    <w:p w14:paraId="1766C974" w14:textId="77777777" w:rsidR="00DE3BEE" w:rsidRPr="00A133CF" w:rsidRDefault="00DE3BEE" w:rsidP="007D38FF">
      <w:pPr>
        <w:keepNext/>
        <w:keepLines/>
      </w:pPr>
      <w:r w:rsidRPr="00A133CF">
        <w:t>This is the first and main submission where the methodology is described in detail.</w:t>
      </w:r>
      <w:r w:rsidR="00232CCD">
        <w:t xml:space="preserve"> </w:t>
      </w:r>
      <w:r w:rsidRPr="00A133CF">
        <w:t xml:space="preserve">The modelling assumptions are based on those summarised earlier in Sections </w:t>
      </w:r>
      <w:r w:rsidRPr="00A133CF">
        <w:fldChar w:fldCharType="begin"/>
      </w:r>
      <w:r w:rsidRPr="00A133CF">
        <w:instrText xml:space="preserve"> REF _Ref16167402 \n </w:instrText>
      </w:r>
      <w:r>
        <w:instrText xml:space="preserve"> \* MERGEFORMAT </w:instrText>
      </w:r>
      <w:r w:rsidRPr="00A133CF">
        <w:fldChar w:fldCharType="separate"/>
      </w:r>
      <w:r w:rsidRPr="00A133CF">
        <w:t>C.1</w:t>
      </w:r>
      <w:r w:rsidRPr="00A133CF">
        <w:fldChar w:fldCharType="end"/>
      </w:r>
      <w:r w:rsidRPr="00A133CF">
        <w:t xml:space="preserve"> and </w:t>
      </w:r>
      <w:r w:rsidRPr="00A133CF">
        <w:fldChar w:fldCharType="begin"/>
      </w:r>
      <w:r w:rsidRPr="00A133CF">
        <w:instrText xml:space="preserve"> REF _Ref16167407 \n </w:instrText>
      </w:r>
      <w:r>
        <w:instrText xml:space="preserve"> \* MERGEFORMAT </w:instrText>
      </w:r>
      <w:r w:rsidRPr="00A133CF">
        <w:fldChar w:fldCharType="separate"/>
      </w:r>
      <w:r w:rsidRPr="00A133CF">
        <w:t>C.2</w:t>
      </w:r>
      <w:r w:rsidRPr="00A133CF">
        <w:fldChar w:fldCharType="end"/>
      </w:r>
      <w:r w:rsidRPr="00A133CF">
        <w:t>.</w:t>
      </w:r>
    </w:p>
    <w:p w14:paraId="5D4B1B97" w14:textId="77777777" w:rsidR="00DE3BEE" w:rsidRPr="00A133CF" w:rsidRDefault="00DE3BEE" w:rsidP="00DE3BEE">
      <w:r w:rsidRPr="00A133CF">
        <w:t>The interference analysis methodology is based on calculating an average interference level at the satellite receiver from a single IMT sector which is randomly located within the area visible to the satellite.</w:t>
      </w:r>
      <w:r w:rsidR="00232CCD">
        <w:t xml:space="preserve"> </w:t>
      </w:r>
      <w:r w:rsidRPr="00A133CF">
        <w:t>The random location of the IMT sector takes account of the density of populated areas at different latitudes to make the simulation runs more realistic.</w:t>
      </w:r>
      <w:r w:rsidR="00232CCD">
        <w:t xml:space="preserve"> </w:t>
      </w:r>
      <w:r w:rsidRPr="00A133CF">
        <w:t>At each location, the interference power at the satellite is calculated by taking account of maximum BS power / average UE power; average IMT BS / UE antenna gain towards the satellite; clutter and building entry losses; path loss; and satellite antenna gain towards the IMT sector.</w:t>
      </w:r>
      <w:r w:rsidR="00232CCD">
        <w:t xml:space="preserve"> </w:t>
      </w:r>
      <w:r w:rsidRPr="00A133CF">
        <w:t>Calculated interference levels at each random location are then averaged to determine the average interference power at the satellite receiver.</w:t>
      </w:r>
      <w:r w:rsidR="00232CCD">
        <w:t xml:space="preserve"> </w:t>
      </w:r>
      <w:r w:rsidRPr="00A133CF">
        <w:t>The calculations are implemented separately for both IMT BS and UE transmitters and for assumed two satellite pointing directions: Sydney and Tokyo.</w:t>
      </w:r>
    </w:p>
    <w:p w14:paraId="256E4F64" w14:textId="77777777" w:rsidR="00DE3BEE" w:rsidRPr="00A133CF" w:rsidRDefault="00DE3BEE" w:rsidP="00DE3BEE">
      <w:r w:rsidRPr="00A133CF">
        <w:t>Using the BS and UE density figures, network loading and uplink/downlink ratios together with calculated BS and UE average interference levels, total aggregate interference levels are then determined for each deployment environment (e.g. suburban and rural).</w:t>
      </w:r>
      <w:r w:rsidR="00232CCD">
        <w:t xml:space="preserve"> </w:t>
      </w:r>
      <w:r w:rsidRPr="00A133CF">
        <w:t xml:space="preserve">The results are compared against an assumed interference threshold level of </w:t>
      </w:r>
      <w:proofErr w:type="gramStart"/>
      <w:r w:rsidRPr="00A133CF">
        <w:t>I/</w:t>
      </w:r>
      <w:proofErr w:type="gramEnd"/>
      <w:r w:rsidRPr="00A133CF">
        <w:t>N of -10 dB to determine if the sharing is feasible.</w:t>
      </w:r>
    </w:p>
    <w:p w14:paraId="13E87983" w14:textId="77777777" w:rsidR="00DE3BEE" w:rsidRPr="00A133CF" w:rsidRDefault="00DE3BEE" w:rsidP="00DE3BEE">
      <w:r w:rsidRPr="00A133CF">
        <w:t>In order to take account of the impact of BS / UE interferers located within the satellite main beam, aggregate interference levels from Sydney and Tokyo have also been calculated separately and added to the total aggregate interference levels calculated from the wide area interference modelling outlined above.</w:t>
      </w:r>
    </w:p>
    <w:p w14:paraId="588A4352" w14:textId="77777777" w:rsidR="00D848F2" w:rsidRDefault="00DE3BEE" w:rsidP="00DE3BEE">
      <w:r w:rsidRPr="00A133CF">
        <w:t xml:space="preserve">The wide area simulation results show that the total aggregate interference levels are -147.1 </w:t>
      </w:r>
      <w:proofErr w:type="spellStart"/>
      <w:r w:rsidRPr="00A133CF">
        <w:t>dBm</w:t>
      </w:r>
      <w:proofErr w:type="spellEnd"/>
      <w:r w:rsidRPr="00A133CF">
        <w:t xml:space="preserve">/MHz for the satellite antenna pointing towards Sydney and -135.5 </w:t>
      </w:r>
      <w:proofErr w:type="spellStart"/>
      <w:r w:rsidRPr="00A133CF">
        <w:t>dBm</w:t>
      </w:r>
      <w:proofErr w:type="spellEnd"/>
      <w:r w:rsidRPr="00A133CF">
        <w:t>/MHz for the satellite antenna pointing towards Tokyo.</w:t>
      </w:r>
      <w:r w:rsidR="00232CCD">
        <w:t xml:space="preserve"> </w:t>
      </w:r>
      <w:r w:rsidRPr="00A133CF">
        <w:t xml:space="preserve">These are well below the assumed maximum interference level of -122.6 </w:t>
      </w:r>
      <w:proofErr w:type="spellStart"/>
      <w:r w:rsidRPr="00A133CF">
        <w:t>dBm</w:t>
      </w:r>
      <w:proofErr w:type="spellEnd"/>
      <w:r w:rsidRPr="00A133CF">
        <w:t>/</w:t>
      </w:r>
      <w:proofErr w:type="spellStart"/>
      <w:r w:rsidRPr="00A133CF">
        <w:t>MHz</w:t>
      </w:r>
      <w:r w:rsidR="00D848F2">
        <w:t>.</w:t>
      </w:r>
      <w:proofErr w:type="spellEnd"/>
    </w:p>
    <w:p w14:paraId="4B458B7D" w14:textId="77777777" w:rsidR="00DE3BEE" w:rsidRPr="00A133CF" w:rsidRDefault="00DE3BEE" w:rsidP="00DE3BEE">
      <w:r w:rsidRPr="00A133CF">
        <w:t>It is stated that the aggregate level in the Tokyo example is larger than that of the Sydney example because the satellite antenna is pointing at a northern latitude where there is a higher probability of more IMT 2020 deployments closer to the main beam of the satellite antenna as there are more major cities in the northern hemisphere.</w:t>
      </w:r>
    </w:p>
    <w:p w14:paraId="46050710" w14:textId="77777777" w:rsidR="00DE3BEE" w:rsidRPr="00A133CF" w:rsidRDefault="00DE3BEE" w:rsidP="00DE3BEE">
      <w:r w:rsidRPr="00A133CF">
        <w:t>When the aggregate interference through the main beam pointing towards Sydney and Tokyo are added to the wide area simulation results it is shown that the total aggregate interference levels are increased by 1.4 dB for the Sydney example and 0.4 dB for the Tokyo example.</w:t>
      </w:r>
      <w:r w:rsidR="00232CCD">
        <w:t xml:space="preserve"> </w:t>
      </w:r>
      <w:r w:rsidRPr="00A133CF">
        <w:t>Both levels are still well below the assumed permissible level.</w:t>
      </w:r>
    </w:p>
    <w:p w14:paraId="49ECC3AF" w14:textId="77777777" w:rsidR="00DE3BEE" w:rsidRPr="00D21EAB" w:rsidRDefault="00CF5D4A" w:rsidP="00CF5D4A">
      <w:pPr>
        <w:pStyle w:val="Heading5"/>
        <w:rPr>
          <w:color w:val="7030A0"/>
        </w:rPr>
      </w:pPr>
      <w:r w:rsidRPr="00D21EAB">
        <w:rPr>
          <w:color w:val="7030A0"/>
        </w:rPr>
        <w:t>C.3.4.2</w:t>
      </w:r>
      <w:r w:rsidRPr="00D21EAB">
        <w:rPr>
          <w:color w:val="7030A0"/>
        </w:rPr>
        <w:tab/>
      </w:r>
      <w:r w:rsidR="00DE3BEE" w:rsidRPr="00D21EAB">
        <w:rPr>
          <w:color w:val="7030A0"/>
        </w:rPr>
        <w:t>Document 5-1/193 (January 2018)</w:t>
      </w:r>
    </w:p>
    <w:p w14:paraId="1B1BE65F" w14:textId="77777777" w:rsidR="00DE3BEE" w:rsidRPr="00A133CF" w:rsidRDefault="00DE3BEE" w:rsidP="00DE3BEE">
      <w:r w:rsidRPr="00A133CF">
        <w:t>The document has provided ‘updates’ to the analysis presented in Document 5-1/117.</w:t>
      </w:r>
      <w:r w:rsidR="00232CCD">
        <w:t xml:space="preserve"> </w:t>
      </w:r>
      <w:r w:rsidRPr="00A133CF">
        <w:t xml:space="preserve">It appears that the key update is a correction factor applied to the IMT antenna pattern to normalise the total integrated gain to 0 </w:t>
      </w:r>
      <w:proofErr w:type="spellStart"/>
      <w:r w:rsidRPr="00A133CF">
        <w:t>dBi</w:t>
      </w:r>
      <w:proofErr w:type="spellEnd"/>
      <w:r w:rsidRPr="00A133CF">
        <w:t>.</w:t>
      </w:r>
    </w:p>
    <w:p w14:paraId="18617D2A" w14:textId="77777777" w:rsidR="00DE3BEE" w:rsidRPr="00A133CF" w:rsidRDefault="00DE3BEE" w:rsidP="00DE3BEE">
      <w:r w:rsidRPr="00A133CF">
        <w:t xml:space="preserve">It is suggested that the total aggregate interference levels are -155.1 </w:t>
      </w:r>
      <w:proofErr w:type="spellStart"/>
      <w:r w:rsidRPr="00A133CF">
        <w:t>dBm</w:t>
      </w:r>
      <w:proofErr w:type="spellEnd"/>
      <w:r w:rsidRPr="00A133CF">
        <w:t xml:space="preserve">/MHz for the Sydney example and </w:t>
      </w:r>
      <w:r w:rsidRPr="00A133CF">
        <w:noBreakHyphen/>
        <w:t xml:space="preserve">145.4 </w:t>
      </w:r>
      <w:proofErr w:type="spellStart"/>
      <w:r w:rsidRPr="00A133CF">
        <w:t>dBm</w:t>
      </w:r>
      <w:proofErr w:type="spellEnd"/>
      <w:r w:rsidRPr="00A133CF">
        <w:t>/MHz for the Tokyo example in the case of wide area simulations.</w:t>
      </w:r>
      <w:r w:rsidR="00232CCD">
        <w:t xml:space="preserve"> </w:t>
      </w:r>
      <w:r w:rsidRPr="00A133CF">
        <w:t>These are approximately 8 and 10 dB lower than those provided in the original submission.</w:t>
      </w:r>
      <w:r w:rsidR="00232CCD">
        <w:t xml:space="preserve"> </w:t>
      </w:r>
      <w:r w:rsidRPr="00A133CF">
        <w:t>It is also shown that when the main beam interference from Sydney and Tokyo are added to the wide area simulation results the total aggregate interference levels are increased by 3.3 dB for the Sydney example and 1.8 dB for the Tokyo example.</w:t>
      </w:r>
      <w:r w:rsidR="00232CCD">
        <w:t xml:space="preserve"> </w:t>
      </w:r>
      <w:r w:rsidRPr="00A133CF">
        <w:t xml:space="preserve">These results indicate that the total aggregate plus main beam interference levels are still </w:t>
      </w:r>
      <w:r w:rsidRPr="00A133CF">
        <w:lastRenderedPageBreak/>
        <w:t xml:space="preserve">39.2 dB (for the Sydney example) and 31 dB (for the Tokyo example) below the satellite system noise level (-112.6 </w:t>
      </w:r>
      <w:proofErr w:type="spellStart"/>
      <w:r w:rsidRPr="00A133CF">
        <w:t>dBm</w:t>
      </w:r>
      <w:proofErr w:type="spellEnd"/>
      <w:r w:rsidRPr="00A133CF">
        <w:t>/MHz).</w:t>
      </w:r>
    </w:p>
    <w:p w14:paraId="6F0B8601" w14:textId="77777777" w:rsidR="00DE3BEE" w:rsidRPr="00D21EAB" w:rsidRDefault="00CF5D4A" w:rsidP="00CF5D4A">
      <w:pPr>
        <w:pStyle w:val="Heading5"/>
        <w:rPr>
          <w:color w:val="7030A0"/>
        </w:rPr>
      </w:pPr>
      <w:r w:rsidRPr="00D21EAB">
        <w:rPr>
          <w:color w:val="7030A0"/>
        </w:rPr>
        <w:t>C.3.4.3</w:t>
      </w:r>
      <w:r w:rsidRPr="00D21EAB">
        <w:rPr>
          <w:color w:val="7030A0"/>
        </w:rPr>
        <w:tab/>
      </w:r>
      <w:r w:rsidR="00DE3BEE" w:rsidRPr="00D21EAB">
        <w:rPr>
          <w:color w:val="7030A0"/>
        </w:rPr>
        <w:t>Document 5-1/290 (April 2018)</w:t>
      </w:r>
    </w:p>
    <w:p w14:paraId="2820B4B9" w14:textId="77777777" w:rsidR="00DE3BEE" w:rsidRPr="00A133CF" w:rsidRDefault="00DE3BEE" w:rsidP="00DE3BEE">
      <w:r w:rsidRPr="00A133CF">
        <w:t>The third submission has provided ‘further updates’ to address the editor notes associated with the January 2018 submission.</w:t>
      </w:r>
      <w:r w:rsidR="00232CCD">
        <w:t xml:space="preserve"> </w:t>
      </w:r>
      <w:r w:rsidRPr="00A133CF">
        <w:t>In this context, the details of the number of iterations used in simulations and a description of the percentage of locations used to calculate clutter and building entry loss are added to the previous submission.</w:t>
      </w:r>
      <w:r w:rsidR="00232CCD">
        <w:t xml:space="preserve"> </w:t>
      </w:r>
      <w:r w:rsidRPr="00A133CF">
        <w:t>An assessment against a range of protection criteria (i.e. I/N values of -6, -10 and -12.2 dB) is also included.</w:t>
      </w:r>
    </w:p>
    <w:p w14:paraId="09C1E777" w14:textId="77777777" w:rsidR="00DE3BEE" w:rsidRPr="00A133CF" w:rsidRDefault="00DE3BEE" w:rsidP="00DE3BEE">
      <w:r w:rsidRPr="00A133CF">
        <w:t>It is shown that, for the assumed I/N protection levels of -6 dB, -10 dB and -12.2 dB, the calculated protection margins are 32.3 dB, 28.3 dB and 26.1 dB, for the Sydney example, and 25 dB, 21 dB and 18.8 dB, for the Tokyo example, respectively.</w:t>
      </w:r>
    </w:p>
    <w:p w14:paraId="6ED973EE" w14:textId="77777777" w:rsidR="00DE3BEE" w:rsidRPr="00A133CF" w:rsidRDefault="00DE3BEE" w:rsidP="00DE3BEE">
      <w:r w:rsidRPr="00A133CF">
        <w:t>It is noted that this submission has been incorporated into the TG 5/1 Chairman’s final report (Document 5-1/478) as Study E.</w:t>
      </w:r>
    </w:p>
    <w:p w14:paraId="2741580A" w14:textId="77777777" w:rsidR="004D0DAA" w:rsidRDefault="004D0DAA">
      <w:pPr>
        <w:spacing w:after="160" w:line="259" w:lineRule="auto"/>
      </w:pPr>
      <w:bookmarkStart w:id="133" w:name="_Toc18332962"/>
      <w:bookmarkStart w:id="134" w:name="_Toc18364992"/>
      <w:bookmarkStart w:id="135" w:name="_Toc18368809"/>
      <w:bookmarkStart w:id="136" w:name="_Toc19230554"/>
      <w:bookmarkEnd w:id="133"/>
      <w:bookmarkEnd w:id="134"/>
      <w:bookmarkEnd w:id="135"/>
      <w:r>
        <w:br w:type="page"/>
      </w:r>
    </w:p>
    <w:p w14:paraId="10DB44BD" w14:textId="77777777" w:rsidR="00DE3BEE" w:rsidRPr="00D21EAB" w:rsidRDefault="004D0DAA" w:rsidP="000E420E">
      <w:pPr>
        <w:pStyle w:val="Heading2"/>
        <w:ind w:left="0" w:right="-164" w:firstLine="0"/>
        <w:rPr>
          <w:color w:val="7030A0"/>
        </w:rPr>
      </w:pPr>
      <w:bookmarkStart w:id="137" w:name="_Toc21429750"/>
      <w:r w:rsidRPr="00D21EAB">
        <w:rPr>
          <w:color w:val="7030A0"/>
        </w:rPr>
        <w:lastRenderedPageBreak/>
        <w:t>Appendix D—</w:t>
      </w:r>
      <w:r w:rsidR="00DE3BEE" w:rsidRPr="00D21EAB">
        <w:rPr>
          <w:color w:val="7030A0"/>
        </w:rPr>
        <w:t>Brief on Europe and North America</w:t>
      </w:r>
      <w:bookmarkEnd w:id="136"/>
      <w:bookmarkEnd w:id="137"/>
    </w:p>
    <w:p w14:paraId="46E8B69D" w14:textId="77777777" w:rsidR="00DE3BEE" w:rsidRPr="00A133CF" w:rsidRDefault="00DE3BEE" w:rsidP="00DE3BEE">
      <w:r w:rsidRPr="00A133CF">
        <w:t>The implications of interference aggregation from terrestrial networks deployed in the millimetre-wave bands into satellite receivers have also been considered in Europe and North America.</w:t>
      </w:r>
    </w:p>
    <w:p w14:paraId="68B28876" w14:textId="77777777" w:rsidR="00DE3BEE" w:rsidRPr="00A133CF" w:rsidRDefault="00DE3BEE" w:rsidP="00DE3BEE">
      <w:r w:rsidRPr="00A133CF">
        <w:t>In Europe, CEPT Report 68</w:t>
      </w:r>
      <w:r w:rsidRPr="004D0DAA">
        <w:rPr>
          <w:vertAlign w:val="superscript"/>
        </w:rPr>
        <w:footnoteReference w:id="28"/>
      </w:r>
      <w:r w:rsidRPr="00A133CF">
        <w:t xml:space="preserve"> on the harmonised technical conditions for the 24.25-27.5 GHz frequency band was published in July 2018.</w:t>
      </w:r>
      <w:r w:rsidR="00232CCD">
        <w:t xml:space="preserve"> </w:t>
      </w:r>
      <w:r w:rsidRPr="00A133CF">
        <w:t>The report concludes that “Studies have shown that coexistence with FSS satellites is feasible (aggregate interference from 5G base stations to GSO FSS satellites will likely fall within the protection criteria for GSO FSS with a large margin) when considering the assumed technical and operational characteristics for 5G.</w:t>
      </w:r>
      <w:r w:rsidR="00232CCD">
        <w:t xml:space="preserve"> </w:t>
      </w:r>
      <w:r w:rsidRPr="00A133CF">
        <w:t>CEPT intends to assess the evolution of Wireless Broadband Electronic Communications Service (WBB ECS) system characteristics, including network deployments, in a 5-year timeline, so as to be able to provide additional confidence that such evolution will continue to ensure the adequate protection of other services, in particular space services.”</w:t>
      </w:r>
      <w:r w:rsidR="00232CCD">
        <w:t xml:space="preserve"> </w:t>
      </w:r>
      <w:r w:rsidRPr="00A133CF">
        <w:t>The report further notes that “the harmonised technical conditions include a general provision requiring that outdoor base station deployments shall ensure that the antenna beam is normally below the horizon and outdoor base station shall not have mechanical pointing above the horizon. This would help preventing having 5G base stations with antenna pointing directly towards the sky which, in case there are many such deployments, would significantly increase the interference potential to FSS.”</w:t>
      </w:r>
    </w:p>
    <w:p w14:paraId="242A187F" w14:textId="77777777" w:rsidR="00DE3BEE" w:rsidRPr="00A133CF" w:rsidRDefault="00DE3BEE" w:rsidP="00DE3BEE">
      <w:r w:rsidRPr="00A133CF">
        <w:t>In line with the above conclusions, ECC decision 18(06)</w:t>
      </w:r>
      <w:r w:rsidRPr="004D0DAA">
        <w:rPr>
          <w:vertAlign w:val="superscript"/>
        </w:rPr>
        <w:footnoteReference w:id="29"/>
      </w:r>
      <w:r w:rsidRPr="00A133CF">
        <w:t xml:space="preserve"> on the harmonised technical conditions for Mobile/Fixed Communications Networks (MFCN) in the band 24.25-27.5 GHz was approved in July 2018 where it is stated that “most sharing studies have shown that Fixed-Satellite Service (FSS) and the Inter-Satellite Service (ISS) would be protected with a margin of more than 12 dB, based on agreed assumptions, and it will be necessary to ensure that these services remain protected “ and “the pointing elevation of the main beam (electrical and mechanical) should normally be below the horizon for outdoor base stations”.</w:t>
      </w:r>
    </w:p>
    <w:p w14:paraId="7DFA7CC0" w14:textId="77777777" w:rsidR="00DE3BEE" w:rsidRPr="00A133CF" w:rsidRDefault="00DE3BEE" w:rsidP="00DE3BEE">
      <w:r w:rsidRPr="00A133CF">
        <w:t>In the US, FCC has published a series of documents</w:t>
      </w:r>
      <w:r w:rsidRPr="004D0DAA">
        <w:rPr>
          <w:vertAlign w:val="superscript"/>
        </w:rPr>
        <w:footnoteReference w:id="30"/>
      </w:r>
      <w:r w:rsidRPr="00A133CF">
        <w:t xml:space="preserve"> outlining its approach on regulating the use of spectrum bands above 24 GHz for mobile radio services.</w:t>
      </w:r>
      <w:r w:rsidR="00232CCD">
        <w:t xml:space="preserve"> </w:t>
      </w:r>
      <w:r w:rsidRPr="00A133CF">
        <w:t>As far as the aggregate interference into satellites is concerned, FCC has decided that the potential for aggregate interference rising to the level of harmful interference is unlikely and therefore there is no need to establish any regulatory limit on aggregate power levels.</w:t>
      </w:r>
      <w:r w:rsidR="00232CCD">
        <w:t xml:space="preserve"> </w:t>
      </w:r>
      <w:r w:rsidRPr="00A133CF">
        <w:t>FCC has also stated that “The Commission retains the authority to monitor developments and intervene to prevent unacceptable interference to satellites if that becomes necessary, but there is no evidence to date that suggests that any such intervention will be necessary.”</w:t>
      </w:r>
      <w:r w:rsidR="00232CCD">
        <w:t xml:space="preserve"> </w:t>
      </w:r>
    </w:p>
    <w:p w14:paraId="0D90CFEF" w14:textId="77777777" w:rsidR="000E420E" w:rsidRDefault="00DE3BEE" w:rsidP="000E420E">
      <w:r w:rsidRPr="00A133CF">
        <w:t>In June 2019, Innovation, Science and Economic Development (ISED) Canada decided that</w:t>
      </w:r>
      <w:r w:rsidRPr="004D0DAA">
        <w:rPr>
          <w:vertAlign w:val="superscript"/>
        </w:rPr>
        <w:footnoteReference w:id="31"/>
      </w:r>
      <w:r w:rsidRPr="00A133CF">
        <w:t xml:space="preserve"> “there will be no mandated limit on the aggregate emissions produced by flexible use systems operating in the 27.0-28.35 GHz band.”</w:t>
      </w:r>
      <w:r w:rsidR="00232CCD">
        <w:t xml:space="preserve"> </w:t>
      </w:r>
      <w:r w:rsidRPr="00A133CF">
        <w:t>ISED also noted that “However, if necessary, ISED may review whether to apply technical measures to ensure coexistence between flexible use systems and FSS systems in this frequency band in the future.”</w:t>
      </w:r>
      <w:bookmarkStart w:id="138" w:name="_Ref18250076"/>
      <w:bookmarkStart w:id="139" w:name="_Ref18250100"/>
      <w:bookmarkStart w:id="140" w:name="_Toc19230555"/>
      <w:r w:rsidR="000E420E">
        <w:br w:type="page"/>
      </w:r>
    </w:p>
    <w:p w14:paraId="0785B2CF" w14:textId="77777777" w:rsidR="00DE3BEE" w:rsidRPr="00D21EAB" w:rsidRDefault="000E420E" w:rsidP="000E420E">
      <w:pPr>
        <w:pStyle w:val="Heading2"/>
        <w:ind w:left="0" w:firstLine="0"/>
        <w:rPr>
          <w:color w:val="7030A0"/>
        </w:rPr>
      </w:pPr>
      <w:bookmarkStart w:id="141" w:name="_Appendix_E—Detailed_discussion"/>
      <w:bookmarkStart w:id="142" w:name="_Toc21429751"/>
      <w:bookmarkEnd w:id="141"/>
      <w:r w:rsidRPr="00D21EAB">
        <w:rPr>
          <w:color w:val="7030A0"/>
        </w:rPr>
        <w:lastRenderedPageBreak/>
        <w:t>Appendix E—</w:t>
      </w:r>
      <w:r w:rsidR="00DE3BEE" w:rsidRPr="00D21EAB">
        <w:rPr>
          <w:color w:val="7030A0"/>
        </w:rPr>
        <w:t>Detailed discussion of parameter assumptions</w:t>
      </w:r>
      <w:bookmarkEnd w:id="138"/>
      <w:bookmarkEnd w:id="139"/>
      <w:bookmarkEnd w:id="140"/>
      <w:bookmarkEnd w:id="142"/>
    </w:p>
    <w:p w14:paraId="2F295E68" w14:textId="77777777" w:rsidR="00DE3BEE" w:rsidRPr="00D21EAB" w:rsidRDefault="000E420E" w:rsidP="000E420E">
      <w:pPr>
        <w:pStyle w:val="Heading3"/>
        <w:rPr>
          <w:color w:val="7030A0"/>
        </w:rPr>
      </w:pPr>
      <w:bookmarkStart w:id="143" w:name="_Toc19230556"/>
      <w:bookmarkStart w:id="144" w:name="_Toc21429752"/>
      <w:r w:rsidRPr="00D21EAB">
        <w:rPr>
          <w:color w:val="7030A0"/>
        </w:rPr>
        <w:t>E.1</w:t>
      </w:r>
      <w:r w:rsidRPr="00D21EAB">
        <w:rPr>
          <w:color w:val="7030A0"/>
        </w:rPr>
        <w:tab/>
      </w:r>
      <w:r w:rsidR="00DE3BEE" w:rsidRPr="00D21EAB">
        <w:rPr>
          <w:color w:val="7030A0"/>
        </w:rPr>
        <w:t>Satellite G/T figure</w:t>
      </w:r>
      <w:bookmarkEnd w:id="143"/>
      <w:bookmarkEnd w:id="144"/>
    </w:p>
    <w:p w14:paraId="61177FE4" w14:textId="77777777" w:rsidR="00D848F2" w:rsidRDefault="00DE3BEE" w:rsidP="00DE3BEE">
      <w:r w:rsidRPr="00A133CF">
        <w:t>The ACMA studies follow the assumptions made in the ITU-R by assuming a satellite G/T value of 20.6dB/K, based on satellite characteristics given in ITU-R Document 5-1/89, “FSS/BSS technical [parameters for sharing studies under WRC-19 agenda item 1.13”, liaised to TG5/1 from WP4A</w:t>
      </w:r>
      <w:r w:rsidR="00D848F2">
        <w:t>.</w:t>
      </w:r>
    </w:p>
    <w:p w14:paraId="5D922BF0" w14:textId="77777777" w:rsidR="00DE3BEE" w:rsidRPr="00A133CF" w:rsidRDefault="00DE3BEE" w:rsidP="00DE3BEE">
      <w:r w:rsidRPr="00A133CF">
        <w:t>That document gives two options for the relevant uplink band. The first, used by ACMA, has a 46.6dBi gain</w:t>
      </w:r>
      <w:r w:rsidR="00232CCD">
        <w:t xml:space="preserve"> </w:t>
      </w:r>
      <w:r w:rsidRPr="00A133CF">
        <w:t>antenna (giving a 0.8° beamwidth) and a system temperature of 400K; the second, unused option, has 33dBi gain and relates to an elliptical beam of 3° x 7° and a 900K temperature. These beamwidths would correspond to a footprint of around 600 x 400km in the first case and coverage of all Australia in the second.</w:t>
      </w:r>
    </w:p>
    <w:p w14:paraId="4BAC756C" w14:textId="77777777" w:rsidR="00DE3BEE" w:rsidRPr="00A133CF" w:rsidRDefault="00DE3BEE" w:rsidP="00DE3BEE">
      <w:r w:rsidRPr="00A133CF">
        <w:t>We have not been provided with detailed information on the actual Sky Muster satellite uplink characteristics, Figure 6 of the ACMA ‘Reallocation Recommendation’ shows the approximate 3dB footprints of the uplink spot beam for Waroona, near Perth, which would seem to correspond to a beamwidth in the order of 0.3°. This would imply a gain of 54.7 </w:t>
      </w:r>
      <w:proofErr w:type="spellStart"/>
      <w:r w:rsidRPr="00A133CF">
        <w:t>dBi</w:t>
      </w:r>
      <w:proofErr w:type="spellEnd"/>
      <w:r w:rsidRPr="00A133CF">
        <w:t xml:space="preserve"> and an antenna diameter of around 2.3m</w:t>
      </w:r>
      <w:r w:rsidRPr="00C026B7">
        <w:rPr>
          <w:vertAlign w:val="superscript"/>
        </w:rPr>
        <w:footnoteReference w:id="32"/>
      </w:r>
      <w:r w:rsidRPr="00A133CF">
        <w:t xml:space="preserve">. Assuming the same receiver noise temperature, this would correspond to a G/T of 29dB/K, </w:t>
      </w:r>
    </w:p>
    <w:p w14:paraId="322184E8" w14:textId="77777777" w:rsidR="00DE3BEE" w:rsidRPr="00A133CF" w:rsidRDefault="00DE3BEE" w:rsidP="00DE3BEE">
      <w:r w:rsidRPr="00A133CF">
        <w:t>In their submission, NBN propose a revised value of 30dB/K as being “more representative of current and future Very High Throughput</w:t>
      </w:r>
      <w:r w:rsidRPr="00C026B7">
        <w:rPr>
          <w:vertAlign w:val="superscript"/>
        </w:rPr>
        <w:footnoteReference w:id="33"/>
      </w:r>
      <w:r w:rsidRPr="00A133CF">
        <w:t xml:space="preserve"> Satellite (VHTS) system characteristics”. This is broadly in line with the figure obtained above.</w:t>
      </w:r>
    </w:p>
    <w:p w14:paraId="4AF4757F" w14:textId="77777777" w:rsidR="00DE3BEE" w:rsidRPr="00A133CF" w:rsidRDefault="00DE3BEE" w:rsidP="00DC068B">
      <w:pPr>
        <w:pStyle w:val="Tablefigureheading"/>
      </w:pPr>
      <w:bookmarkStart w:id="145" w:name="_Toc21429775"/>
      <w:r w:rsidRPr="00A133CF">
        <w:lastRenderedPageBreak/>
        <w:t xml:space="preserve">Figure </w:t>
      </w:r>
      <w:r w:rsidR="009D475F">
        <w:fldChar w:fldCharType="begin"/>
      </w:r>
      <w:r w:rsidR="009D475F">
        <w:instrText xml:space="preserve"> STYLEREF 6 \s </w:instrText>
      </w:r>
      <w:r w:rsidR="009D475F">
        <w:fldChar w:fldCharType="separate"/>
      </w:r>
      <w:r w:rsidRPr="00A133CF">
        <w:t>E</w:t>
      </w:r>
      <w:r w:rsidR="009D475F">
        <w:fldChar w:fldCharType="end"/>
      </w:r>
      <w:r w:rsidRPr="00A133CF">
        <w:t>.</w:t>
      </w:r>
      <w:r w:rsidR="009D475F">
        <w:fldChar w:fldCharType="begin"/>
      </w:r>
      <w:r w:rsidR="009D475F">
        <w:instrText xml:space="preserve"> SEQ Figure \* ARABIC \s 6 </w:instrText>
      </w:r>
      <w:r w:rsidR="009D475F">
        <w:fldChar w:fldCharType="separate"/>
      </w:r>
      <w:r w:rsidRPr="00A133CF">
        <w:t>1</w:t>
      </w:r>
      <w:r w:rsidR="009D475F">
        <w:fldChar w:fldCharType="end"/>
      </w:r>
      <w:proofErr w:type="gramStart"/>
      <w:r w:rsidRPr="00A133CF">
        <w:t>: :</w:t>
      </w:r>
      <w:proofErr w:type="gramEnd"/>
      <w:r w:rsidRPr="00A133CF">
        <w:t xml:space="preserve"> Showing different Sky Muster spot-beam sizes</w:t>
      </w:r>
      <w:r w:rsidR="00232CCD">
        <w:t xml:space="preserve"> </w:t>
      </w:r>
      <w:r w:rsidRPr="00A133CF">
        <w:t>(source: http://proceedings.kaconf.org/papers/2015/bsw_1.pdf)</w:t>
      </w:r>
      <w:bookmarkEnd w:id="145"/>
      <w:r w:rsidRPr="00A133CF">
        <w:t xml:space="preserve"> </w:t>
      </w:r>
    </w:p>
    <w:p w14:paraId="1F4C7257" w14:textId="77777777" w:rsidR="00DE3BEE" w:rsidRPr="00A133CF" w:rsidRDefault="00DE3BEE" w:rsidP="00DE3BEE">
      <w:r w:rsidRPr="00A133CF">
        <w:rPr>
          <w:noProof/>
          <w:lang w:eastAsia="en-AU"/>
        </w:rPr>
        <w:drawing>
          <wp:inline distT="0" distB="0" distL="0" distR="0" wp14:anchorId="0C25FC8E" wp14:editId="6D27B944">
            <wp:extent cx="5538020" cy="4368800"/>
            <wp:effectExtent l="0" t="0" r="5715" b="0"/>
            <wp:docPr id="11" name="Picture 11" descr="There is a map of Australia depicting 101 NBN Sky muster spot-beams of varying sizes.&#10;&#10;NBN Satellite spot beams sizes are represented by two shapes:&#10;A red hexagonal shape represents a narrow spot beam and has a 125 Km radius&#10;A blue hexagonal shape represents a wide spot beam and has a 325 Km radius&#10;&#10;The red hexagonal shapes appearing on the map are individually numbered from 1 to 75. &#10;&#10;The blue hexagonal shapes appearing on the map are numbered from 76 to 101." title="Map of Australia showing different spot beam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otbeams1.jpg"/>
                    <pic:cNvPicPr/>
                  </pic:nvPicPr>
                  <pic:blipFill>
                    <a:blip r:embed="rId21">
                      <a:extLst>
                        <a:ext uri="{28A0092B-C50C-407E-A947-70E740481C1C}">
                          <a14:useLocalDpi xmlns:a14="http://schemas.microsoft.com/office/drawing/2010/main" val="0"/>
                        </a:ext>
                      </a:extLst>
                    </a:blip>
                    <a:stretch>
                      <a:fillRect/>
                    </a:stretch>
                  </pic:blipFill>
                  <pic:spPr>
                    <a:xfrm>
                      <a:off x="0" y="0"/>
                      <a:ext cx="5550999" cy="4379039"/>
                    </a:xfrm>
                    <a:prstGeom prst="rect">
                      <a:avLst/>
                    </a:prstGeom>
                  </pic:spPr>
                </pic:pic>
              </a:graphicData>
            </a:graphic>
          </wp:inline>
        </w:drawing>
      </w:r>
    </w:p>
    <w:p w14:paraId="56C9A0BF" w14:textId="77777777" w:rsidR="00D848F2" w:rsidRDefault="00DE3BEE" w:rsidP="00DE3BEE">
      <w:r w:rsidRPr="00A133CF">
        <w:t>A pre-launch image of the satellite suggests that the larger antennas, used to generate the ‘narrow’ spot beams, may have an aperture smaller than 2.3m (by comparison with the personnel in the picture below), so this performance may not reflect the current deployment</w:t>
      </w:r>
      <w:r w:rsidR="00D848F2">
        <w:t>.</w:t>
      </w:r>
    </w:p>
    <w:p w14:paraId="04902973" w14:textId="77777777" w:rsidR="00DE3BEE" w:rsidRPr="00A133CF" w:rsidRDefault="00DE3BEE" w:rsidP="00DC068B">
      <w:pPr>
        <w:pStyle w:val="Tablefigureheading"/>
      </w:pPr>
      <w:bookmarkStart w:id="146" w:name="_Toc21429776"/>
      <w:r w:rsidRPr="00A133CF">
        <w:lastRenderedPageBreak/>
        <w:t xml:space="preserve">Figure </w:t>
      </w:r>
      <w:r w:rsidR="009D475F">
        <w:fldChar w:fldCharType="begin"/>
      </w:r>
      <w:r w:rsidR="009D475F">
        <w:instrText xml:space="preserve"> STYLEREF 6 \s </w:instrText>
      </w:r>
      <w:r w:rsidR="009D475F">
        <w:fldChar w:fldCharType="separate"/>
      </w:r>
      <w:r w:rsidRPr="00A133CF">
        <w:t>E</w:t>
      </w:r>
      <w:r w:rsidR="009D475F">
        <w:fldChar w:fldCharType="end"/>
      </w:r>
      <w:r w:rsidRPr="00A133CF">
        <w:t>.</w:t>
      </w:r>
      <w:r w:rsidR="009D475F">
        <w:fldChar w:fldCharType="begin"/>
      </w:r>
      <w:r w:rsidR="009D475F">
        <w:instrText xml:space="preserve"> SEQ Figure \* ARA</w:instrText>
      </w:r>
      <w:r w:rsidR="009D475F">
        <w:instrText xml:space="preserve">BIC \s 6 </w:instrText>
      </w:r>
      <w:r w:rsidR="009D475F">
        <w:fldChar w:fldCharType="separate"/>
      </w:r>
      <w:r w:rsidRPr="00A133CF">
        <w:t>2</w:t>
      </w:r>
      <w:r w:rsidR="009D475F">
        <w:fldChar w:fldCharType="end"/>
      </w:r>
      <w:r w:rsidRPr="00A133CF">
        <w:t xml:space="preserve">: Pre-launch image of Sky Muster satellite (launch (source: </w:t>
      </w:r>
      <w:hyperlink r:id="rId22" w:history="1">
        <w:r w:rsidRPr="00A133CF">
          <w:rPr>
            <w:rStyle w:val="Hyperlink"/>
          </w:rPr>
          <w:t>https://www.gizmodo.com.au/2016/04/nbn-has-launched-its-sky-muster-broadband-service-for-regional-areas/</w:t>
        </w:r>
      </w:hyperlink>
      <w:r w:rsidRPr="00A133CF">
        <w:t xml:space="preserve"> )</w:t>
      </w:r>
      <w:bookmarkEnd w:id="146"/>
    </w:p>
    <w:p w14:paraId="2992C246" w14:textId="77777777" w:rsidR="00DE3BEE" w:rsidRPr="00A133CF" w:rsidRDefault="00DE3BEE" w:rsidP="00DF0DE7">
      <w:pPr>
        <w:keepNext/>
      </w:pPr>
      <w:r w:rsidRPr="00A133CF">
        <w:rPr>
          <w:noProof/>
          <w:lang w:eastAsia="en-AU"/>
        </w:rPr>
        <w:drawing>
          <wp:inline distT="0" distB="0" distL="0" distR="0" wp14:anchorId="1CFDDD28" wp14:editId="2F8F96D1">
            <wp:extent cx="5716558" cy="3218900"/>
            <wp:effectExtent l="0" t="0" r="0" b="635"/>
            <wp:docPr id="13" name="Picture 13" descr="This image shows a photo of a sky muster satellite before its launch." title="Sky Muster satel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24063" cy="3223126"/>
                    </a:xfrm>
                    <a:prstGeom prst="rect">
                      <a:avLst/>
                    </a:prstGeom>
                  </pic:spPr>
                </pic:pic>
              </a:graphicData>
            </a:graphic>
          </wp:inline>
        </w:drawing>
      </w:r>
    </w:p>
    <w:p w14:paraId="7E33B252" w14:textId="77777777" w:rsidR="00D848F2" w:rsidRDefault="00DE3BEE" w:rsidP="00DE3BEE">
      <w:r w:rsidRPr="00A133CF">
        <w:t>In their submission, NBN note that “Lower-gain satellites are much less susceptible to interference than high throughput satellites”. The accuracy of this statement depends on the spatial distribution of the interference; if the majority is via the main beam of the satellite, the statement holds, but if this is outweighed by the aggregation of a very large number of interferers entries at off-axis angles, a low-gain antenna may be more susceptible (because the antenna will be less directive)</w:t>
      </w:r>
      <w:r w:rsidR="00D848F2">
        <w:t>.</w:t>
      </w:r>
    </w:p>
    <w:p w14:paraId="204CEB27" w14:textId="77777777" w:rsidR="00DE3BEE" w:rsidRPr="00D21EAB" w:rsidRDefault="00DC068B" w:rsidP="00DC068B">
      <w:pPr>
        <w:pStyle w:val="Heading3"/>
        <w:rPr>
          <w:color w:val="7030A0"/>
        </w:rPr>
      </w:pPr>
      <w:bookmarkStart w:id="147" w:name="_Toc19230557"/>
      <w:bookmarkStart w:id="148" w:name="_Toc21429753"/>
      <w:r w:rsidRPr="00D21EAB">
        <w:rPr>
          <w:color w:val="7030A0"/>
        </w:rPr>
        <w:t>E.2</w:t>
      </w:r>
      <w:r w:rsidRPr="00D21EAB">
        <w:rPr>
          <w:color w:val="7030A0"/>
        </w:rPr>
        <w:tab/>
      </w:r>
      <w:r w:rsidR="00DE3BEE" w:rsidRPr="00D21EAB">
        <w:rPr>
          <w:color w:val="7030A0"/>
        </w:rPr>
        <w:t>Protection criteria</w:t>
      </w:r>
      <w:bookmarkEnd w:id="147"/>
      <w:bookmarkEnd w:id="148"/>
    </w:p>
    <w:p w14:paraId="41E5F848" w14:textId="77777777" w:rsidR="00DE3BEE" w:rsidRPr="00A133CF" w:rsidRDefault="00DE3BEE" w:rsidP="00DE3BEE">
      <w:r w:rsidRPr="00A133CF">
        <w:t>The initial ACMA modelling assumed an interference criterion of I/N = -10dB, and this does not appear to have been explicitly associated with a particular probability. In the final model submitted to TG5/1, ACMA assessed interference against three I/N limits; -6dB, 10dB and -12.2dB.</w:t>
      </w:r>
    </w:p>
    <w:p w14:paraId="2E72B614" w14:textId="77777777" w:rsidR="00DE3BEE" w:rsidRPr="00A133CF" w:rsidRDefault="00DE3BEE" w:rsidP="00DE3BEE">
      <w:r w:rsidRPr="00A133CF">
        <w:t>NBN submitted that the 10.0dB value relates to 20% time, and that the -12.2dB value represents the translation of this value for 50% time, and should be used.</w:t>
      </w:r>
    </w:p>
    <w:p w14:paraId="01BFE188" w14:textId="77777777" w:rsidR="00DE3BEE" w:rsidRPr="00A133CF" w:rsidRDefault="00DE3BEE" w:rsidP="00DE3BEE">
      <w:r w:rsidRPr="00A133CF">
        <w:t>The advice from WP4A to TG5/1 was that the -12.2dB figure should be used at both 20% and 50% probabilities. Criteria are also provided for interference impact at lower probabilities; -6dB at 6% and +8dB at 0.02%.</w:t>
      </w:r>
    </w:p>
    <w:p w14:paraId="393BBDBA" w14:textId="77777777" w:rsidR="00DE3BEE" w:rsidRPr="00A133CF" w:rsidRDefault="00DE3BEE" w:rsidP="00DE3BEE">
      <w:r w:rsidRPr="00A133CF">
        <w:t>In the submission from NBN, it is noted that they do not accept that interference will be ergodic (i.e. that observations of a large range of spatial distributions are equivalent to observation over a long time). Our understanding is that the issue is not, strictly, one of ergodicity, but rather whether the overall interference at the satellite will be aggregated from so many sources that it can be considered essentially invariant with time (the basis of ACMA modelling) or whether the interference will be dominated by a few dominant sources that could give rise to high levels of interference with low probability. If the latter is the case, interference must be assessed at both long-term (-12.2dB) and short-term (-6dB or 0dB) limits.</w:t>
      </w:r>
    </w:p>
    <w:p w14:paraId="43EA5F91" w14:textId="77777777" w:rsidR="00D848F2" w:rsidRDefault="00DE3BEE" w:rsidP="00DE3BEE">
      <w:r w:rsidRPr="00A133CF">
        <w:lastRenderedPageBreak/>
        <w:t>It is our opinion that, given plausible IMT parameters, the limiting interference to the uplink will be due to the aggregation of a very large number of rather weak sources and will be essentially invariant. The use of only the long-term criterion is therefore very unlikely to give over-optimistic conclusions (particularly bearing in mind the fact that the short-term limit is up to 12.2dB more relaxed than that used by ACMA)</w:t>
      </w:r>
      <w:r w:rsidR="00D848F2">
        <w:t>.</w:t>
      </w:r>
    </w:p>
    <w:p w14:paraId="116103BD" w14:textId="77777777" w:rsidR="00DE3BEE" w:rsidRPr="00A133CF" w:rsidRDefault="00DE3BEE" w:rsidP="00DE3BEE">
      <w:r w:rsidRPr="00A133CF">
        <w:t>As an aside we would also note that there seems to be some confusion regarding whether the 400K value used for the satellite represents thermal noise (as it should for G/T calculations) or system noise, including all interference or ‘external’ noise as would be appropriate for the application of the -12.2dB criterion. The heading in the WP4A tables in Document 5-1/89 implies the latter.</w:t>
      </w:r>
    </w:p>
    <w:p w14:paraId="51D916C4" w14:textId="77777777" w:rsidR="00DE3BEE" w:rsidRPr="00A133CF" w:rsidRDefault="00DE3BEE" w:rsidP="00DE3BEE">
      <w:r w:rsidRPr="00A133CF">
        <w:t xml:space="preserve">The initial modelling submitted to TG5/1 by ACMA noted that WP4A had not yet specified interference criteria for the band and that they would, tentatively, assume a criteria of I/M=-10dB. “It is further noted that Australia supports using </w:t>
      </w:r>
      <w:proofErr w:type="gramStart"/>
      <w:r w:rsidRPr="00A133CF">
        <w:t>an I</w:t>
      </w:r>
      <w:proofErr w:type="gramEnd"/>
      <w:r w:rsidRPr="00A133CF">
        <w:t>/N of -10 dB as protection criteria for FSS satellite receivers in this band.”</w:t>
      </w:r>
    </w:p>
    <w:p w14:paraId="104B4462" w14:textId="77777777" w:rsidR="00DE3BEE" w:rsidRPr="00A133CF" w:rsidRDefault="00DE3BEE" w:rsidP="00DE3BEE">
      <w:r w:rsidRPr="00A133CF">
        <w:t>Within the ITU-R, and elsewhere, there has been significant discussion of the appropriate limits. The starting point for these discussions is Recommendation S.1432, which states that interference to the FSS from other primary services should be limited to 6% of the overall satellite receiver system noise. This is equivalent to a level 12.2dB below that system noise.</w:t>
      </w:r>
    </w:p>
    <w:p w14:paraId="328B1BA6" w14:textId="77777777" w:rsidR="00DE3BEE" w:rsidRPr="00A133CF" w:rsidRDefault="00DE3BEE" w:rsidP="00DE3BEE">
      <w:r w:rsidRPr="00A133CF">
        <w:t>The receiver system noise is the sum of the thermal noise (from receiver and antenna) and the ‘external noise’ due to all forms of interference.</w:t>
      </w:r>
      <w:r w:rsidR="00232CCD">
        <w:t xml:space="preserve"> </w:t>
      </w:r>
      <w:r w:rsidRPr="00A133CF">
        <w:t>For an FSS system employing frequency re-use, such as Sky Muster, the external noise should comprise 27% of the overall system noise and the thermal noise 73%. The thermal noise is, therefore, to be -1.4 dB with respect to the system noise.</w:t>
      </w:r>
    </w:p>
    <w:p w14:paraId="1DB0840D" w14:textId="77777777" w:rsidR="00DE3BEE" w:rsidRPr="00A133CF" w:rsidRDefault="00DE3BEE" w:rsidP="00DE3BEE">
      <w:r w:rsidRPr="00A133CF">
        <w:t>This implies that, if interference from other primary services should be 12.2dB below the system noise, they should, equivalently, be 12.2</w:t>
      </w:r>
      <w:r w:rsidR="00BD5767">
        <w:t>—</w:t>
      </w:r>
      <w:r w:rsidRPr="00A133CF">
        <w:t>1.4 = 10.8 dB below the thermal noise. It is this thermal noise that is used in the G/T calculations discussed above (i.e. 400K).</w:t>
      </w:r>
      <w:r w:rsidR="00232CCD">
        <w:t xml:space="preserve"> </w:t>
      </w:r>
      <w:r w:rsidRPr="00A133CF">
        <w:t xml:space="preserve"> </w:t>
      </w:r>
    </w:p>
    <w:p w14:paraId="17C6AAE9" w14:textId="77777777" w:rsidR="00DE3BEE" w:rsidRPr="00A133CF" w:rsidRDefault="00DE3BEE" w:rsidP="00DE3BEE">
      <w:r w:rsidRPr="00A133CF">
        <w:t>Towards the end of the work of TG5/1, WP4A contributed a Liaison Statement (Document 5-1/411, July 2018) which specified the following I/N criteria for their studies, where the percentages may represent temporal, spatial or other probabilities:</w:t>
      </w:r>
    </w:p>
    <w:p w14:paraId="3B976B5C" w14:textId="77777777" w:rsidR="00DE3BEE" w:rsidRPr="00A133CF" w:rsidRDefault="00DE3BEE" w:rsidP="00DC068B">
      <w:pPr>
        <w:pStyle w:val="Listparagraphbullets"/>
      </w:pPr>
      <w:r w:rsidRPr="00A133CF">
        <w:t>-10.5dB for 20% or average;</w:t>
      </w:r>
    </w:p>
    <w:p w14:paraId="3AFE8389" w14:textId="77777777" w:rsidR="00DE3BEE" w:rsidRPr="00A133CF" w:rsidRDefault="00DE3BEE" w:rsidP="00DC068B">
      <w:pPr>
        <w:pStyle w:val="Listparagraphbullets"/>
      </w:pPr>
      <w:r w:rsidRPr="00A133CF">
        <w:t>-6.0dB for 1%; and</w:t>
      </w:r>
    </w:p>
    <w:p w14:paraId="5108F3D0" w14:textId="77777777" w:rsidR="00DE3BEE" w:rsidRPr="00A133CF" w:rsidRDefault="00DE3BEE" w:rsidP="00DC068B">
      <w:pPr>
        <w:pStyle w:val="Listparagraphbullets"/>
      </w:pPr>
      <w:r w:rsidRPr="00A133CF">
        <w:t>0.0dB for 0.02%.</w:t>
      </w:r>
    </w:p>
    <w:p w14:paraId="5F7E529E" w14:textId="77777777" w:rsidR="00DE3BEE" w:rsidRPr="00A133CF" w:rsidRDefault="00DE3BEE" w:rsidP="00DE3BEE">
      <w:r w:rsidRPr="00A133CF" w:rsidDel="006766EA">
        <w:t xml:space="preserve"> </w:t>
      </w:r>
      <w:r w:rsidRPr="00A133CF">
        <w:t>The -10.5dB figure is derived in the same way as the -10.8dB figure, but for FSS networks not employing frequency reuse.</w:t>
      </w:r>
    </w:p>
    <w:p w14:paraId="0C34725C" w14:textId="77777777" w:rsidR="00DE3BEE" w:rsidRPr="00A133CF" w:rsidRDefault="00DE3BEE" w:rsidP="00DE3BEE">
      <w:r w:rsidRPr="00A133CF">
        <w:t xml:space="preserve">This LS contains the following note: </w:t>
      </w:r>
    </w:p>
    <w:p w14:paraId="5313E9AB" w14:textId="77777777" w:rsidR="00DE3BEE" w:rsidRPr="00DC068B" w:rsidRDefault="00DE3BEE" w:rsidP="00DC068B">
      <w:pPr>
        <w:shd w:val="clear" w:color="auto" w:fill="E4E4E4"/>
      </w:pPr>
      <w:r w:rsidRPr="00DC068B">
        <w:t>Note 1: The noise N in the I/N criteria as specified above is the system receiver noise (i.e. thermal noise) and is equal to the receiver antenna noise plus the receiver noise referred to the antenna as contained in the technical parameters liaised to Task Group (TG) 5/1 by WP 4A. Hence studies conducted by TG 5/1 should only use the values presented above when evaluating the compliance with the protection criteria.</w:t>
      </w:r>
    </w:p>
    <w:p w14:paraId="3DF83271" w14:textId="77777777" w:rsidR="00D848F2" w:rsidRDefault="00DE3BEE" w:rsidP="00DE3BEE">
      <w:r w:rsidRPr="00A133CF">
        <w:t>The definition of I/N appears to exclude ‘external’ (i.e. interference) noise from the N term, which would imply that the 10.5/10.8dB value should be used</w:t>
      </w:r>
      <w:r w:rsidR="00D848F2">
        <w:t>.</w:t>
      </w:r>
    </w:p>
    <w:p w14:paraId="75B3F369" w14:textId="77777777" w:rsidR="00DE3BEE" w:rsidRPr="00A133CF" w:rsidRDefault="00DE3BEE" w:rsidP="00DE3BEE">
      <w:r w:rsidRPr="00A133CF">
        <w:t>It is assumed that the number of IMT interferers is sufficiently large that the interference can be assessed on the basis of the average value and judged against a 50% time criterion is therefore appropriate.</w:t>
      </w:r>
    </w:p>
    <w:p w14:paraId="138E0599" w14:textId="77777777" w:rsidR="00DE3BEE" w:rsidRPr="00A133CF" w:rsidRDefault="00DE3BEE" w:rsidP="00DE3BEE">
      <w:r w:rsidRPr="00A133CF">
        <w:lastRenderedPageBreak/>
        <w:t>Although Recommendation ITU-R S.1432 apportions 6% of the degradation to other in-band primary services it is assumed that the only sharing service will be IMT, so no apportionment is made to other services.</w:t>
      </w:r>
    </w:p>
    <w:p w14:paraId="4A797B33" w14:textId="77777777" w:rsidR="00DE3BEE" w:rsidRPr="00D21EAB" w:rsidRDefault="00DC068B" w:rsidP="00DC068B">
      <w:pPr>
        <w:pStyle w:val="Heading3"/>
        <w:rPr>
          <w:color w:val="7030A0"/>
        </w:rPr>
      </w:pPr>
      <w:bookmarkStart w:id="149" w:name="_Toc19230558"/>
      <w:bookmarkStart w:id="150" w:name="_Toc21429754"/>
      <w:r w:rsidRPr="00D21EAB">
        <w:rPr>
          <w:color w:val="7030A0"/>
        </w:rPr>
        <w:t>E.3</w:t>
      </w:r>
      <w:r w:rsidRPr="00D21EAB">
        <w:rPr>
          <w:color w:val="7030A0"/>
        </w:rPr>
        <w:tab/>
      </w:r>
      <w:r w:rsidR="00DE3BEE" w:rsidRPr="00D21EAB">
        <w:rPr>
          <w:color w:val="7030A0"/>
        </w:rPr>
        <w:t>IMT terminal density</w:t>
      </w:r>
      <w:bookmarkEnd w:id="149"/>
      <w:bookmarkEnd w:id="150"/>
    </w:p>
    <w:p w14:paraId="31782B58" w14:textId="77777777" w:rsidR="00DE3BEE" w:rsidRPr="00A133CF" w:rsidRDefault="00DE3BEE" w:rsidP="00DE3BEE">
      <w:r w:rsidRPr="00A133CF">
        <w:t xml:space="preserve">The biggest, and unavoidable, source of uncertainty in any modelling of interference to satellite receivers is due to the assumptions that must be made about the distribution and density of terrestrial interference sources. Both the ITU and Small Cell Forum have produced estimates of likely deployment density, but these must come with the caveat that few operational, commercial 26 or 28 GHz IMT mobile networks exist at present. Informal discussions with operators and regulators suggest that there is, as yet, little operator demand for such networks, with most millimetre-wave deployment initially likely to focus on private networks in industrial settings and on FWA (Verizon is planning to provide fixed wireless of 1 </w:t>
      </w:r>
      <w:proofErr w:type="spellStart"/>
      <w:r w:rsidRPr="00A133CF">
        <w:t>Gbps</w:t>
      </w:r>
      <w:proofErr w:type="spellEnd"/>
      <w:r w:rsidRPr="00A133CF">
        <w:t xml:space="preserve"> speeds at ranges of up to 600 meters and looks confident in its ability to find a sustainable business model for 5G fixed wireless access</w:t>
      </w:r>
      <w:r w:rsidRPr="00382AB2">
        <w:rPr>
          <w:vertAlign w:val="superscript"/>
        </w:rPr>
        <w:footnoteReference w:id="34"/>
      </w:r>
      <w:r w:rsidRPr="00A133CF">
        <w:t>).</w:t>
      </w:r>
    </w:p>
    <w:p w14:paraId="6A23A44F" w14:textId="77777777" w:rsidR="00DE3BEE" w:rsidRPr="00A133CF" w:rsidRDefault="00DE3BEE" w:rsidP="00DE3BEE">
      <w:r w:rsidRPr="00A133CF">
        <w:t>One exception is the Verizon network in Chicago; this is clearly in a very early stage of deployment and consists of a small number of low-height base stations mounted on street furniture, providing hotspot coverage in the dense urban centre</w:t>
      </w:r>
      <w:r w:rsidRPr="00382AB2">
        <w:rPr>
          <w:vertAlign w:val="superscript"/>
        </w:rPr>
        <w:footnoteReference w:id="35"/>
      </w:r>
      <w:r w:rsidRPr="00A133CF">
        <w:t>.</w:t>
      </w:r>
    </w:p>
    <w:p w14:paraId="746366A1" w14:textId="77777777" w:rsidR="00DE3BEE" w:rsidRPr="00A133CF" w:rsidRDefault="00DE3BEE" w:rsidP="00DE3BEE">
      <w:r w:rsidRPr="00A133CF">
        <w:t>The ACMA modelling assumption is that there may be an urban density of 30 BS/km2 and 100 UE/km2. NBN consider that this is an under-estimate, noting that “research conducted by the small cell forum indicates that many operators will aim for BS densities of 100 to 350 per square kilometre” They therefore propose an urban density of 100 BS/km2 and 400 UE/km2.</w:t>
      </w:r>
    </w:p>
    <w:p w14:paraId="246518F7" w14:textId="77777777" w:rsidR="00DE3BEE" w:rsidRPr="00A133CF" w:rsidRDefault="00DE3BEE" w:rsidP="00DE3BEE">
      <w:bookmarkStart w:id="151" w:name="_Hlk18320000"/>
      <w:r w:rsidRPr="00A133CF">
        <w:t xml:space="preserve">The most demanding 5G applications in terms of data rate, according to ETRI, will be spherical view holography. For which the data rate could surpass 1 </w:t>
      </w:r>
      <w:proofErr w:type="spellStart"/>
      <w:r w:rsidRPr="00A133CF">
        <w:t>Gbps</w:t>
      </w:r>
      <w:proofErr w:type="spellEnd"/>
      <w:r w:rsidRPr="00A133CF">
        <w:t>.</w:t>
      </w:r>
    </w:p>
    <w:p w14:paraId="557B738D" w14:textId="77777777" w:rsidR="00DE3BEE" w:rsidRPr="00A133CF" w:rsidRDefault="00DE3BEE" w:rsidP="00DC068B">
      <w:pPr>
        <w:pStyle w:val="Tablefigureheading"/>
      </w:pPr>
      <w:bookmarkStart w:id="152" w:name="_Toc21429777"/>
      <w:r w:rsidRPr="00A133CF">
        <w:t xml:space="preserve">Table </w:t>
      </w:r>
      <w:r w:rsidR="009D475F">
        <w:fldChar w:fldCharType="begin"/>
      </w:r>
      <w:r w:rsidR="009D475F">
        <w:instrText xml:space="preserve"> STYLEREF 6 \s </w:instrText>
      </w:r>
      <w:r w:rsidR="009D475F">
        <w:fldChar w:fldCharType="separate"/>
      </w:r>
      <w:r w:rsidRPr="00A133CF">
        <w:t>E</w:t>
      </w:r>
      <w:r w:rsidR="009D475F">
        <w:fldChar w:fldCharType="end"/>
      </w:r>
      <w:r w:rsidRPr="00A133CF">
        <w:t>.</w:t>
      </w:r>
      <w:r w:rsidR="009D475F">
        <w:fldChar w:fldCharType="begin"/>
      </w:r>
      <w:r w:rsidR="009D475F">
        <w:instrText xml:space="preserve"> SEQ Table \* ARABIC \s 6 </w:instrText>
      </w:r>
      <w:r w:rsidR="009D475F">
        <w:fldChar w:fldCharType="separate"/>
      </w:r>
      <w:r w:rsidRPr="00A133CF">
        <w:t>1</w:t>
      </w:r>
      <w:r w:rsidR="009D475F">
        <w:fldChar w:fldCharType="end"/>
      </w:r>
      <w:r w:rsidRPr="00A133CF">
        <w:t>: Data rates for different video applications</w:t>
      </w:r>
      <w:bookmarkEnd w:id="152"/>
    </w:p>
    <w:tbl>
      <w:tblPr>
        <w:tblStyle w:val="TableGrid"/>
        <w:tblW w:w="0" w:type="auto"/>
        <w:tblLook w:val="04A0" w:firstRow="1" w:lastRow="0" w:firstColumn="1" w:lastColumn="0" w:noHBand="0" w:noVBand="1"/>
        <w:tblDescription w:val="Table E.1: Data rates for different video applications"/>
      </w:tblPr>
      <w:tblGrid>
        <w:gridCol w:w="3114"/>
        <w:gridCol w:w="5103"/>
      </w:tblGrid>
      <w:tr w:rsidR="00DE3BEE" w:rsidRPr="00A133CF" w14:paraId="5470FB78" w14:textId="77777777" w:rsidTr="00072B22">
        <w:trPr>
          <w:tblHeader/>
        </w:trPr>
        <w:tc>
          <w:tcPr>
            <w:tcW w:w="3114" w:type="dxa"/>
          </w:tcPr>
          <w:p w14:paraId="7C0CCE6C" w14:textId="77777777" w:rsidR="00DE3BEE" w:rsidRPr="00A133CF" w:rsidRDefault="00DE3BEE" w:rsidP="00DC068B">
            <w:pPr>
              <w:pStyle w:val="Tablerowcolumnheading"/>
            </w:pPr>
            <w:r w:rsidRPr="00A133CF">
              <w:t>Service</w:t>
            </w:r>
          </w:p>
        </w:tc>
        <w:tc>
          <w:tcPr>
            <w:tcW w:w="5103" w:type="dxa"/>
          </w:tcPr>
          <w:p w14:paraId="1257FC26" w14:textId="77777777" w:rsidR="00DE3BEE" w:rsidRPr="00A133CF" w:rsidRDefault="00DE3BEE" w:rsidP="00DC068B">
            <w:pPr>
              <w:pStyle w:val="Tablerowcolumnheading"/>
            </w:pPr>
            <w:r w:rsidRPr="00A133CF">
              <w:t>Data rate</w:t>
            </w:r>
          </w:p>
        </w:tc>
      </w:tr>
      <w:tr w:rsidR="00DE3BEE" w:rsidRPr="00A133CF" w14:paraId="37C4CD95" w14:textId="77777777" w:rsidTr="00DC068B">
        <w:tc>
          <w:tcPr>
            <w:tcW w:w="3114" w:type="dxa"/>
          </w:tcPr>
          <w:p w14:paraId="0D6C173E" w14:textId="77777777" w:rsidR="00DE3BEE" w:rsidRPr="00A133CF" w:rsidRDefault="00DE3BEE" w:rsidP="00DC068B">
            <w:pPr>
              <w:pStyle w:val="Tabletext"/>
            </w:pPr>
            <w:r w:rsidRPr="00A133CF">
              <w:t>360 view with 4K resolution</w:t>
            </w:r>
          </w:p>
        </w:tc>
        <w:tc>
          <w:tcPr>
            <w:tcW w:w="5103" w:type="dxa"/>
          </w:tcPr>
          <w:p w14:paraId="06C4678A" w14:textId="77777777" w:rsidR="00DE3BEE" w:rsidRPr="00A133CF" w:rsidRDefault="00DE3BEE" w:rsidP="00DC068B">
            <w:pPr>
              <w:pStyle w:val="Tabletext"/>
            </w:pPr>
            <w:r w:rsidRPr="00A133CF">
              <w:t xml:space="preserve">65 </w:t>
            </w:r>
            <w:proofErr w:type="spellStart"/>
            <w:r w:rsidRPr="00A133CF">
              <w:t>Mbits</w:t>
            </w:r>
            <w:proofErr w:type="spellEnd"/>
            <w:r w:rsidRPr="00A133CF">
              <w:t xml:space="preserve">/s (H.265) and 130 </w:t>
            </w:r>
            <w:proofErr w:type="spellStart"/>
            <w:r w:rsidRPr="00A133CF">
              <w:t>Mbits</w:t>
            </w:r>
            <w:proofErr w:type="spellEnd"/>
            <w:r w:rsidRPr="00A133CF">
              <w:t>/s (VAR for peak).</w:t>
            </w:r>
          </w:p>
        </w:tc>
      </w:tr>
      <w:tr w:rsidR="00DE3BEE" w:rsidRPr="00A133CF" w14:paraId="4C532D48" w14:textId="77777777" w:rsidTr="00DC068B">
        <w:tc>
          <w:tcPr>
            <w:tcW w:w="3114" w:type="dxa"/>
          </w:tcPr>
          <w:p w14:paraId="140FACAA" w14:textId="77777777" w:rsidR="00DE3BEE" w:rsidRPr="00A133CF" w:rsidRDefault="00DE3BEE" w:rsidP="00DC068B">
            <w:pPr>
              <w:pStyle w:val="Tabletext"/>
            </w:pPr>
            <w:r w:rsidRPr="00A133CF">
              <w:t>360 view with 8K resolution</w:t>
            </w:r>
          </w:p>
        </w:tc>
        <w:tc>
          <w:tcPr>
            <w:tcW w:w="5103" w:type="dxa"/>
          </w:tcPr>
          <w:p w14:paraId="385FBFF0" w14:textId="77777777" w:rsidR="00DE3BEE" w:rsidRPr="00A133CF" w:rsidRDefault="00DE3BEE" w:rsidP="00DC068B">
            <w:pPr>
              <w:pStyle w:val="Tabletext"/>
            </w:pPr>
            <w:r w:rsidRPr="00A133CF">
              <w:t xml:space="preserve">258 </w:t>
            </w:r>
            <w:proofErr w:type="spellStart"/>
            <w:r w:rsidRPr="00A133CF">
              <w:t>Mbits</w:t>
            </w:r>
            <w:proofErr w:type="spellEnd"/>
            <w:r w:rsidRPr="00A133CF">
              <w:t xml:space="preserve">/s (H.265) and 516 </w:t>
            </w:r>
            <w:proofErr w:type="spellStart"/>
            <w:r w:rsidRPr="00A133CF">
              <w:t>Mbits</w:t>
            </w:r>
            <w:proofErr w:type="spellEnd"/>
            <w:r w:rsidRPr="00A133CF">
              <w:t>/s (VAR for peak).</w:t>
            </w:r>
          </w:p>
        </w:tc>
      </w:tr>
      <w:tr w:rsidR="00DE3BEE" w:rsidRPr="00A133CF" w14:paraId="6163857C" w14:textId="77777777" w:rsidTr="00DC068B">
        <w:tc>
          <w:tcPr>
            <w:tcW w:w="3114" w:type="dxa"/>
          </w:tcPr>
          <w:p w14:paraId="2DFD0DDB" w14:textId="77777777" w:rsidR="00DE3BEE" w:rsidRPr="00A133CF" w:rsidRDefault="00DE3BEE" w:rsidP="00DC068B">
            <w:pPr>
              <w:pStyle w:val="Tabletext"/>
            </w:pPr>
            <w:r w:rsidRPr="00A133CF">
              <w:t>Spherical view for holography</w:t>
            </w:r>
          </w:p>
        </w:tc>
        <w:tc>
          <w:tcPr>
            <w:tcW w:w="5103" w:type="dxa"/>
          </w:tcPr>
          <w:p w14:paraId="60095735" w14:textId="77777777" w:rsidR="00DE3BEE" w:rsidRPr="00A133CF" w:rsidRDefault="00DE3BEE" w:rsidP="00DC068B">
            <w:pPr>
              <w:pStyle w:val="Tabletext"/>
            </w:pPr>
            <w:r w:rsidRPr="00A133CF">
              <w:t>4 to 8 times more than 360 views</w:t>
            </w:r>
          </w:p>
        </w:tc>
      </w:tr>
    </w:tbl>
    <w:p w14:paraId="4204E234" w14:textId="77777777" w:rsidR="00DE3BEE" w:rsidRPr="00A133CF" w:rsidRDefault="00DE3BEE" w:rsidP="00DC068B">
      <w:pPr>
        <w:pStyle w:val="Sourcenote"/>
      </w:pPr>
      <w:r w:rsidRPr="00A133CF">
        <w:t>Source: ETRI</w:t>
      </w:r>
    </w:p>
    <w:p w14:paraId="5066BDE8" w14:textId="77777777" w:rsidR="00DE3BEE" w:rsidRPr="00A133CF" w:rsidRDefault="00DE3BEE" w:rsidP="00DC068B">
      <w:pPr>
        <w:keepNext/>
      </w:pPr>
      <w:r w:rsidRPr="00A133CF">
        <w:t>Connection density for various areas are given in the table below:</w:t>
      </w:r>
    </w:p>
    <w:p w14:paraId="10903F08" w14:textId="77777777" w:rsidR="00DE3BEE" w:rsidRPr="00A133CF" w:rsidRDefault="00DE3BEE" w:rsidP="00DC068B">
      <w:pPr>
        <w:pStyle w:val="Tablefigureheading"/>
      </w:pPr>
      <w:bookmarkStart w:id="153" w:name="_Toc21429778"/>
      <w:r w:rsidRPr="00A133CF">
        <w:t xml:space="preserve">Table </w:t>
      </w:r>
      <w:r w:rsidR="009D475F">
        <w:fldChar w:fldCharType="begin"/>
      </w:r>
      <w:r w:rsidR="009D475F">
        <w:instrText xml:space="preserve"> STYLEREF 6 \s </w:instrText>
      </w:r>
      <w:r w:rsidR="009D475F">
        <w:fldChar w:fldCharType="separate"/>
      </w:r>
      <w:r w:rsidRPr="00A133CF">
        <w:t>E</w:t>
      </w:r>
      <w:r w:rsidR="009D475F">
        <w:fldChar w:fldCharType="end"/>
      </w:r>
      <w:r w:rsidRPr="00A133CF">
        <w:t>.</w:t>
      </w:r>
      <w:r w:rsidR="009D475F">
        <w:fldChar w:fldCharType="begin"/>
      </w:r>
      <w:r w:rsidR="009D475F">
        <w:instrText xml:space="preserve"> SEQ Table \* ARABIC \s 6 </w:instrText>
      </w:r>
      <w:r w:rsidR="009D475F">
        <w:fldChar w:fldCharType="separate"/>
      </w:r>
      <w:r w:rsidRPr="00A133CF">
        <w:t>2</w:t>
      </w:r>
      <w:r w:rsidR="009D475F">
        <w:fldChar w:fldCharType="end"/>
      </w:r>
      <w:r w:rsidRPr="00A133CF">
        <w:t>: Connection density for different areas</w:t>
      </w:r>
      <w:bookmarkEnd w:id="153"/>
    </w:p>
    <w:tbl>
      <w:tblPr>
        <w:tblStyle w:val="TableGrid"/>
        <w:tblW w:w="0" w:type="auto"/>
        <w:tblLook w:val="04A0" w:firstRow="1" w:lastRow="0" w:firstColumn="1" w:lastColumn="0" w:noHBand="0" w:noVBand="1"/>
        <w:tblDescription w:val="Table E.2: Connection density for different areas"/>
      </w:tblPr>
      <w:tblGrid>
        <w:gridCol w:w="2306"/>
        <w:gridCol w:w="2290"/>
        <w:gridCol w:w="2287"/>
        <w:gridCol w:w="2299"/>
      </w:tblGrid>
      <w:tr w:rsidR="00DE3BEE" w:rsidRPr="00A133CF" w14:paraId="5216624F" w14:textId="77777777" w:rsidTr="00072B22">
        <w:trPr>
          <w:cantSplit/>
          <w:tblHeader/>
        </w:trPr>
        <w:tc>
          <w:tcPr>
            <w:tcW w:w="2306" w:type="dxa"/>
          </w:tcPr>
          <w:p w14:paraId="08CECFE8" w14:textId="77777777" w:rsidR="00DE3BEE" w:rsidRPr="00A133CF" w:rsidRDefault="00DE3BEE" w:rsidP="00DC068B">
            <w:pPr>
              <w:pStyle w:val="Tablerowcolumnheading"/>
              <w:keepNext/>
            </w:pPr>
            <w:proofErr w:type="spellStart"/>
            <w:r w:rsidRPr="00A133CF">
              <w:t>Teledensity</w:t>
            </w:r>
            <w:proofErr w:type="spellEnd"/>
          </w:p>
        </w:tc>
        <w:tc>
          <w:tcPr>
            <w:tcW w:w="2290" w:type="dxa"/>
          </w:tcPr>
          <w:p w14:paraId="010A9B07" w14:textId="77777777" w:rsidR="00DE3BEE" w:rsidRPr="00A133CF" w:rsidRDefault="00DE3BEE" w:rsidP="00DC068B">
            <w:pPr>
              <w:pStyle w:val="Tablerowcolumnheading"/>
            </w:pPr>
            <w:r w:rsidRPr="00A133CF">
              <w:t>Number of devices per area</w:t>
            </w:r>
          </w:p>
        </w:tc>
        <w:tc>
          <w:tcPr>
            <w:tcW w:w="2287" w:type="dxa"/>
          </w:tcPr>
          <w:p w14:paraId="0EEA014F" w14:textId="77777777" w:rsidR="00DE3BEE" w:rsidRPr="00A133CF" w:rsidRDefault="00DE3BEE" w:rsidP="00DC068B">
            <w:pPr>
              <w:pStyle w:val="Tablerowcolumnheading"/>
            </w:pPr>
            <w:r w:rsidRPr="00A133CF">
              <w:t>Activity factor</w:t>
            </w:r>
          </w:p>
        </w:tc>
        <w:tc>
          <w:tcPr>
            <w:tcW w:w="2299" w:type="dxa"/>
          </w:tcPr>
          <w:p w14:paraId="4240FC28" w14:textId="77777777" w:rsidR="00DE3BEE" w:rsidRPr="00A133CF" w:rsidRDefault="00DE3BEE" w:rsidP="00DC068B">
            <w:pPr>
              <w:pStyle w:val="Tablerowcolumnheading"/>
            </w:pPr>
            <w:r w:rsidRPr="00A133CF">
              <w:t>Connection density</w:t>
            </w:r>
          </w:p>
        </w:tc>
      </w:tr>
      <w:tr w:rsidR="00DE3BEE" w:rsidRPr="00A133CF" w14:paraId="5B120957" w14:textId="77777777" w:rsidTr="00DC068B">
        <w:tc>
          <w:tcPr>
            <w:tcW w:w="2306" w:type="dxa"/>
          </w:tcPr>
          <w:p w14:paraId="3FC655B4" w14:textId="77777777" w:rsidR="00DE3BEE" w:rsidRPr="00A133CF" w:rsidRDefault="00DE3BEE" w:rsidP="00DC068B">
            <w:pPr>
              <w:pStyle w:val="Tabletext"/>
              <w:keepNext/>
            </w:pPr>
            <w:r w:rsidRPr="00A133CF">
              <w:t>Overcrowded area</w:t>
            </w:r>
          </w:p>
        </w:tc>
        <w:tc>
          <w:tcPr>
            <w:tcW w:w="2290" w:type="dxa"/>
          </w:tcPr>
          <w:p w14:paraId="36D2AE89" w14:textId="77777777" w:rsidR="00DE3BEE" w:rsidRPr="00A133CF" w:rsidRDefault="00DE3BEE" w:rsidP="00DC068B">
            <w:pPr>
              <w:pStyle w:val="Tabletext"/>
              <w:keepNext/>
            </w:pPr>
            <w:r w:rsidRPr="00A133CF">
              <w:t>1-4 / m²</w:t>
            </w:r>
          </w:p>
        </w:tc>
        <w:tc>
          <w:tcPr>
            <w:tcW w:w="2287" w:type="dxa"/>
          </w:tcPr>
          <w:p w14:paraId="4B7E96EF" w14:textId="77777777" w:rsidR="00DE3BEE" w:rsidRPr="00A133CF" w:rsidRDefault="00DE3BEE" w:rsidP="00DC068B">
            <w:pPr>
              <w:pStyle w:val="Tabletext"/>
              <w:keepNext/>
            </w:pPr>
            <w:r w:rsidRPr="00A133CF">
              <w:t>90%</w:t>
            </w:r>
          </w:p>
        </w:tc>
        <w:tc>
          <w:tcPr>
            <w:tcW w:w="2299" w:type="dxa"/>
          </w:tcPr>
          <w:p w14:paraId="52712E82" w14:textId="77777777" w:rsidR="00DE3BEE" w:rsidRPr="00A133CF" w:rsidRDefault="00DE3BEE" w:rsidP="00DC068B">
            <w:pPr>
              <w:pStyle w:val="Tabletext"/>
              <w:keepNext/>
            </w:pPr>
            <w:r w:rsidRPr="00A133CF">
              <w:t>225 000 / km²</w:t>
            </w:r>
          </w:p>
        </w:tc>
      </w:tr>
      <w:tr w:rsidR="00DE3BEE" w:rsidRPr="00A133CF" w14:paraId="428EACE5" w14:textId="77777777" w:rsidTr="00DC068B">
        <w:tc>
          <w:tcPr>
            <w:tcW w:w="2306" w:type="dxa"/>
          </w:tcPr>
          <w:p w14:paraId="5DFD3FD2" w14:textId="77777777" w:rsidR="00DE3BEE" w:rsidRPr="00A133CF" w:rsidRDefault="00DE3BEE" w:rsidP="00DC068B">
            <w:pPr>
              <w:pStyle w:val="Tabletext"/>
              <w:keepNext/>
            </w:pPr>
            <w:r w:rsidRPr="00A133CF">
              <w:t>Dense urban area</w:t>
            </w:r>
          </w:p>
        </w:tc>
        <w:tc>
          <w:tcPr>
            <w:tcW w:w="2290" w:type="dxa"/>
          </w:tcPr>
          <w:p w14:paraId="578646BC" w14:textId="77777777" w:rsidR="00DE3BEE" w:rsidRPr="00A133CF" w:rsidRDefault="00DE3BEE" w:rsidP="00DC068B">
            <w:pPr>
              <w:pStyle w:val="Tabletext"/>
              <w:keepNext/>
            </w:pPr>
            <w:r w:rsidRPr="00A133CF">
              <w:t>5-100 / m²</w:t>
            </w:r>
          </w:p>
        </w:tc>
        <w:tc>
          <w:tcPr>
            <w:tcW w:w="2287" w:type="dxa"/>
          </w:tcPr>
          <w:p w14:paraId="55548644" w14:textId="77777777" w:rsidR="00DE3BEE" w:rsidRPr="00A133CF" w:rsidRDefault="00DE3BEE" w:rsidP="00DC068B">
            <w:pPr>
              <w:pStyle w:val="Tabletext"/>
              <w:keepNext/>
            </w:pPr>
            <w:r w:rsidRPr="00A133CF">
              <w:t>70%</w:t>
            </w:r>
          </w:p>
        </w:tc>
        <w:tc>
          <w:tcPr>
            <w:tcW w:w="2299" w:type="dxa"/>
          </w:tcPr>
          <w:p w14:paraId="26AFD517" w14:textId="77777777" w:rsidR="00DE3BEE" w:rsidRPr="00A133CF" w:rsidRDefault="00DE3BEE" w:rsidP="00DC068B">
            <w:pPr>
              <w:pStyle w:val="Tabletext"/>
              <w:keepNext/>
            </w:pPr>
            <w:r w:rsidRPr="00A133CF">
              <w:t>35 000 / km²</w:t>
            </w:r>
          </w:p>
        </w:tc>
      </w:tr>
      <w:tr w:rsidR="00DE3BEE" w:rsidRPr="00A133CF" w14:paraId="794C628E" w14:textId="77777777" w:rsidTr="00DC068B">
        <w:tc>
          <w:tcPr>
            <w:tcW w:w="2306" w:type="dxa"/>
          </w:tcPr>
          <w:p w14:paraId="768BA95A" w14:textId="77777777" w:rsidR="00DE3BEE" w:rsidRPr="00A133CF" w:rsidRDefault="00DE3BEE" w:rsidP="00DC068B">
            <w:pPr>
              <w:pStyle w:val="Tabletext"/>
              <w:keepNext/>
            </w:pPr>
            <w:r w:rsidRPr="00A133CF">
              <w:t>Urban area</w:t>
            </w:r>
          </w:p>
        </w:tc>
        <w:tc>
          <w:tcPr>
            <w:tcW w:w="2290" w:type="dxa"/>
          </w:tcPr>
          <w:p w14:paraId="66ECCB91" w14:textId="77777777" w:rsidR="00DE3BEE" w:rsidRPr="00A133CF" w:rsidRDefault="00DE3BEE" w:rsidP="00DC068B">
            <w:pPr>
              <w:pStyle w:val="Tabletext"/>
              <w:keepNext/>
            </w:pPr>
            <w:r w:rsidRPr="00A133CF">
              <w:t>20-10000 / m²</w:t>
            </w:r>
          </w:p>
        </w:tc>
        <w:tc>
          <w:tcPr>
            <w:tcW w:w="2287" w:type="dxa"/>
          </w:tcPr>
          <w:p w14:paraId="254A6CD8" w14:textId="77777777" w:rsidR="00DE3BEE" w:rsidRPr="00A133CF" w:rsidRDefault="00DE3BEE" w:rsidP="00DC068B">
            <w:pPr>
              <w:pStyle w:val="Tabletext"/>
              <w:keepNext/>
            </w:pPr>
            <w:r w:rsidRPr="00A133CF">
              <w:t>50%</w:t>
            </w:r>
          </w:p>
        </w:tc>
        <w:tc>
          <w:tcPr>
            <w:tcW w:w="2299" w:type="dxa"/>
          </w:tcPr>
          <w:p w14:paraId="333E54EA" w14:textId="77777777" w:rsidR="00DE3BEE" w:rsidRPr="00A133CF" w:rsidRDefault="00DE3BEE" w:rsidP="00DC068B">
            <w:pPr>
              <w:pStyle w:val="Tabletext"/>
              <w:keepNext/>
            </w:pPr>
            <w:r w:rsidRPr="00A133CF">
              <w:t>2 500 / km²</w:t>
            </w:r>
          </w:p>
        </w:tc>
      </w:tr>
    </w:tbl>
    <w:p w14:paraId="026DE1B8" w14:textId="77777777" w:rsidR="00DE3BEE" w:rsidRPr="00A133CF" w:rsidRDefault="00DE3BEE" w:rsidP="00DC068B">
      <w:pPr>
        <w:pStyle w:val="Sourcenote"/>
      </w:pPr>
      <w:r w:rsidRPr="00A133CF">
        <w:t>Source: ETRI</w:t>
      </w:r>
    </w:p>
    <w:bookmarkEnd w:id="151"/>
    <w:p w14:paraId="4C78F455" w14:textId="77777777" w:rsidR="00DE3BEE" w:rsidRPr="00A133CF" w:rsidRDefault="00DE3BEE" w:rsidP="00DE3BEE">
      <w:r w:rsidRPr="00A133CF">
        <w:lastRenderedPageBreak/>
        <w:t>Similarly, the collaborative European project ‘One5G’ considers hotspot deployments</w:t>
      </w:r>
      <w:r w:rsidRPr="00C026B7">
        <w:rPr>
          <w:vertAlign w:val="superscript"/>
        </w:rPr>
        <w:footnoteReference w:id="36"/>
      </w:r>
      <w:r w:rsidRPr="00A133CF">
        <w:t>, aimed at serving applications such as virtual reality, with connection densities of 200</w:t>
      </w:r>
      <w:r w:rsidR="00377E47">
        <w:t>—</w:t>
      </w:r>
      <w:r w:rsidRPr="00A133CF">
        <w:t>2,500/</w:t>
      </w:r>
      <w:proofErr w:type="gramStart"/>
      <w:r w:rsidRPr="00A133CF">
        <w:t>km2 .</w:t>
      </w:r>
      <w:proofErr w:type="gramEnd"/>
      <w:r w:rsidRPr="00A133CF">
        <w:t xml:space="preserve"> To support such densities, however, it is assumed that at least 1 GHz of bandwidth is used and that base stations will require antenna arrays of up to 256 x 256 elements and UE antenna arrays of up to 32 x 32 elements.</w:t>
      </w:r>
      <w:r w:rsidR="00232CCD">
        <w:t xml:space="preserve"> </w:t>
      </w:r>
      <w:r w:rsidRPr="00A133CF">
        <w:t>Scaling for the 200 MHz bandwidth being modelled, brings this value down to a maximum of some 500 connections/km2.</w:t>
      </w:r>
    </w:p>
    <w:p w14:paraId="57424C54" w14:textId="77777777" w:rsidR="00DE3BEE" w:rsidRPr="00A133CF" w:rsidRDefault="00DE3BEE" w:rsidP="00DE3BEE">
      <w:r w:rsidRPr="00A133CF">
        <w:t>A recent research paper</w:t>
      </w:r>
      <w:r w:rsidRPr="00C026B7">
        <w:rPr>
          <w:vertAlign w:val="superscript"/>
        </w:rPr>
        <w:footnoteReference w:id="37"/>
      </w:r>
      <w:r w:rsidRPr="00A133CF">
        <w:t xml:space="preserve"> notes that current microcell density is 10-20/ km2. A density of 32 base stations/km2 offers 97% coverage, with network self-interference setting a density limit at around 96/km2. The NBN suggestion would therefore seem to represent an absolute upper bound for a few urban areas. To achieve these densities would also seem to require BS and UE antennas with significantly better performance (larger arrays, lower </w:t>
      </w:r>
      <w:proofErr w:type="spellStart"/>
      <w:r w:rsidRPr="00A133CF">
        <w:t>sidelobes</w:t>
      </w:r>
      <w:proofErr w:type="spellEnd"/>
      <w:r w:rsidRPr="00A133CF">
        <w:t>) than those assumed by either ACMA or NBN. These densities would also imply deployment at low height within urban clutter, with consequently greater levels of screening due to diffraction loss.</w:t>
      </w:r>
    </w:p>
    <w:p w14:paraId="25770F21" w14:textId="77777777" w:rsidR="00DE3BEE" w:rsidRPr="00A133CF" w:rsidRDefault="00DE3BEE" w:rsidP="00DE3BEE">
      <w:r w:rsidRPr="00A133CF">
        <w:t>The discussion above concerns mobile networks offering ‘enhanced mobile broadband’ (</w:t>
      </w:r>
      <w:proofErr w:type="spellStart"/>
      <w:r w:rsidRPr="00A133CF">
        <w:t>eMBB</w:t>
      </w:r>
      <w:proofErr w:type="spellEnd"/>
      <w:r w:rsidRPr="00A133CF">
        <w:t>) services. A less speculative application of 5G millimetre-wave is to provide fixed wireless access (FWA) or ‘last-mile connectivity’ in suburban or rural areas. Considering the entirety of housing and office locations falling within the individual satellite uplink beams, it is likely that many of the dense areas will already have, or be close to, fibre connectivity. In the suburban and rural areas where the business case for FWA is strongest, deployment densities are likely to remain very low.</w:t>
      </w:r>
    </w:p>
    <w:p w14:paraId="638C2BF2" w14:textId="77777777" w:rsidR="00DE3BEE" w:rsidRPr="00D21EAB" w:rsidRDefault="00DC068B" w:rsidP="00DC068B">
      <w:pPr>
        <w:pStyle w:val="Heading3"/>
        <w:rPr>
          <w:color w:val="7030A0"/>
        </w:rPr>
      </w:pPr>
      <w:bookmarkStart w:id="154" w:name="_Toc18332968"/>
      <w:bookmarkStart w:id="155" w:name="_Toc18364998"/>
      <w:bookmarkStart w:id="156" w:name="_Toc18368815"/>
      <w:bookmarkStart w:id="157" w:name="_Toc18332969"/>
      <w:bookmarkStart w:id="158" w:name="_Toc18364999"/>
      <w:bookmarkStart w:id="159" w:name="_Toc18368816"/>
      <w:bookmarkStart w:id="160" w:name="_Toc18332970"/>
      <w:bookmarkStart w:id="161" w:name="_Toc18365000"/>
      <w:bookmarkStart w:id="162" w:name="_Toc18368817"/>
      <w:bookmarkStart w:id="163" w:name="_Toc19230559"/>
      <w:bookmarkStart w:id="164" w:name="_Toc21429755"/>
      <w:bookmarkEnd w:id="154"/>
      <w:bookmarkEnd w:id="155"/>
      <w:bookmarkEnd w:id="156"/>
      <w:bookmarkEnd w:id="157"/>
      <w:bookmarkEnd w:id="158"/>
      <w:bookmarkEnd w:id="159"/>
      <w:bookmarkEnd w:id="160"/>
      <w:bookmarkEnd w:id="161"/>
      <w:bookmarkEnd w:id="162"/>
      <w:r w:rsidRPr="00D21EAB">
        <w:rPr>
          <w:color w:val="7030A0"/>
        </w:rPr>
        <w:t>E.4</w:t>
      </w:r>
      <w:r w:rsidRPr="00D21EAB">
        <w:rPr>
          <w:color w:val="7030A0"/>
        </w:rPr>
        <w:tab/>
      </w:r>
      <w:r w:rsidR="00DE3BEE" w:rsidRPr="00D21EAB">
        <w:rPr>
          <w:color w:val="7030A0"/>
        </w:rPr>
        <w:t>IMT BS and UE transmit power</w:t>
      </w:r>
      <w:bookmarkEnd w:id="163"/>
      <w:bookmarkEnd w:id="164"/>
    </w:p>
    <w:p w14:paraId="137EBD48" w14:textId="77777777" w:rsidR="00DE3BEE" w:rsidRPr="00A133CF" w:rsidRDefault="00DE3BEE" w:rsidP="00DE3BEE">
      <w:r w:rsidRPr="00A133CF">
        <w:t>ACMA modelling assumes a BS transmit power of 2dBm/MHz, based on ITU-R SG5 recommendations. NBN propose a figure 8dB higher “to align more closely with the standards under development and systems already trialled and licensed in Australia”. No reference to specific standards or licences is given.</w:t>
      </w:r>
    </w:p>
    <w:p w14:paraId="003028E2" w14:textId="77777777" w:rsidR="00DE3BEE" w:rsidRPr="00A133CF" w:rsidRDefault="00DE3BEE" w:rsidP="00DE3BEE">
      <w:r w:rsidRPr="00A133CF">
        <w:t>The relevant 3GPP specification (TS 38.104) does not define a maximum EIRP for Type 2-O base stations</w:t>
      </w:r>
      <w:r w:rsidR="00232CCD">
        <w:t xml:space="preserve"> </w:t>
      </w:r>
    </w:p>
    <w:p w14:paraId="529D22A5" w14:textId="77777777" w:rsidR="00D848F2" w:rsidRDefault="00DE3BEE" w:rsidP="00DE3BEE">
      <w:r w:rsidRPr="00A133CF">
        <w:t>The 8dB increase in base station power, for instance, would imply a total conducted power in the 200 MHz base station bandwidth of 2W, which may be excessive in light of envisaged deployments and likely antenna beamforming gain</w:t>
      </w:r>
      <w:r w:rsidR="00D848F2">
        <w:t>.</w:t>
      </w:r>
    </w:p>
    <w:p w14:paraId="7146E4CA" w14:textId="77777777" w:rsidR="00DE3BEE" w:rsidRPr="00A133CF" w:rsidRDefault="00DE3BEE" w:rsidP="00DE3BEE">
      <w:r w:rsidRPr="00A133CF">
        <w:t>The Motorola ‘Moto Mod’ 28 GHz handset uses four 1x4 element antenna arrays</w:t>
      </w:r>
      <w:r w:rsidRPr="00C026B7">
        <w:rPr>
          <w:vertAlign w:val="superscript"/>
        </w:rPr>
        <w:footnoteReference w:id="38"/>
      </w:r>
      <w:r w:rsidRPr="00A133CF">
        <w:t>, only one of which is active at any time. These arrays have a nominal per-port power of +8dBm. With all ports active, and considering both (orthogonal, linear) polarisations, a total power of +17dBm is therefore available.</w:t>
      </w:r>
    </w:p>
    <w:p w14:paraId="47C4013C" w14:textId="77777777" w:rsidR="00DE3BEE" w:rsidRPr="00D21EAB" w:rsidRDefault="00DC068B" w:rsidP="00DC068B">
      <w:pPr>
        <w:pStyle w:val="Heading3"/>
        <w:rPr>
          <w:color w:val="7030A0"/>
        </w:rPr>
      </w:pPr>
      <w:bookmarkStart w:id="165" w:name="_Toc18332972"/>
      <w:bookmarkStart w:id="166" w:name="_Toc18365002"/>
      <w:bookmarkStart w:id="167" w:name="_Toc18368819"/>
      <w:bookmarkStart w:id="168" w:name="_Toc19230560"/>
      <w:bookmarkStart w:id="169" w:name="_Toc21429756"/>
      <w:bookmarkEnd w:id="165"/>
      <w:bookmarkEnd w:id="166"/>
      <w:bookmarkEnd w:id="167"/>
      <w:r w:rsidRPr="00D21EAB">
        <w:rPr>
          <w:color w:val="7030A0"/>
        </w:rPr>
        <w:lastRenderedPageBreak/>
        <w:t>E.5</w:t>
      </w:r>
      <w:r w:rsidRPr="00D21EAB">
        <w:rPr>
          <w:color w:val="7030A0"/>
        </w:rPr>
        <w:tab/>
      </w:r>
      <w:r w:rsidR="00DE3BEE" w:rsidRPr="00D21EAB">
        <w:rPr>
          <w:color w:val="7030A0"/>
        </w:rPr>
        <w:t>IMT UE body loss</w:t>
      </w:r>
      <w:bookmarkEnd w:id="168"/>
      <w:bookmarkEnd w:id="169"/>
    </w:p>
    <w:p w14:paraId="45702B58" w14:textId="77777777" w:rsidR="00D848F2" w:rsidRDefault="00DE3BEE" w:rsidP="00DF0DE7">
      <w:pPr>
        <w:keepNext/>
      </w:pPr>
      <w:r w:rsidRPr="00A133CF">
        <w:t>The ACMA studies assume 4dB body loss (screening of IMT user terminals) in line with ITU-R assumptions</w:t>
      </w:r>
      <w:r w:rsidR="00D848F2">
        <w:t>.</w:t>
      </w:r>
    </w:p>
    <w:p w14:paraId="7B3BB2EB" w14:textId="77777777" w:rsidR="00DE3BEE" w:rsidRPr="00A133CF" w:rsidRDefault="00DE3BEE" w:rsidP="00DE3BEE">
      <w:r w:rsidRPr="00A133CF">
        <w:t>NBN suggest that this parameter is ‘speculative’ with no clear reason for the value used. They also note that there are numerous 5G use cases that involve no body (i.e. fixed wireless access (FWA) or autonomous vehicles) and a consequently increased potential for interference</w:t>
      </w:r>
    </w:p>
    <w:p w14:paraId="3C4BED6A" w14:textId="77777777" w:rsidR="00D848F2" w:rsidRDefault="00DE3BEE" w:rsidP="00DE3BEE">
      <w:r w:rsidRPr="00A133CF">
        <w:t>The reason, however, that this value is used is that it is specified in the TG5/1 document (’Annex 1 to Document 5-1/478) on ‘System parameters…to be used in … sharing studies’, where it is noted that “The body loss provided in Document 5-1/36 (4 dB) is considered as a fixed value without a distribution”</w:t>
      </w:r>
      <w:r w:rsidR="00D848F2">
        <w:t>.</w:t>
      </w:r>
    </w:p>
    <w:p w14:paraId="47DFC1B7" w14:textId="77777777" w:rsidR="00D848F2" w:rsidRDefault="00DE3BEE" w:rsidP="00DE3BEE">
      <w:r w:rsidRPr="00A133CF">
        <w:t>The fact that it is specified by TG5/1 does not, however, mean that it is necessarily appropriate in the present context: there is certainly a case for assuming no body loss as (</w:t>
      </w:r>
      <w:proofErr w:type="spellStart"/>
      <w:r w:rsidRPr="00A133CF">
        <w:t>i</w:t>
      </w:r>
      <w:proofErr w:type="spellEnd"/>
      <w:r w:rsidRPr="00A133CF">
        <w:t>) many user terminals may be fixed wireless access (FWA) terminals and (ii) at typical elevation angles of 40° or higher, the user’s body may often not obstruct the path</w:t>
      </w:r>
      <w:r w:rsidR="00D848F2">
        <w:t>.</w:t>
      </w:r>
    </w:p>
    <w:p w14:paraId="6E176AE2" w14:textId="77777777" w:rsidR="00DE3BEE" w:rsidRPr="00A133CF" w:rsidRDefault="00DE3BEE" w:rsidP="00DE3BEE">
      <w:r w:rsidRPr="00A133CF">
        <w:t>Given the high attenuation likely at 26 GHz, it would be better perhaps, to model this by discarding a certain number of interferers rather than applying an average loss, but for a large population the two will give the same results. Attachment 2 to 5-1/36 states (footnotes 5</w:t>
      </w:r>
      <w:proofErr w:type="gramStart"/>
      <w:r w:rsidRPr="00A133CF">
        <w:t>,7,9</w:t>
      </w:r>
      <w:proofErr w:type="gramEnd"/>
      <w:r w:rsidRPr="00A133CF">
        <w:t xml:space="preserve"> &amp; 11) “Although preliminary studies suggest that the impact of proximity effects/body loss will in most cases be in excess of 4 dB, a value of 4</w:t>
      </w:r>
      <w:r w:rsidR="00C026B7">
        <w:t> </w:t>
      </w:r>
      <w:r w:rsidRPr="00A133CF">
        <w:t>dB has been selected as a typical value”. No reference is given for the ‘preliminary studies’.</w:t>
      </w:r>
    </w:p>
    <w:p w14:paraId="136C6567" w14:textId="77777777" w:rsidR="00DE3BEE" w:rsidRPr="00A133CF" w:rsidRDefault="00DE3BEE" w:rsidP="00DE3BEE">
      <w:r w:rsidRPr="00A133CF">
        <w:t>Plum’s opinion is that the 4dB figure represents a plausible value if interference is primarily from a large number of handheld user terminals. There is a realistic possibility, however</w:t>
      </w:r>
      <w:r w:rsidR="00C026B7">
        <w:t>, that future IMT use of the 27 </w:t>
      </w:r>
      <w:r w:rsidRPr="00A133CF">
        <w:t>GHz band may be dominated by other terminal types, and a 0dB figure should also be considered.</w:t>
      </w:r>
    </w:p>
    <w:p w14:paraId="407AD94A" w14:textId="77777777" w:rsidR="00DE3BEE" w:rsidRPr="00D21EAB" w:rsidRDefault="00DC068B" w:rsidP="00DC068B">
      <w:pPr>
        <w:pStyle w:val="Heading3"/>
        <w:rPr>
          <w:color w:val="7030A0"/>
        </w:rPr>
      </w:pPr>
      <w:bookmarkStart w:id="170" w:name="_Toc19230561"/>
      <w:bookmarkStart w:id="171" w:name="_Toc21429757"/>
      <w:r w:rsidRPr="00D21EAB">
        <w:rPr>
          <w:color w:val="7030A0"/>
        </w:rPr>
        <w:t>E.6</w:t>
      </w:r>
      <w:r w:rsidRPr="00D21EAB">
        <w:rPr>
          <w:color w:val="7030A0"/>
        </w:rPr>
        <w:tab/>
      </w:r>
      <w:r w:rsidR="00DE3BEE" w:rsidRPr="00D21EAB">
        <w:rPr>
          <w:color w:val="7030A0"/>
        </w:rPr>
        <w:t>Polarisation discrimination</w:t>
      </w:r>
      <w:bookmarkEnd w:id="170"/>
      <w:bookmarkEnd w:id="171"/>
    </w:p>
    <w:p w14:paraId="43EEC08D" w14:textId="77777777" w:rsidR="00DE3BEE" w:rsidRPr="00A133CF" w:rsidRDefault="00DE3BEE" w:rsidP="00DE3BEE">
      <w:r w:rsidRPr="00A133CF">
        <w:t>The ACMA modelling assumes a discrimination between linear and circularly polarised antennas of 3dB</w:t>
      </w:r>
    </w:p>
    <w:p w14:paraId="395DC4CE" w14:textId="77777777" w:rsidR="00DE3BEE" w:rsidRPr="00A133CF" w:rsidRDefault="00DE3BEE" w:rsidP="00DE3BEE">
      <w:r w:rsidRPr="00A133CF">
        <w:t>In their submission, NBN state that “Off-axis to off-axis polarisation loss is zero. On-axis to on-axis emissions can be as high as 3 dB but usually lower”, and propose that modelling be undertaken using an intermediate value of 1.5dB.</w:t>
      </w:r>
    </w:p>
    <w:p w14:paraId="5D53D5AC" w14:textId="77777777" w:rsidR="00DE3BEE" w:rsidRPr="00A133CF" w:rsidRDefault="00DE3BEE" w:rsidP="00DE3BEE">
      <w:r w:rsidRPr="00A133CF">
        <w:t>As the most significant interference will couple to the main beam of the satellite antenna, we can expect that the axial ratio of that antenna will be close to unity. There will not be many geometries where the discrimination between a linear array and the CP antenna would be significantly less than 3dB.</w:t>
      </w:r>
    </w:p>
    <w:p w14:paraId="74390238" w14:textId="77777777" w:rsidR="00DE3BEE" w:rsidRPr="00D21EAB" w:rsidRDefault="00DC068B" w:rsidP="00DC068B">
      <w:pPr>
        <w:pStyle w:val="Heading3"/>
        <w:rPr>
          <w:color w:val="7030A0"/>
        </w:rPr>
      </w:pPr>
      <w:bookmarkStart w:id="172" w:name="_Toc19230562"/>
      <w:bookmarkStart w:id="173" w:name="_Toc21429758"/>
      <w:r w:rsidRPr="00D21EAB">
        <w:rPr>
          <w:color w:val="7030A0"/>
        </w:rPr>
        <w:t>E.7</w:t>
      </w:r>
      <w:r w:rsidRPr="00D21EAB">
        <w:rPr>
          <w:color w:val="7030A0"/>
        </w:rPr>
        <w:tab/>
      </w:r>
      <w:r w:rsidR="00DE3BEE" w:rsidRPr="00D21EAB">
        <w:rPr>
          <w:color w:val="7030A0"/>
        </w:rPr>
        <w:t>IMT Network loading factor / average BS activity</w:t>
      </w:r>
      <w:bookmarkEnd w:id="172"/>
      <w:bookmarkEnd w:id="173"/>
    </w:p>
    <w:p w14:paraId="4A171D46" w14:textId="77777777" w:rsidR="00DE3BEE" w:rsidRPr="00A133CF" w:rsidRDefault="00DE3BEE" w:rsidP="00DE3BEE">
      <w:r w:rsidRPr="00A133CF">
        <w:t>ACMA assume 20%, but NBN state “It does not appear reasonable to state conclusively that, at all times, no more than 20% of cells will be active”, and assume a 50% value.</w:t>
      </w:r>
    </w:p>
    <w:p w14:paraId="73CAD4E0" w14:textId="77777777" w:rsidR="00D848F2" w:rsidRDefault="00DE3BEE" w:rsidP="00DE3BEE">
      <w:r w:rsidRPr="00A133CF">
        <w:t>This factor is not, presumably, stating that ‘at all times no more than 20% are active’, but will rather be the average of active cells over a day</w:t>
      </w:r>
      <w:r w:rsidR="00D848F2">
        <w:t>.</w:t>
      </w:r>
    </w:p>
    <w:p w14:paraId="47559C65" w14:textId="47971A18" w:rsidR="00DE3BEE" w:rsidRPr="00A133CF" w:rsidRDefault="00DE3BEE" w:rsidP="00DE3BEE">
      <w:r w:rsidRPr="00A133CF">
        <w:t>The 20% ACMA figure comes from Doc 5-1/478, where it is stated to be appropriate for wide-area interference into satellites. The document also proposes a 50% value ‘for studies involving a small area where there are only a few IMT transmitters’, but notes that “In a small area with a few IMT transmitters, if the loading is approaching 50%, then the IMT network performance will not be sufficient… every MNO will try to avoid local situations … where loading is greater than 20%”</w:t>
      </w:r>
      <w:r w:rsidR="00DF0DE7">
        <w:t>.</w:t>
      </w:r>
    </w:p>
    <w:p w14:paraId="3A5DB4D2" w14:textId="77777777" w:rsidR="00DE3BEE" w:rsidRPr="00A133CF" w:rsidRDefault="00DE3BEE" w:rsidP="00DE3BEE">
      <w:r w:rsidRPr="00A133CF">
        <w:lastRenderedPageBreak/>
        <w:t>From experience with terrestrial network planning we would concur that a network cannot maintain stability if the network loading over larger areas approaches 50 %. In a local area a few BSs (5-10) can exceed 50 % for shorter periods; the network is designed for such a situation and individual BSs may approach a 100 % loading for shorter periods of time. For aggregated interference for an area of a radius of 250 km it is not practical to get to more than 20 % averaged over the area.</w:t>
      </w:r>
    </w:p>
    <w:p w14:paraId="37EEA5DF" w14:textId="77777777" w:rsidR="00DE3BEE" w:rsidRPr="00D21EAB" w:rsidRDefault="00DC068B" w:rsidP="00DC068B">
      <w:pPr>
        <w:pStyle w:val="Heading3"/>
        <w:ind w:right="-23"/>
        <w:rPr>
          <w:color w:val="7030A0"/>
        </w:rPr>
      </w:pPr>
      <w:bookmarkStart w:id="174" w:name="_Toc19230563"/>
      <w:bookmarkStart w:id="175" w:name="_Toc21429759"/>
      <w:r w:rsidRPr="00D21EAB">
        <w:rPr>
          <w:color w:val="7030A0"/>
        </w:rPr>
        <w:t>E.8</w:t>
      </w:r>
      <w:r w:rsidRPr="00D21EAB">
        <w:rPr>
          <w:color w:val="7030A0"/>
        </w:rPr>
        <w:tab/>
      </w:r>
      <w:r w:rsidR="00DE3BEE" w:rsidRPr="00D21EAB">
        <w:rPr>
          <w:color w:val="7030A0"/>
        </w:rPr>
        <w:t>IMT BS activity factor (Uplink to downlink ratio)</w:t>
      </w:r>
      <w:bookmarkEnd w:id="174"/>
      <w:bookmarkEnd w:id="175"/>
    </w:p>
    <w:p w14:paraId="595E1DB9" w14:textId="77777777" w:rsidR="00DE3BEE" w:rsidRPr="00A133CF" w:rsidRDefault="00DE3BEE" w:rsidP="00DE3BEE">
      <w:r w:rsidRPr="00A133CF">
        <w:t>ACMA assume 80%, while NBN state: “It is difficult to state conclusively that upload-intensive applications will not exist, or that the proportion of upload traffic will not vary with time” and propose a value of 60%.</w:t>
      </w:r>
    </w:p>
    <w:p w14:paraId="0AA72783" w14:textId="77777777" w:rsidR="00DE3BEE" w:rsidRPr="00A133CF" w:rsidRDefault="00DE3BEE" w:rsidP="00DE3BEE">
      <w:r w:rsidRPr="00A133CF">
        <w:t>It isn’t implausible that usage will become more symmetrical, though there is no current evidence of this</w:t>
      </w:r>
      <w:r w:rsidR="00BD5767">
        <w:t>—</w:t>
      </w:r>
      <w:r w:rsidRPr="00A133CF">
        <w:t>AR and VR applications are still dominated by the downlink. Real-time, multiple video/radar streams from driverless vehicles might be an alternative example. A recent research paper</w:t>
      </w:r>
      <w:r w:rsidRPr="00C026B7">
        <w:rPr>
          <w:vertAlign w:val="superscript"/>
        </w:rPr>
        <w:footnoteReference w:id="39"/>
      </w:r>
      <w:r w:rsidRPr="00A133CF">
        <w:t xml:space="preserve"> by David </w:t>
      </w:r>
      <w:proofErr w:type="spellStart"/>
      <w:r w:rsidRPr="00A133CF">
        <w:t>Wiseley</w:t>
      </w:r>
      <w:proofErr w:type="spellEnd"/>
      <w:r w:rsidRPr="00A133CF">
        <w:t xml:space="preserve"> (BT) notes “Downlink traffic continues to dominate existing networks and most of the applications proposed for </w:t>
      </w:r>
      <w:proofErr w:type="spellStart"/>
      <w:r w:rsidRPr="00A133CF">
        <w:t>eMBB</w:t>
      </w:r>
      <w:proofErr w:type="spellEnd"/>
      <w:r w:rsidRPr="00A133CF">
        <w:t xml:space="preserve"> are highly asymmetric with a preponderance of downlink traffic. Thus we have chosen TDD, with a DL</w:t>
      </w:r>
      <w:proofErr w:type="gramStart"/>
      <w:r w:rsidRPr="00A133CF">
        <w:t>:UL</w:t>
      </w:r>
      <w:proofErr w:type="gramEnd"/>
      <w:r w:rsidRPr="00A133CF">
        <w:t xml:space="preserve"> ratio of 10:1”. The impact of changing this assumption depends on the balance between UE and BS interference at the satellite, which, in turn, depends on geometry, clutter and antenna patterns.</w:t>
      </w:r>
    </w:p>
    <w:p w14:paraId="49A3963E" w14:textId="77777777" w:rsidR="00DE3BEE" w:rsidRPr="00A133CF" w:rsidRDefault="00DE3BEE" w:rsidP="00DE3BEE">
      <w:r w:rsidRPr="00A133CF">
        <w:t>For hot spots in urban and suburban areas the areas covered will also be covered by sub-6GHz BS so the hot spot effectively serves as a Secondary Downlink (SDL). Where used for FWA it is less clear that 80 % download is correct based on synchronisation ratios adopted for lower frequency bands (e.g. 3:1 adopted by the ACMA in the 3.5 GHz band).</w:t>
      </w:r>
      <w:r w:rsidR="00232CCD">
        <w:t xml:space="preserve"> </w:t>
      </w:r>
      <w:r w:rsidRPr="00A133CF">
        <w:t>However, the number of FWA with fixed antennas seem likely to be a small fraction of the UEs served by urban/suburban hot spots.</w:t>
      </w:r>
    </w:p>
    <w:p w14:paraId="23C7B792" w14:textId="77777777" w:rsidR="00DE3BEE" w:rsidRPr="00A133CF" w:rsidRDefault="00DE3BEE" w:rsidP="00DE3BEE">
      <w:r w:rsidRPr="00A133CF">
        <w:t xml:space="preserve">The services currently identified for 5G </w:t>
      </w:r>
      <w:proofErr w:type="spellStart"/>
      <w:r w:rsidRPr="00A133CF">
        <w:t>mmWave</w:t>
      </w:r>
      <w:proofErr w:type="spellEnd"/>
      <w:r w:rsidRPr="00A133CF">
        <w:t xml:space="preserve"> tend to be downlink centric as demonstrated for automotive services.</w:t>
      </w:r>
    </w:p>
    <w:p w14:paraId="3FDA16DC" w14:textId="77777777" w:rsidR="00DE3BEE" w:rsidRPr="00A133CF" w:rsidRDefault="00DE3BEE" w:rsidP="00DC068B">
      <w:pPr>
        <w:pStyle w:val="Tablefigureheading"/>
      </w:pPr>
      <w:bookmarkStart w:id="176" w:name="_Ref18367895"/>
      <w:bookmarkStart w:id="177" w:name="_Toc21429779"/>
      <w:r w:rsidRPr="00A133CF">
        <w:t xml:space="preserve">Table </w:t>
      </w:r>
      <w:r w:rsidR="009D475F">
        <w:fldChar w:fldCharType="begin"/>
      </w:r>
      <w:r w:rsidR="009D475F">
        <w:instrText xml:space="preserve"> STYLEREF 6 \s </w:instrText>
      </w:r>
      <w:r w:rsidR="009D475F">
        <w:fldChar w:fldCharType="separate"/>
      </w:r>
      <w:r w:rsidRPr="00A133CF">
        <w:t>E</w:t>
      </w:r>
      <w:r w:rsidR="009D475F">
        <w:fldChar w:fldCharType="end"/>
      </w:r>
      <w:r w:rsidRPr="00A133CF">
        <w:t>.</w:t>
      </w:r>
      <w:r w:rsidR="009D475F">
        <w:fldChar w:fldCharType="begin"/>
      </w:r>
      <w:r w:rsidR="009D475F">
        <w:instrText xml:space="preserve"> SEQ Table \* ARABIC \s 6 </w:instrText>
      </w:r>
      <w:r w:rsidR="009D475F">
        <w:fldChar w:fldCharType="separate"/>
      </w:r>
      <w:r w:rsidRPr="00A133CF">
        <w:t>3</w:t>
      </w:r>
      <w:r w:rsidR="009D475F">
        <w:fldChar w:fldCharType="end"/>
      </w:r>
      <w:bookmarkEnd w:id="176"/>
      <w:r w:rsidRPr="00A133CF">
        <w:t>: Requirements for automotive services</w:t>
      </w:r>
      <w:bookmarkEnd w:id="177"/>
    </w:p>
    <w:tbl>
      <w:tblPr>
        <w:tblStyle w:val="PlumTable"/>
        <w:tblW w:w="9608" w:type="dxa"/>
        <w:tblLayout w:type="fixed"/>
        <w:tblCellMar>
          <w:top w:w="28" w:type="dxa"/>
          <w:bottom w:w="85" w:type="dxa"/>
        </w:tblCellMar>
        <w:tblLook w:val="0420" w:firstRow="1" w:lastRow="0" w:firstColumn="0" w:lastColumn="0" w:noHBand="0" w:noVBand="1"/>
        <w:tblDescription w:val="Table E.3: Requirements for automotive services."/>
      </w:tblPr>
      <w:tblGrid>
        <w:gridCol w:w="1921"/>
        <w:gridCol w:w="1921"/>
        <w:gridCol w:w="1922"/>
        <w:gridCol w:w="1922"/>
        <w:gridCol w:w="1922"/>
      </w:tblGrid>
      <w:tr w:rsidR="00DE3BEE" w:rsidRPr="00A133CF" w14:paraId="039D61B4" w14:textId="77777777" w:rsidTr="00DF0DE7">
        <w:trPr>
          <w:cnfStyle w:val="100000000000" w:firstRow="1" w:lastRow="0" w:firstColumn="0" w:lastColumn="0" w:oddVBand="0" w:evenVBand="0" w:oddHBand="0" w:evenHBand="0" w:firstRowFirstColumn="0" w:firstRowLastColumn="0" w:lastRowFirstColumn="0" w:lastRowLastColumn="0"/>
          <w:tblHeader/>
        </w:trPr>
        <w:tc>
          <w:tcPr>
            <w:tcW w:w="1921" w:type="dxa"/>
            <w:shd w:val="clear" w:color="auto" w:fill="4F2683"/>
          </w:tcPr>
          <w:p w14:paraId="2CABBFF4" w14:textId="77777777" w:rsidR="00DE3BEE" w:rsidRPr="00A133CF" w:rsidRDefault="00DE3BEE" w:rsidP="00DC068B">
            <w:pPr>
              <w:pStyle w:val="Tablerowcolumnheading"/>
            </w:pPr>
            <w:r w:rsidRPr="00A133CF">
              <w:t>Service</w:t>
            </w:r>
          </w:p>
        </w:tc>
        <w:tc>
          <w:tcPr>
            <w:tcW w:w="1921" w:type="dxa"/>
            <w:shd w:val="clear" w:color="auto" w:fill="4F2683"/>
          </w:tcPr>
          <w:p w14:paraId="53EFB8CC" w14:textId="77777777" w:rsidR="00DE3BEE" w:rsidRPr="00A133CF" w:rsidRDefault="00DE3BEE" w:rsidP="00DC068B">
            <w:pPr>
              <w:pStyle w:val="Tablerowcolumnheading"/>
            </w:pPr>
            <w:r w:rsidRPr="00A133CF">
              <w:t>Quantity of data to transmit (per month)</w:t>
            </w:r>
          </w:p>
        </w:tc>
        <w:tc>
          <w:tcPr>
            <w:tcW w:w="1922" w:type="dxa"/>
            <w:shd w:val="clear" w:color="auto" w:fill="4F2683"/>
          </w:tcPr>
          <w:p w14:paraId="2E915D0D" w14:textId="77777777" w:rsidR="00DE3BEE" w:rsidRPr="00A133CF" w:rsidRDefault="00DE3BEE" w:rsidP="00DC068B">
            <w:pPr>
              <w:pStyle w:val="Tablerowcolumnheading"/>
            </w:pPr>
            <w:r w:rsidRPr="00A133CF">
              <w:t>Latency</w:t>
            </w:r>
          </w:p>
          <w:p w14:paraId="19AB87A1" w14:textId="77777777" w:rsidR="00DE3BEE" w:rsidRPr="00A133CF" w:rsidRDefault="00DE3BEE" w:rsidP="00DC068B">
            <w:pPr>
              <w:pStyle w:val="Tablerowcolumnheading"/>
            </w:pPr>
          </w:p>
        </w:tc>
        <w:tc>
          <w:tcPr>
            <w:tcW w:w="1922" w:type="dxa"/>
            <w:shd w:val="clear" w:color="auto" w:fill="4F2683"/>
          </w:tcPr>
          <w:p w14:paraId="647EDF09" w14:textId="77777777" w:rsidR="00DE3BEE" w:rsidRPr="00A133CF" w:rsidRDefault="00DE3BEE" w:rsidP="00DC068B">
            <w:pPr>
              <w:pStyle w:val="Tablerowcolumnheading"/>
            </w:pPr>
            <w:r w:rsidRPr="00A133CF">
              <w:t>Data rate</w:t>
            </w:r>
          </w:p>
        </w:tc>
        <w:tc>
          <w:tcPr>
            <w:tcW w:w="1922" w:type="dxa"/>
            <w:shd w:val="clear" w:color="auto" w:fill="4F2683"/>
          </w:tcPr>
          <w:p w14:paraId="723F5B45" w14:textId="77777777" w:rsidR="00DE3BEE" w:rsidRPr="00A133CF" w:rsidRDefault="00DE3BEE" w:rsidP="00DC068B">
            <w:pPr>
              <w:pStyle w:val="Tablerowcolumnheading"/>
            </w:pPr>
            <w:r w:rsidRPr="00A133CF">
              <w:t>Traffic direction</w:t>
            </w:r>
          </w:p>
        </w:tc>
      </w:tr>
      <w:tr w:rsidR="00DE3BEE" w:rsidRPr="00A133CF" w14:paraId="43FDD160" w14:textId="77777777" w:rsidTr="00DF0DE7">
        <w:tc>
          <w:tcPr>
            <w:tcW w:w="1921" w:type="dxa"/>
          </w:tcPr>
          <w:p w14:paraId="47B9DEC7" w14:textId="77777777" w:rsidR="00DE3BEE" w:rsidRPr="00A133CF" w:rsidRDefault="00DE3BEE" w:rsidP="00DC068B">
            <w:pPr>
              <w:pStyle w:val="Tabletext"/>
            </w:pPr>
            <w:r w:rsidRPr="00A133CF">
              <w:t>Infotainment</w:t>
            </w:r>
          </w:p>
        </w:tc>
        <w:tc>
          <w:tcPr>
            <w:tcW w:w="1921" w:type="dxa"/>
          </w:tcPr>
          <w:p w14:paraId="40A44E76" w14:textId="77777777" w:rsidR="00DE3BEE" w:rsidRPr="00A133CF" w:rsidRDefault="00DE3BEE" w:rsidP="00DC068B">
            <w:pPr>
              <w:pStyle w:val="Tabletext"/>
            </w:pPr>
            <w:r w:rsidRPr="00A133CF">
              <w:t>Up to 20 GB per month</w:t>
            </w:r>
          </w:p>
        </w:tc>
        <w:tc>
          <w:tcPr>
            <w:tcW w:w="1922" w:type="dxa"/>
          </w:tcPr>
          <w:p w14:paraId="7A62DA5B" w14:textId="77777777" w:rsidR="00DE3BEE" w:rsidRPr="00A133CF" w:rsidRDefault="00DE3BEE" w:rsidP="00DC068B">
            <w:pPr>
              <w:pStyle w:val="Tabletext"/>
            </w:pPr>
            <w:r w:rsidRPr="00A133CF">
              <w:t xml:space="preserve">Low latency (&lt; 10 </w:t>
            </w:r>
            <w:proofErr w:type="spellStart"/>
            <w:r w:rsidRPr="00A133CF">
              <w:t>ms</w:t>
            </w:r>
            <w:proofErr w:type="spellEnd"/>
            <w:r w:rsidRPr="00A133CF">
              <w:t xml:space="preserve">) </w:t>
            </w:r>
          </w:p>
        </w:tc>
        <w:tc>
          <w:tcPr>
            <w:tcW w:w="1922" w:type="dxa"/>
          </w:tcPr>
          <w:p w14:paraId="3D5FDEED" w14:textId="77777777" w:rsidR="00DE3BEE" w:rsidRPr="00A133CF" w:rsidRDefault="00DE3BEE" w:rsidP="00DC068B">
            <w:pPr>
              <w:pStyle w:val="Tabletext"/>
            </w:pPr>
            <w:r w:rsidRPr="00A133CF">
              <w:t>&gt; 100 Mbps</w:t>
            </w:r>
          </w:p>
        </w:tc>
        <w:tc>
          <w:tcPr>
            <w:tcW w:w="1922" w:type="dxa"/>
          </w:tcPr>
          <w:p w14:paraId="21F80C55" w14:textId="77777777" w:rsidR="00DE3BEE" w:rsidRPr="00A133CF" w:rsidRDefault="00DE3BEE" w:rsidP="00DC068B">
            <w:pPr>
              <w:pStyle w:val="Tabletext"/>
            </w:pPr>
            <w:r w:rsidRPr="00A133CF">
              <w:t>Downlink</w:t>
            </w:r>
          </w:p>
        </w:tc>
      </w:tr>
      <w:tr w:rsidR="00DE3BEE" w:rsidRPr="00A133CF" w14:paraId="6B5B4E7B" w14:textId="77777777" w:rsidTr="00DF0DE7">
        <w:trPr>
          <w:cnfStyle w:val="000000010000" w:firstRow="0" w:lastRow="0" w:firstColumn="0" w:lastColumn="0" w:oddVBand="0" w:evenVBand="0" w:oddHBand="0" w:evenHBand="1" w:firstRowFirstColumn="0" w:firstRowLastColumn="0" w:lastRowFirstColumn="0" w:lastRowLastColumn="0"/>
        </w:trPr>
        <w:tc>
          <w:tcPr>
            <w:tcW w:w="1921" w:type="dxa"/>
          </w:tcPr>
          <w:p w14:paraId="7B562810" w14:textId="77777777" w:rsidR="00DE3BEE" w:rsidRPr="00A133CF" w:rsidRDefault="00DE3BEE" w:rsidP="00C026B7">
            <w:pPr>
              <w:pStyle w:val="Tabletext"/>
            </w:pPr>
            <w:proofErr w:type="spellStart"/>
            <w:r w:rsidRPr="00A133CF">
              <w:t>WiFi</w:t>
            </w:r>
            <w:proofErr w:type="spellEnd"/>
            <w:r w:rsidRPr="00A133CF">
              <w:t xml:space="preserve"> hotspot</w:t>
            </w:r>
          </w:p>
        </w:tc>
        <w:tc>
          <w:tcPr>
            <w:tcW w:w="1921" w:type="dxa"/>
          </w:tcPr>
          <w:p w14:paraId="334BE600" w14:textId="77777777" w:rsidR="00DE3BEE" w:rsidRPr="00A133CF" w:rsidRDefault="00DE3BEE" w:rsidP="00DC068B">
            <w:pPr>
              <w:pStyle w:val="Tabletext"/>
            </w:pPr>
            <w:r w:rsidRPr="00A133CF">
              <w:t>Tens of GB</w:t>
            </w:r>
          </w:p>
        </w:tc>
        <w:tc>
          <w:tcPr>
            <w:tcW w:w="1922" w:type="dxa"/>
          </w:tcPr>
          <w:p w14:paraId="01C34EF8" w14:textId="77777777" w:rsidR="00DE3BEE" w:rsidRPr="00A133CF" w:rsidRDefault="00DE3BEE" w:rsidP="00DC068B">
            <w:pPr>
              <w:pStyle w:val="Tabletext"/>
            </w:pPr>
            <w:r w:rsidRPr="00A133CF">
              <w:t>Low latency for critical applications (video mainly or e-commerce)</w:t>
            </w:r>
          </w:p>
        </w:tc>
        <w:tc>
          <w:tcPr>
            <w:tcW w:w="1922" w:type="dxa"/>
          </w:tcPr>
          <w:p w14:paraId="3CB91FB7" w14:textId="77777777" w:rsidR="00DE3BEE" w:rsidRPr="00A133CF" w:rsidRDefault="00DE3BEE" w:rsidP="00DC068B">
            <w:pPr>
              <w:pStyle w:val="Tabletext"/>
            </w:pPr>
            <w:r w:rsidRPr="00A133CF">
              <w:t>&gt; 100 Mbps</w:t>
            </w:r>
          </w:p>
        </w:tc>
        <w:tc>
          <w:tcPr>
            <w:tcW w:w="1922" w:type="dxa"/>
          </w:tcPr>
          <w:p w14:paraId="25027BFD" w14:textId="77777777" w:rsidR="00DE3BEE" w:rsidRPr="00A133CF" w:rsidRDefault="00DE3BEE" w:rsidP="00DC068B">
            <w:pPr>
              <w:pStyle w:val="Tabletext"/>
            </w:pPr>
            <w:r w:rsidRPr="00A133CF">
              <w:t xml:space="preserve">Downlink </w:t>
            </w:r>
          </w:p>
        </w:tc>
      </w:tr>
      <w:tr w:rsidR="00DE3BEE" w:rsidRPr="00A133CF" w14:paraId="6CC3A0F9" w14:textId="77777777" w:rsidTr="00DF0DE7">
        <w:tc>
          <w:tcPr>
            <w:tcW w:w="1921" w:type="dxa"/>
          </w:tcPr>
          <w:p w14:paraId="28DEC004" w14:textId="77777777" w:rsidR="00DE3BEE" w:rsidRPr="00A133CF" w:rsidRDefault="00DE3BEE" w:rsidP="00DC068B">
            <w:pPr>
              <w:pStyle w:val="Tabletext"/>
            </w:pPr>
            <w:r w:rsidRPr="00A133CF">
              <w:t>Software updates</w:t>
            </w:r>
          </w:p>
        </w:tc>
        <w:tc>
          <w:tcPr>
            <w:tcW w:w="1921" w:type="dxa"/>
          </w:tcPr>
          <w:p w14:paraId="047932B2" w14:textId="77777777" w:rsidR="00DE3BEE" w:rsidRPr="00A133CF" w:rsidRDefault="00DE3BEE" w:rsidP="00DC068B">
            <w:pPr>
              <w:pStyle w:val="Tabletext"/>
            </w:pPr>
            <w:r w:rsidRPr="00A133CF">
              <w:t>Tens of GB</w:t>
            </w:r>
          </w:p>
        </w:tc>
        <w:tc>
          <w:tcPr>
            <w:tcW w:w="1922" w:type="dxa"/>
          </w:tcPr>
          <w:p w14:paraId="389A96F4" w14:textId="77777777" w:rsidR="00DE3BEE" w:rsidRPr="00A133CF" w:rsidRDefault="00DE3BEE" w:rsidP="00DC068B">
            <w:pPr>
              <w:pStyle w:val="Tabletext"/>
            </w:pPr>
            <w:r w:rsidRPr="00A133CF">
              <w:t>Not really a real-time issue (on-demand )</w:t>
            </w:r>
          </w:p>
        </w:tc>
        <w:tc>
          <w:tcPr>
            <w:tcW w:w="1922" w:type="dxa"/>
          </w:tcPr>
          <w:p w14:paraId="1D9DE2A3" w14:textId="77777777" w:rsidR="00DE3BEE" w:rsidRPr="00A133CF" w:rsidRDefault="00DE3BEE" w:rsidP="00DC068B">
            <w:pPr>
              <w:pStyle w:val="Tabletext"/>
            </w:pPr>
            <w:r w:rsidRPr="00A133CF">
              <w:t>&gt; 100 Mbps</w:t>
            </w:r>
          </w:p>
        </w:tc>
        <w:tc>
          <w:tcPr>
            <w:tcW w:w="1922" w:type="dxa"/>
          </w:tcPr>
          <w:p w14:paraId="4D0C5271" w14:textId="77777777" w:rsidR="00DE3BEE" w:rsidRPr="00A133CF" w:rsidRDefault="00DE3BEE" w:rsidP="00DC068B">
            <w:pPr>
              <w:pStyle w:val="Tabletext"/>
            </w:pPr>
            <w:r w:rsidRPr="00A133CF">
              <w:t>Downlink</w:t>
            </w:r>
          </w:p>
        </w:tc>
      </w:tr>
      <w:tr w:rsidR="00DE3BEE" w:rsidRPr="00A133CF" w14:paraId="233B4C29" w14:textId="77777777" w:rsidTr="00DF0DE7">
        <w:trPr>
          <w:cnfStyle w:val="000000010000" w:firstRow="0" w:lastRow="0" w:firstColumn="0" w:lastColumn="0" w:oddVBand="0" w:evenVBand="0" w:oddHBand="0" w:evenHBand="1" w:firstRowFirstColumn="0" w:firstRowLastColumn="0" w:lastRowFirstColumn="0" w:lastRowLastColumn="0"/>
        </w:trPr>
        <w:tc>
          <w:tcPr>
            <w:tcW w:w="1921" w:type="dxa"/>
          </w:tcPr>
          <w:p w14:paraId="28036E30" w14:textId="77777777" w:rsidR="00DE3BEE" w:rsidRPr="00A133CF" w:rsidRDefault="00DE3BEE" w:rsidP="00DC068B">
            <w:pPr>
              <w:pStyle w:val="Tabletext"/>
            </w:pPr>
            <w:r w:rsidRPr="00A133CF">
              <w:t xml:space="preserve">Autonomous vehicles </w:t>
            </w:r>
          </w:p>
        </w:tc>
        <w:tc>
          <w:tcPr>
            <w:tcW w:w="1921" w:type="dxa"/>
          </w:tcPr>
          <w:p w14:paraId="26A6F97C" w14:textId="77777777" w:rsidR="00DE3BEE" w:rsidRPr="00A133CF" w:rsidRDefault="00DE3BEE" w:rsidP="00DC068B">
            <w:pPr>
              <w:pStyle w:val="Tabletext"/>
            </w:pPr>
            <w:r w:rsidRPr="00A133CF">
              <w:t>-</w:t>
            </w:r>
          </w:p>
        </w:tc>
        <w:tc>
          <w:tcPr>
            <w:tcW w:w="1922" w:type="dxa"/>
          </w:tcPr>
          <w:p w14:paraId="6EBDDFEA" w14:textId="77777777" w:rsidR="00DE3BEE" w:rsidRPr="00A133CF" w:rsidRDefault="00DE3BEE" w:rsidP="00DC068B">
            <w:pPr>
              <w:pStyle w:val="Tabletext"/>
            </w:pPr>
            <w:r w:rsidRPr="00A133CF">
              <w:t xml:space="preserve">A maximum network end-to-end delay (including device detection, connection setup and radio transmission) of 5 </w:t>
            </w:r>
            <w:proofErr w:type="spellStart"/>
            <w:r w:rsidRPr="00A133CF">
              <w:t>ms</w:t>
            </w:r>
            <w:proofErr w:type="spellEnd"/>
          </w:p>
        </w:tc>
        <w:tc>
          <w:tcPr>
            <w:tcW w:w="1922" w:type="dxa"/>
          </w:tcPr>
          <w:p w14:paraId="0543F3FF" w14:textId="77777777" w:rsidR="00DE3BEE" w:rsidRPr="00A133CF" w:rsidRDefault="00DE3BEE" w:rsidP="00DC068B">
            <w:pPr>
              <w:pStyle w:val="Tabletext"/>
            </w:pPr>
            <w:r w:rsidRPr="00A133CF">
              <w:t>&gt; 100 Mbps</w:t>
            </w:r>
          </w:p>
        </w:tc>
        <w:tc>
          <w:tcPr>
            <w:tcW w:w="1922" w:type="dxa"/>
          </w:tcPr>
          <w:p w14:paraId="1AF424FA" w14:textId="77777777" w:rsidR="00DE3BEE" w:rsidRPr="00A133CF" w:rsidRDefault="00DE3BEE" w:rsidP="00DC068B">
            <w:pPr>
              <w:pStyle w:val="Tabletext"/>
            </w:pPr>
            <w:r w:rsidRPr="00A133CF">
              <w:t>Downlink and uplink</w:t>
            </w:r>
          </w:p>
        </w:tc>
      </w:tr>
    </w:tbl>
    <w:p w14:paraId="34E5835B" w14:textId="77777777" w:rsidR="00DE3BEE" w:rsidRPr="00A133CF" w:rsidRDefault="00DE3BEE" w:rsidP="00DC068B">
      <w:pPr>
        <w:pStyle w:val="Sourcenote"/>
      </w:pPr>
      <w:r w:rsidRPr="00A133CF">
        <w:lastRenderedPageBreak/>
        <w:t>Source: IDATE</w:t>
      </w:r>
    </w:p>
    <w:p w14:paraId="63ED1851" w14:textId="77777777" w:rsidR="00DE3BEE" w:rsidRPr="00A133CF" w:rsidRDefault="00DE3BEE" w:rsidP="00DC068B">
      <w:pPr>
        <w:pStyle w:val="Tablefigureheading"/>
      </w:pPr>
      <w:bookmarkStart w:id="178" w:name="_Toc21429780"/>
      <w:r w:rsidRPr="00A133CF">
        <w:t xml:space="preserve">Table </w:t>
      </w:r>
      <w:r w:rsidR="009D475F">
        <w:fldChar w:fldCharType="begin"/>
      </w:r>
      <w:r w:rsidR="009D475F">
        <w:instrText xml:space="preserve"> STYLEREF 6 \s </w:instrText>
      </w:r>
      <w:r w:rsidR="009D475F">
        <w:fldChar w:fldCharType="separate"/>
      </w:r>
      <w:r w:rsidRPr="00A133CF">
        <w:t>E</w:t>
      </w:r>
      <w:r w:rsidR="009D475F">
        <w:fldChar w:fldCharType="end"/>
      </w:r>
      <w:r w:rsidRPr="00A133CF">
        <w:t>.</w:t>
      </w:r>
      <w:r w:rsidR="009D475F">
        <w:fldChar w:fldCharType="begin"/>
      </w:r>
      <w:r w:rsidR="009D475F">
        <w:instrText xml:space="preserve"> SEQ Table \* ARABIC \s 6 </w:instrText>
      </w:r>
      <w:r w:rsidR="009D475F">
        <w:fldChar w:fldCharType="separate"/>
      </w:r>
      <w:r w:rsidRPr="00A133CF">
        <w:t>4</w:t>
      </w:r>
      <w:r w:rsidR="009D475F">
        <w:fldChar w:fldCharType="end"/>
      </w:r>
      <w:r w:rsidRPr="00A133CF">
        <w:t>: Technical requirements for manufacturing / Industrial automation</w:t>
      </w:r>
      <w:bookmarkEnd w:id="178"/>
    </w:p>
    <w:tbl>
      <w:tblPr>
        <w:tblStyle w:val="PlumTable"/>
        <w:tblW w:w="9608" w:type="dxa"/>
        <w:tblLayout w:type="fixed"/>
        <w:tblCellMar>
          <w:top w:w="28" w:type="dxa"/>
          <w:bottom w:w="28" w:type="dxa"/>
        </w:tblCellMar>
        <w:tblLook w:val="0420" w:firstRow="1" w:lastRow="0" w:firstColumn="0" w:lastColumn="0" w:noHBand="0" w:noVBand="1"/>
        <w:tblDescription w:val="Table E.4: Technical requirements for manufacturing / Industrial automation"/>
      </w:tblPr>
      <w:tblGrid>
        <w:gridCol w:w="1921"/>
        <w:gridCol w:w="1921"/>
        <w:gridCol w:w="1922"/>
        <w:gridCol w:w="1922"/>
        <w:gridCol w:w="1922"/>
      </w:tblGrid>
      <w:tr w:rsidR="00DE3BEE" w:rsidRPr="00A133CF" w14:paraId="27B07785" w14:textId="77777777" w:rsidTr="00DF0DE7">
        <w:trPr>
          <w:cnfStyle w:val="100000000000" w:firstRow="1" w:lastRow="0" w:firstColumn="0" w:lastColumn="0" w:oddVBand="0" w:evenVBand="0" w:oddHBand="0" w:evenHBand="0" w:firstRowFirstColumn="0" w:firstRowLastColumn="0" w:lastRowFirstColumn="0" w:lastRowLastColumn="0"/>
          <w:tblHeader/>
        </w:trPr>
        <w:tc>
          <w:tcPr>
            <w:tcW w:w="1921" w:type="dxa"/>
            <w:shd w:val="clear" w:color="auto" w:fill="4F2683"/>
          </w:tcPr>
          <w:p w14:paraId="19CAC899" w14:textId="77777777" w:rsidR="00DE3BEE" w:rsidRPr="00A133CF" w:rsidRDefault="00DE3BEE" w:rsidP="00DC068B">
            <w:pPr>
              <w:pStyle w:val="Tablerowcolumnheading"/>
            </w:pPr>
            <w:r w:rsidRPr="00A133CF">
              <w:t>Service</w:t>
            </w:r>
          </w:p>
        </w:tc>
        <w:tc>
          <w:tcPr>
            <w:tcW w:w="1921" w:type="dxa"/>
            <w:shd w:val="clear" w:color="auto" w:fill="4F2683"/>
          </w:tcPr>
          <w:p w14:paraId="137E6203" w14:textId="77777777" w:rsidR="00DE3BEE" w:rsidRPr="00A133CF" w:rsidRDefault="00DE3BEE" w:rsidP="00DC068B">
            <w:pPr>
              <w:pStyle w:val="Tablerowcolumnheading"/>
            </w:pPr>
            <w:r w:rsidRPr="00A133CF">
              <w:t>Quantity of data to transmit (per month)</w:t>
            </w:r>
          </w:p>
        </w:tc>
        <w:tc>
          <w:tcPr>
            <w:tcW w:w="1922" w:type="dxa"/>
            <w:shd w:val="clear" w:color="auto" w:fill="4F2683"/>
          </w:tcPr>
          <w:p w14:paraId="7282CB0E" w14:textId="77777777" w:rsidR="00DE3BEE" w:rsidRPr="00A133CF" w:rsidRDefault="00DE3BEE" w:rsidP="00DC068B">
            <w:pPr>
              <w:pStyle w:val="Tablerowcolumnheading"/>
            </w:pPr>
            <w:r w:rsidRPr="00A133CF">
              <w:t>Latency</w:t>
            </w:r>
          </w:p>
          <w:p w14:paraId="1EB4BA3F" w14:textId="77777777" w:rsidR="00DE3BEE" w:rsidRPr="00A133CF" w:rsidRDefault="00DE3BEE" w:rsidP="00DC068B">
            <w:pPr>
              <w:pStyle w:val="Tablerowcolumnheading"/>
            </w:pPr>
          </w:p>
        </w:tc>
        <w:tc>
          <w:tcPr>
            <w:tcW w:w="1922" w:type="dxa"/>
            <w:shd w:val="clear" w:color="auto" w:fill="4F2683"/>
          </w:tcPr>
          <w:p w14:paraId="1659B491" w14:textId="77777777" w:rsidR="00DE3BEE" w:rsidRPr="00A133CF" w:rsidRDefault="00DE3BEE" w:rsidP="00DC068B">
            <w:pPr>
              <w:pStyle w:val="Tablerowcolumnheading"/>
            </w:pPr>
            <w:r w:rsidRPr="00A133CF">
              <w:t>Data rate</w:t>
            </w:r>
          </w:p>
        </w:tc>
        <w:tc>
          <w:tcPr>
            <w:tcW w:w="1922" w:type="dxa"/>
            <w:shd w:val="clear" w:color="auto" w:fill="4F2683"/>
          </w:tcPr>
          <w:p w14:paraId="0A70E290" w14:textId="77777777" w:rsidR="00DE3BEE" w:rsidRPr="00A133CF" w:rsidRDefault="00DE3BEE" w:rsidP="00DC068B">
            <w:pPr>
              <w:pStyle w:val="Tablerowcolumnheading"/>
            </w:pPr>
            <w:r w:rsidRPr="00A133CF">
              <w:t>Traffic direction</w:t>
            </w:r>
          </w:p>
        </w:tc>
      </w:tr>
      <w:tr w:rsidR="00DE3BEE" w:rsidRPr="00A133CF" w14:paraId="50576CAD" w14:textId="77777777" w:rsidTr="00DF0DE7">
        <w:tc>
          <w:tcPr>
            <w:tcW w:w="1921" w:type="dxa"/>
          </w:tcPr>
          <w:p w14:paraId="37E5EE8D" w14:textId="77777777" w:rsidR="00DE3BEE" w:rsidRPr="00A133CF" w:rsidRDefault="00DE3BEE" w:rsidP="00DC068B">
            <w:pPr>
              <w:pStyle w:val="Tabletext"/>
            </w:pPr>
            <w:proofErr w:type="spellStart"/>
            <w:r w:rsidRPr="00A133CF">
              <w:t>WiFi</w:t>
            </w:r>
            <w:proofErr w:type="spellEnd"/>
            <w:r w:rsidRPr="00A133CF">
              <w:t xml:space="preserve"> hotspot</w:t>
            </w:r>
          </w:p>
        </w:tc>
        <w:tc>
          <w:tcPr>
            <w:tcW w:w="1921" w:type="dxa"/>
          </w:tcPr>
          <w:p w14:paraId="0AFD6AC5" w14:textId="77777777" w:rsidR="00DE3BEE" w:rsidRPr="00A133CF" w:rsidRDefault="00DE3BEE" w:rsidP="00DC068B">
            <w:pPr>
              <w:pStyle w:val="Tabletext"/>
            </w:pPr>
            <w:r w:rsidRPr="00A133CF">
              <w:t>In TB</w:t>
            </w:r>
          </w:p>
        </w:tc>
        <w:tc>
          <w:tcPr>
            <w:tcW w:w="1922" w:type="dxa"/>
          </w:tcPr>
          <w:p w14:paraId="36F5CF59" w14:textId="77777777" w:rsidR="00DE3BEE" w:rsidRPr="00A133CF" w:rsidRDefault="00DE3BEE" w:rsidP="00DC068B">
            <w:pPr>
              <w:pStyle w:val="Tabletext"/>
            </w:pPr>
            <w:r w:rsidRPr="00A133CF">
              <w:t>Low latency for critical applications (video mainly or ecommerce)</w:t>
            </w:r>
          </w:p>
        </w:tc>
        <w:tc>
          <w:tcPr>
            <w:tcW w:w="1922" w:type="dxa"/>
          </w:tcPr>
          <w:p w14:paraId="0F2063A0" w14:textId="77777777" w:rsidR="00DE3BEE" w:rsidRPr="00A133CF" w:rsidRDefault="00DE3BEE" w:rsidP="00DC068B">
            <w:pPr>
              <w:pStyle w:val="Tabletext"/>
            </w:pPr>
            <w:r w:rsidRPr="00A133CF">
              <w:t>The more the better</w:t>
            </w:r>
          </w:p>
          <w:p w14:paraId="689A9FE1" w14:textId="77777777" w:rsidR="00DE3BEE" w:rsidRPr="00A133CF" w:rsidRDefault="00DE3BEE" w:rsidP="00DC068B">
            <w:pPr>
              <w:pStyle w:val="Tabletext"/>
            </w:pPr>
            <w:r w:rsidRPr="00A133CF">
              <w:t xml:space="preserve">(1 </w:t>
            </w:r>
            <w:proofErr w:type="spellStart"/>
            <w:r w:rsidRPr="00A133CF">
              <w:t>Gbps</w:t>
            </w:r>
            <w:proofErr w:type="spellEnd"/>
            <w:r w:rsidRPr="00A133CF">
              <w:t>)</w:t>
            </w:r>
          </w:p>
        </w:tc>
        <w:tc>
          <w:tcPr>
            <w:tcW w:w="1922" w:type="dxa"/>
          </w:tcPr>
          <w:p w14:paraId="0EF461C5" w14:textId="77777777" w:rsidR="00DE3BEE" w:rsidRPr="00A133CF" w:rsidRDefault="00DE3BEE" w:rsidP="00DC068B">
            <w:pPr>
              <w:pStyle w:val="Tabletext"/>
            </w:pPr>
            <w:r w:rsidRPr="00A133CF">
              <w:t>Downlink mainly</w:t>
            </w:r>
          </w:p>
        </w:tc>
      </w:tr>
      <w:tr w:rsidR="00DE3BEE" w:rsidRPr="00A133CF" w14:paraId="0124F5DA" w14:textId="77777777" w:rsidTr="00DF0DE7">
        <w:trPr>
          <w:cnfStyle w:val="000000010000" w:firstRow="0" w:lastRow="0" w:firstColumn="0" w:lastColumn="0" w:oddVBand="0" w:evenVBand="0" w:oddHBand="0" w:evenHBand="1" w:firstRowFirstColumn="0" w:firstRowLastColumn="0" w:lastRowFirstColumn="0" w:lastRowLastColumn="0"/>
        </w:trPr>
        <w:tc>
          <w:tcPr>
            <w:tcW w:w="1921" w:type="dxa"/>
          </w:tcPr>
          <w:p w14:paraId="44F105D5" w14:textId="77777777" w:rsidR="00DE3BEE" w:rsidRPr="00A133CF" w:rsidRDefault="00DE3BEE" w:rsidP="00DC068B">
            <w:pPr>
              <w:pStyle w:val="Tabletext"/>
            </w:pPr>
            <w:r w:rsidRPr="00A133CF">
              <w:t xml:space="preserve">Video surveillance </w:t>
            </w:r>
          </w:p>
        </w:tc>
        <w:tc>
          <w:tcPr>
            <w:tcW w:w="1921" w:type="dxa"/>
          </w:tcPr>
          <w:p w14:paraId="6D79A62D" w14:textId="77777777" w:rsidR="00DE3BEE" w:rsidRPr="00A133CF" w:rsidRDefault="00DE3BEE" w:rsidP="00DC068B">
            <w:pPr>
              <w:pStyle w:val="Tabletext"/>
            </w:pPr>
            <w:r w:rsidRPr="00A133CF">
              <w:t>Depending on the system</w:t>
            </w:r>
          </w:p>
        </w:tc>
        <w:tc>
          <w:tcPr>
            <w:tcW w:w="1922" w:type="dxa"/>
          </w:tcPr>
          <w:p w14:paraId="6EE8F877" w14:textId="77777777" w:rsidR="00DE3BEE" w:rsidRPr="00A133CF" w:rsidRDefault="00DE3BEE" w:rsidP="00DC068B">
            <w:pPr>
              <w:pStyle w:val="Tabletext"/>
            </w:pPr>
            <w:r w:rsidRPr="00A133CF">
              <w:t>Low latency</w:t>
            </w:r>
          </w:p>
        </w:tc>
        <w:tc>
          <w:tcPr>
            <w:tcW w:w="1922" w:type="dxa"/>
          </w:tcPr>
          <w:p w14:paraId="7A90F1A0" w14:textId="77777777" w:rsidR="00DE3BEE" w:rsidRPr="00A133CF" w:rsidRDefault="00DE3BEE" w:rsidP="00DC068B">
            <w:pPr>
              <w:pStyle w:val="Tabletext"/>
            </w:pPr>
            <w:r w:rsidRPr="00A133CF">
              <w:t>&gt; 50 Mbps</w:t>
            </w:r>
          </w:p>
        </w:tc>
        <w:tc>
          <w:tcPr>
            <w:tcW w:w="1922" w:type="dxa"/>
          </w:tcPr>
          <w:p w14:paraId="259285D5" w14:textId="77777777" w:rsidR="00DE3BEE" w:rsidRPr="00A133CF" w:rsidRDefault="00DE3BEE" w:rsidP="00DC068B">
            <w:pPr>
              <w:pStyle w:val="Tabletext"/>
            </w:pPr>
            <w:r w:rsidRPr="00A133CF">
              <w:t>Uplink</w:t>
            </w:r>
          </w:p>
        </w:tc>
      </w:tr>
      <w:tr w:rsidR="00DE3BEE" w:rsidRPr="00A133CF" w14:paraId="5253BDEA" w14:textId="77777777" w:rsidTr="00DF0DE7">
        <w:tc>
          <w:tcPr>
            <w:tcW w:w="1921" w:type="dxa"/>
          </w:tcPr>
          <w:p w14:paraId="01F86BE3" w14:textId="77777777" w:rsidR="00DE3BEE" w:rsidRPr="00A133CF" w:rsidRDefault="00DE3BEE" w:rsidP="00DC068B">
            <w:pPr>
              <w:pStyle w:val="Tabletext"/>
            </w:pPr>
            <w:r w:rsidRPr="00A133CF">
              <w:t xml:space="preserve">Remote operation </w:t>
            </w:r>
          </w:p>
        </w:tc>
        <w:tc>
          <w:tcPr>
            <w:tcW w:w="1921" w:type="dxa"/>
          </w:tcPr>
          <w:p w14:paraId="324FA614" w14:textId="77777777" w:rsidR="00DE3BEE" w:rsidRPr="00A133CF" w:rsidRDefault="00DE3BEE" w:rsidP="00DC068B">
            <w:pPr>
              <w:pStyle w:val="Tabletext"/>
            </w:pPr>
            <w:r w:rsidRPr="00A133CF">
              <w:t>Variable</w:t>
            </w:r>
          </w:p>
        </w:tc>
        <w:tc>
          <w:tcPr>
            <w:tcW w:w="1922" w:type="dxa"/>
          </w:tcPr>
          <w:p w14:paraId="34A31E99" w14:textId="77777777" w:rsidR="00DE3BEE" w:rsidRPr="00A133CF" w:rsidRDefault="00DE3BEE" w:rsidP="00DC068B">
            <w:pPr>
              <w:pStyle w:val="Tabletext"/>
            </w:pPr>
            <w:r w:rsidRPr="00A133CF">
              <w:t>Low latency</w:t>
            </w:r>
          </w:p>
        </w:tc>
        <w:tc>
          <w:tcPr>
            <w:tcW w:w="1922" w:type="dxa"/>
          </w:tcPr>
          <w:p w14:paraId="70D9B027" w14:textId="77777777" w:rsidR="00DE3BEE" w:rsidRPr="00A133CF" w:rsidRDefault="00DE3BEE" w:rsidP="00DC068B">
            <w:pPr>
              <w:pStyle w:val="Tabletext"/>
            </w:pPr>
            <w:r w:rsidRPr="00A133CF">
              <w:t>The more the better</w:t>
            </w:r>
          </w:p>
          <w:p w14:paraId="6A47C52F" w14:textId="77777777" w:rsidR="00DE3BEE" w:rsidRPr="00A133CF" w:rsidRDefault="00DE3BEE" w:rsidP="00DC068B">
            <w:pPr>
              <w:pStyle w:val="Tabletext"/>
            </w:pPr>
            <w:r w:rsidRPr="00A133CF">
              <w:t xml:space="preserve">(1 </w:t>
            </w:r>
            <w:proofErr w:type="spellStart"/>
            <w:r w:rsidRPr="00A133CF">
              <w:t>Gbps</w:t>
            </w:r>
            <w:proofErr w:type="spellEnd"/>
            <w:r w:rsidRPr="00A133CF">
              <w:t>)</w:t>
            </w:r>
          </w:p>
        </w:tc>
        <w:tc>
          <w:tcPr>
            <w:tcW w:w="1922" w:type="dxa"/>
          </w:tcPr>
          <w:p w14:paraId="5E648BCA" w14:textId="77777777" w:rsidR="00DE3BEE" w:rsidRPr="00A133CF" w:rsidRDefault="00DE3BEE" w:rsidP="00DC068B">
            <w:pPr>
              <w:pStyle w:val="Tabletext"/>
            </w:pPr>
            <w:r w:rsidRPr="00A133CF">
              <w:t>Both downlink and uplink</w:t>
            </w:r>
          </w:p>
        </w:tc>
      </w:tr>
    </w:tbl>
    <w:p w14:paraId="71A9ABAC" w14:textId="77777777" w:rsidR="00DE3BEE" w:rsidRPr="00A133CF" w:rsidRDefault="00DE3BEE" w:rsidP="00DC068B">
      <w:pPr>
        <w:pStyle w:val="Sourcenote"/>
      </w:pPr>
      <w:r w:rsidRPr="00A133CF">
        <w:t>Source: IDATE</w:t>
      </w:r>
    </w:p>
    <w:p w14:paraId="152BD462" w14:textId="77777777" w:rsidR="00DE3BEE" w:rsidRPr="00A133CF" w:rsidRDefault="00DE3BEE" w:rsidP="00DC068B">
      <w:pPr>
        <w:pStyle w:val="Tablefigureheading"/>
      </w:pPr>
      <w:bookmarkStart w:id="179" w:name="_Toc21429781"/>
      <w:r w:rsidRPr="00A133CF">
        <w:t xml:space="preserve">Table </w:t>
      </w:r>
      <w:r w:rsidR="009D475F">
        <w:fldChar w:fldCharType="begin"/>
      </w:r>
      <w:r w:rsidR="009D475F">
        <w:instrText xml:space="preserve"> STYLEREF 6 \s </w:instrText>
      </w:r>
      <w:r w:rsidR="009D475F">
        <w:fldChar w:fldCharType="separate"/>
      </w:r>
      <w:r w:rsidRPr="00A133CF">
        <w:t>E</w:t>
      </w:r>
      <w:r w:rsidR="009D475F">
        <w:fldChar w:fldCharType="end"/>
      </w:r>
      <w:r w:rsidRPr="00A133CF">
        <w:t>.</w:t>
      </w:r>
      <w:r w:rsidR="009D475F">
        <w:fldChar w:fldCharType="begin"/>
      </w:r>
      <w:r w:rsidR="009D475F">
        <w:instrText xml:space="preserve"> SEQ Table \* ARABIC \s 6 </w:instrText>
      </w:r>
      <w:r w:rsidR="009D475F">
        <w:fldChar w:fldCharType="separate"/>
      </w:r>
      <w:r w:rsidRPr="00A133CF">
        <w:t>5</w:t>
      </w:r>
      <w:r w:rsidR="009D475F">
        <w:fldChar w:fldCharType="end"/>
      </w:r>
      <w:r w:rsidRPr="00A133CF">
        <w:t>: Requirements for smart city services</w:t>
      </w:r>
      <w:bookmarkEnd w:id="179"/>
    </w:p>
    <w:tbl>
      <w:tblPr>
        <w:tblStyle w:val="PlumTable"/>
        <w:tblW w:w="9608" w:type="dxa"/>
        <w:tblLayout w:type="fixed"/>
        <w:tblCellMar>
          <w:top w:w="28" w:type="dxa"/>
          <w:bottom w:w="28" w:type="dxa"/>
        </w:tblCellMar>
        <w:tblLook w:val="0420" w:firstRow="1" w:lastRow="0" w:firstColumn="0" w:lastColumn="0" w:noHBand="0" w:noVBand="1"/>
        <w:tblDescription w:val="Table E.5: Requirements for smart city services"/>
      </w:tblPr>
      <w:tblGrid>
        <w:gridCol w:w="1681"/>
        <w:gridCol w:w="1570"/>
        <w:gridCol w:w="2654"/>
        <w:gridCol w:w="2068"/>
        <w:gridCol w:w="1635"/>
      </w:tblGrid>
      <w:tr w:rsidR="00DE3BEE" w:rsidRPr="00A133CF" w14:paraId="6F464B9B" w14:textId="77777777" w:rsidTr="00DF0DE7">
        <w:trPr>
          <w:cnfStyle w:val="100000000000" w:firstRow="1" w:lastRow="0" w:firstColumn="0" w:lastColumn="0" w:oddVBand="0" w:evenVBand="0" w:oddHBand="0" w:evenHBand="0" w:firstRowFirstColumn="0" w:firstRowLastColumn="0" w:lastRowFirstColumn="0" w:lastRowLastColumn="0"/>
          <w:tblHeader/>
        </w:trPr>
        <w:tc>
          <w:tcPr>
            <w:tcW w:w="1681" w:type="dxa"/>
            <w:shd w:val="clear" w:color="auto" w:fill="4F2683"/>
          </w:tcPr>
          <w:p w14:paraId="4D7F607C" w14:textId="77777777" w:rsidR="00DE3BEE" w:rsidRPr="00A133CF" w:rsidRDefault="00DE3BEE" w:rsidP="00DC068B">
            <w:pPr>
              <w:pStyle w:val="Tablerowcolumnheading"/>
            </w:pPr>
            <w:r w:rsidRPr="00A133CF">
              <w:t>Service</w:t>
            </w:r>
          </w:p>
        </w:tc>
        <w:tc>
          <w:tcPr>
            <w:tcW w:w="1570" w:type="dxa"/>
            <w:shd w:val="clear" w:color="auto" w:fill="4F2683"/>
          </w:tcPr>
          <w:p w14:paraId="2AA54752" w14:textId="77777777" w:rsidR="00DE3BEE" w:rsidRPr="00A133CF" w:rsidRDefault="00DE3BEE" w:rsidP="00DC068B">
            <w:pPr>
              <w:pStyle w:val="Tablerowcolumnheading"/>
            </w:pPr>
            <w:r w:rsidRPr="00A133CF">
              <w:t>Quantity of data to transmit (per month)</w:t>
            </w:r>
          </w:p>
        </w:tc>
        <w:tc>
          <w:tcPr>
            <w:tcW w:w="2654" w:type="dxa"/>
            <w:shd w:val="clear" w:color="auto" w:fill="4F2683"/>
          </w:tcPr>
          <w:p w14:paraId="21ADD933" w14:textId="77777777" w:rsidR="00DE3BEE" w:rsidRPr="00A133CF" w:rsidRDefault="00DE3BEE" w:rsidP="00DC068B">
            <w:pPr>
              <w:pStyle w:val="Tablerowcolumnheading"/>
            </w:pPr>
            <w:r w:rsidRPr="00A133CF">
              <w:t>Latency</w:t>
            </w:r>
          </w:p>
          <w:p w14:paraId="25724D26" w14:textId="77777777" w:rsidR="00DE3BEE" w:rsidRPr="00A133CF" w:rsidRDefault="00DE3BEE" w:rsidP="00DC068B">
            <w:pPr>
              <w:pStyle w:val="Tablerowcolumnheading"/>
            </w:pPr>
          </w:p>
        </w:tc>
        <w:tc>
          <w:tcPr>
            <w:tcW w:w="2068" w:type="dxa"/>
            <w:shd w:val="clear" w:color="auto" w:fill="4F2683"/>
          </w:tcPr>
          <w:p w14:paraId="2D06798E" w14:textId="77777777" w:rsidR="00DE3BEE" w:rsidRPr="00A133CF" w:rsidRDefault="00DE3BEE" w:rsidP="00DC068B">
            <w:pPr>
              <w:pStyle w:val="Tablerowcolumnheading"/>
            </w:pPr>
            <w:r w:rsidRPr="00A133CF">
              <w:t>Data rate</w:t>
            </w:r>
          </w:p>
        </w:tc>
        <w:tc>
          <w:tcPr>
            <w:tcW w:w="1635" w:type="dxa"/>
            <w:shd w:val="clear" w:color="auto" w:fill="4F2683"/>
          </w:tcPr>
          <w:p w14:paraId="6C7212C0" w14:textId="77777777" w:rsidR="00DE3BEE" w:rsidRPr="00A133CF" w:rsidRDefault="00DE3BEE" w:rsidP="00DC068B">
            <w:pPr>
              <w:pStyle w:val="Tablerowcolumnheading"/>
            </w:pPr>
            <w:r w:rsidRPr="00A133CF">
              <w:t>Traffic direction</w:t>
            </w:r>
          </w:p>
        </w:tc>
      </w:tr>
      <w:tr w:rsidR="00DE3BEE" w:rsidRPr="00A133CF" w14:paraId="140AF899" w14:textId="77777777" w:rsidTr="00DF0DE7">
        <w:tc>
          <w:tcPr>
            <w:tcW w:w="1681" w:type="dxa"/>
          </w:tcPr>
          <w:p w14:paraId="76CF5CE3" w14:textId="77777777" w:rsidR="00DE3BEE" w:rsidRPr="00A133CF" w:rsidRDefault="00DE3BEE" w:rsidP="00DC068B">
            <w:pPr>
              <w:pStyle w:val="Tabletext"/>
            </w:pPr>
            <w:r w:rsidRPr="00A133CF">
              <w:t>Digital signage</w:t>
            </w:r>
          </w:p>
        </w:tc>
        <w:tc>
          <w:tcPr>
            <w:tcW w:w="1570" w:type="dxa"/>
          </w:tcPr>
          <w:p w14:paraId="0C2B59BE" w14:textId="77777777" w:rsidR="00DE3BEE" w:rsidRPr="00A133CF" w:rsidRDefault="00DE3BEE" w:rsidP="00DC068B">
            <w:pPr>
              <w:pStyle w:val="Tabletext"/>
            </w:pPr>
            <w:r w:rsidRPr="00A133CF">
              <w:t>Up to 5 GB per month</w:t>
            </w:r>
          </w:p>
        </w:tc>
        <w:tc>
          <w:tcPr>
            <w:tcW w:w="2654" w:type="dxa"/>
          </w:tcPr>
          <w:p w14:paraId="761E8970" w14:textId="77777777" w:rsidR="00DE3BEE" w:rsidRPr="00A133CF" w:rsidRDefault="00DE3BEE" w:rsidP="00DC068B">
            <w:pPr>
              <w:pStyle w:val="Tabletext"/>
            </w:pPr>
            <w:proofErr w:type="spellStart"/>
            <w:r w:rsidRPr="00A133CF">
              <w:t>n.a</w:t>
            </w:r>
            <w:proofErr w:type="spellEnd"/>
            <w:r w:rsidRPr="00A133CF">
              <w:t>.</w:t>
            </w:r>
          </w:p>
        </w:tc>
        <w:tc>
          <w:tcPr>
            <w:tcW w:w="2068" w:type="dxa"/>
          </w:tcPr>
          <w:p w14:paraId="0C8B8F77" w14:textId="77777777" w:rsidR="00DE3BEE" w:rsidRPr="00A133CF" w:rsidRDefault="00DE3BEE" w:rsidP="00DC068B">
            <w:pPr>
              <w:pStyle w:val="Tabletext"/>
            </w:pPr>
            <w:r w:rsidRPr="00A133CF">
              <w:t>&gt; 100 Mbps</w:t>
            </w:r>
          </w:p>
        </w:tc>
        <w:tc>
          <w:tcPr>
            <w:tcW w:w="1635" w:type="dxa"/>
          </w:tcPr>
          <w:p w14:paraId="610B92C8" w14:textId="77777777" w:rsidR="00DE3BEE" w:rsidRPr="00A133CF" w:rsidRDefault="00DE3BEE" w:rsidP="00DC068B">
            <w:pPr>
              <w:pStyle w:val="Tabletext"/>
            </w:pPr>
            <w:r w:rsidRPr="00A133CF">
              <w:t>Downlink</w:t>
            </w:r>
          </w:p>
        </w:tc>
      </w:tr>
      <w:tr w:rsidR="00DE3BEE" w:rsidRPr="00A133CF" w14:paraId="6355C2FC" w14:textId="77777777" w:rsidTr="00DF0DE7">
        <w:trPr>
          <w:cnfStyle w:val="000000010000" w:firstRow="0" w:lastRow="0" w:firstColumn="0" w:lastColumn="0" w:oddVBand="0" w:evenVBand="0" w:oddHBand="0" w:evenHBand="1" w:firstRowFirstColumn="0" w:firstRowLastColumn="0" w:lastRowFirstColumn="0" w:lastRowLastColumn="0"/>
        </w:trPr>
        <w:tc>
          <w:tcPr>
            <w:tcW w:w="1681" w:type="dxa"/>
          </w:tcPr>
          <w:p w14:paraId="03EFB551" w14:textId="77777777" w:rsidR="00DE3BEE" w:rsidRPr="00A133CF" w:rsidRDefault="00DE3BEE" w:rsidP="00DC068B">
            <w:pPr>
              <w:pStyle w:val="Tabletext"/>
            </w:pPr>
            <w:proofErr w:type="spellStart"/>
            <w:r w:rsidRPr="00A133CF">
              <w:t>WiFi</w:t>
            </w:r>
            <w:proofErr w:type="spellEnd"/>
            <w:r w:rsidRPr="00A133CF">
              <w:t xml:space="preserve"> hotspot</w:t>
            </w:r>
          </w:p>
        </w:tc>
        <w:tc>
          <w:tcPr>
            <w:tcW w:w="1570" w:type="dxa"/>
          </w:tcPr>
          <w:p w14:paraId="1E0B8C97" w14:textId="77777777" w:rsidR="00DE3BEE" w:rsidRPr="00A133CF" w:rsidRDefault="00DE3BEE" w:rsidP="00DC068B">
            <w:pPr>
              <w:pStyle w:val="Tabletext"/>
            </w:pPr>
            <w:r w:rsidRPr="00A133CF">
              <w:t>In PB</w:t>
            </w:r>
          </w:p>
        </w:tc>
        <w:tc>
          <w:tcPr>
            <w:tcW w:w="2654" w:type="dxa"/>
          </w:tcPr>
          <w:p w14:paraId="3C1D3E1E" w14:textId="77777777" w:rsidR="00DE3BEE" w:rsidRPr="00A133CF" w:rsidRDefault="00DE3BEE" w:rsidP="00DC068B">
            <w:pPr>
              <w:pStyle w:val="Tabletext"/>
            </w:pPr>
            <w:r w:rsidRPr="00A133CF">
              <w:t>Low latency for critical applications (video mainly or ecommerce)</w:t>
            </w:r>
          </w:p>
        </w:tc>
        <w:tc>
          <w:tcPr>
            <w:tcW w:w="2068" w:type="dxa"/>
          </w:tcPr>
          <w:p w14:paraId="48E4E6C1" w14:textId="77777777" w:rsidR="00DE3BEE" w:rsidRPr="00A133CF" w:rsidRDefault="00DE3BEE" w:rsidP="00DC068B">
            <w:pPr>
              <w:pStyle w:val="Tabletext"/>
            </w:pPr>
            <w:r w:rsidRPr="00A133CF">
              <w:t>The higher the better</w:t>
            </w:r>
          </w:p>
          <w:p w14:paraId="10755C7F" w14:textId="77777777" w:rsidR="00DE3BEE" w:rsidRPr="00A133CF" w:rsidRDefault="00DE3BEE" w:rsidP="00DC068B">
            <w:pPr>
              <w:pStyle w:val="Tabletext"/>
            </w:pPr>
            <w:r w:rsidRPr="00A133CF">
              <w:t xml:space="preserve">(1 </w:t>
            </w:r>
            <w:proofErr w:type="spellStart"/>
            <w:r w:rsidRPr="00A133CF">
              <w:t>Gbps</w:t>
            </w:r>
            <w:proofErr w:type="spellEnd"/>
            <w:r w:rsidRPr="00A133CF">
              <w:t>)</w:t>
            </w:r>
          </w:p>
        </w:tc>
        <w:tc>
          <w:tcPr>
            <w:tcW w:w="1635" w:type="dxa"/>
          </w:tcPr>
          <w:p w14:paraId="016A3A93" w14:textId="77777777" w:rsidR="00DE3BEE" w:rsidRPr="00A133CF" w:rsidRDefault="00DE3BEE" w:rsidP="00DC068B">
            <w:pPr>
              <w:pStyle w:val="Tabletext"/>
            </w:pPr>
            <w:r w:rsidRPr="00A133CF">
              <w:t>Downlink mainly</w:t>
            </w:r>
          </w:p>
        </w:tc>
      </w:tr>
      <w:tr w:rsidR="00DE3BEE" w:rsidRPr="00A133CF" w14:paraId="58961DB1" w14:textId="77777777" w:rsidTr="00DF0DE7">
        <w:tc>
          <w:tcPr>
            <w:tcW w:w="1681" w:type="dxa"/>
          </w:tcPr>
          <w:p w14:paraId="6C26367B" w14:textId="77777777" w:rsidR="00DE3BEE" w:rsidRPr="00A133CF" w:rsidRDefault="00DE3BEE" w:rsidP="00DC068B">
            <w:pPr>
              <w:pStyle w:val="Tabletext"/>
            </w:pPr>
            <w:r w:rsidRPr="00A133CF">
              <w:t xml:space="preserve">Video surveillance </w:t>
            </w:r>
          </w:p>
        </w:tc>
        <w:tc>
          <w:tcPr>
            <w:tcW w:w="1570" w:type="dxa"/>
          </w:tcPr>
          <w:p w14:paraId="1104F86F" w14:textId="77777777" w:rsidR="00DE3BEE" w:rsidRPr="00A133CF" w:rsidRDefault="00DE3BEE" w:rsidP="00DC068B">
            <w:pPr>
              <w:pStyle w:val="Tabletext"/>
            </w:pPr>
            <w:r w:rsidRPr="00A133CF">
              <w:t>Depending on the system</w:t>
            </w:r>
          </w:p>
        </w:tc>
        <w:tc>
          <w:tcPr>
            <w:tcW w:w="2654" w:type="dxa"/>
          </w:tcPr>
          <w:p w14:paraId="06BB7599" w14:textId="77777777" w:rsidR="00DE3BEE" w:rsidRPr="00A133CF" w:rsidRDefault="00DE3BEE" w:rsidP="00DC068B">
            <w:pPr>
              <w:pStyle w:val="Tabletext"/>
            </w:pPr>
            <w:r w:rsidRPr="00A133CF">
              <w:t>Low latency</w:t>
            </w:r>
          </w:p>
        </w:tc>
        <w:tc>
          <w:tcPr>
            <w:tcW w:w="2068" w:type="dxa"/>
          </w:tcPr>
          <w:p w14:paraId="609B15B1" w14:textId="77777777" w:rsidR="00DE3BEE" w:rsidRPr="00A133CF" w:rsidRDefault="00DE3BEE" w:rsidP="00DC068B">
            <w:pPr>
              <w:pStyle w:val="Tabletext"/>
            </w:pPr>
            <w:r w:rsidRPr="00A133CF">
              <w:t>&gt; 100 Mbps</w:t>
            </w:r>
          </w:p>
        </w:tc>
        <w:tc>
          <w:tcPr>
            <w:tcW w:w="1635" w:type="dxa"/>
          </w:tcPr>
          <w:p w14:paraId="389C2076" w14:textId="77777777" w:rsidR="00DE3BEE" w:rsidRPr="00A133CF" w:rsidRDefault="00DE3BEE" w:rsidP="00DC068B">
            <w:pPr>
              <w:pStyle w:val="Tabletext"/>
            </w:pPr>
            <w:r w:rsidRPr="00A133CF">
              <w:t>Uplink</w:t>
            </w:r>
          </w:p>
        </w:tc>
      </w:tr>
    </w:tbl>
    <w:p w14:paraId="11FDEC71" w14:textId="77777777" w:rsidR="00DE3BEE" w:rsidRPr="00A133CF" w:rsidRDefault="00DE3BEE" w:rsidP="00DC068B">
      <w:pPr>
        <w:pStyle w:val="Sourcenote"/>
      </w:pPr>
      <w:r w:rsidRPr="00A133CF">
        <w:t>Source: IDATE</w:t>
      </w:r>
    </w:p>
    <w:p w14:paraId="5564560F" w14:textId="77777777" w:rsidR="00DE3BEE" w:rsidRPr="00D21EAB" w:rsidRDefault="00DC068B" w:rsidP="00DC068B">
      <w:pPr>
        <w:pStyle w:val="Heading3"/>
        <w:rPr>
          <w:color w:val="7030A0"/>
        </w:rPr>
      </w:pPr>
      <w:bookmarkStart w:id="180" w:name="_Toc19230564"/>
      <w:bookmarkStart w:id="181" w:name="_Toc21429760"/>
      <w:r w:rsidRPr="00D21EAB">
        <w:rPr>
          <w:color w:val="7030A0"/>
        </w:rPr>
        <w:t>E.9</w:t>
      </w:r>
      <w:r w:rsidRPr="00D21EAB">
        <w:rPr>
          <w:color w:val="7030A0"/>
        </w:rPr>
        <w:tab/>
      </w:r>
      <w:r w:rsidR="00DE3BEE" w:rsidRPr="00D21EAB">
        <w:rPr>
          <w:color w:val="7030A0"/>
        </w:rPr>
        <w:t>IMT BS antenna height</w:t>
      </w:r>
      <w:bookmarkEnd w:id="180"/>
      <w:bookmarkEnd w:id="181"/>
    </w:p>
    <w:p w14:paraId="05466155" w14:textId="77777777" w:rsidR="00DE3BEE" w:rsidRPr="00A133CF" w:rsidRDefault="00DE3BEE" w:rsidP="00DE3BEE">
      <w:r w:rsidRPr="00A133CF">
        <w:t>ACMA assume 6m, but NBN comment: “The standard 30-metre height of many communications infrastructure platforms is a reasonable assumption to make for the purpose of conducting sensitivity analyses”. A height of 30m is therefore proposed.</w:t>
      </w:r>
    </w:p>
    <w:p w14:paraId="7810B239" w14:textId="77777777" w:rsidR="00D848F2" w:rsidRDefault="00DE3BEE" w:rsidP="00DE3BEE">
      <w:r w:rsidRPr="00A133CF">
        <w:t>Given the limited range of 26 GHz cells, it is unlikely that antennas would be located so far (vertically)</w:t>
      </w:r>
      <w:r w:rsidR="00232CCD">
        <w:t xml:space="preserve"> </w:t>
      </w:r>
      <w:r w:rsidRPr="00A133CF">
        <w:t xml:space="preserve">from the user. The overwhelming majority of the literature posits a ‘street furniture’ deployment for </w:t>
      </w:r>
      <w:proofErr w:type="spellStart"/>
      <w:r w:rsidRPr="00A133CF">
        <w:t>eMBB</w:t>
      </w:r>
      <w:proofErr w:type="spellEnd"/>
      <w:r w:rsidRPr="00A133CF">
        <w:t xml:space="preserve"> use</w:t>
      </w:r>
      <w:r w:rsidR="00D848F2">
        <w:t>.</w:t>
      </w:r>
    </w:p>
    <w:p w14:paraId="33922553" w14:textId="77777777" w:rsidR="00DE3BEE" w:rsidRPr="00A133CF" w:rsidRDefault="00DE3BEE" w:rsidP="00DE3BEE">
      <w:r w:rsidRPr="00A133CF">
        <w:t>For FWA applications, the 30m figure is more plausible. The implication of the increased BS height is that UEs would be pointing with a greater elevation angle. If the network is FWA, however, the UEs themselves will be higher.</w:t>
      </w:r>
    </w:p>
    <w:p w14:paraId="08AEBB4B" w14:textId="38E9910B" w:rsidR="00DE3BEE" w:rsidRPr="00A133CF" w:rsidRDefault="00DE3BEE" w:rsidP="00DE3BEE">
      <w:r w:rsidRPr="00A133CF">
        <w:t xml:space="preserve">Urban hot spots will be limited by the surrounding streets and the people/cars and other street furniture; with a maximum coverage distance of around 100-120 m, a 6 m antenna height is more than adequate. This is confirmed by the height of the 28 GHz base stations in Chicago, seen in the video at </w:t>
      </w:r>
      <w:hyperlink r:id="rId24" w:history="1">
        <w:r w:rsidR="00DF0DE7" w:rsidRPr="00870FA5">
          <w:rPr>
            <w:rStyle w:val="Hyperlink"/>
          </w:rPr>
          <w:t>www.cnet.com/news/testing-verizons-early-5g-speeds-was-a-mess-but-im-still-excited-about-our-data-future/</w:t>
        </w:r>
      </w:hyperlink>
      <w:r w:rsidR="00DF0DE7">
        <w:t>.</w:t>
      </w:r>
    </w:p>
    <w:p w14:paraId="3253F36E" w14:textId="77777777" w:rsidR="00DE3BEE" w:rsidRPr="00A133CF" w:rsidRDefault="00DE3BEE" w:rsidP="00DE3BEE">
      <w:r w:rsidRPr="00A133CF">
        <w:lastRenderedPageBreak/>
        <w:t>FWA would use higher antennas, perhaps still less than 30 m but the fixed antennas on the dwellings will be close to roof heights in most cases and the distances typically involved will tend to ensure that the antenna alignments are close to horizontal in most cases.</w:t>
      </w:r>
    </w:p>
    <w:p w14:paraId="59AE8BDD" w14:textId="77777777" w:rsidR="00DE3BEE" w:rsidRPr="00A133CF" w:rsidRDefault="00DE3BEE" w:rsidP="00DE3BEE">
      <w:bookmarkStart w:id="182" w:name="_Toc19230565"/>
      <w:r w:rsidRPr="00A133CF">
        <w:t>IMT BS and UE antenna array size and grating lobes</w:t>
      </w:r>
      <w:bookmarkEnd w:id="182"/>
    </w:p>
    <w:p w14:paraId="18389360" w14:textId="77777777" w:rsidR="00DE3BEE" w:rsidRPr="00A133CF" w:rsidRDefault="00DE3BEE" w:rsidP="00DE3BEE">
      <w:r w:rsidRPr="00A133CF">
        <w:t>ACMA assume a UE antenna with 4x4 elements, while NBN state “A review of 5G standardisation activities indicates that the most likely implementation of phased arrays on UE terminals will include a total of four elements, either 1 x 4 or 2 x 2”. “This would result in a ‘double hit’ of interference through more transmitted power and worse antenna performance”. They propose using a 2x2 (UE) assumption.</w:t>
      </w:r>
    </w:p>
    <w:p w14:paraId="4D7A878A" w14:textId="77777777" w:rsidR="00DE3BEE" w:rsidRPr="00A133CF" w:rsidRDefault="00DE3BEE" w:rsidP="00DE3BEE">
      <w:r w:rsidRPr="00A133CF">
        <w:t>The only known antenna module commercially available for 28 GHz (Qualcomm QTM052), as used in the Motorola ‘Moto Mod’ 5G add-on transceiver unit, and this features a 1 x 4 array.</w:t>
      </w:r>
    </w:p>
    <w:p w14:paraId="70AEA5C7" w14:textId="77777777" w:rsidR="00DE3BEE" w:rsidRPr="00A133CF" w:rsidRDefault="00DE3BEE" w:rsidP="00DC068B">
      <w:pPr>
        <w:pStyle w:val="Tablefigureheading"/>
      </w:pPr>
      <w:bookmarkStart w:id="183" w:name="_Toc21429782"/>
      <w:r w:rsidRPr="00A133CF">
        <w:t xml:space="preserve">Figure </w:t>
      </w:r>
      <w:r w:rsidR="009D475F">
        <w:fldChar w:fldCharType="begin"/>
      </w:r>
      <w:r w:rsidR="009D475F">
        <w:instrText xml:space="preserve"> STYLEREF 6 \s </w:instrText>
      </w:r>
      <w:r w:rsidR="009D475F">
        <w:fldChar w:fldCharType="separate"/>
      </w:r>
      <w:r w:rsidRPr="00A133CF">
        <w:t>E</w:t>
      </w:r>
      <w:r w:rsidR="009D475F">
        <w:fldChar w:fldCharType="end"/>
      </w:r>
      <w:r w:rsidRPr="00A133CF">
        <w:t>.</w:t>
      </w:r>
      <w:r w:rsidR="009D475F">
        <w:fldChar w:fldCharType="begin"/>
      </w:r>
      <w:r w:rsidR="009D475F">
        <w:instrText xml:space="preserve"> SEQ Figure \* ARABIC \s 6 </w:instrText>
      </w:r>
      <w:r w:rsidR="009D475F">
        <w:fldChar w:fldCharType="separate"/>
      </w:r>
      <w:r w:rsidRPr="00A133CF">
        <w:t>3</w:t>
      </w:r>
      <w:r w:rsidR="009D475F">
        <w:fldChar w:fldCharType="end"/>
      </w:r>
      <w:r w:rsidRPr="00A133CF">
        <w:t>: Qualcomm QTM052 module, showing 1 x 4 antenna elements (source Techinsights.com, https://osch.oss-cn-shanghai.aliyuncs.com/blogContentFile/1562306596954.pdf)</w:t>
      </w:r>
      <w:bookmarkEnd w:id="183"/>
    </w:p>
    <w:p w14:paraId="771AABAA" w14:textId="77777777" w:rsidR="00DE3BEE" w:rsidRPr="00A133CF" w:rsidRDefault="00DE3BEE" w:rsidP="00DE3BEE">
      <w:r w:rsidRPr="00A133CF">
        <w:rPr>
          <w:noProof/>
          <w:lang w:eastAsia="en-AU"/>
        </w:rPr>
        <w:drawing>
          <wp:inline distT="0" distB="0" distL="0" distR="0" wp14:anchorId="4E838680" wp14:editId="26CBB212">
            <wp:extent cx="5637600" cy="1317005"/>
            <wp:effectExtent l="0" t="0" r="1270" b="0"/>
            <wp:docPr id="24" name="Picture 24" descr="There are two images which depict a 1x4 antenna array for a Qualcomm QTM053 module.&#10;&#10;The antenna is rectangular in shape. Its dimensions are 19.03 mm by 4.81mm." title="Qualcomm QTM053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941" t="12345" r="2912" b="49383"/>
                    <a:stretch/>
                  </pic:blipFill>
                  <pic:spPr bwMode="auto">
                    <a:xfrm>
                      <a:off x="0" y="0"/>
                      <a:ext cx="5639526" cy="1317455"/>
                    </a:xfrm>
                    <a:prstGeom prst="rect">
                      <a:avLst/>
                    </a:prstGeom>
                    <a:ln>
                      <a:noFill/>
                    </a:ln>
                    <a:extLst>
                      <a:ext uri="{53640926-AAD7-44D8-BBD7-CCE9431645EC}">
                        <a14:shadowObscured xmlns:a14="http://schemas.microsoft.com/office/drawing/2010/main"/>
                      </a:ext>
                    </a:extLst>
                  </pic:spPr>
                </pic:pic>
              </a:graphicData>
            </a:graphic>
          </wp:inline>
        </w:drawing>
      </w:r>
    </w:p>
    <w:p w14:paraId="55389A02" w14:textId="77777777" w:rsidR="00D848F2" w:rsidRDefault="00DE3BEE" w:rsidP="00DE3BEE">
      <w:r w:rsidRPr="00A133CF">
        <w:t>A brief review of other (academic) literature shows no examples of 2x2 arrays</w:t>
      </w:r>
      <w:r w:rsidR="00377E47">
        <w:t>—</w:t>
      </w:r>
      <w:r w:rsidRPr="00A133CF">
        <w:t>minimum found is 2x4 for UE with 4x4 and 8x8 als</w:t>
      </w:r>
      <w:r w:rsidR="00DC068B">
        <w:t xml:space="preserve">o suggested. In turn, </w:t>
      </w:r>
      <w:proofErr w:type="gramStart"/>
      <w:r w:rsidR="00DC068B">
        <w:t>between 2–</w:t>
      </w:r>
      <w:r w:rsidRPr="00A133CF">
        <w:t>8 of such modules</w:t>
      </w:r>
      <w:proofErr w:type="gramEnd"/>
      <w:r w:rsidRPr="00A133CF">
        <w:t xml:space="preserve"> are assumed to be embedded in a handset to avoid hand-screening and to allow MIMO</w:t>
      </w:r>
      <w:r w:rsidR="00D848F2">
        <w:t>.</w:t>
      </w:r>
    </w:p>
    <w:p w14:paraId="7779254D" w14:textId="77777777" w:rsidR="00DE3BEE" w:rsidRPr="00A133CF" w:rsidRDefault="00DE3BEE" w:rsidP="00DE3BEE">
      <w:r w:rsidRPr="00A133CF">
        <w:t>Developments in antenna fabrication would seem to make it more, rather than less, likely that larger number of antenna elements will be employed</w:t>
      </w:r>
    </w:p>
    <w:p w14:paraId="7D98EE5C" w14:textId="77777777" w:rsidR="00D848F2" w:rsidRDefault="00DE3BEE" w:rsidP="00DE3BEE">
      <w:r w:rsidRPr="00A133CF">
        <w:fldChar w:fldCharType="begin"/>
      </w:r>
      <w:r w:rsidRPr="00A133CF">
        <w:instrText xml:space="preserve"> REF _Ref18367895 </w:instrText>
      </w:r>
      <w:r>
        <w:instrText xml:space="preserve"> \* MERGEFORMAT </w:instrText>
      </w:r>
      <w:r w:rsidRPr="00A133CF">
        <w:fldChar w:fldCharType="separate"/>
      </w:r>
      <w:r w:rsidRPr="00A133CF">
        <w:t>Table E.3</w:t>
      </w:r>
      <w:r w:rsidRPr="00A133CF">
        <w:fldChar w:fldCharType="end"/>
      </w:r>
      <w:r w:rsidRPr="00A133CF">
        <w:t xml:space="preserve"> shows some commercial TDD Massive MIMO systems of today and the number of transmit/receive ports versus maximum number of multiuser MIMO supported</w:t>
      </w:r>
      <w:r w:rsidR="00D848F2">
        <w:t>.</w:t>
      </w:r>
    </w:p>
    <w:p w14:paraId="6EFD3522" w14:textId="77777777" w:rsidR="00DE3BEE" w:rsidRPr="00A133CF" w:rsidRDefault="00DE3BEE" w:rsidP="00DC068B">
      <w:pPr>
        <w:pStyle w:val="Tablefigureheading"/>
      </w:pPr>
      <w:bookmarkStart w:id="184" w:name="_Ref18367864"/>
      <w:bookmarkStart w:id="185" w:name="_Toc21429783"/>
      <w:r w:rsidRPr="00A133CF">
        <w:t xml:space="preserve">Table </w:t>
      </w:r>
      <w:r w:rsidR="009D475F">
        <w:fldChar w:fldCharType="begin"/>
      </w:r>
      <w:r w:rsidR="009D475F">
        <w:instrText xml:space="preserve"> STYLEREF 6 \s </w:instrText>
      </w:r>
      <w:r w:rsidR="009D475F">
        <w:fldChar w:fldCharType="separate"/>
      </w:r>
      <w:r w:rsidRPr="00A133CF">
        <w:t>E</w:t>
      </w:r>
      <w:r w:rsidR="009D475F">
        <w:fldChar w:fldCharType="end"/>
      </w:r>
      <w:r w:rsidRPr="00A133CF">
        <w:t>.</w:t>
      </w:r>
      <w:r w:rsidR="009D475F">
        <w:fldChar w:fldCharType="begin"/>
      </w:r>
      <w:r w:rsidR="009D475F">
        <w:instrText xml:space="preserve"> SEQ Table \* ARABIC \s 6 </w:instrText>
      </w:r>
      <w:r w:rsidR="009D475F">
        <w:fldChar w:fldCharType="separate"/>
      </w:r>
      <w:r w:rsidRPr="00A133CF">
        <w:t>6</w:t>
      </w:r>
      <w:r w:rsidR="009D475F">
        <w:fldChar w:fldCharType="end"/>
      </w:r>
      <w:bookmarkEnd w:id="184"/>
      <w:r w:rsidRPr="00A133CF">
        <w:t xml:space="preserve">: Typical Commercial TDD </w:t>
      </w:r>
      <w:proofErr w:type="spellStart"/>
      <w:r w:rsidRPr="00A133CF">
        <w:t>mMIMO</w:t>
      </w:r>
      <w:proofErr w:type="spellEnd"/>
      <w:r w:rsidRPr="00A133CF">
        <w:t xml:space="preserve"> Base Stations</w:t>
      </w:r>
      <w:bookmarkEnd w:id="185"/>
    </w:p>
    <w:tbl>
      <w:tblPr>
        <w:tblStyle w:val="PlumTable"/>
        <w:tblW w:w="9638" w:type="dxa"/>
        <w:tblLayout w:type="fixed"/>
        <w:tblCellMar>
          <w:top w:w="28" w:type="dxa"/>
          <w:bottom w:w="28" w:type="dxa"/>
        </w:tblCellMar>
        <w:tblLook w:val="0420" w:firstRow="1" w:lastRow="0" w:firstColumn="0" w:lastColumn="0" w:noHBand="0" w:noVBand="1"/>
        <w:tblDescription w:val="Table E.6: Typical Commercial TDD mMIMO Base Stations"/>
      </w:tblPr>
      <w:tblGrid>
        <w:gridCol w:w="2112"/>
        <w:gridCol w:w="2706"/>
        <w:gridCol w:w="2410"/>
        <w:gridCol w:w="2410"/>
      </w:tblGrid>
      <w:tr w:rsidR="00DE3BEE" w:rsidRPr="00A133CF" w14:paraId="6CBC6518" w14:textId="77777777" w:rsidTr="00DF0DE7">
        <w:trPr>
          <w:cnfStyle w:val="100000000000" w:firstRow="1" w:lastRow="0" w:firstColumn="0" w:lastColumn="0" w:oddVBand="0" w:evenVBand="0" w:oddHBand="0" w:evenHBand="0" w:firstRowFirstColumn="0" w:firstRowLastColumn="0" w:lastRowFirstColumn="0" w:lastRowLastColumn="0"/>
          <w:tblHeader/>
        </w:trPr>
        <w:tc>
          <w:tcPr>
            <w:tcW w:w="2112" w:type="dxa"/>
            <w:shd w:val="clear" w:color="auto" w:fill="4F2683"/>
          </w:tcPr>
          <w:p w14:paraId="02EC40FB" w14:textId="77777777" w:rsidR="00DE3BEE" w:rsidRPr="00A133CF" w:rsidRDefault="00DE3BEE" w:rsidP="00DC068B">
            <w:pPr>
              <w:pStyle w:val="Tablerowcolumnheading"/>
            </w:pPr>
            <w:proofErr w:type="spellStart"/>
            <w:r w:rsidRPr="00A133CF">
              <w:t>TxRx</w:t>
            </w:r>
            <w:proofErr w:type="spellEnd"/>
          </w:p>
        </w:tc>
        <w:tc>
          <w:tcPr>
            <w:tcW w:w="2706" w:type="dxa"/>
            <w:shd w:val="clear" w:color="auto" w:fill="4F2683"/>
          </w:tcPr>
          <w:p w14:paraId="3C8598C1" w14:textId="77777777" w:rsidR="00DE3BEE" w:rsidRPr="00A133CF" w:rsidRDefault="00DE3BEE" w:rsidP="00DC068B">
            <w:pPr>
              <w:pStyle w:val="Tablerowcolumnheading"/>
            </w:pPr>
            <w:r w:rsidRPr="00A133CF">
              <w:t>Antenna elements (row x column x polarization)</w:t>
            </w:r>
          </w:p>
        </w:tc>
        <w:tc>
          <w:tcPr>
            <w:tcW w:w="2410" w:type="dxa"/>
            <w:shd w:val="clear" w:color="auto" w:fill="4F2683"/>
          </w:tcPr>
          <w:p w14:paraId="6C41E719" w14:textId="77777777" w:rsidR="00DE3BEE" w:rsidRPr="00A133CF" w:rsidRDefault="00DE3BEE" w:rsidP="00DC068B">
            <w:pPr>
              <w:pStyle w:val="Tablerowcolumnheadingcentred"/>
            </w:pPr>
            <w:proofErr w:type="spellStart"/>
            <w:r w:rsidRPr="00A133CF">
              <w:t>Tx</w:t>
            </w:r>
            <w:proofErr w:type="spellEnd"/>
            <w:r w:rsidRPr="00A133CF">
              <w:t>/Rx</w:t>
            </w:r>
          </w:p>
        </w:tc>
        <w:tc>
          <w:tcPr>
            <w:tcW w:w="2410" w:type="dxa"/>
            <w:shd w:val="clear" w:color="auto" w:fill="4F2683"/>
          </w:tcPr>
          <w:p w14:paraId="374BA9C3" w14:textId="77777777" w:rsidR="00DE3BEE" w:rsidRPr="00A133CF" w:rsidRDefault="00DE3BEE" w:rsidP="00DC068B">
            <w:pPr>
              <w:pStyle w:val="Tablerowcolumnheadingcentred"/>
            </w:pPr>
            <w:r w:rsidRPr="00A133CF">
              <w:t>Maximum number of layers (Lm)</w:t>
            </w:r>
          </w:p>
        </w:tc>
      </w:tr>
      <w:tr w:rsidR="00DE3BEE" w:rsidRPr="00A133CF" w14:paraId="1205A0AC" w14:textId="77777777" w:rsidTr="00DF0DE7">
        <w:tc>
          <w:tcPr>
            <w:tcW w:w="2112" w:type="dxa"/>
          </w:tcPr>
          <w:p w14:paraId="127F3FF5" w14:textId="77777777" w:rsidR="00DE3BEE" w:rsidRPr="00A133CF" w:rsidRDefault="00DE3BEE" w:rsidP="00DC068B">
            <w:pPr>
              <w:pStyle w:val="Tabletext"/>
            </w:pPr>
            <w:r w:rsidRPr="00A133CF">
              <w:t>64T64R</w:t>
            </w:r>
          </w:p>
        </w:tc>
        <w:tc>
          <w:tcPr>
            <w:tcW w:w="2706" w:type="dxa"/>
          </w:tcPr>
          <w:p w14:paraId="36C565C2" w14:textId="77777777" w:rsidR="00DE3BEE" w:rsidRPr="00A133CF" w:rsidRDefault="00DE3BEE" w:rsidP="00DC068B">
            <w:pPr>
              <w:pStyle w:val="Tabletextcentred"/>
            </w:pPr>
            <w:r w:rsidRPr="00A133CF">
              <w:t>128 (8x8x2)*</w:t>
            </w:r>
          </w:p>
          <w:p w14:paraId="4DDD8F74" w14:textId="77777777" w:rsidR="00DE3BEE" w:rsidRPr="00A133CF" w:rsidRDefault="00DE3BEE" w:rsidP="00DC068B">
            <w:pPr>
              <w:pStyle w:val="Tabletextcentred"/>
            </w:pPr>
            <w:r w:rsidRPr="00A133CF">
              <w:t>196 (12x8x2)</w:t>
            </w:r>
          </w:p>
        </w:tc>
        <w:tc>
          <w:tcPr>
            <w:tcW w:w="2410" w:type="dxa"/>
          </w:tcPr>
          <w:p w14:paraId="47D53606" w14:textId="77777777" w:rsidR="00DE3BEE" w:rsidRPr="00A133CF" w:rsidRDefault="00DE3BEE" w:rsidP="00DC068B">
            <w:pPr>
              <w:pStyle w:val="Tabletextcentred"/>
            </w:pPr>
            <w:r w:rsidRPr="00A133CF">
              <w:t>64</w:t>
            </w:r>
          </w:p>
        </w:tc>
        <w:tc>
          <w:tcPr>
            <w:tcW w:w="2410" w:type="dxa"/>
          </w:tcPr>
          <w:p w14:paraId="598658B3" w14:textId="77777777" w:rsidR="00DE3BEE" w:rsidRPr="00A133CF" w:rsidRDefault="00DE3BEE" w:rsidP="00DC068B">
            <w:pPr>
              <w:pStyle w:val="Tabletextcentred"/>
            </w:pPr>
            <w:r w:rsidRPr="00A133CF">
              <w:t>16</w:t>
            </w:r>
          </w:p>
        </w:tc>
      </w:tr>
      <w:tr w:rsidR="00DE3BEE" w:rsidRPr="00A133CF" w14:paraId="367465A9" w14:textId="77777777" w:rsidTr="00DF0DE7">
        <w:trPr>
          <w:cnfStyle w:val="000000010000" w:firstRow="0" w:lastRow="0" w:firstColumn="0" w:lastColumn="0" w:oddVBand="0" w:evenVBand="0" w:oddHBand="0" w:evenHBand="1" w:firstRowFirstColumn="0" w:firstRowLastColumn="0" w:lastRowFirstColumn="0" w:lastRowLastColumn="0"/>
        </w:trPr>
        <w:tc>
          <w:tcPr>
            <w:tcW w:w="2112" w:type="dxa"/>
          </w:tcPr>
          <w:p w14:paraId="7CF1B18F" w14:textId="77777777" w:rsidR="00DE3BEE" w:rsidRPr="00A133CF" w:rsidRDefault="00DE3BEE" w:rsidP="00DC068B">
            <w:pPr>
              <w:pStyle w:val="Tabletext"/>
            </w:pPr>
            <w:r w:rsidRPr="00A133CF">
              <w:t>32T32R</w:t>
            </w:r>
          </w:p>
        </w:tc>
        <w:tc>
          <w:tcPr>
            <w:tcW w:w="2706" w:type="dxa"/>
          </w:tcPr>
          <w:p w14:paraId="5F35BB4D" w14:textId="77777777" w:rsidR="00DE3BEE" w:rsidRPr="00A133CF" w:rsidRDefault="00DE3BEE" w:rsidP="00DC068B">
            <w:pPr>
              <w:pStyle w:val="Tabletextcentred"/>
            </w:pPr>
            <w:r w:rsidRPr="00A133CF">
              <w:t>64 (8x4x2)*</w:t>
            </w:r>
          </w:p>
        </w:tc>
        <w:tc>
          <w:tcPr>
            <w:tcW w:w="2410" w:type="dxa"/>
          </w:tcPr>
          <w:p w14:paraId="2B5F58A8" w14:textId="77777777" w:rsidR="00DE3BEE" w:rsidRPr="00A133CF" w:rsidRDefault="00DE3BEE" w:rsidP="00DC068B">
            <w:pPr>
              <w:pStyle w:val="Tabletextcentred"/>
            </w:pPr>
            <w:r w:rsidRPr="00A133CF">
              <w:t>32</w:t>
            </w:r>
          </w:p>
        </w:tc>
        <w:tc>
          <w:tcPr>
            <w:tcW w:w="2410" w:type="dxa"/>
          </w:tcPr>
          <w:p w14:paraId="03D8FD27" w14:textId="77777777" w:rsidR="00DE3BEE" w:rsidRPr="00A133CF" w:rsidRDefault="00DE3BEE" w:rsidP="00DC068B">
            <w:pPr>
              <w:pStyle w:val="Tabletextcentred"/>
            </w:pPr>
            <w:r w:rsidRPr="00A133CF">
              <w:t>8</w:t>
            </w:r>
          </w:p>
        </w:tc>
      </w:tr>
      <w:tr w:rsidR="00DE3BEE" w:rsidRPr="00A133CF" w14:paraId="097B5D79" w14:textId="77777777" w:rsidTr="00DF0DE7">
        <w:tc>
          <w:tcPr>
            <w:tcW w:w="2112" w:type="dxa"/>
          </w:tcPr>
          <w:p w14:paraId="2A6CC97B" w14:textId="77777777" w:rsidR="00DE3BEE" w:rsidRPr="00A133CF" w:rsidRDefault="00DE3BEE" w:rsidP="00DC068B">
            <w:pPr>
              <w:pStyle w:val="Tabletext"/>
            </w:pPr>
            <w:r w:rsidRPr="00A133CF">
              <w:t>16T16R</w:t>
            </w:r>
          </w:p>
        </w:tc>
        <w:tc>
          <w:tcPr>
            <w:tcW w:w="2706" w:type="dxa"/>
          </w:tcPr>
          <w:p w14:paraId="2A7A394B" w14:textId="77777777" w:rsidR="00DE3BEE" w:rsidRPr="00A133CF" w:rsidRDefault="00DE3BEE" w:rsidP="00DC068B">
            <w:pPr>
              <w:pStyle w:val="Tabletextcentred"/>
            </w:pPr>
            <w:r w:rsidRPr="00A133CF">
              <w:t xml:space="preserve">32 (4x4x2)* </w:t>
            </w:r>
          </w:p>
          <w:p w14:paraId="2DF4C245" w14:textId="77777777" w:rsidR="00DE3BEE" w:rsidRPr="00A133CF" w:rsidRDefault="00DE3BEE" w:rsidP="00DC068B">
            <w:pPr>
              <w:pStyle w:val="Tabletextcentred"/>
            </w:pPr>
            <w:r w:rsidRPr="00A133CF">
              <w:t>96 (12x4x2)**</w:t>
            </w:r>
          </w:p>
        </w:tc>
        <w:tc>
          <w:tcPr>
            <w:tcW w:w="2410" w:type="dxa"/>
          </w:tcPr>
          <w:p w14:paraId="21CDAA9C" w14:textId="77777777" w:rsidR="00DE3BEE" w:rsidRPr="00A133CF" w:rsidRDefault="00DE3BEE" w:rsidP="00DC068B">
            <w:pPr>
              <w:pStyle w:val="Tabletextcentred"/>
            </w:pPr>
            <w:r w:rsidRPr="00A133CF">
              <w:t>16</w:t>
            </w:r>
          </w:p>
        </w:tc>
        <w:tc>
          <w:tcPr>
            <w:tcW w:w="2410" w:type="dxa"/>
          </w:tcPr>
          <w:p w14:paraId="6A16D878" w14:textId="77777777" w:rsidR="00DE3BEE" w:rsidRPr="00A133CF" w:rsidRDefault="00DE3BEE" w:rsidP="00DC068B">
            <w:pPr>
              <w:pStyle w:val="Tabletextcentred"/>
            </w:pPr>
            <w:r w:rsidRPr="00A133CF">
              <w:t>8</w:t>
            </w:r>
          </w:p>
        </w:tc>
      </w:tr>
    </w:tbl>
    <w:p w14:paraId="5CBD9152" w14:textId="31351019" w:rsidR="00DE3BEE" w:rsidRPr="00A133CF" w:rsidRDefault="00DE3BEE" w:rsidP="00DC068B">
      <w:pPr>
        <w:pStyle w:val="Sourcenote"/>
      </w:pPr>
      <w:r w:rsidRPr="00A133CF">
        <w:t>Note (*): Every set of radiating elements makes up an antenna subarray (in this case 2 or 3) and is connecte</w:t>
      </w:r>
      <w:r w:rsidR="00355236">
        <w:t>d to a separate RF input signal.</w:t>
      </w:r>
    </w:p>
    <w:p w14:paraId="6F7CD0A0" w14:textId="77777777" w:rsidR="00DE3BEE" w:rsidRPr="00A133CF" w:rsidRDefault="00DE3BEE" w:rsidP="00DC068B">
      <w:pPr>
        <w:pStyle w:val="Sourcenote"/>
      </w:pPr>
      <w:r w:rsidRPr="00A133CF">
        <w:t>Note (**): In the case of 16TRX, columns can have analogue phase shifters for electrical down-tilt.</w:t>
      </w:r>
      <w:r w:rsidRPr="00C026B7">
        <w:rPr>
          <w:vertAlign w:val="superscript"/>
        </w:rPr>
        <w:footnoteReference w:id="40"/>
      </w:r>
      <w:r w:rsidRPr="00A133CF">
        <w:t>”</w:t>
      </w:r>
    </w:p>
    <w:p w14:paraId="225C822A" w14:textId="77777777" w:rsidR="00D848F2" w:rsidRDefault="00DE3BEE" w:rsidP="00355236">
      <w:pPr>
        <w:keepLines/>
      </w:pPr>
      <w:r w:rsidRPr="00A133CF">
        <w:lastRenderedPageBreak/>
        <w:t xml:space="preserve">NBN raised concerns about the potential impact of grating lobes. These will apply in the horizontal plane for sub-urban and rural areas and the vertical and horizontal plane for urban areas. It is important to consider the actual deployment geometry and the relationship between the main beam and the grating lobes. In the case of a grating lobe pointing towards the satellite (at 40 degrees elevation) it is necessary for the BS to be pointing at 20 degrees above the horizon assuming a 10 degree </w:t>
      </w:r>
      <w:proofErr w:type="spellStart"/>
      <w:r w:rsidRPr="00A133CF">
        <w:t>downtilt</w:t>
      </w:r>
      <w:proofErr w:type="spellEnd"/>
      <w:r w:rsidRPr="00A133CF">
        <w:t xml:space="preserve"> of the BS antenna. For the UE grating lobe to be at 40 degrees generally the UE will be very close to the base station and the transmitter power reduced considerably</w:t>
      </w:r>
      <w:r w:rsidR="00D848F2">
        <w:t>.</w:t>
      </w:r>
    </w:p>
    <w:p w14:paraId="51FA386F" w14:textId="77777777" w:rsidR="00DE3BEE" w:rsidRPr="00A133CF" w:rsidRDefault="00DE3BEE" w:rsidP="00DE3BEE">
      <w:r w:rsidRPr="00A133CF">
        <w:t>The probability of the grating lobe contributing to interference is an important consideration and depends on practical deployments. It is likely that base stations will see a reduction in the grating lobe as for hot spots the base station will be often deployed with a structure behind (120 degree coverage span) which will reduce the signal level.</w:t>
      </w:r>
    </w:p>
    <w:p w14:paraId="0753D67D" w14:textId="77777777" w:rsidR="00DE3BEE" w:rsidRPr="00A133CF" w:rsidRDefault="00DE3BEE" w:rsidP="00DC068B">
      <w:pPr>
        <w:pStyle w:val="Tablefigureheading"/>
      </w:pPr>
      <w:bookmarkStart w:id="186" w:name="_Toc21429784"/>
      <w:r w:rsidRPr="00A133CF">
        <w:t xml:space="preserve">Figure </w:t>
      </w:r>
      <w:r w:rsidR="009D475F">
        <w:fldChar w:fldCharType="begin"/>
      </w:r>
      <w:r w:rsidR="009D475F">
        <w:instrText xml:space="preserve"> STYLEREF 6 \s </w:instrText>
      </w:r>
      <w:r w:rsidR="009D475F">
        <w:fldChar w:fldCharType="separate"/>
      </w:r>
      <w:r w:rsidRPr="00A133CF">
        <w:t>E</w:t>
      </w:r>
      <w:r w:rsidR="009D475F">
        <w:fldChar w:fldCharType="end"/>
      </w:r>
      <w:r w:rsidRPr="00A133CF">
        <w:t>.</w:t>
      </w:r>
      <w:r w:rsidR="009D475F">
        <w:fldChar w:fldCharType="begin"/>
      </w:r>
      <w:r w:rsidR="009D475F">
        <w:instrText xml:space="preserve"> SEQ Figure \* ARABIC \s 6 </w:instrText>
      </w:r>
      <w:r w:rsidR="009D475F">
        <w:fldChar w:fldCharType="separate"/>
      </w:r>
      <w:r w:rsidRPr="00A133CF">
        <w:t>4</w:t>
      </w:r>
      <w:r w:rsidR="009D475F">
        <w:fldChar w:fldCharType="end"/>
      </w:r>
      <w:r w:rsidRPr="00A133CF">
        <w:t>: 8 x 16 antenna arrays for 28 GHz base station.</w:t>
      </w:r>
      <w:r w:rsidR="00232CCD">
        <w:t xml:space="preserve"> </w:t>
      </w:r>
      <w:r w:rsidRPr="00A133CF">
        <w:t>Source: Fujitsu (https://www.fujitsu.com/global/about/resources/news/press-releases/2018/1129-</w:t>
      </w:r>
      <w:proofErr w:type="gramStart"/>
      <w:r w:rsidRPr="00A133CF">
        <w:t>01.html )</w:t>
      </w:r>
      <w:bookmarkEnd w:id="186"/>
      <w:proofErr w:type="gramEnd"/>
    </w:p>
    <w:p w14:paraId="36583CEC" w14:textId="77777777" w:rsidR="00DE3BEE" w:rsidRPr="00A133CF" w:rsidRDefault="00DE3BEE" w:rsidP="00DE3BEE">
      <w:r w:rsidRPr="00A133CF">
        <w:rPr>
          <w:noProof/>
          <w:lang w:eastAsia="en-AU"/>
        </w:rPr>
        <w:drawing>
          <wp:inline distT="0" distB="0" distL="0" distR="0" wp14:anchorId="6F7B20A5" wp14:editId="61A05E6A">
            <wp:extent cx="3810000" cy="2697480"/>
            <wp:effectExtent l="0" t="0" r="0" b="7620"/>
            <wp:docPr id="6" name="Picture 6" descr="8 x 16 antenna arrays for 28 GHz base station showing the receiving sectio on the left and the sending section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2697480"/>
                    </a:xfrm>
                    <a:prstGeom prst="rect">
                      <a:avLst/>
                    </a:prstGeom>
                    <a:noFill/>
                  </pic:spPr>
                </pic:pic>
              </a:graphicData>
            </a:graphic>
          </wp:inline>
        </w:drawing>
      </w:r>
    </w:p>
    <w:p w14:paraId="7225F675" w14:textId="77777777" w:rsidR="00DC068B" w:rsidRDefault="00DC068B">
      <w:pPr>
        <w:spacing w:after="160" w:line="259" w:lineRule="auto"/>
      </w:pPr>
      <w:bookmarkStart w:id="187" w:name="_Toc19230566"/>
      <w:r>
        <w:br w:type="page"/>
      </w:r>
    </w:p>
    <w:p w14:paraId="356CE6B5" w14:textId="77777777" w:rsidR="00DE3BEE" w:rsidRPr="00D21EAB" w:rsidRDefault="00DC068B" w:rsidP="00DC068B">
      <w:pPr>
        <w:pStyle w:val="Heading2"/>
        <w:rPr>
          <w:color w:val="7030A0"/>
        </w:rPr>
      </w:pPr>
      <w:bookmarkStart w:id="188" w:name="_Toc21429761"/>
      <w:r w:rsidRPr="00D21EAB">
        <w:rPr>
          <w:color w:val="7030A0"/>
        </w:rPr>
        <w:lastRenderedPageBreak/>
        <w:t>Appendix F—</w:t>
      </w:r>
      <w:r w:rsidR="00DE3BEE" w:rsidRPr="00D21EAB">
        <w:rPr>
          <w:color w:val="7030A0"/>
        </w:rPr>
        <w:t>Glossary</w:t>
      </w:r>
      <w:bookmarkEnd w:id="187"/>
      <w:bookmarkEnd w:id="188"/>
    </w:p>
    <w:p w14:paraId="2DDB7F81" w14:textId="77777777" w:rsidR="00DE3BEE" w:rsidRPr="00A133CF" w:rsidRDefault="00DE3BEE" w:rsidP="00DC068B">
      <w:pPr>
        <w:tabs>
          <w:tab w:val="left" w:pos="1134"/>
        </w:tabs>
        <w:ind w:left="1134" w:hanging="1134"/>
      </w:pPr>
      <w:r w:rsidRPr="00A133CF">
        <w:t>AR</w:t>
      </w:r>
      <w:r w:rsidRPr="00A133CF">
        <w:tab/>
        <w:t>Augmented Reality</w:t>
      </w:r>
    </w:p>
    <w:p w14:paraId="58B731DB" w14:textId="77777777" w:rsidR="00DE3BEE" w:rsidRPr="00A133CF" w:rsidRDefault="00DE3BEE" w:rsidP="00DC068B">
      <w:pPr>
        <w:tabs>
          <w:tab w:val="left" w:pos="1134"/>
        </w:tabs>
        <w:ind w:left="1134" w:hanging="1134"/>
      </w:pPr>
      <w:r w:rsidRPr="00A133CF">
        <w:t>BS</w:t>
      </w:r>
      <w:r w:rsidRPr="00A133CF">
        <w:tab/>
        <w:t>Base Station</w:t>
      </w:r>
    </w:p>
    <w:p w14:paraId="07008F08" w14:textId="77777777" w:rsidR="00DE3BEE" w:rsidRPr="00A133CF" w:rsidRDefault="00DE3BEE" w:rsidP="00DC068B">
      <w:pPr>
        <w:tabs>
          <w:tab w:val="left" w:pos="1134"/>
        </w:tabs>
        <w:ind w:left="1134" w:hanging="1134"/>
      </w:pPr>
      <w:r w:rsidRPr="00A133CF">
        <w:t>EESS</w:t>
      </w:r>
      <w:r w:rsidRPr="00A133CF">
        <w:tab/>
        <w:t xml:space="preserve">The 'Earth Exploration Satellite Service' (Earth sensors for land-use, climate, oceanography, </w:t>
      </w:r>
      <w:proofErr w:type="spellStart"/>
      <w:r w:rsidRPr="00A133CF">
        <w:t>etc</w:t>
      </w:r>
      <w:proofErr w:type="spellEnd"/>
      <w:r w:rsidRPr="00A133CF">
        <w:t>)</w:t>
      </w:r>
    </w:p>
    <w:p w14:paraId="3B7BCBAC" w14:textId="77777777" w:rsidR="00DE3BEE" w:rsidRPr="00A133CF" w:rsidRDefault="00DE3BEE" w:rsidP="00DC068B">
      <w:pPr>
        <w:tabs>
          <w:tab w:val="left" w:pos="1134"/>
        </w:tabs>
        <w:ind w:left="1134" w:hanging="1134"/>
      </w:pPr>
      <w:r w:rsidRPr="00A133CF">
        <w:t>FSS</w:t>
      </w:r>
      <w:r w:rsidRPr="00A133CF">
        <w:tab/>
        <w:t>The ‘Fixed Satellite Service’, i.e. systems such as Sky Muster</w:t>
      </w:r>
    </w:p>
    <w:p w14:paraId="17414DF1" w14:textId="77777777" w:rsidR="00DE3BEE" w:rsidRPr="00A133CF" w:rsidRDefault="00DE3BEE" w:rsidP="00DC068B">
      <w:pPr>
        <w:tabs>
          <w:tab w:val="left" w:pos="1134"/>
        </w:tabs>
        <w:ind w:left="1134" w:hanging="1134"/>
      </w:pPr>
      <w:r w:rsidRPr="00A133CF">
        <w:t>GSO</w:t>
      </w:r>
      <w:r w:rsidRPr="00A133CF">
        <w:tab/>
        <w:t>Geostationary orbit</w:t>
      </w:r>
    </w:p>
    <w:p w14:paraId="3F57E2D4" w14:textId="77777777" w:rsidR="00DE3BEE" w:rsidRPr="00A133CF" w:rsidRDefault="00DE3BEE" w:rsidP="00DC068B">
      <w:pPr>
        <w:tabs>
          <w:tab w:val="left" w:pos="1134"/>
        </w:tabs>
        <w:ind w:left="1134" w:hanging="1134"/>
      </w:pPr>
      <w:r w:rsidRPr="00A133CF">
        <w:t>G/T</w:t>
      </w:r>
      <w:r w:rsidRPr="00A133CF">
        <w:tab/>
        <w:t xml:space="preserve">A 'figure of merit' for a radio receiver, given as a ratio of antenna gain to system noise </w:t>
      </w:r>
    </w:p>
    <w:p w14:paraId="29A5B569" w14:textId="77777777" w:rsidR="00DE3BEE" w:rsidRPr="00A133CF" w:rsidRDefault="00DE3BEE" w:rsidP="00DC068B">
      <w:pPr>
        <w:tabs>
          <w:tab w:val="left" w:pos="1134"/>
        </w:tabs>
        <w:ind w:left="1134" w:hanging="1134"/>
      </w:pPr>
      <w:r w:rsidRPr="00A133CF">
        <w:t>IMT-2020</w:t>
      </w:r>
      <w:r w:rsidRPr="00A133CF">
        <w:tab/>
        <w:t>The formal ITU term for 5G technologies and system</w:t>
      </w:r>
    </w:p>
    <w:p w14:paraId="552D412E" w14:textId="77777777" w:rsidR="00DE3BEE" w:rsidRPr="00A133CF" w:rsidRDefault="00DE3BEE" w:rsidP="00DC068B">
      <w:pPr>
        <w:tabs>
          <w:tab w:val="left" w:pos="1134"/>
        </w:tabs>
        <w:ind w:left="1134" w:hanging="1134"/>
      </w:pPr>
      <w:r w:rsidRPr="00A133CF">
        <w:t>I/N</w:t>
      </w:r>
      <w:r w:rsidRPr="00A133CF">
        <w:tab/>
        <w:t>Interference to noise ratio</w:t>
      </w:r>
    </w:p>
    <w:p w14:paraId="442A58DA" w14:textId="77777777" w:rsidR="00DE3BEE" w:rsidRPr="00A133CF" w:rsidRDefault="00DE3BEE" w:rsidP="00DC068B">
      <w:pPr>
        <w:tabs>
          <w:tab w:val="left" w:pos="1134"/>
        </w:tabs>
        <w:ind w:left="1134" w:hanging="1134"/>
      </w:pPr>
      <w:r w:rsidRPr="00A133CF">
        <w:t>TG 5/1</w:t>
      </w:r>
      <w:r w:rsidRPr="00A133CF">
        <w:tab/>
        <w:t>An ITU-R Task Group constituted to study sharing issues relating to IMT-2020 prior to the World Radio Conference in 2019</w:t>
      </w:r>
    </w:p>
    <w:p w14:paraId="279F868D" w14:textId="77777777" w:rsidR="00DE3BEE" w:rsidRPr="00A133CF" w:rsidRDefault="00DE3BEE" w:rsidP="00DC068B">
      <w:pPr>
        <w:tabs>
          <w:tab w:val="left" w:pos="1134"/>
        </w:tabs>
        <w:ind w:left="1134" w:hanging="1134"/>
      </w:pPr>
      <w:r w:rsidRPr="00A133CF">
        <w:t>TRP</w:t>
      </w:r>
      <w:r w:rsidRPr="00A133CF">
        <w:tab/>
        <w:t>Total radiated Power</w:t>
      </w:r>
    </w:p>
    <w:p w14:paraId="2DF9A385" w14:textId="77777777" w:rsidR="00DE3BEE" w:rsidRPr="00A133CF" w:rsidRDefault="00DE3BEE" w:rsidP="00DC068B">
      <w:pPr>
        <w:tabs>
          <w:tab w:val="left" w:pos="1134"/>
        </w:tabs>
        <w:ind w:left="1134" w:hanging="1134"/>
      </w:pPr>
      <w:r w:rsidRPr="00A133CF">
        <w:t>UE</w:t>
      </w:r>
      <w:r w:rsidRPr="00A133CF">
        <w:tab/>
        <w:t xml:space="preserve">User equipment. Typically a handheld device, but may include fixed wireless access terminals, vehicle terminals, </w:t>
      </w:r>
      <w:proofErr w:type="spellStart"/>
      <w:r w:rsidRPr="00A133CF">
        <w:t>etc</w:t>
      </w:r>
      <w:proofErr w:type="spellEnd"/>
    </w:p>
    <w:p w14:paraId="5D02E60E" w14:textId="77777777" w:rsidR="00DE3BEE" w:rsidRPr="00A133CF" w:rsidRDefault="00DE3BEE" w:rsidP="00DC068B">
      <w:pPr>
        <w:tabs>
          <w:tab w:val="left" w:pos="1134"/>
        </w:tabs>
        <w:ind w:left="1134" w:hanging="1134"/>
      </w:pPr>
      <w:r w:rsidRPr="00A133CF">
        <w:t>VR</w:t>
      </w:r>
      <w:r w:rsidRPr="00A133CF">
        <w:tab/>
        <w:t>Virtual reality</w:t>
      </w:r>
    </w:p>
    <w:p w14:paraId="53407E87" w14:textId="77777777" w:rsidR="00DE3BEE" w:rsidRPr="00A133CF" w:rsidRDefault="00DE3BEE" w:rsidP="00DC068B">
      <w:pPr>
        <w:tabs>
          <w:tab w:val="left" w:pos="1134"/>
        </w:tabs>
        <w:ind w:left="1134" w:hanging="1134"/>
      </w:pPr>
      <w:r w:rsidRPr="00A133CF">
        <w:t>WP</w:t>
      </w:r>
      <w:r w:rsidRPr="00A133CF">
        <w:tab/>
        <w:t>Working Party (with an ITU-R Study Group)</w:t>
      </w:r>
    </w:p>
    <w:p w14:paraId="6C42D9E8" w14:textId="77777777" w:rsidR="00DE3BEE" w:rsidRPr="00A133CF" w:rsidRDefault="00DE3BEE" w:rsidP="00DC068B">
      <w:pPr>
        <w:tabs>
          <w:tab w:val="left" w:pos="1134"/>
        </w:tabs>
        <w:ind w:left="1134" w:hanging="1134"/>
      </w:pPr>
      <w:r w:rsidRPr="00A133CF">
        <w:t>WRC-19</w:t>
      </w:r>
      <w:r w:rsidRPr="00A133CF">
        <w:tab/>
        <w:t>The ITU-R World Radio Conference to be held in October 2019, where spectrum regulation rules are agreed internationally</w:t>
      </w:r>
      <w:r w:rsidR="00232CCD">
        <w:t xml:space="preserve"> </w:t>
      </w:r>
    </w:p>
    <w:p w14:paraId="5BAE8374" w14:textId="77777777" w:rsidR="00DC068B" w:rsidRPr="00A133CF" w:rsidRDefault="00DC068B" w:rsidP="00C026B7">
      <w:pPr>
        <w:spacing w:before="3480"/>
      </w:pPr>
      <w:r w:rsidRPr="00A133CF">
        <w:rPr>
          <w:rFonts w:hint="cs"/>
        </w:rPr>
        <w:t>©</w:t>
      </w:r>
      <w:r w:rsidRPr="00A133CF">
        <w:t xml:space="preserve"> </w:t>
      </w:r>
      <w:r w:rsidRPr="00A133CF">
        <w:fldChar w:fldCharType="begin"/>
      </w:r>
      <w:r w:rsidRPr="00A133CF">
        <w:instrText xml:space="preserve"> CREATEDATE \@ "yyyy" \* MERGEFORMAT </w:instrText>
      </w:r>
      <w:r w:rsidRPr="00A133CF">
        <w:fldChar w:fldCharType="separate"/>
      </w:r>
      <w:r w:rsidRPr="00A133CF">
        <w:t>2019</w:t>
      </w:r>
      <w:r w:rsidRPr="00A133CF">
        <w:fldChar w:fldCharType="end"/>
      </w:r>
      <w:r w:rsidRPr="00A133CF">
        <w:t xml:space="preserve"> Plum Consulting London LLP, all rights reserved.</w:t>
      </w:r>
    </w:p>
    <w:p w14:paraId="50F5E1D1" w14:textId="77777777" w:rsidR="004119F7" w:rsidRDefault="00DC068B" w:rsidP="00800F3F">
      <w:r w:rsidRPr="00A133CF">
        <w:t>This document has been commissioned by our client and has been compiled solely for their specific requirements and based on the information they have supplied. We accept no liability whatsoever to any party other than our commissioning client; no such third party may place any reliance on the content of this document; and any use it may make of the same is entirely at its own risk.</w:t>
      </w:r>
    </w:p>
    <w:sectPr w:rsidR="004119F7" w:rsidSect="00DC068B">
      <w:headerReference w:type="default" r:id="rId27"/>
      <w:footerReference w:type="default" r:id="rId28"/>
      <w:pgSz w:w="11906" w:h="16838"/>
      <w:pgMar w:top="1985" w:right="1133" w:bottom="1440" w:left="144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91AEAA" w14:textId="77777777" w:rsidR="000620D9" w:rsidRDefault="000620D9" w:rsidP="005113AA">
      <w:pPr>
        <w:spacing w:after="0"/>
      </w:pPr>
      <w:r>
        <w:separator/>
      </w:r>
    </w:p>
  </w:endnote>
  <w:endnote w:type="continuationSeparator" w:id="0">
    <w:p w14:paraId="5E7ED82B" w14:textId="77777777" w:rsidR="000620D9" w:rsidRDefault="000620D9" w:rsidP="005113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Mangal">
    <w:altName w:val="MV Boli"/>
    <w:panose1 w:val="00000400000000000000"/>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Ek Mukta SemiBold">
    <w:altName w:val="Cambria"/>
    <w:panose1 w:val="00000000000000000000"/>
    <w:charset w:val="00"/>
    <w:family w:val="roman"/>
    <w:notTrueType/>
    <w:pitch w:val="default"/>
  </w:font>
  <w:font w:name="Times New Roman Bold">
    <w:panose1 w:val="02020803070505020304"/>
    <w:charset w:val="00"/>
    <w:family w:val="roman"/>
    <w:pitch w:val="variable"/>
    <w:sig w:usb0="00000000"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F740E" w14:textId="43B99930" w:rsidR="000620D9" w:rsidRPr="00C0159A" w:rsidRDefault="000620D9" w:rsidP="00DE3BEE">
    <w:pPr>
      <w:pStyle w:val="FooterA4Portrait"/>
    </w:pPr>
    <w:r w:rsidRPr="00C0159A">
      <w:t xml:space="preserve">© </w:t>
    </w:r>
    <w:r>
      <w:fldChar w:fldCharType="begin"/>
    </w:r>
    <w:r>
      <w:instrText xml:space="preserve"> CREATEDATE \@ "yyyy" \* MERGEFORMAT </w:instrText>
    </w:r>
    <w:r>
      <w:fldChar w:fldCharType="separate"/>
    </w:r>
    <w:r>
      <w:rPr>
        <w:noProof/>
      </w:rPr>
      <w:t>2019</w:t>
    </w:r>
    <w:r>
      <w:rPr>
        <w:noProof/>
      </w:rPr>
      <w:fldChar w:fldCharType="end"/>
    </w:r>
    <w:r>
      <w:rPr>
        <w:noProof/>
      </w:rPr>
      <w:t xml:space="preserve"> Plum Consulting</w:t>
    </w:r>
    <w:r w:rsidRPr="00C0159A">
      <w:tab/>
    </w:r>
    <w:r>
      <w:rPr>
        <w:rStyle w:val="PageNumber"/>
      </w:rPr>
      <w:fldChar w:fldCharType="begin"/>
    </w:r>
    <w:r>
      <w:rPr>
        <w:rStyle w:val="PageNumber"/>
      </w:rPr>
      <w:instrText xml:space="preserve"> PAGE </w:instrText>
    </w:r>
    <w:r>
      <w:rPr>
        <w:rStyle w:val="PageNumber"/>
      </w:rPr>
      <w:fldChar w:fldCharType="separate"/>
    </w:r>
    <w:r w:rsidR="009D475F">
      <w:rPr>
        <w:rStyle w:val="PageNumber"/>
        <w:noProof/>
      </w:rPr>
      <w:t>51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9138B1" w14:textId="77777777" w:rsidR="000620D9" w:rsidRDefault="000620D9" w:rsidP="005113AA">
      <w:pPr>
        <w:spacing w:after="0"/>
      </w:pPr>
      <w:r>
        <w:separator/>
      </w:r>
    </w:p>
  </w:footnote>
  <w:footnote w:type="continuationSeparator" w:id="0">
    <w:p w14:paraId="2172BDF1" w14:textId="77777777" w:rsidR="000620D9" w:rsidRDefault="000620D9" w:rsidP="005113AA">
      <w:pPr>
        <w:spacing w:after="0"/>
      </w:pPr>
      <w:r>
        <w:continuationSeparator/>
      </w:r>
    </w:p>
  </w:footnote>
  <w:footnote w:id="1">
    <w:p w14:paraId="656F28C8" w14:textId="77777777" w:rsidR="000620D9" w:rsidRPr="00FC7DFE" w:rsidRDefault="000620D9" w:rsidP="00DE3BEE">
      <w:pPr>
        <w:pStyle w:val="FootnoteText"/>
        <w:rPr>
          <w:rFonts w:cs="Segoe UI"/>
          <w:szCs w:val="15"/>
        </w:rPr>
      </w:pPr>
      <w:r w:rsidRPr="00FC7DFE">
        <w:rPr>
          <w:rStyle w:val="FootnoteReference"/>
          <w:rFonts w:cs="Segoe UI"/>
          <w:szCs w:val="15"/>
        </w:rPr>
        <w:footnoteRef/>
      </w:r>
      <w:r w:rsidRPr="00FC7DFE">
        <w:rPr>
          <w:rFonts w:cs="Segoe UI"/>
          <w:szCs w:val="15"/>
        </w:rPr>
        <w:t xml:space="preserve"> </w:t>
      </w:r>
      <w:hyperlink r:id="rId1" w:history="1">
        <w:r w:rsidRPr="005957D9">
          <w:rPr>
            <w:rStyle w:val="Hyperlink"/>
            <w:rFonts w:cs="Segoe UI"/>
            <w:szCs w:val="15"/>
          </w:rPr>
          <w:t>https://www.acma.gov.au/theACMA/-/media/15EF7BCEB00E4297B99953C9CDC27125.ashx</w:t>
        </w:r>
      </w:hyperlink>
      <w:r>
        <w:rPr>
          <w:rFonts w:cs="Segoe UI"/>
          <w:szCs w:val="15"/>
        </w:rPr>
        <w:t xml:space="preserve"> </w:t>
      </w:r>
    </w:p>
  </w:footnote>
  <w:footnote w:id="2">
    <w:p w14:paraId="747C5B2B" w14:textId="77777777" w:rsidR="000620D9" w:rsidRDefault="000620D9" w:rsidP="00DE3BEE">
      <w:pPr>
        <w:pStyle w:val="FootnoteText"/>
      </w:pPr>
      <w:r>
        <w:rPr>
          <w:rStyle w:val="FootnoteReference"/>
        </w:rPr>
        <w:footnoteRef/>
      </w:r>
      <w:r>
        <w:t xml:space="preserve"> IMT-2020; the formal ITU term for 5G technologies and systems</w:t>
      </w:r>
    </w:p>
  </w:footnote>
  <w:footnote w:id="3">
    <w:p w14:paraId="61C26AA5" w14:textId="77777777" w:rsidR="000620D9" w:rsidRDefault="000620D9" w:rsidP="00DE3BEE">
      <w:pPr>
        <w:pStyle w:val="FootnoteText"/>
      </w:pPr>
      <w:r>
        <w:rPr>
          <w:rStyle w:val="FootnoteReference"/>
        </w:rPr>
        <w:footnoteRef/>
      </w:r>
      <w:r>
        <w:t xml:space="preserve"> The ‘Fixed Satellite Service’, i.e. systems such as Sky Muster</w:t>
      </w:r>
    </w:p>
  </w:footnote>
  <w:footnote w:id="4">
    <w:p w14:paraId="7A8216AD" w14:textId="77777777" w:rsidR="000620D9" w:rsidRPr="00FC7DFE" w:rsidRDefault="000620D9" w:rsidP="00DE3BEE">
      <w:pPr>
        <w:pStyle w:val="FootnoteText"/>
        <w:rPr>
          <w:rFonts w:cs="Segoe UI"/>
          <w:szCs w:val="15"/>
        </w:rPr>
      </w:pPr>
      <w:r w:rsidRPr="00FC7DFE">
        <w:rPr>
          <w:rStyle w:val="FootnoteReference"/>
          <w:rFonts w:cs="Segoe UI"/>
          <w:szCs w:val="15"/>
        </w:rPr>
        <w:footnoteRef/>
      </w:r>
      <w:r w:rsidRPr="00FC7DFE">
        <w:rPr>
          <w:rFonts w:cs="Segoe UI"/>
          <w:szCs w:val="15"/>
        </w:rPr>
        <w:t xml:space="preserve"> See documents: </w:t>
      </w:r>
      <w:hyperlink r:id="rId2" w:history="1">
        <w:r w:rsidRPr="005957D9">
          <w:rPr>
            <w:rStyle w:val="Hyperlink"/>
            <w:rFonts w:cs="Segoe UI"/>
            <w:szCs w:val="15"/>
          </w:rPr>
          <w:t>https://www.acma.gov.au/-/media/Spectrum-Transformation-and-Government/Issue-for-comment/IFC-32-2018/NBN-submission-pdf.pdf</w:t>
        </w:r>
      </w:hyperlink>
      <w:r>
        <w:rPr>
          <w:rFonts w:cs="Segoe UI"/>
          <w:szCs w:val="15"/>
        </w:rPr>
        <w:t xml:space="preserve">  </w:t>
      </w:r>
      <w:r w:rsidRPr="00FC7DFE">
        <w:rPr>
          <w:rFonts w:cs="Segoe UI"/>
          <w:szCs w:val="15"/>
        </w:rPr>
        <w:t>and https://www.acma.gov.au/-/media/Spectrum-Transformation-and-Government/Issue-for-comment/IFC-32-2018/NBN-submission-attachment-pdf.pdf</w:t>
      </w:r>
    </w:p>
  </w:footnote>
  <w:footnote w:id="5">
    <w:p w14:paraId="6BACE9C6" w14:textId="77777777" w:rsidR="000620D9" w:rsidRPr="00FC7DFE" w:rsidRDefault="000620D9" w:rsidP="00DE3BEE">
      <w:pPr>
        <w:pStyle w:val="FootnoteText"/>
        <w:rPr>
          <w:rFonts w:cs="Segoe UI"/>
          <w:szCs w:val="15"/>
        </w:rPr>
      </w:pPr>
      <w:r w:rsidRPr="00FC7DFE">
        <w:rPr>
          <w:rStyle w:val="FootnoteReference"/>
          <w:rFonts w:cs="Segoe UI"/>
          <w:szCs w:val="15"/>
        </w:rPr>
        <w:footnoteRef/>
      </w:r>
      <w:r>
        <w:rPr>
          <w:rFonts w:cs="Segoe UI"/>
          <w:szCs w:val="15"/>
        </w:rPr>
        <w:t xml:space="preserve"> </w:t>
      </w:r>
      <w:r w:rsidRPr="00FC7DFE">
        <w:rPr>
          <w:rFonts w:cs="Segoe UI"/>
          <w:szCs w:val="15"/>
        </w:rPr>
        <w:t xml:space="preserve"> Future use of the 26 GHz band—Planning decisions and preliminary views</w:t>
      </w:r>
      <w:r>
        <w:rPr>
          <w:rFonts w:cs="Segoe UI"/>
          <w:szCs w:val="15"/>
        </w:rPr>
        <w:t xml:space="preserve"> </w:t>
      </w:r>
    </w:p>
  </w:footnote>
  <w:footnote w:id="6">
    <w:p w14:paraId="639145BE" w14:textId="77777777" w:rsidR="000620D9" w:rsidRPr="00FC7DFE" w:rsidRDefault="000620D9" w:rsidP="00DE3BEE">
      <w:pPr>
        <w:pStyle w:val="FootnoteText"/>
        <w:rPr>
          <w:rFonts w:cs="Segoe UI"/>
          <w:szCs w:val="15"/>
        </w:rPr>
      </w:pPr>
      <w:r w:rsidRPr="00FC7DFE">
        <w:rPr>
          <w:rStyle w:val="FootnoteReference"/>
          <w:rFonts w:cs="Segoe UI"/>
          <w:szCs w:val="15"/>
        </w:rPr>
        <w:footnoteRef/>
      </w:r>
      <w:r>
        <w:rPr>
          <w:rFonts w:cs="Segoe UI"/>
          <w:szCs w:val="15"/>
        </w:rPr>
        <w:t xml:space="preserve"> </w:t>
      </w:r>
      <w:r w:rsidRPr="00FC7DFE">
        <w:rPr>
          <w:rFonts w:cs="Segoe UI"/>
          <w:szCs w:val="15"/>
        </w:rPr>
        <w:t xml:space="preserve"> </w:t>
      </w:r>
      <w:hyperlink r:id="rId3" w:history="1">
        <w:r w:rsidRPr="005957D9">
          <w:rPr>
            <w:rStyle w:val="Hyperlink"/>
            <w:rFonts w:cs="Segoe UI"/>
            <w:szCs w:val="15"/>
          </w:rPr>
          <w:t>https://www.acma.gov.au/theACMA/-/media/E32D8C7AA2A647E085F6D37C2E6503A0.ashx</w:t>
        </w:r>
      </w:hyperlink>
      <w:r>
        <w:rPr>
          <w:rFonts w:cs="Segoe UI"/>
          <w:szCs w:val="15"/>
        </w:rPr>
        <w:t xml:space="preserve"> </w:t>
      </w:r>
    </w:p>
  </w:footnote>
  <w:footnote w:id="7">
    <w:p w14:paraId="572D6AC1" w14:textId="77777777" w:rsidR="000620D9" w:rsidRDefault="000620D9" w:rsidP="00DE3BEE">
      <w:pPr>
        <w:pStyle w:val="FootnoteText"/>
      </w:pPr>
      <w:r>
        <w:rPr>
          <w:rStyle w:val="FootnoteReference"/>
        </w:rPr>
        <w:footnoteRef/>
      </w:r>
      <w:r>
        <w:t xml:space="preserve"> </w:t>
      </w:r>
      <w:r w:rsidRPr="00FC7DFE">
        <w:rPr>
          <w:rFonts w:cs="Segoe UI"/>
          <w:szCs w:val="15"/>
        </w:rPr>
        <w:t xml:space="preserve">See documents: </w:t>
      </w:r>
      <w:hyperlink r:id="rId4" w:history="1">
        <w:r w:rsidRPr="005957D9">
          <w:rPr>
            <w:rStyle w:val="Hyperlink"/>
            <w:rFonts w:cs="Segoe UI"/>
            <w:szCs w:val="15"/>
          </w:rPr>
          <w:t>https://www.acma.gov.au/-/media/Spectrum-Transformation-and-Government/Issue-for-comment/IFC-32-2018/NBN-submission-pdf.pdf</w:t>
        </w:r>
      </w:hyperlink>
      <w:r>
        <w:rPr>
          <w:rStyle w:val="Hyperlink"/>
          <w:rFonts w:cs="Segoe UI"/>
          <w:szCs w:val="15"/>
        </w:rPr>
        <w:t xml:space="preserve"> </w:t>
      </w:r>
      <w:r w:rsidRPr="00FC7DFE">
        <w:rPr>
          <w:rFonts w:cs="Segoe UI"/>
          <w:szCs w:val="15"/>
        </w:rPr>
        <w:t xml:space="preserve">and </w:t>
      </w:r>
      <w:hyperlink r:id="rId5" w:history="1">
        <w:r w:rsidRPr="009B012A">
          <w:rPr>
            <w:rStyle w:val="Hyperlink"/>
            <w:rFonts w:cs="Segoe UI"/>
            <w:szCs w:val="15"/>
          </w:rPr>
          <w:t>https://www.acma.gov.au/-/media/Spectrum-Transformation-and-Government/Issue-for-comment/IFC-32-2018/NBN-submission-attachment-pdf.pdf</w:t>
        </w:r>
      </w:hyperlink>
      <w:r>
        <w:rPr>
          <w:rFonts w:cs="Segoe UI"/>
          <w:szCs w:val="15"/>
        </w:rPr>
        <w:t xml:space="preserve"> </w:t>
      </w:r>
    </w:p>
  </w:footnote>
  <w:footnote w:id="8">
    <w:p w14:paraId="04655B10" w14:textId="77777777" w:rsidR="000620D9" w:rsidRDefault="000620D9" w:rsidP="00DE3BEE">
      <w:pPr>
        <w:pStyle w:val="FootnoteText"/>
      </w:pPr>
      <w:r>
        <w:rPr>
          <w:rStyle w:val="FootnoteReference"/>
        </w:rPr>
        <w:footnoteRef/>
      </w:r>
      <w:r>
        <w:t xml:space="preserve"> ACMA’s analysis is based on satellite antennas pointing towards Sydney and Tokyo both of which have higher populations than NBN’s beams covering gateway Earth stations.</w:t>
      </w:r>
    </w:p>
  </w:footnote>
  <w:footnote w:id="9">
    <w:p w14:paraId="3F632C56" w14:textId="77777777" w:rsidR="000620D9" w:rsidRDefault="000620D9" w:rsidP="00DE3BEE">
      <w:pPr>
        <w:pStyle w:val="FootnoteText"/>
      </w:pPr>
      <w:r>
        <w:rPr>
          <w:rStyle w:val="FootnoteReference"/>
        </w:rPr>
        <w:footnoteRef/>
      </w:r>
      <w:r>
        <w:t xml:space="preserve"> The picture is slightly confused because the increased gain value, taken from the NBN filing, is associated with the noise temperature of 1200K specified in that filing which is, surprisingly, higher than the ITU assumption of 400K.</w:t>
      </w:r>
    </w:p>
  </w:footnote>
  <w:footnote w:id="10">
    <w:p w14:paraId="5AA8A992" w14:textId="77777777" w:rsidR="000620D9" w:rsidRDefault="000620D9" w:rsidP="00DE3BEE">
      <w:pPr>
        <w:pStyle w:val="FootnoteText"/>
      </w:pPr>
      <w:r>
        <w:rPr>
          <w:rStyle w:val="FootnoteReference"/>
        </w:rPr>
        <w:footnoteRef/>
      </w:r>
      <w:r>
        <w:t xml:space="preserve"> although this increased gain will also reduce the area covered by the beam, reducing the number of possible contributors to the interference</w:t>
      </w:r>
    </w:p>
  </w:footnote>
  <w:footnote w:id="11">
    <w:p w14:paraId="137E2713" w14:textId="77777777" w:rsidR="000620D9" w:rsidRDefault="000620D9" w:rsidP="00DE3BEE">
      <w:pPr>
        <w:pStyle w:val="FootnoteText"/>
      </w:pPr>
      <w:r>
        <w:rPr>
          <w:rStyle w:val="FootnoteReference"/>
        </w:rPr>
        <w:footnoteRef/>
      </w:r>
      <w:r>
        <w:t xml:space="preserve"> </w:t>
      </w:r>
      <w:r w:rsidRPr="00C950E2">
        <w:t>On 20 December 2018, Directive (EU) 2018/1972 of the European Parliament and of the Council of 11 December 2018 establishing the European Electronic Communications Code (“EECC”) entered into force.</w:t>
      </w:r>
    </w:p>
  </w:footnote>
  <w:footnote w:id="12">
    <w:p w14:paraId="69ADBFFE" w14:textId="77777777" w:rsidR="000620D9" w:rsidRDefault="000620D9" w:rsidP="00DE3BEE">
      <w:pPr>
        <w:pStyle w:val="FootnoteText"/>
      </w:pPr>
      <w:r>
        <w:rPr>
          <w:rStyle w:val="FootnoteReference"/>
        </w:rPr>
        <w:footnoteRef/>
      </w:r>
      <w:r>
        <w:t xml:space="preserve"> CPM text 2/1.13/4.1.2.5 </w:t>
      </w:r>
    </w:p>
  </w:footnote>
  <w:footnote w:id="13">
    <w:p w14:paraId="49AB670A" w14:textId="77777777" w:rsidR="000620D9" w:rsidRPr="00F62E80" w:rsidRDefault="000620D9" w:rsidP="00DE3BEE">
      <w:pPr>
        <w:pStyle w:val="FootnoteText"/>
        <w:rPr>
          <w:rFonts w:cstheme="minorHAnsi"/>
        </w:rPr>
      </w:pPr>
      <w:r w:rsidRPr="00F62E80">
        <w:rPr>
          <w:rStyle w:val="FootnoteReference"/>
          <w:rFonts w:cstheme="minorHAnsi"/>
        </w:rPr>
        <w:footnoteRef/>
      </w:r>
      <w:r w:rsidRPr="00F62E80">
        <w:rPr>
          <w:rFonts w:cstheme="minorHAnsi"/>
        </w:rPr>
        <w:t xml:space="preserve"> </w:t>
      </w:r>
      <w:hyperlink r:id="rId6" w:history="1">
        <w:r w:rsidRPr="00F62E80">
          <w:rPr>
            <w:rStyle w:val="Hyperlink"/>
            <w:rFonts w:cstheme="minorHAnsi"/>
          </w:rPr>
          <w:t>http://sslmda.com/html/1300_series_platform.php</w:t>
        </w:r>
      </w:hyperlink>
      <w:r w:rsidRPr="00F62E80">
        <w:rPr>
          <w:rFonts w:cstheme="minorHAnsi"/>
        </w:rPr>
        <w:t xml:space="preserve"> </w:t>
      </w:r>
    </w:p>
  </w:footnote>
  <w:footnote w:id="14">
    <w:p w14:paraId="4F9CB676" w14:textId="77777777" w:rsidR="000620D9" w:rsidRPr="00F62E80" w:rsidRDefault="000620D9" w:rsidP="00DE3BEE">
      <w:pPr>
        <w:pStyle w:val="FootnoteText"/>
        <w:rPr>
          <w:rFonts w:cstheme="minorHAnsi"/>
        </w:rPr>
      </w:pPr>
      <w:r w:rsidRPr="00F62E80">
        <w:rPr>
          <w:rStyle w:val="FootnoteReference"/>
          <w:rFonts w:cstheme="minorHAnsi"/>
        </w:rPr>
        <w:footnoteRef/>
      </w:r>
      <w:r w:rsidRPr="00F62E80">
        <w:rPr>
          <w:rFonts w:cstheme="minorHAnsi"/>
        </w:rPr>
        <w:t xml:space="preserve"> </w:t>
      </w:r>
      <w:hyperlink r:id="rId7" w:history="1">
        <w:r w:rsidRPr="00F62E80">
          <w:rPr>
            <w:rStyle w:val="Hyperlink"/>
            <w:rFonts w:cstheme="minorHAnsi"/>
          </w:rPr>
          <w:t>https://www.wikiwand.com/en/Sky_Muster</w:t>
        </w:r>
      </w:hyperlink>
      <w:r w:rsidRPr="00F62E80">
        <w:rPr>
          <w:rFonts w:cstheme="minorHAnsi"/>
        </w:rPr>
        <w:t xml:space="preserve"> </w:t>
      </w:r>
    </w:p>
  </w:footnote>
  <w:footnote w:id="15">
    <w:p w14:paraId="4A109FD0" w14:textId="77777777" w:rsidR="000620D9" w:rsidRDefault="000620D9" w:rsidP="00DE3BEE">
      <w:pPr>
        <w:pStyle w:val="FootnoteText"/>
      </w:pPr>
      <w:r w:rsidRPr="00F62E80">
        <w:rPr>
          <w:rStyle w:val="FootnoteReference"/>
          <w:rFonts w:cstheme="minorHAnsi"/>
        </w:rPr>
        <w:footnoteRef/>
      </w:r>
      <w:r w:rsidRPr="00F62E80">
        <w:rPr>
          <w:rFonts w:cstheme="minorHAnsi"/>
        </w:rPr>
        <w:t xml:space="preserve"> </w:t>
      </w:r>
      <w:hyperlink r:id="rId8" w:history="1">
        <w:r w:rsidRPr="00F62E80">
          <w:rPr>
            <w:rStyle w:val="Hyperlink"/>
            <w:rFonts w:cstheme="minorHAnsi"/>
          </w:rPr>
          <w:t>https://birrraus.com/2016/06/05/what-are-sky-muster-spot-beams/</w:t>
        </w:r>
      </w:hyperlink>
    </w:p>
  </w:footnote>
  <w:footnote w:id="16">
    <w:p w14:paraId="7ACFCB52" w14:textId="77777777" w:rsidR="000620D9" w:rsidRDefault="000620D9" w:rsidP="00DE3BEE">
      <w:pPr>
        <w:pStyle w:val="FootnoteText"/>
      </w:pPr>
      <w:r>
        <w:rPr>
          <w:rStyle w:val="FootnoteReference"/>
        </w:rPr>
        <w:footnoteRef/>
      </w:r>
      <w:r>
        <w:t xml:space="preserve"> </w:t>
      </w:r>
      <w:proofErr w:type="spellStart"/>
      <w:r>
        <w:t>Schneir</w:t>
      </w:r>
      <w:proofErr w:type="spellEnd"/>
      <w:r>
        <w:t xml:space="preserve"> et al (2019) 5G business case in dense urban areas. </w:t>
      </w:r>
    </w:p>
  </w:footnote>
  <w:footnote w:id="17">
    <w:p w14:paraId="10B8040D" w14:textId="77777777" w:rsidR="000620D9" w:rsidRDefault="000620D9" w:rsidP="00DE3BEE">
      <w:pPr>
        <w:pStyle w:val="FootnoteText"/>
      </w:pPr>
      <w:r>
        <w:rPr>
          <w:rStyle w:val="FootnoteReference"/>
        </w:rPr>
        <w:footnoteRef/>
      </w:r>
      <w:r>
        <w:t xml:space="preserve"> </w:t>
      </w:r>
      <w:hyperlink r:id="rId9" w:history="1">
        <w:r w:rsidRPr="00FE0DDA">
          <w:rPr>
            <w:rStyle w:val="Hyperlink"/>
          </w:rPr>
          <w:t>https://one5g.eu/project/</w:t>
        </w:r>
      </w:hyperlink>
      <w:r>
        <w:t xml:space="preserve"> </w:t>
      </w:r>
    </w:p>
  </w:footnote>
  <w:footnote w:id="18">
    <w:p w14:paraId="7E80128D" w14:textId="77777777" w:rsidR="000620D9" w:rsidRDefault="000620D9" w:rsidP="00DE3BEE">
      <w:pPr>
        <w:pStyle w:val="FootnoteText"/>
      </w:pPr>
      <w:r>
        <w:rPr>
          <w:rStyle w:val="FootnoteReference"/>
        </w:rPr>
        <w:footnoteRef/>
      </w:r>
      <w:r>
        <w:t xml:space="preserve"> </w:t>
      </w:r>
      <w:r w:rsidRPr="005E091C">
        <w:t>Deliverable D2.1 Scenarios, KPIs, use cases and baseline system evaluation</w:t>
      </w:r>
      <w:r>
        <w:t xml:space="preserve">, </w:t>
      </w:r>
      <w:hyperlink r:id="rId10" w:history="1">
        <w:r w:rsidRPr="00FE0DDA">
          <w:rPr>
            <w:rStyle w:val="Hyperlink"/>
          </w:rPr>
          <w:t>https://one5g.eu/documents/</w:t>
        </w:r>
      </w:hyperlink>
      <w:r>
        <w:t xml:space="preserve"> </w:t>
      </w:r>
    </w:p>
  </w:footnote>
  <w:footnote w:id="19">
    <w:p w14:paraId="1254B565" w14:textId="77777777" w:rsidR="000620D9" w:rsidRDefault="000620D9" w:rsidP="00DE3BEE">
      <w:pPr>
        <w:pStyle w:val="FootnoteText"/>
      </w:pPr>
      <w:r>
        <w:rPr>
          <w:rStyle w:val="FootnoteReference"/>
        </w:rPr>
        <w:footnoteRef/>
      </w:r>
      <w:r>
        <w:t xml:space="preserve"> Document 5-1/36, February 2017</w:t>
      </w:r>
    </w:p>
  </w:footnote>
  <w:footnote w:id="20">
    <w:p w14:paraId="3E2DA02C" w14:textId="77777777" w:rsidR="000620D9" w:rsidRPr="00F62E80" w:rsidRDefault="000620D9" w:rsidP="00964AC6">
      <w:pPr>
        <w:pStyle w:val="FootnoteText"/>
        <w:rPr>
          <w:rFonts w:cstheme="minorHAnsi"/>
        </w:rPr>
      </w:pPr>
      <w:r w:rsidRPr="00F62E80">
        <w:rPr>
          <w:rStyle w:val="FootnoteReference"/>
          <w:rFonts w:cstheme="minorHAnsi"/>
        </w:rPr>
        <w:footnoteRef/>
      </w:r>
      <w:r w:rsidRPr="00F62E80">
        <w:rPr>
          <w:rFonts w:cstheme="minorHAnsi"/>
        </w:rPr>
        <w:t xml:space="preserve"> </w:t>
      </w:r>
      <w:r>
        <w:rPr>
          <w:rFonts w:cstheme="minorHAnsi"/>
        </w:rPr>
        <w:t>The liaison statement states that ‘</w:t>
      </w:r>
      <w:r w:rsidRPr="00F37D57">
        <w:rPr>
          <w:rFonts w:cstheme="minorHAnsi"/>
          <w:i/>
        </w:rPr>
        <w:t>the modelling of this deployment environment is optional.</w:t>
      </w:r>
      <w:r>
        <w:rPr>
          <w:rFonts w:cstheme="minorHAnsi"/>
          <w:i/>
        </w:rPr>
        <w:t xml:space="preserve"> </w:t>
      </w:r>
      <w:r w:rsidRPr="00F37D57">
        <w:rPr>
          <w:rFonts w:cstheme="minorHAnsi"/>
          <w:i/>
        </w:rPr>
        <w:t>For potential studies, one possible scenario assumes the overall number of deployed base stations to be negligible (zero BS/km2).</w:t>
      </w:r>
      <w:r>
        <w:rPr>
          <w:rFonts w:cstheme="minorHAnsi"/>
          <w:i/>
        </w:rPr>
        <w:t xml:space="preserve"> </w:t>
      </w:r>
      <w:r w:rsidRPr="00F37D57">
        <w:rPr>
          <w:rFonts w:cstheme="minorHAnsi"/>
          <w:i/>
        </w:rPr>
        <w:t>Another possible scenario assumes 1 BS/km2 in outdoor suburban open space hotspot</w:t>
      </w:r>
      <w:r>
        <w:rPr>
          <w:rFonts w:cstheme="minorHAnsi"/>
        </w:rPr>
        <w:t>’</w:t>
      </w:r>
      <w:r w:rsidRPr="00F62E80">
        <w:rPr>
          <w:rFonts w:cstheme="minorHAnsi"/>
        </w:rPr>
        <w:t>.</w:t>
      </w:r>
    </w:p>
  </w:footnote>
  <w:footnote w:id="21">
    <w:p w14:paraId="776681A3" w14:textId="77777777" w:rsidR="000620D9" w:rsidRPr="00F62E80" w:rsidRDefault="000620D9" w:rsidP="00964AC6">
      <w:pPr>
        <w:pStyle w:val="FootnoteText"/>
        <w:rPr>
          <w:rFonts w:cstheme="minorHAnsi"/>
        </w:rPr>
      </w:pPr>
      <w:r w:rsidRPr="00F62E80">
        <w:rPr>
          <w:rStyle w:val="FootnoteReference"/>
          <w:rFonts w:cstheme="minorHAnsi"/>
        </w:rPr>
        <w:footnoteRef/>
      </w:r>
      <w:r w:rsidRPr="00F62E80">
        <w:rPr>
          <w:rFonts w:cstheme="minorHAnsi"/>
        </w:rPr>
        <w:t xml:space="preserve"> </w:t>
      </w:r>
      <w:r>
        <w:rPr>
          <w:rFonts w:cstheme="minorHAnsi"/>
        </w:rPr>
        <w:t>According to the liaison statement ‘</w:t>
      </w:r>
      <w:r w:rsidRPr="00F37D57">
        <w:rPr>
          <w:rFonts w:cstheme="minorHAnsi"/>
          <w:i/>
        </w:rPr>
        <w:t xml:space="preserve">20% would normally represent a typical/average value for the loading of base stations across a network and therefore can be used for wide area analysis (province, national or larger satellite footprint, for example). In order to provide adequate quality of service, IMT networks are dimensioned to avoid undue congestion, such that, </w:t>
      </w:r>
      <w:proofErr w:type="spellStart"/>
      <w:r w:rsidRPr="00F37D57">
        <w:rPr>
          <w:rFonts w:cstheme="minorHAnsi"/>
          <w:i/>
        </w:rPr>
        <w:t>over all</w:t>
      </w:r>
      <w:proofErr w:type="spellEnd"/>
      <w:r w:rsidRPr="00F37D57">
        <w:rPr>
          <w:rFonts w:cstheme="minorHAnsi"/>
          <w:i/>
        </w:rPr>
        <w:t xml:space="preserve"> cells in a network, most of the cells are not heavily loaded simultaneously and only a small percentage of cells being heavily loaded at any specific point in time. For studies involving only a smaller area (e.g. within a local area), a maximum value of not more than 50% for BS/network loading may be used. For worst-case studies involving a single IMT base station/cell, a loading of 100% may be used</w:t>
      </w:r>
      <w:r>
        <w:rPr>
          <w:rFonts w:cstheme="minorHAnsi"/>
        </w:rPr>
        <w:t>’</w:t>
      </w:r>
      <w:r w:rsidRPr="00F62E80">
        <w:rPr>
          <w:rFonts w:cstheme="minorHAnsi"/>
        </w:rPr>
        <w:t>.</w:t>
      </w:r>
    </w:p>
  </w:footnote>
  <w:footnote w:id="22">
    <w:p w14:paraId="32883942" w14:textId="77777777" w:rsidR="000620D9" w:rsidRDefault="000620D9" w:rsidP="00964AC6">
      <w:pPr>
        <w:pStyle w:val="FootnoteText"/>
      </w:pPr>
      <w:r w:rsidRPr="00F62E80">
        <w:rPr>
          <w:rStyle w:val="FootnoteReference"/>
          <w:rFonts w:cstheme="minorHAnsi"/>
        </w:rPr>
        <w:footnoteRef/>
      </w:r>
      <w:r w:rsidRPr="00F62E80">
        <w:rPr>
          <w:rFonts w:cstheme="minorHAnsi"/>
        </w:rPr>
        <w:t xml:space="preserve"> </w:t>
      </w:r>
      <w:r>
        <w:rPr>
          <w:rFonts w:cstheme="minorHAnsi"/>
        </w:rPr>
        <w:t>According to the liaison statement ‘</w:t>
      </w:r>
      <w:r w:rsidRPr="00F37D57">
        <w:rPr>
          <w:rFonts w:cstheme="minorHAnsi"/>
          <w:i/>
        </w:rPr>
        <w:t>although preliminary studies suggest that the impact of proximity effects/body loss will in most cases be in excess of 4 dB, a value of 4 dB has been selected as a typical value</w:t>
      </w:r>
      <w:r>
        <w:rPr>
          <w:rFonts w:cstheme="minorHAnsi"/>
        </w:rPr>
        <w:t>’.</w:t>
      </w:r>
    </w:p>
  </w:footnote>
  <w:footnote w:id="23">
    <w:p w14:paraId="761D01C2" w14:textId="77777777" w:rsidR="000620D9" w:rsidRDefault="000620D9" w:rsidP="00DE3BEE">
      <w:pPr>
        <w:pStyle w:val="FootnoteText"/>
      </w:pPr>
      <w:r>
        <w:rPr>
          <w:rStyle w:val="FootnoteReference"/>
        </w:rPr>
        <w:footnoteRef/>
      </w:r>
      <w:r>
        <w:t xml:space="preserve"> Document 5-1/89, May 2017</w:t>
      </w:r>
    </w:p>
  </w:footnote>
  <w:footnote w:id="24">
    <w:p w14:paraId="51D97778" w14:textId="77777777" w:rsidR="000620D9" w:rsidRDefault="000620D9" w:rsidP="00DE3BEE">
      <w:pPr>
        <w:pStyle w:val="FootnoteText"/>
      </w:pPr>
      <w:r>
        <w:rPr>
          <w:rStyle w:val="FootnoteReference"/>
        </w:rPr>
        <w:footnoteRef/>
      </w:r>
      <w:r>
        <w:t xml:space="preserve"> WRC-19 Agenda Item 1.13 </w:t>
      </w:r>
      <w:r w:rsidRPr="005B7CD8">
        <w:t>consider</w:t>
      </w:r>
      <w:r>
        <w:t>s</w:t>
      </w:r>
      <w:r w:rsidRPr="005B7CD8">
        <w:t xml:space="preserve"> identification of frequency bands for the future </w:t>
      </w:r>
      <w:r>
        <w:t>IMT systems</w:t>
      </w:r>
      <w:r w:rsidRPr="005B7CD8">
        <w:t>, including possible additional allocations to the mobile service on a primary basis</w:t>
      </w:r>
      <w:r>
        <w:t>.</w:t>
      </w:r>
    </w:p>
  </w:footnote>
  <w:footnote w:id="25">
    <w:p w14:paraId="1EC92A83" w14:textId="77777777" w:rsidR="000620D9" w:rsidRDefault="000620D9" w:rsidP="00DE3BEE">
      <w:pPr>
        <w:pStyle w:val="FootnoteText"/>
      </w:pPr>
      <w:r>
        <w:rPr>
          <w:rStyle w:val="FootnoteReference"/>
        </w:rPr>
        <w:footnoteRef/>
      </w:r>
      <w:r>
        <w:t xml:space="preserve"> A further liaison statement (Document 5-1/183, November 2017) provides corrected ES parameters. The satellite receiver parameter values are the same as those provided in Document 5-1/89.</w:t>
      </w:r>
    </w:p>
  </w:footnote>
  <w:footnote w:id="26">
    <w:p w14:paraId="267096FE" w14:textId="77777777" w:rsidR="000620D9" w:rsidRDefault="000620D9" w:rsidP="00DE3BEE">
      <w:pPr>
        <w:pStyle w:val="FootnoteText"/>
      </w:pPr>
      <w:r>
        <w:rPr>
          <w:rStyle w:val="FootnoteReference"/>
        </w:rPr>
        <w:footnoteRef/>
      </w:r>
      <w:r>
        <w:t xml:space="preserve"> The main issue here is whether N is referring to FSS space station receiver system noise (which includes antenna, feeder and receiver noise)) or FSS total system noise (which includes antenna, feeder and receiver noise as well as external interference from other FSS systems).</w:t>
      </w:r>
    </w:p>
  </w:footnote>
  <w:footnote w:id="27">
    <w:p w14:paraId="485D58FA" w14:textId="77777777" w:rsidR="000620D9" w:rsidRDefault="000620D9" w:rsidP="00DE3BEE">
      <w:pPr>
        <w:pStyle w:val="FootnoteText"/>
      </w:pPr>
      <w:r>
        <w:rPr>
          <w:rStyle w:val="FootnoteReference"/>
        </w:rPr>
        <w:footnoteRef/>
      </w:r>
      <w:r>
        <w:t xml:space="preserve"> Document 5-1/411, July 2018</w:t>
      </w:r>
    </w:p>
  </w:footnote>
  <w:footnote w:id="28">
    <w:p w14:paraId="402B4C55" w14:textId="77777777" w:rsidR="000620D9" w:rsidRPr="00EC14E3" w:rsidRDefault="000620D9" w:rsidP="00DE3BEE">
      <w:pPr>
        <w:pStyle w:val="FootnoteText"/>
        <w:rPr>
          <w:rFonts w:cs="Segoe UI"/>
          <w:szCs w:val="15"/>
        </w:rPr>
      </w:pPr>
      <w:r w:rsidRPr="00F62E80">
        <w:rPr>
          <w:rStyle w:val="FootnoteReference"/>
          <w:rFonts w:cstheme="minorHAnsi"/>
          <w:szCs w:val="15"/>
        </w:rPr>
        <w:footnoteRef/>
      </w:r>
      <w:r w:rsidRPr="00F62E80">
        <w:rPr>
          <w:rFonts w:cstheme="minorHAnsi"/>
          <w:szCs w:val="15"/>
        </w:rPr>
        <w:t xml:space="preserve"> </w:t>
      </w:r>
      <w:hyperlink r:id="rId11" w:history="1">
        <w:r w:rsidRPr="00F62E80">
          <w:rPr>
            <w:rStyle w:val="Hyperlink"/>
            <w:rFonts w:cstheme="minorHAnsi"/>
            <w:szCs w:val="15"/>
          </w:rPr>
          <w:t>https://www.ecodocdb.dk/document/3358</w:t>
        </w:r>
      </w:hyperlink>
    </w:p>
  </w:footnote>
  <w:footnote w:id="29">
    <w:p w14:paraId="581C26BA" w14:textId="77777777" w:rsidR="000620D9" w:rsidRPr="00F62E80" w:rsidRDefault="000620D9" w:rsidP="00DE3BEE">
      <w:pPr>
        <w:pStyle w:val="FootnoteText"/>
        <w:rPr>
          <w:rFonts w:cstheme="minorHAnsi"/>
          <w:szCs w:val="15"/>
        </w:rPr>
      </w:pPr>
      <w:r w:rsidRPr="00F62E80">
        <w:rPr>
          <w:rStyle w:val="FootnoteReference"/>
          <w:rFonts w:cstheme="minorHAnsi"/>
          <w:szCs w:val="15"/>
        </w:rPr>
        <w:footnoteRef/>
      </w:r>
      <w:r w:rsidRPr="00F62E80">
        <w:rPr>
          <w:rFonts w:cstheme="minorHAnsi"/>
          <w:szCs w:val="15"/>
        </w:rPr>
        <w:t xml:space="preserve"> </w:t>
      </w:r>
      <w:hyperlink r:id="rId12" w:history="1">
        <w:r w:rsidRPr="00F62E80">
          <w:rPr>
            <w:rStyle w:val="Hyperlink"/>
            <w:rFonts w:cstheme="minorHAnsi"/>
            <w:szCs w:val="15"/>
          </w:rPr>
          <w:t>https://www.ecodocdb.dk/document/3361</w:t>
        </w:r>
      </w:hyperlink>
    </w:p>
  </w:footnote>
  <w:footnote w:id="30">
    <w:p w14:paraId="4B06A335" w14:textId="77777777" w:rsidR="000620D9" w:rsidRPr="00F62E80" w:rsidRDefault="000620D9" w:rsidP="00DE3BEE">
      <w:pPr>
        <w:pStyle w:val="FootnoteText"/>
        <w:rPr>
          <w:rStyle w:val="Hyperlink"/>
          <w:rFonts w:cstheme="minorHAnsi"/>
          <w:szCs w:val="15"/>
        </w:rPr>
      </w:pPr>
      <w:r w:rsidRPr="00F62E80">
        <w:rPr>
          <w:rStyle w:val="FootnoteReference"/>
          <w:rFonts w:cstheme="minorHAnsi"/>
          <w:szCs w:val="15"/>
        </w:rPr>
        <w:footnoteRef/>
      </w:r>
      <w:r w:rsidRPr="00F62E80">
        <w:rPr>
          <w:rFonts w:cstheme="minorHAnsi"/>
          <w:szCs w:val="15"/>
        </w:rPr>
        <w:t xml:space="preserve"> </w:t>
      </w:r>
      <w:hyperlink r:id="rId13" w:history="1">
        <w:r w:rsidRPr="00F62E80">
          <w:rPr>
            <w:rStyle w:val="Hyperlink"/>
            <w:rFonts w:cstheme="minorHAnsi"/>
            <w:szCs w:val="15"/>
          </w:rPr>
          <w:t>https://docs.fcc.gov/public/attachments/FCC-16-89A1.docx</w:t>
        </w:r>
      </w:hyperlink>
      <w:r w:rsidRPr="00F62E80">
        <w:rPr>
          <w:rStyle w:val="Hyperlink"/>
          <w:rFonts w:cstheme="minorHAnsi"/>
          <w:szCs w:val="15"/>
        </w:rPr>
        <w:t xml:space="preserve"> ;</w:t>
      </w:r>
    </w:p>
    <w:p w14:paraId="58B008D6" w14:textId="77777777" w:rsidR="000620D9" w:rsidRPr="00F62E80" w:rsidRDefault="009D475F" w:rsidP="00DE3BEE">
      <w:pPr>
        <w:pStyle w:val="FootnoteText"/>
        <w:ind w:left="113"/>
        <w:rPr>
          <w:rStyle w:val="Hyperlink"/>
          <w:rFonts w:cstheme="minorHAnsi"/>
          <w:szCs w:val="15"/>
        </w:rPr>
      </w:pPr>
      <w:hyperlink r:id="rId14" w:history="1">
        <w:r w:rsidR="000620D9" w:rsidRPr="00F62E80">
          <w:rPr>
            <w:rStyle w:val="Hyperlink"/>
            <w:rFonts w:cstheme="minorHAnsi"/>
            <w:szCs w:val="15"/>
          </w:rPr>
          <w:t>https://www.federalregister.gov/documents/2018/07/20/2018-14806/use-of-spectrum-bands-above-24-ghz-for-mobile-radio-services</w:t>
        </w:r>
      </w:hyperlink>
      <w:r w:rsidR="000620D9" w:rsidRPr="00F62E80">
        <w:rPr>
          <w:rFonts w:cstheme="minorHAnsi"/>
          <w:szCs w:val="15"/>
        </w:rPr>
        <w:t xml:space="preserve"> </w:t>
      </w:r>
      <w:r w:rsidR="000620D9" w:rsidRPr="00F62E80">
        <w:rPr>
          <w:rStyle w:val="Hyperlink"/>
          <w:rFonts w:cstheme="minorHAnsi"/>
          <w:szCs w:val="15"/>
        </w:rPr>
        <w:t>; and</w:t>
      </w:r>
    </w:p>
    <w:p w14:paraId="744FD8C0" w14:textId="77777777" w:rsidR="000620D9" w:rsidRPr="00F62E80" w:rsidRDefault="009D475F" w:rsidP="00DE3BEE">
      <w:pPr>
        <w:pStyle w:val="FootnoteText"/>
        <w:ind w:left="113"/>
        <w:rPr>
          <w:rFonts w:cstheme="minorHAnsi"/>
          <w:szCs w:val="15"/>
        </w:rPr>
      </w:pPr>
      <w:hyperlink r:id="rId15" w:history="1">
        <w:r w:rsidR="000620D9" w:rsidRPr="00F62E80">
          <w:rPr>
            <w:rStyle w:val="Hyperlink"/>
            <w:rFonts w:cstheme="minorHAnsi"/>
            <w:szCs w:val="15"/>
          </w:rPr>
          <w:t>https://www.federalregister.gov/documents/2019/05/13/2019-09426/use-of-spectrum-bands-above-24-ghz-for-mobile-radio-services</w:t>
        </w:r>
      </w:hyperlink>
      <w:r w:rsidR="000620D9" w:rsidRPr="00F62E80">
        <w:rPr>
          <w:rStyle w:val="Hyperlink"/>
          <w:rFonts w:cstheme="minorHAnsi"/>
          <w:szCs w:val="15"/>
        </w:rPr>
        <w:t xml:space="preserve"> </w:t>
      </w:r>
    </w:p>
  </w:footnote>
  <w:footnote w:id="31">
    <w:p w14:paraId="363B23E1" w14:textId="77777777" w:rsidR="000620D9" w:rsidRDefault="000620D9" w:rsidP="00DE3BEE">
      <w:pPr>
        <w:pStyle w:val="FootnoteText"/>
      </w:pPr>
      <w:r w:rsidRPr="00F62E80">
        <w:rPr>
          <w:rStyle w:val="FootnoteReference"/>
          <w:rFonts w:cstheme="minorHAnsi"/>
          <w:szCs w:val="15"/>
        </w:rPr>
        <w:footnoteRef/>
      </w:r>
      <w:r w:rsidRPr="00F62E80">
        <w:rPr>
          <w:rFonts w:cstheme="minorHAnsi"/>
          <w:szCs w:val="15"/>
        </w:rPr>
        <w:t xml:space="preserve"> </w:t>
      </w:r>
      <w:hyperlink r:id="rId16" w:history="1">
        <w:r w:rsidRPr="00F62E80">
          <w:rPr>
            <w:rStyle w:val="Hyperlink"/>
            <w:rFonts w:cstheme="minorHAnsi"/>
            <w:szCs w:val="15"/>
          </w:rPr>
          <w:t>https://www.ic.gc.ca/eic/site/smt-gst.nsf/eng/sf11510.html</w:t>
        </w:r>
      </w:hyperlink>
      <w:r>
        <w:t xml:space="preserve"> </w:t>
      </w:r>
    </w:p>
  </w:footnote>
  <w:footnote w:id="32">
    <w:p w14:paraId="15DC3865" w14:textId="77777777" w:rsidR="000620D9" w:rsidRDefault="000620D9" w:rsidP="00DE3BEE">
      <w:pPr>
        <w:pStyle w:val="FootnoteText"/>
      </w:pPr>
      <w:r>
        <w:rPr>
          <w:rStyle w:val="FootnoteReference"/>
        </w:rPr>
        <w:footnoteRef/>
      </w:r>
      <w:r>
        <w:t xml:space="preserve"> At 27 GHz, assuming a 0.7 efficiency</w:t>
      </w:r>
    </w:p>
  </w:footnote>
  <w:footnote w:id="33">
    <w:p w14:paraId="3C6C435F" w14:textId="77777777" w:rsidR="000620D9" w:rsidRDefault="000620D9" w:rsidP="00DE3BEE">
      <w:pPr>
        <w:pStyle w:val="FootnoteText"/>
      </w:pPr>
      <w:r>
        <w:rPr>
          <w:rStyle w:val="FootnoteReference"/>
        </w:rPr>
        <w:footnoteRef/>
      </w:r>
      <w:r>
        <w:t xml:space="preserve"> </w:t>
      </w:r>
      <w:r w:rsidRPr="00645E48">
        <w:t>Traditional FSS satellites will have footprints covering thousands of kilometres across, with the available bandwidth shared between all users, High-Throughput Satellites are characterised by the use of multiple high-gain ‘spot beams’, used to create a cellular pattern of footprints in the target area. A high degree of frequency re-use ensures that much greater bandwidth is simultaneously available to each user</w:t>
      </w:r>
    </w:p>
  </w:footnote>
  <w:footnote w:id="34">
    <w:p w14:paraId="206174B2" w14:textId="77777777" w:rsidR="000620D9" w:rsidRDefault="000620D9" w:rsidP="00382AB2">
      <w:pPr>
        <w:pStyle w:val="Header"/>
      </w:pPr>
      <w:r>
        <w:rPr>
          <w:rStyle w:val="FootnoteReference"/>
        </w:rPr>
        <w:footnoteRef/>
      </w:r>
      <w:r>
        <w:t xml:space="preserve"> Study on using millimetre wave</w:t>
      </w:r>
      <w:r w:rsidRPr="005E5534">
        <w:t xml:space="preserve"> band</w:t>
      </w:r>
      <w:r>
        <w:t>s for the deployment of the 5G ecosystem in the Union—</w:t>
      </w:r>
      <w:r w:rsidRPr="00677900">
        <w:t>SMART 2017/0015</w:t>
      </w:r>
    </w:p>
  </w:footnote>
  <w:footnote w:id="35">
    <w:p w14:paraId="55C69AB1" w14:textId="77777777" w:rsidR="000620D9" w:rsidRDefault="000620D9" w:rsidP="00DE3BEE">
      <w:pPr>
        <w:pStyle w:val="FootnoteText"/>
      </w:pPr>
      <w:r>
        <w:rPr>
          <w:rStyle w:val="FootnoteReference"/>
        </w:rPr>
        <w:footnoteRef/>
      </w:r>
      <w:r>
        <w:t xml:space="preserve"> see</w:t>
      </w:r>
      <w:r w:rsidRPr="00FE6724">
        <w:t xml:space="preserve"> </w:t>
      </w:r>
      <w:hyperlink r:id="rId17" w:history="1">
        <w:r w:rsidRPr="00233608">
          <w:rPr>
            <w:rStyle w:val="Hyperlink"/>
          </w:rPr>
          <w:t>https://www.cnet.com/news/testing-verizons-early-5g-speeds-was-a-mess-but-im-still-excited-about-our-data-future/</w:t>
        </w:r>
      </w:hyperlink>
      <w:r>
        <w:t xml:space="preserve">  </w:t>
      </w:r>
    </w:p>
  </w:footnote>
  <w:footnote w:id="36">
    <w:p w14:paraId="3F2963D3" w14:textId="77777777" w:rsidR="000620D9" w:rsidRDefault="000620D9" w:rsidP="00DE3BEE">
      <w:pPr>
        <w:pStyle w:val="FootnoteText"/>
      </w:pPr>
      <w:r>
        <w:rPr>
          <w:rStyle w:val="FootnoteReference"/>
        </w:rPr>
        <w:footnoteRef/>
      </w:r>
      <w:r>
        <w:t xml:space="preserve"> </w:t>
      </w:r>
      <w:r w:rsidRPr="005E091C">
        <w:t>Deliverable D2.1 Scenarios, KPIs, use cases and baseline system evaluation</w:t>
      </w:r>
      <w:r>
        <w:t xml:space="preserve">, </w:t>
      </w:r>
      <w:hyperlink r:id="rId18" w:history="1">
        <w:r w:rsidRPr="00233608">
          <w:rPr>
            <w:rStyle w:val="Hyperlink"/>
          </w:rPr>
          <w:t>https://one5g.eu/documents/</w:t>
        </w:r>
      </w:hyperlink>
    </w:p>
  </w:footnote>
  <w:footnote w:id="37">
    <w:p w14:paraId="31E7623B" w14:textId="77777777" w:rsidR="000620D9" w:rsidRDefault="000620D9" w:rsidP="00DE3BEE">
      <w:pPr>
        <w:pStyle w:val="FootnoteText"/>
      </w:pPr>
      <w:r>
        <w:rPr>
          <w:rStyle w:val="FootnoteReference"/>
        </w:rPr>
        <w:footnoteRef/>
      </w:r>
      <w:r>
        <w:t xml:space="preserve"> </w:t>
      </w:r>
      <w:hyperlink r:id="rId19" w:history="1">
        <w:r w:rsidRPr="00233608">
          <w:rPr>
            <w:rStyle w:val="Hyperlink"/>
          </w:rPr>
          <w:t>http://epubs.surrey.ac.uk/849644/1/Capacity%20and%20Costs%20for%205G%20Networks%20in%20Dense%20Urban%20Areas.pdf</w:t>
        </w:r>
      </w:hyperlink>
      <w:r>
        <w:t xml:space="preserve"> </w:t>
      </w:r>
    </w:p>
  </w:footnote>
  <w:footnote w:id="38">
    <w:p w14:paraId="14B03D57" w14:textId="77777777" w:rsidR="000620D9" w:rsidRDefault="000620D9" w:rsidP="00DE3BEE">
      <w:pPr>
        <w:pStyle w:val="FootnoteText"/>
      </w:pPr>
      <w:r>
        <w:rPr>
          <w:rStyle w:val="FootnoteReference"/>
        </w:rPr>
        <w:footnoteRef/>
      </w:r>
      <w:r>
        <w:t xml:space="preserve"> </w:t>
      </w:r>
      <w:hyperlink r:id="rId20" w:anchor="download" w:history="1">
        <w:r w:rsidRPr="00887EBB">
          <w:rPr>
            <w:rStyle w:val="Hyperlink"/>
          </w:rPr>
          <w:t>https://fccid.io/IHDT56XL1/RF-Exposure-Info/PD-Simulation-report-0213-4170293#download</w:t>
        </w:r>
      </w:hyperlink>
    </w:p>
  </w:footnote>
  <w:footnote w:id="39">
    <w:p w14:paraId="482DE628" w14:textId="77777777" w:rsidR="000620D9" w:rsidRDefault="000620D9" w:rsidP="00DE3BEE">
      <w:pPr>
        <w:pStyle w:val="FootnoteText"/>
      </w:pPr>
      <w:r>
        <w:rPr>
          <w:rStyle w:val="FootnoteReference"/>
        </w:rPr>
        <w:footnoteRef/>
      </w:r>
      <w:r>
        <w:t xml:space="preserve"> </w:t>
      </w:r>
      <w:hyperlink r:id="rId21" w:history="1">
        <w:r w:rsidRPr="00887EBB">
          <w:rPr>
            <w:rStyle w:val="Hyperlink"/>
          </w:rPr>
          <w:t>http://epubs.surrey.ac.uk/849644/1/Capacity%20and%20Costs%20for%205G%20Networks%20in%20Dense%20Urban%20Areas.pdf</w:t>
        </w:r>
      </w:hyperlink>
    </w:p>
  </w:footnote>
  <w:footnote w:id="40">
    <w:p w14:paraId="23E3652C" w14:textId="77777777" w:rsidR="000620D9" w:rsidRDefault="000620D9" w:rsidP="00DE3BEE">
      <w:pPr>
        <w:pStyle w:val="FootnoteText"/>
      </w:pPr>
      <w:r>
        <w:rPr>
          <w:rStyle w:val="FootnoteReference"/>
        </w:rPr>
        <w:footnoteRef/>
      </w:r>
      <w:r>
        <w:t xml:space="preserve"> Source: 5G Americas White Paper: Advanced Antenna Systems for 5G—2019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0345D" w14:textId="2F910E71" w:rsidR="000620D9" w:rsidRPr="005F0F56" w:rsidRDefault="009D475F" w:rsidP="00D4222D">
    <w:pPr>
      <w:pStyle w:val="HeaderA4Portrait"/>
      <w:tabs>
        <w:tab w:val="clear" w:pos="9639"/>
        <w:tab w:val="left" w:pos="5103"/>
        <w:tab w:val="right" w:pos="9333"/>
      </w:tabs>
    </w:pPr>
    <w:r>
      <w:fldChar w:fldCharType="begin"/>
    </w:r>
    <w:r>
      <w:instrText xml:space="preserve"> DOCPROPERTY "Header title" \* MERGEFORMAT </w:instrText>
    </w:r>
    <w:r>
      <w:fldChar w:fldCharType="separate"/>
    </w:r>
    <w:r w:rsidR="000620D9">
      <w:t>IMT and FSS Sharing in 27–27.5 GHz</w:t>
    </w:r>
    <w:r>
      <w:fldChar w:fldCharType="end"/>
    </w:r>
    <w:r w:rsidR="000620D9">
      <w:tab/>
    </w:r>
    <w:r w:rsidR="000620D9">
      <w:fldChar w:fldCharType="begin"/>
    </w:r>
    <w:r w:rsidR="000620D9">
      <w:instrText xml:space="preserve"> STYLEREF  "Heading 2" \t </w:instrText>
    </w:r>
    <w:r w:rsidR="000620D9">
      <w:fldChar w:fldCharType="separate"/>
    </w:r>
    <w:r>
      <w:rPr>
        <w:noProof/>
      </w:rPr>
      <w:t>Appendix F—Glossary</w:t>
    </w:r>
    <w:r w:rsidR="000620D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5C413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30A5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1A0D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9EC85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72815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8AF4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FEAC4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2EA9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D740D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74A26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35974"/>
    <w:multiLevelType w:val="hybridMultilevel"/>
    <w:tmpl w:val="1DD86B3E"/>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0851B26"/>
    <w:multiLevelType w:val="hybridMultilevel"/>
    <w:tmpl w:val="8E561D50"/>
    <w:lvl w:ilvl="0" w:tplc="194E3732">
      <w:start w:val="1"/>
      <w:numFmt w:val="bullet"/>
      <w:lvlText w:val=""/>
      <w:lvlJc w:val="left"/>
      <w:pPr>
        <w:ind w:left="360" w:hanging="360"/>
      </w:pPr>
      <w:rPr>
        <w:rFonts w:ascii="Symbol" w:hAnsi="Symbol" w:hint="default"/>
        <w:color w:val="FF339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370017E"/>
    <w:multiLevelType w:val="hybridMultilevel"/>
    <w:tmpl w:val="855EC7E2"/>
    <w:lvl w:ilvl="0" w:tplc="2046704E">
      <w:start w:val="1"/>
      <w:numFmt w:val="bullet"/>
      <w:pStyle w:val="Puce1"/>
      <w:lvlText w:val=""/>
      <w:lvlJc w:val="left"/>
      <w:pPr>
        <w:ind w:left="720" w:hanging="360"/>
      </w:pPr>
      <w:rPr>
        <w:rFonts w:ascii="Symbol" w:hAnsi="Symbol" w:hint="default"/>
      </w:rPr>
    </w:lvl>
    <w:lvl w:ilvl="1" w:tplc="A90CAFF8">
      <w:start w:val="1"/>
      <w:numFmt w:val="bullet"/>
      <w:pStyle w:val="Puce2"/>
      <w:lvlText w:val="­"/>
      <w:lvlJc w:val="left"/>
      <w:pPr>
        <w:ind w:left="1440" w:hanging="360"/>
      </w:pPr>
      <w:rPr>
        <w:rFonts w:ascii="Arial" w:hAnsi="Arial" w:hint="default"/>
      </w:rPr>
    </w:lvl>
    <w:lvl w:ilvl="2" w:tplc="FE0A5780">
      <w:start w:val="1"/>
      <w:numFmt w:val="bullet"/>
      <w:pStyle w:val="Puce3"/>
      <w:lvlText w:val="­"/>
      <w:lvlJc w:val="left"/>
      <w:pPr>
        <w:ind w:left="2160" w:hanging="360"/>
      </w:pPr>
      <w:rPr>
        <w:rFonts w:ascii="Arial" w:hAnsi="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A407D31"/>
    <w:multiLevelType w:val="multilevel"/>
    <w:tmpl w:val="DE981C74"/>
    <w:lvl w:ilvl="0">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upperLetter"/>
      <w:lvlText w:val="%4."/>
      <w:lvlJc w:val="left"/>
      <w:pPr>
        <w:ind w:left="864" w:hanging="864"/>
      </w:pPr>
      <w:rPr>
        <w:rFonts w:hint="default"/>
      </w:rPr>
    </w:lvl>
    <w:lvl w:ilvl="4">
      <w:start w:val="1"/>
      <w:numFmt w:val="lowerLetter"/>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41A265C"/>
    <w:multiLevelType w:val="multilevel"/>
    <w:tmpl w:val="74321A70"/>
    <w:styleLink w:val="BulletList"/>
    <w:lvl w:ilvl="0">
      <w:start w:val="1"/>
      <w:numFmt w:val="bullet"/>
      <w:pStyle w:val="BulletList1"/>
      <w:lvlText w:val=""/>
      <w:lvlJc w:val="left"/>
      <w:pPr>
        <w:ind w:left="680" w:hanging="340"/>
      </w:pPr>
      <w:rPr>
        <w:rFonts w:ascii="Symbol" w:hAnsi="Symbol" w:hint="default"/>
        <w:color w:val="626E81" w:themeColor="accent3"/>
      </w:rPr>
    </w:lvl>
    <w:lvl w:ilvl="1">
      <w:start w:val="1"/>
      <w:numFmt w:val="bullet"/>
      <w:pStyle w:val="BulletList2"/>
      <w:lvlText w:val="–"/>
      <w:lvlJc w:val="left"/>
      <w:pPr>
        <w:ind w:left="1020" w:hanging="340"/>
      </w:pPr>
      <w:rPr>
        <w:rFonts w:ascii="Times New Roman" w:hAnsi="Times New Roman" w:cs="Times New Roman" w:hint="default"/>
        <w:color w:val="626E81" w:themeColor="accent3"/>
      </w:rPr>
    </w:lvl>
    <w:lvl w:ilvl="2">
      <w:start w:val="1"/>
      <w:numFmt w:val="bullet"/>
      <w:pStyle w:val="BulletList3"/>
      <w:lvlText w:val="–"/>
      <w:lvlJc w:val="left"/>
      <w:pPr>
        <w:ind w:left="1360" w:hanging="340"/>
      </w:pPr>
      <w:rPr>
        <w:rFonts w:ascii="Times New Roman" w:hAnsi="Times New Roman" w:cs="Times New Roman" w:hint="default"/>
        <w:color w:val="626E81" w:themeColor="accent3"/>
      </w:rPr>
    </w:lvl>
    <w:lvl w:ilvl="3">
      <w:start w:val="1"/>
      <w:numFmt w:val="bullet"/>
      <w:pStyle w:val="BulletList4"/>
      <w:lvlText w:val="—"/>
      <w:lvlJc w:val="left"/>
      <w:pPr>
        <w:ind w:left="1700" w:hanging="340"/>
      </w:pPr>
      <w:rPr>
        <w:rFonts w:asciiTheme="minorHAnsi" w:hAnsiTheme="minorHAnsi" w:hint="default"/>
      </w:rPr>
    </w:lvl>
    <w:lvl w:ilvl="4">
      <w:start w:val="1"/>
      <w:numFmt w:val="bullet"/>
      <w:pStyle w:val="BulletList5"/>
      <w:lvlText w:val="–"/>
      <w:lvlJc w:val="left"/>
      <w:pPr>
        <w:ind w:left="2040" w:hanging="340"/>
      </w:pPr>
      <w:rPr>
        <w:rFonts w:asciiTheme="minorHAnsi" w:hAnsiTheme="minorHAnsi" w:hint="default"/>
        <w:color w:val="auto"/>
      </w:rPr>
    </w:lvl>
    <w:lvl w:ilvl="5">
      <w:start w:val="1"/>
      <w:numFmt w:val="bullet"/>
      <w:pStyle w:val="BulletList6"/>
      <w:lvlText w:val="-"/>
      <w:lvlJc w:val="left"/>
      <w:pPr>
        <w:ind w:left="2380" w:hanging="340"/>
      </w:pPr>
      <w:rPr>
        <w:rFonts w:asciiTheme="minorHAnsi" w:hAnsiTheme="minorHAnsi" w:hint="default"/>
      </w:rPr>
    </w:lvl>
    <w:lvl w:ilvl="6">
      <w:start w:val="1"/>
      <w:numFmt w:val="bullet"/>
      <w:pStyle w:val="BulletList7"/>
      <w:lvlText w:val="—"/>
      <w:lvlJc w:val="left"/>
      <w:pPr>
        <w:ind w:left="2720" w:hanging="340"/>
      </w:pPr>
      <w:rPr>
        <w:rFonts w:asciiTheme="minorHAnsi" w:hAnsiTheme="minorHAnsi" w:hint="default"/>
      </w:rPr>
    </w:lvl>
    <w:lvl w:ilvl="7">
      <w:start w:val="1"/>
      <w:numFmt w:val="bullet"/>
      <w:pStyle w:val="BulletList8"/>
      <w:lvlText w:val="–"/>
      <w:lvlJc w:val="left"/>
      <w:pPr>
        <w:ind w:left="3060" w:hanging="340"/>
      </w:pPr>
      <w:rPr>
        <w:rFonts w:asciiTheme="minorHAnsi" w:hAnsiTheme="minorHAnsi" w:hint="default"/>
        <w:color w:val="auto"/>
      </w:rPr>
    </w:lvl>
    <w:lvl w:ilvl="8">
      <w:start w:val="1"/>
      <w:numFmt w:val="bullet"/>
      <w:pStyle w:val="BulletList9"/>
      <w:lvlText w:val="-"/>
      <w:lvlJc w:val="left"/>
      <w:pPr>
        <w:ind w:left="3400" w:hanging="340"/>
      </w:pPr>
      <w:rPr>
        <w:rFonts w:asciiTheme="minorHAnsi" w:hAnsiTheme="minorHAnsi" w:hint="default"/>
      </w:rPr>
    </w:lvl>
  </w:abstractNum>
  <w:abstractNum w:abstractNumId="15" w15:restartNumberingAfterBreak="0">
    <w:nsid w:val="24E92756"/>
    <w:multiLevelType w:val="hybridMultilevel"/>
    <w:tmpl w:val="3F40024E"/>
    <w:lvl w:ilvl="0" w:tplc="44A28FC6">
      <w:start w:val="1"/>
      <w:numFmt w:val="bullet"/>
      <w:pStyle w:val="Listparagraphbullets"/>
      <w:lvlText w:val=""/>
      <w:lvlJc w:val="left"/>
      <w:pPr>
        <w:ind w:left="360" w:hanging="360"/>
      </w:pPr>
      <w:rPr>
        <w:rFonts w:ascii="Symbol" w:hAnsi="Symbol" w:hint="default"/>
        <w:caps w:val="0"/>
        <w:strike w:val="0"/>
        <w:dstrike w:val="0"/>
        <w:vanish w:val="0"/>
        <w:color w:val="7030A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637545"/>
    <w:multiLevelType w:val="multilevel"/>
    <w:tmpl w:val="07E661A4"/>
    <w:styleLink w:val="NumberedList"/>
    <w:lvl w:ilvl="0">
      <w:start w:val="1"/>
      <w:numFmt w:val="decimal"/>
      <w:pStyle w:val="NumberedList1"/>
      <w:lvlText w:val="%1."/>
      <w:lvlJc w:val="left"/>
      <w:pPr>
        <w:ind w:left="680" w:hanging="340"/>
      </w:pPr>
      <w:rPr>
        <w:rFonts w:hint="default"/>
        <w:color w:val="000000" w:themeColor="text1"/>
      </w:rPr>
    </w:lvl>
    <w:lvl w:ilvl="1">
      <w:start w:val="1"/>
      <w:numFmt w:val="lowerLetter"/>
      <w:pStyle w:val="NumberedList2"/>
      <w:lvlText w:val="%2."/>
      <w:lvlJc w:val="left"/>
      <w:pPr>
        <w:tabs>
          <w:tab w:val="num" w:pos="340"/>
        </w:tabs>
        <w:ind w:left="1020" w:hanging="340"/>
      </w:pPr>
      <w:rPr>
        <w:rFonts w:hint="default"/>
      </w:rPr>
    </w:lvl>
    <w:lvl w:ilvl="2">
      <w:start w:val="1"/>
      <w:numFmt w:val="lowerRoman"/>
      <w:pStyle w:val="NumberedList3"/>
      <w:lvlText w:val="%3."/>
      <w:lvlJc w:val="left"/>
      <w:pPr>
        <w:tabs>
          <w:tab w:val="num" w:pos="680"/>
        </w:tabs>
        <w:ind w:left="1360" w:hanging="340"/>
      </w:pPr>
      <w:rPr>
        <w:rFonts w:hint="default"/>
      </w:rPr>
    </w:lvl>
    <w:lvl w:ilvl="3">
      <w:start w:val="1"/>
      <w:numFmt w:val="upperLetter"/>
      <w:pStyle w:val="NumberedList4"/>
      <w:lvlText w:val="%4."/>
      <w:lvlJc w:val="left"/>
      <w:pPr>
        <w:tabs>
          <w:tab w:val="num" w:pos="1020"/>
        </w:tabs>
        <w:ind w:left="1700" w:hanging="340"/>
      </w:pPr>
      <w:rPr>
        <w:rFonts w:hint="default"/>
      </w:rPr>
    </w:lvl>
    <w:lvl w:ilvl="4">
      <w:start w:val="1"/>
      <w:numFmt w:val="upperRoman"/>
      <w:pStyle w:val="NumberedList5"/>
      <w:lvlText w:val="%5."/>
      <w:lvlJc w:val="left"/>
      <w:pPr>
        <w:tabs>
          <w:tab w:val="num" w:pos="1360"/>
        </w:tabs>
        <w:ind w:left="2040" w:hanging="340"/>
      </w:pPr>
      <w:rPr>
        <w:rFonts w:hint="default"/>
      </w:rPr>
    </w:lvl>
    <w:lvl w:ilvl="5">
      <w:start w:val="1"/>
      <w:numFmt w:val="decimal"/>
      <w:pStyle w:val="NumberedList6"/>
      <w:lvlText w:val="(%6)."/>
      <w:lvlJc w:val="left"/>
      <w:pPr>
        <w:tabs>
          <w:tab w:val="num" w:pos="1700"/>
        </w:tabs>
        <w:ind w:left="2380" w:hanging="340"/>
      </w:pPr>
      <w:rPr>
        <w:rFonts w:hint="default"/>
      </w:rPr>
    </w:lvl>
    <w:lvl w:ilvl="6">
      <w:start w:val="1"/>
      <w:numFmt w:val="lowerLetter"/>
      <w:pStyle w:val="NumberedList7"/>
      <w:lvlText w:val="(%7)"/>
      <w:lvlJc w:val="left"/>
      <w:pPr>
        <w:tabs>
          <w:tab w:val="num" w:pos="2040"/>
        </w:tabs>
        <w:ind w:left="2720" w:hanging="340"/>
      </w:pPr>
      <w:rPr>
        <w:rFonts w:hint="default"/>
      </w:rPr>
    </w:lvl>
    <w:lvl w:ilvl="7">
      <w:start w:val="1"/>
      <w:numFmt w:val="lowerRoman"/>
      <w:pStyle w:val="NumberedList8"/>
      <w:lvlText w:val="(%8)"/>
      <w:lvlJc w:val="left"/>
      <w:pPr>
        <w:tabs>
          <w:tab w:val="num" w:pos="2380"/>
        </w:tabs>
        <w:ind w:left="3060" w:hanging="340"/>
      </w:pPr>
      <w:rPr>
        <w:rFonts w:hint="default"/>
      </w:rPr>
    </w:lvl>
    <w:lvl w:ilvl="8">
      <w:start w:val="1"/>
      <w:numFmt w:val="upperLetter"/>
      <w:pStyle w:val="NumberedList9"/>
      <w:lvlText w:val="(%9)"/>
      <w:lvlJc w:val="left"/>
      <w:pPr>
        <w:tabs>
          <w:tab w:val="num" w:pos="2720"/>
        </w:tabs>
        <w:ind w:left="3400" w:hanging="340"/>
      </w:pPr>
      <w:rPr>
        <w:rFonts w:hint="default"/>
      </w:rPr>
    </w:lvl>
  </w:abstractNum>
  <w:abstractNum w:abstractNumId="17" w15:restartNumberingAfterBreak="0">
    <w:nsid w:val="4EBE04A9"/>
    <w:multiLevelType w:val="hybridMultilevel"/>
    <w:tmpl w:val="CBF2B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D932AD"/>
    <w:multiLevelType w:val="multilevel"/>
    <w:tmpl w:val="67EE6D50"/>
    <w:styleLink w:val="Heading"/>
    <w:lvl w:ilvl="0">
      <w:start w:val="1"/>
      <w:numFmt w:val="decimal"/>
      <w:lvlRestart w:val="0"/>
      <w:lvlText w:val="%1"/>
      <w:lvlJc w:val="left"/>
      <w:pPr>
        <w:ind w:left="680" w:hanging="680"/>
      </w:pPr>
      <w:rPr>
        <w:rFonts w:cs="Times New Roman" w:hint="default"/>
      </w:rPr>
    </w:lvl>
    <w:lvl w:ilvl="1">
      <w:start w:val="1"/>
      <w:numFmt w:val="decimal"/>
      <w:lvlText w:val="%1.%2"/>
      <w:lvlJc w:val="left"/>
      <w:pPr>
        <w:tabs>
          <w:tab w:val="num" w:pos="680"/>
        </w:tabs>
        <w:ind w:left="680" w:hanging="680"/>
      </w:pPr>
      <w:rPr>
        <w:rFonts w:cs="Times New Roman" w:hint="default"/>
      </w:rPr>
    </w:lvl>
    <w:lvl w:ilvl="2">
      <w:start w:val="1"/>
      <w:numFmt w:val="decimal"/>
      <w:lvlText w:val="%1.%2.%3"/>
      <w:lvlJc w:val="left"/>
      <w:pPr>
        <w:tabs>
          <w:tab w:val="num" w:pos="680"/>
        </w:tabs>
        <w:ind w:left="680" w:hanging="680"/>
      </w:pPr>
      <w:rPr>
        <w:rFonts w:cs="Times New Roman" w:hint="default"/>
      </w:rPr>
    </w:lvl>
    <w:lvl w:ilvl="3">
      <w:start w:val="1"/>
      <w:numFmt w:val="decimal"/>
      <w:lvlText w:val="%1.%2.%3.%4"/>
      <w:lvlJc w:val="left"/>
      <w:pPr>
        <w:tabs>
          <w:tab w:val="num" w:pos="680"/>
        </w:tabs>
        <w:ind w:left="680" w:hanging="680"/>
      </w:pPr>
      <w:rPr>
        <w:rFonts w:asciiTheme="majorHAnsi" w:hAnsiTheme="majorHAnsi" w:cs="Times New Roman" w:hint="default"/>
        <w:color w:val="626E81" w:themeColor="accent3"/>
      </w:rPr>
    </w:lvl>
    <w:lvl w:ilvl="4">
      <w:start w:val="1"/>
      <w:numFmt w:val="lowerLetter"/>
      <w:lvlText w:val="%5"/>
      <w:lvlJc w:val="left"/>
      <w:pPr>
        <w:tabs>
          <w:tab w:val="num" w:pos="1021"/>
        </w:tabs>
        <w:ind w:left="1021" w:hanging="341"/>
      </w:pPr>
      <w:rPr>
        <w:rFonts w:cs="Times New Roman" w:hint="default"/>
      </w:rPr>
    </w:lvl>
    <w:lvl w:ilvl="5">
      <w:start w:val="1"/>
      <w:numFmt w:val="upperLetter"/>
      <w:lvlRestart w:val="0"/>
      <w:lvlText w:val="Appendix %6"/>
      <w:lvlJc w:val="left"/>
      <w:pPr>
        <w:ind w:left="2552" w:hanging="2552"/>
      </w:pPr>
      <w:rPr>
        <w:rFonts w:cs="Times New Roman" w:hint="default"/>
      </w:rPr>
    </w:lvl>
    <w:lvl w:ilvl="6">
      <w:start w:val="1"/>
      <w:numFmt w:val="decimal"/>
      <w:lvlText w:val="%6.%7"/>
      <w:lvlJc w:val="left"/>
      <w:pPr>
        <w:tabs>
          <w:tab w:val="num" w:pos="680"/>
        </w:tabs>
        <w:ind w:left="680" w:hanging="680"/>
      </w:pPr>
      <w:rPr>
        <w:rFonts w:cs="Times New Roman" w:hint="default"/>
      </w:rPr>
    </w:lvl>
    <w:lvl w:ilvl="7">
      <w:start w:val="1"/>
      <w:numFmt w:val="decimal"/>
      <w:lvlRestart w:val="0"/>
      <w:lvlText w:val="%6.%7.%8"/>
      <w:lvlJc w:val="left"/>
      <w:pPr>
        <w:tabs>
          <w:tab w:val="num" w:pos="680"/>
        </w:tabs>
        <w:ind w:left="680" w:hanging="680"/>
      </w:pPr>
      <w:rPr>
        <w:rFonts w:cs="Times New Roman" w:hint="default"/>
      </w:rPr>
    </w:lvl>
    <w:lvl w:ilvl="8">
      <w:start w:val="1"/>
      <w:numFmt w:val="decimal"/>
      <w:lvlText w:val="%6.%7.%8.%9"/>
      <w:lvlJc w:val="left"/>
      <w:pPr>
        <w:tabs>
          <w:tab w:val="num" w:pos="680"/>
        </w:tabs>
        <w:ind w:left="680" w:hanging="680"/>
      </w:pPr>
      <w:rPr>
        <w:rFonts w:cs="Times New Roman" w:hint="default"/>
      </w:rPr>
    </w:lvl>
  </w:abstractNum>
  <w:abstractNum w:abstractNumId="19" w15:restartNumberingAfterBreak="0">
    <w:nsid w:val="4F5C34DF"/>
    <w:multiLevelType w:val="hybridMultilevel"/>
    <w:tmpl w:val="D520E654"/>
    <w:lvl w:ilvl="0" w:tplc="D69CC2A8">
      <w:start w:val="1"/>
      <w:numFmt w:val="decimal"/>
      <w:pStyle w:val="ListParagraph"/>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5DC462D9"/>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8827E7D"/>
    <w:multiLevelType w:val="hybridMultilevel"/>
    <w:tmpl w:val="7DB6181E"/>
    <w:lvl w:ilvl="0" w:tplc="8968F9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187A16"/>
    <w:multiLevelType w:val="hybridMultilevel"/>
    <w:tmpl w:val="CB924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1"/>
  </w:num>
  <w:num w:numId="13">
    <w:abstractNumId w:val="15"/>
  </w:num>
  <w:num w:numId="14">
    <w:abstractNumId w:val="19"/>
  </w:num>
  <w:num w:numId="15">
    <w:abstractNumId w:val="14"/>
  </w:num>
  <w:num w:numId="16">
    <w:abstractNumId w:val="18"/>
    <w:lvlOverride w:ilvl="7">
      <w:lvl w:ilvl="7">
        <w:start w:val="1"/>
        <w:numFmt w:val="decimal"/>
        <w:lvlRestart w:val="0"/>
        <w:lvlText w:val="%6.%7.%8"/>
        <w:lvlJc w:val="left"/>
        <w:pPr>
          <w:tabs>
            <w:tab w:val="num" w:pos="680"/>
          </w:tabs>
          <w:ind w:left="680" w:hanging="680"/>
        </w:pPr>
        <w:rPr>
          <w:rFonts w:cs="Times New Roman" w:hint="default"/>
        </w:rPr>
      </w:lvl>
    </w:lvlOverride>
    <w:lvlOverride w:ilvl="8">
      <w:lvl w:ilvl="8">
        <w:start w:val="1"/>
        <w:numFmt w:val="decimal"/>
        <w:lvlText w:val="%6.%7.%8.%9"/>
        <w:lvlJc w:val="left"/>
        <w:pPr>
          <w:tabs>
            <w:tab w:val="num" w:pos="680"/>
          </w:tabs>
          <w:ind w:left="680" w:hanging="680"/>
        </w:pPr>
        <w:rPr>
          <w:rFonts w:cs="Times New Roman" w:hint="default"/>
        </w:rPr>
      </w:lvl>
    </w:lvlOverride>
  </w:num>
  <w:num w:numId="17">
    <w:abstractNumId w:val="18"/>
  </w:num>
  <w:num w:numId="18">
    <w:abstractNumId w:val="16"/>
  </w:num>
  <w:num w:numId="19">
    <w:abstractNumId w:val="20"/>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12"/>
  </w:num>
  <w:num w:numId="25">
    <w:abstractNumId w:val="13"/>
  </w:num>
  <w:num w:numId="26">
    <w:abstractNumId w:val="10"/>
  </w:num>
  <w:num w:numId="27">
    <w:abstractNumId w:val="17"/>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FEC"/>
    <w:rsid w:val="00007A3E"/>
    <w:rsid w:val="00043287"/>
    <w:rsid w:val="000620D9"/>
    <w:rsid w:val="00072B22"/>
    <w:rsid w:val="0007496D"/>
    <w:rsid w:val="0008413B"/>
    <w:rsid w:val="000E3BF4"/>
    <w:rsid w:val="000E420E"/>
    <w:rsid w:val="00123922"/>
    <w:rsid w:val="00153DC4"/>
    <w:rsid w:val="00175036"/>
    <w:rsid w:val="0019223E"/>
    <w:rsid w:val="001A5D45"/>
    <w:rsid w:val="001E6E4F"/>
    <w:rsid w:val="00220E96"/>
    <w:rsid w:val="00232CCD"/>
    <w:rsid w:val="00242A70"/>
    <w:rsid w:val="0029047A"/>
    <w:rsid w:val="002D2128"/>
    <w:rsid w:val="002F63E2"/>
    <w:rsid w:val="00355236"/>
    <w:rsid w:val="00377E47"/>
    <w:rsid w:val="00382AB2"/>
    <w:rsid w:val="003D0DBE"/>
    <w:rsid w:val="003D193C"/>
    <w:rsid w:val="003F5D9A"/>
    <w:rsid w:val="004119F7"/>
    <w:rsid w:val="00432DB3"/>
    <w:rsid w:val="00453EAE"/>
    <w:rsid w:val="004564AE"/>
    <w:rsid w:val="00471D95"/>
    <w:rsid w:val="004743D0"/>
    <w:rsid w:val="00480EF6"/>
    <w:rsid w:val="004D0DAA"/>
    <w:rsid w:val="005113AA"/>
    <w:rsid w:val="00527EFF"/>
    <w:rsid w:val="005321C7"/>
    <w:rsid w:val="005407FA"/>
    <w:rsid w:val="00566849"/>
    <w:rsid w:val="005716B7"/>
    <w:rsid w:val="005756DC"/>
    <w:rsid w:val="00585C00"/>
    <w:rsid w:val="005C5A1B"/>
    <w:rsid w:val="006228CD"/>
    <w:rsid w:val="00727AEE"/>
    <w:rsid w:val="007D13EE"/>
    <w:rsid w:val="007D38FF"/>
    <w:rsid w:val="007D7C36"/>
    <w:rsid w:val="007F5DA6"/>
    <w:rsid w:val="00800F3F"/>
    <w:rsid w:val="0081105B"/>
    <w:rsid w:val="008142F0"/>
    <w:rsid w:val="00824D40"/>
    <w:rsid w:val="00873165"/>
    <w:rsid w:val="009423F3"/>
    <w:rsid w:val="00943D91"/>
    <w:rsid w:val="00947A0D"/>
    <w:rsid w:val="00964AC6"/>
    <w:rsid w:val="0097569F"/>
    <w:rsid w:val="0097763F"/>
    <w:rsid w:val="009D3437"/>
    <w:rsid w:val="009D475F"/>
    <w:rsid w:val="00A0096F"/>
    <w:rsid w:val="00A4412F"/>
    <w:rsid w:val="00AB1511"/>
    <w:rsid w:val="00AD085B"/>
    <w:rsid w:val="00B10FEC"/>
    <w:rsid w:val="00B27889"/>
    <w:rsid w:val="00B420C8"/>
    <w:rsid w:val="00B95389"/>
    <w:rsid w:val="00BB7E85"/>
    <w:rsid w:val="00BD5767"/>
    <w:rsid w:val="00C026B7"/>
    <w:rsid w:val="00C53A10"/>
    <w:rsid w:val="00C54D61"/>
    <w:rsid w:val="00CA3193"/>
    <w:rsid w:val="00CA33F7"/>
    <w:rsid w:val="00CE0589"/>
    <w:rsid w:val="00CF5D4A"/>
    <w:rsid w:val="00D21EAB"/>
    <w:rsid w:val="00D4222D"/>
    <w:rsid w:val="00D848F2"/>
    <w:rsid w:val="00DA50DB"/>
    <w:rsid w:val="00DB74FC"/>
    <w:rsid w:val="00DC068B"/>
    <w:rsid w:val="00DD4701"/>
    <w:rsid w:val="00DE3BEE"/>
    <w:rsid w:val="00DF0AF9"/>
    <w:rsid w:val="00DF0DE7"/>
    <w:rsid w:val="00E21560"/>
    <w:rsid w:val="00E21FAD"/>
    <w:rsid w:val="00E3569C"/>
    <w:rsid w:val="00E43838"/>
    <w:rsid w:val="00E5532B"/>
    <w:rsid w:val="00E87066"/>
    <w:rsid w:val="00E928E3"/>
    <w:rsid w:val="00EA6C67"/>
    <w:rsid w:val="00EB296B"/>
    <w:rsid w:val="00ED7E78"/>
    <w:rsid w:val="00F01397"/>
    <w:rsid w:val="00F02B64"/>
    <w:rsid w:val="00F63D35"/>
    <w:rsid w:val="00F6461A"/>
    <w:rsid w:val="00FC08FD"/>
    <w:rsid w:val="00FD5F64"/>
    <w:rsid w:val="00FE7D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1207036"/>
  <w15:chartTrackingRefBased/>
  <w15:docId w15:val="{27D82475-3BCA-4C40-A3D3-527DF2D53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6"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75F"/>
    <w:pPr>
      <w:spacing w:after="200" w:line="240" w:lineRule="auto"/>
    </w:pPr>
    <w:rPr>
      <w:rFonts w:ascii="Segoe UI" w:hAnsi="Segoe UI"/>
      <w:sz w:val="20"/>
    </w:rPr>
  </w:style>
  <w:style w:type="paragraph" w:styleId="Heading1">
    <w:name w:val="heading 1"/>
    <w:basedOn w:val="Normal"/>
    <w:next w:val="Normal"/>
    <w:link w:val="Heading1Char"/>
    <w:uiPriority w:val="9"/>
    <w:qFormat/>
    <w:rsid w:val="00B10FEC"/>
    <w:pPr>
      <w:keepNext/>
      <w:spacing w:after="0"/>
      <w:outlineLvl w:val="0"/>
    </w:pPr>
    <w:rPr>
      <w:rFonts w:eastAsia="MingLiU" w:cs="Mangal"/>
      <w:b/>
      <w:sz w:val="52"/>
      <w:szCs w:val="32"/>
    </w:rPr>
  </w:style>
  <w:style w:type="paragraph" w:styleId="Heading2">
    <w:name w:val="heading 2"/>
    <w:basedOn w:val="Normal"/>
    <w:next w:val="Normal"/>
    <w:link w:val="Heading2Char"/>
    <w:uiPriority w:val="9"/>
    <w:unhideWhenUsed/>
    <w:qFormat/>
    <w:rsid w:val="00232CCD"/>
    <w:pPr>
      <w:keepNext/>
      <w:spacing w:after="120"/>
      <w:ind w:left="851" w:hanging="851"/>
      <w:outlineLvl w:val="1"/>
    </w:pPr>
    <w:rPr>
      <w:rFonts w:eastAsia="MingLiU" w:cs="Mangal"/>
      <w:b/>
      <w:color w:val="58595B"/>
      <w:sz w:val="40"/>
      <w:szCs w:val="26"/>
    </w:rPr>
  </w:style>
  <w:style w:type="paragraph" w:styleId="Heading3">
    <w:name w:val="heading 3"/>
    <w:basedOn w:val="Normal"/>
    <w:next w:val="Normal"/>
    <w:link w:val="Heading3Char"/>
    <w:uiPriority w:val="9"/>
    <w:unhideWhenUsed/>
    <w:qFormat/>
    <w:rsid w:val="00232CCD"/>
    <w:pPr>
      <w:keepNext/>
      <w:ind w:left="851" w:hanging="851"/>
      <w:outlineLvl w:val="2"/>
    </w:pPr>
    <w:rPr>
      <w:b/>
      <w:color w:val="EC008C"/>
      <w:sz w:val="24"/>
      <w:szCs w:val="24"/>
    </w:rPr>
  </w:style>
  <w:style w:type="paragraph" w:styleId="Heading4">
    <w:name w:val="heading 4"/>
    <w:basedOn w:val="Heading3"/>
    <w:next w:val="Normal"/>
    <w:link w:val="Heading4Char"/>
    <w:uiPriority w:val="6"/>
    <w:unhideWhenUsed/>
    <w:qFormat/>
    <w:rsid w:val="00123922"/>
    <w:pPr>
      <w:outlineLvl w:val="3"/>
    </w:pPr>
    <w:rPr>
      <w:sz w:val="22"/>
      <w:szCs w:val="22"/>
    </w:rPr>
  </w:style>
  <w:style w:type="paragraph" w:styleId="Heading5">
    <w:name w:val="heading 5"/>
    <w:basedOn w:val="Heading4"/>
    <w:next w:val="Normal"/>
    <w:link w:val="Heading5Char"/>
    <w:unhideWhenUsed/>
    <w:qFormat/>
    <w:rsid w:val="00CF5D4A"/>
    <w:pPr>
      <w:outlineLvl w:val="4"/>
    </w:pPr>
    <w:rPr>
      <w:sz w:val="20"/>
      <w:szCs w:val="20"/>
    </w:rPr>
  </w:style>
  <w:style w:type="paragraph" w:styleId="Heading6">
    <w:name w:val="heading 6"/>
    <w:basedOn w:val="Heading1"/>
    <w:next w:val="BodyText"/>
    <w:link w:val="Heading6Char"/>
    <w:qFormat/>
    <w:rsid w:val="00DE3BEE"/>
    <w:pPr>
      <w:keepLines/>
      <w:pageBreakBefore/>
      <w:spacing w:after="440" w:line="211" w:lineRule="auto"/>
      <w:ind w:left="2552" w:hanging="2552"/>
      <w:outlineLvl w:val="5"/>
    </w:pPr>
    <w:rPr>
      <w:rFonts w:eastAsia="Times New Roman" w:cs="Arial"/>
      <w:color w:val="58595B"/>
      <w:kern w:val="32"/>
      <w:sz w:val="40"/>
      <w:szCs w:val="22"/>
      <w:lang w:val="en-GB"/>
    </w:rPr>
  </w:style>
  <w:style w:type="paragraph" w:styleId="Heading7">
    <w:name w:val="heading 7"/>
    <w:basedOn w:val="Heading2"/>
    <w:next w:val="BodyText"/>
    <w:link w:val="Heading7Char"/>
    <w:uiPriority w:val="9"/>
    <w:qFormat/>
    <w:rsid w:val="00DE3BEE"/>
    <w:pPr>
      <w:keepNext w:val="0"/>
      <w:tabs>
        <w:tab w:val="num" w:pos="680"/>
      </w:tabs>
      <w:spacing w:before="520" w:after="360"/>
      <w:ind w:left="680" w:hanging="680"/>
      <w:outlineLvl w:val="6"/>
    </w:pPr>
    <w:rPr>
      <w:rFonts w:eastAsia="Times New Roman" w:cs="Arial"/>
      <w:iCs/>
      <w:color w:val="626E81" w:themeColor="accent3"/>
      <w:kern w:val="32"/>
      <w:sz w:val="24"/>
      <w:szCs w:val="28"/>
      <w:lang w:val="en-GB"/>
    </w:rPr>
  </w:style>
  <w:style w:type="paragraph" w:styleId="Heading8">
    <w:name w:val="heading 8"/>
    <w:basedOn w:val="Heading3"/>
    <w:next w:val="BodyText"/>
    <w:link w:val="Heading8Char"/>
    <w:rsid w:val="00DE3BEE"/>
    <w:pPr>
      <w:keepLines/>
      <w:tabs>
        <w:tab w:val="num" w:pos="680"/>
      </w:tabs>
      <w:spacing w:before="520" w:after="260"/>
      <w:ind w:left="680" w:hanging="680"/>
      <w:outlineLvl w:val="7"/>
    </w:pPr>
    <w:rPr>
      <w:rFonts w:asciiTheme="majorHAnsi" w:eastAsia="Times New Roman" w:hAnsiTheme="majorHAnsi" w:cs="Arial"/>
      <w:b w:val="0"/>
      <w:bCs/>
      <w:color w:val="626E81" w:themeColor="accent3"/>
      <w:kern w:val="32"/>
      <w:sz w:val="22"/>
      <w:szCs w:val="26"/>
      <w:lang w:val="en-GB"/>
    </w:rPr>
  </w:style>
  <w:style w:type="paragraph" w:styleId="Heading9">
    <w:name w:val="heading 9"/>
    <w:basedOn w:val="Heading4"/>
    <w:next w:val="BodyText"/>
    <w:link w:val="Heading9Char"/>
    <w:qFormat/>
    <w:rsid w:val="00DE3BEE"/>
    <w:pPr>
      <w:keepNext w:val="0"/>
      <w:tabs>
        <w:tab w:val="num" w:pos="680"/>
      </w:tabs>
      <w:spacing w:before="520" w:after="260"/>
      <w:ind w:left="680" w:hanging="680"/>
      <w:outlineLvl w:val="8"/>
    </w:pPr>
    <w:rPr>
      <w:rFonts w:asciiTheme="majorHAnsi" w:eastAsia="Times New Roman" w:hAnsiTheme="majorHAnsi" w:cs="Times New Roman"/>
      <w:b w:val="0"/>
      <w:color w:val="626E81" w:themeColor="accent3"/>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113AA"/>
    <w:pPr>
      <w:tabs>
        <w:tab w:val="center" w:pos="4513"/>
        <w:tab w:val="right" w:pos="9026"/>
      </w:tabs>
      <w:spacing w:after="0"/>
    </w:pPr>
  </w:style>
  <w:style w:type="character" w:customStyle="1" w:styleId="HeaderChar">
    <w:name w:val="Header Char"/>
    <w:basedOn w:val="DefaultParagraphFont"/>
    <w:link w:val="Header"/>
    <w:rsid w:val="005113AA"/>
  </w:style>
  <w:style w:type="paragraph" w:styleId="Footer">
    <w:name w:val="footer"/>
    <w:basedOn w:val="Normal"/>
    <w:link w:val="FooterChar"/>
    <w:unhideWhenUsed/>
    <w:rsid w:val="005113AA"/>
    <w:pPr>
      <w:tabs>
        <w:tab w:val="center" w:pos="4513"/>
        <w:tab w:val="right" w:pos="9026"/>
      </w:tabs>
      <w:spacing w:after="0"/>
    </w:pPr>
  </w:style>
  <w:style w:type="character" w:customStyle="1" w:styleId="FooterChar">
    <w:name w:val="Footer Char"/>
    <w:basedOn w:val="DefaultParagraphFont"/>
    <w:link w:val="Footer"/>
    <w:rsid w:val="005113AA"/>
  </w:style>
  <w:style w:type="character" w:styleId="Hyperlink">
    <w:name w:val="Hyperlink"/>
    <w:basedOn w:val="DefaultParagraphFont"/>
    <w:uiPriority w:val="99"/>
    <w:unhideWhenUsed/>
    <w:qFormat/>
    <w:rsid w:val="005113AA"/>
    <w:rPr>
      <w:color w:val="155589"/>
      <w:u w:val="single"/>
    </w:rPr>
  </w:style>
  <w:style w:type="character" w:customStyle="1" w:styleId="Heading1Char">
    <w:name w:val="Heading 1 Char"/>
    <w:basedOn w:val="DefaultParagraphFont"/>
    <w:link w:val="Heading1"/>
    <w:uiPriority w:val="1"/>
    <w:rsid w:val="00B10FEC"/>
    <w:rPr>
      <w:rFonts w:ascii="Segoe UI" w:eastAsia="MingLiU" w:hAnsi="Segoe UI" w:cs="Mangal"/>
      <w:b/>
      <w:sz w:val="52"/>
      <w:szCs w:val="32"/>
    </w:rPr>
  </w:style>
  <w:style w:type="character" w:customStyle="1" w:styleId="Heading2Char">
    <w:name w:val="Heading 2 Char"/>
    <w:basedOn w:val="DefaultParagraphFont"/>
    <w:link w:val="Heading2"/>
    <w:uiPriority w:val="9"/>
    <w:rsid w:val="00232CCD"/>
    <w:rPr>
      <w:rFonts w:ascii="Segoe UI" w:eastAsia="MingLiU" w:hAnsi="Segoe UI" w:cs="Mangal"/>
      <w:b/>
      <w:color w:val="58595B"/>
      <w:sz w:val="40"/>
      <w:szCs w:val="26"/>
    </w:rPr>
  </w:style>
  <w:style w:type="character" w:customStyle="1" w:styleId="Heading3Char">
    <w:name w:val="Heading 3 Char"/>
    <w:basedOn w:val="DefaultParagraphFont"/>
    <w:link w:val="Heading3"/>
    <w:uiPriority w:val="9"/>
    <w:rsid w:val="00232CCD"/>
    <w:rPr>
      <w:rFonts w:ascii="Segoe UI" w:hAnsi="Segoe UI"/>
      <w:b/>
      <w:color w:val="EC008C"/>
      <w:sz w:val="24"/>
      <w:szCs w:val="24"/>
    </w:rPr>
  </w:style>
  <w:style w:type="character" w:customStyle="1" w:styleId="Heading4Char">
    <w:name w:val="Heading 4 Char"/>
    <w:basedOn w:val="DefaultParagraphFont"/>
    <w:link w:val="Heading4"/>
    <w:uiPriority w:val="6"/>
    <w:rsid w:val="00123922"/>
    <w:rPr>
      <w:rFonts w:ascii="Segoe UI" w:hAnsi="Segoe UI"/>
      <w:b/>
      <w:color w:val="EC008C"/>
    </w:rPr>
  </w:style>
  <w:style w:type="character" w:customStyle="1" w:styleId="Heading5Char">
    <w:name w:val="Heading 5 Char"/>
    <w:basedOn w:val="DefaultParagraphFont"/>
    <w:link w:val="Heading5"/>
    <w:rsid w:val="00CF5D4A"/>
    <w:rPr>
      <w:rFonts w:ascii="Segoe UI" w:hAnsi="Segoe UI"/>
      <w:b/>
      <w:color w:val="EC008C"/>
      <w:sz w:val="20"/>
      <w:szCs w:val="20"/>
    </w:rPr>
  </w:style>
  <w:style w:type="paragraph" w:styleId="FootnoteText">
    <w:name w:val="footnote text"/>
    <w:aliases w:val="Footnote Text2,Footnote Text11,ALTS FOOTNOTE11,Footnote Text Char111,Footnote Text Char Char Char11,Footnote Text Char1 Char Char Char Char11,Footnote Text Char1 Char Char Char11,ALTS FOOTNOTE2,Footnote Text1 Char Char,Char Char Char,fn,f"/>
    <w:basedOn w:val="Normal"/>
    <w:link w:val="FootnoteTextChar"/>
    <w:unhideWhenUsed/>
    <w:rsid w:val="005113AA"/>
    <w:pPr>
      <w:spacing w:after="0"/>
    </w:pPr>
    <w:rPr>
      <w:szCs w:val="20"/>
    </w:rPr>
  </w:style>
  <w:style w:type="character" w:customStyle="1" w:styleId="FootnoteTextChar">
    <w:name w:val="Footnote Text Char"/>
    <w:aliases w:val="Footnote Text2 Char,Footnote Text11 Char,ALTS FOOTNOTE11 Char,Footnote Text Char111 Char,Footnote Text Char Char Char11 Char,Footnote Text Char1 Char Char Char Char11 Char,Footnote Text Char1 Char Char Char11 Char,ALTS FOOTNOTE2 Char"/>
    <w:basedOn w:val="DefaultParagraphFont"/>
    <w:link w:val="FootnoteText"/>
    <w:rsid w:val="005113AA"/>
    <w:rPr>
      <w:sz w:val="20"/>
      <w:szCs w:val="20"/>
    </w:rPr>
  </w:style>
  <w:style w:type="table" w:customStyle="1" w:styleId="TableGrid1">
    <w:name w:val="Table Grid1"/>
    <w:basedOn w:val="TableNormal"/>
    <w:next w:val="TableGrid"/>
    <w:uiPriority w:val="39"/>
    <w:rsid w:val="00511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Nota,Footnote symbol,Footnote number,Char.... + Not Supers...,Char1,Ref,de nota al pie,fr,o,Footnote,Appel note de bas de p,Appel note de bas de p + 11 pt,Italic,Appel note de bas de p1,Appel note de bas de p2,Appel note de bas de p3"/>
    <w:basedOn w:val="DefaultParagraphFont"/>
    <w:unhideWhenUsed/>
    <w:rsid w:val="005113AA"/>
    <w:rPr>
      <w:vertAlign w:val="superscript"/>
    </w:rPr>
  </w:style>
  <w:style w:type="table" w:styleId="TableGrid">
    <w:name w:val="Table Grid"/>
    <w:aliases w:val="CV1,Check(v),Deloitte"/>
    <w:basedOn w:val="TableNormal"/>
    <w:uiPriority w:val="39"/>
    <w:qFormat/>
    <w:rsid w:val="00511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ing">
    <w:name w:val="Table/figure heading"/>
    <w:basedOn w:val="Normal"/>
    <w:next w:val="Normal"/>
    <w:qFormat/>
    <w:rsid w:val="00232CCD"/>
    <w:pPr>
      <w:keepNext/>
      <w:spacing w:after="0"/>
    </w:pPr>
    <w:rPr>
      <w:b/>
    </w:rPr>
  </w:style>
  <w:style w:type="paragraph" w:customStyle="1" w:styleId="Tabletextcentred">
    <w:name w:val="Table text centred"/>
    <w:basedOn w:val="Normal"/>
    <w:next w:val="NoSpacing"/>
    <w:rsid w:val="005C5A1B"/>
    <w:pPr>
      <w:spacing w:after="0"/>
      <w:jc w:val="center"/>
    </w:pPr>
    <w:rPr>
      <w:rFonts w:eastAsia="Times New Roman" w:cs="Times New Roman"/>
      <w:sz w:val="18"/>
      <w:szCs w:val="20"/>
    </w:rPr>
  </w:style>
  <w:style w:type="paragraph" w:customStyle="1" w:styleId="Tablerowcolumnheadingcentred">
    <w:name w:val="Table row/column heading centred"/>
    <w:basedOn w:val="Normal"/>
    <w:next w:val="Normal"/>
    <w:rsid w:val="00800F3F"/>
    <w:pPr>
      <w:spacing w:after="0"/>
      <w:jc w:val="center"/>
    </w:pPr>
    <w:rPr>
      <w:rFonts w:eastAsia="Times New Roman" w:cs="Times New Roman"/>
      <w:b/>
      <w:bCs/>
      <w:szCs w:val="20"/>
    </w:rPr>
  </w:style>
  <w:style w:type="paragraph" w:customStyle="1" w:styleId="Tabletext">
    <w:name w:val="Table text"/>
    <w:basedOn w:val="Tabletextcentred"/>
    <w:qFormat/>
    <w:rsid w:val="005C5A1B"/>
    <w:pPr>
      <w:jc w:val="left"/>
    </w:pPr>
  </w:style>
  <w:style w:type="paragraph" w:customStyle="1" w:styleId="Tablerowcolumnheading">
    <w:name w:val="Table row/column heading"/>
    <w:basedOn w:val="Normal"/>
    <w:next w:val="Normal"/>
    <w:rsid w:val="00800F3F"/>
    <w:pPr>
      <w:spacing w:after="0"/>
    </w:pPr>
    <w:rPr>
      <w:rFonts w:eastAsia="Times New Roman" w:cs="Times New Roman"/>
      <w:b/>
      <w:bCs/>
      <w:szCs w:val="20"/>
    </w:rPr>
  </w:style>
  <w:style w:type="paragraph" w:customStyle="1" w:styleId="Checkboxemptybulletpoint">
    <w:name w:val="Check box empty bullet point"/>
    <w:basedOn w:val="Normal"/>
    <w:qFormat/>
    <w:rsid w:val="00800F3F"/>
    <w:pPr>
      <w:numPr>
        <w:numId w:val="1"/>
      </w:numPr>
      <w:spacing w:after="0"/>
      <w:ind w:left="567" w:hanging="567"/>
      <w:contextualSpacing/>
    </w:pPr>
  </w:style>
  <w:style w:type="paragraph" w:styleId="NoSpacing">
    <w:name w:val="No Spacing"/>
    <w:uiPriority w:val="1"/>
    <w:qFormat/>
    <w:rsid w:val="00800F3F"/>
    <w:pPr>
      <w:spacing w:after="0" w:line="240" w:lineRule="auto"/>
    </w:pPr>
  </w:style>
  <w:style w:type="paragraph" w:customStyle="1" w:styleId="Heading2notshowing">
    <w:name w:val="Heading 2—not showing"/>
    <w:basedOn w:val="Heading2"/>
    <w:qFormat/>
    <w:rsid w:val="00B10FEC"/>
    <w:rPr>
      <w:color w:val="EC008C"/>
      <w:sz w:val="28"/>
    </w:rPr>
  </w:style>
  <w:style w:type="paragraph" w:styleId="ListParagraph">
    <w:name w:val="List Paragraph"/>
    <w:aliases w:val="List Paragraph—numbers"/>
    <w:basedOn w:val="Normal"/>
    <w:link w:val="ListParagraphChar"/>
    <w:uiPriority w:val="34"/>
    <w:qFormat/>
    <w:rsid w:val="0007496D"/>
    <w:pPr>
      <w:numPr>
        <w:numId w:val="14"/>
      </w:numPr>
      <w:ind w:left="567" w:hanging="567"/>
      <w:contextualSpacing/>
    </w:pPr>
  </w:style>
  <w:style w:type="paragraph" w:customStyle="1" w:styleId="Listparagraphbullets">
    <w:name w:val="List paragraph—bullets"/>
    <w:basedOn w:val="ListParagraph"/>
    <w:qFormat/>
    <w:rsid w:val="009D475F"/>
    <w:pPr>
      <w:numPr>
        <w:numId w:val="13"/>
      </w:numPr>
      <w:spacing w:after="120"/>
      <w:ind w:left="567" w:hanging="567"/>
      <w:contextualSpacing w:val="0"/>
    </w:pPr>
    <w:rPr>
      <w:lang w:eastAsia="zh-TW"/>
    </w:rPr>
  </w:style>
  <w:style w:type="paragraph" w:styleId="Quote">
    <w:name w:val="Quote"/>
    <w:basedOn w:val="Normal"/>
    <w:next w:val="Normal"/>
    <w:link w:val="QuoteChar"/>
    <w:uiPriority w:val="29"/>
    <w:qFormat/>
    <w:rsid w:val="00C54D61"/>
    <w:pPr>
      <w:ind w:left="567"/>
    </w:pPr>
    <w:rPr>
      <w:rFonts w:ascii="Calibri" w:eastAsia="Calibri" w:hAnsi="Calibri" w:cs="Mangal"/>
      <w:b/>
      <w:i/>
      <w:iCs/>
      <w:color w:val="626E81"/>
    </w:rPr>
  </w:style>
  <w:style w:type="character" w:customStyle="1" w:styleId="QuoteChar">
    <w:name w:val="Quote Char"/>
    <w:basedOn w:val="DefaultParagraphFont"/>
    <w:link w:val="Quote"/>
    <w:uiPriority w:val="29"/>
    <w:rsid w:val="00C54D61"/>
    <w:rPr>
      <w:rFonts w:ascii="Calibri" w:eastAsia="Calibri" w:hAnsi="Calibri" w:cs="Mangal"/>
      <w:b/>
      <w:i/>
      <w:iCs/>
      <w:color w:val="626E81"/>
    </w:rPr>
  </w:style>
  <w:style w:type="paragraph" w:customStyle="1" w:styleId="Heading3notshowing">
    <w:name w:val="Heading 3—not showing"/>
    <w:basedOn w:val="Heading3"/>
    <w:qFormat/>
    <w:rsid w:val="00943D91"/>
    <w:rPr>
      <w:sz w:val="26"/>
    </w:rPr>
  </w:style>
  <w:style w:type="paragraph" w:customStyle="1" w:styleId="Sourcenote">
    <w:name w:val="Source / note"/>
    <w:basedOn w:val="Normal"/>
    <w:qFormat/>
    <w:rsid w:val="00F63D35"/>
    <w:rPr>
      <w:rFonts w:ascii="Calibri" w:eastAsia="PMingLiU" w:hAnsi="Calibri" w:cs="Mangal"/>
      <w:b/>
      <w:color w:val="626E81"/>
      <w:szCs w:val="20"/>
      <w:lang w:eastAsia="zh-TW"/>
    </w:rPr>
  </w:style>
  <w:style w:type="paragraph" w:styleId="TOCHeading">
    <w:name w:val="TOC Heading"/>
    <w:basedOn w:val="TOC4"/>
    <w:next w:val="Normal"/>
    <w:uiPriority w:val="39"/>
    <w:unhideWhenUsed/>
    <w:qFormat/>
    <w:rsid w:val="00F63D35"/>
    <w:rPr>
      <w:noProof/>
    </w:rPr>
  </w:style>
  <w:style w:type="paragraph" w:styleId="TOC1">
    <w:name w:val="toc 1"/>
    <w:basedOn w:val="Normal"/>
    <w:next w:val="Normal"/>
    <w:autoRedefine/>
    <w:uiPriority w:val="39"/>
    <w:unhideWhenUsed/>
    <w:rsid w:val="00EA6C67"/>
    <w:pPr>
      <w:keepNext/>
      <w:tabs>
        <w:tab w:val="right" w:leader="dot" w:pos="9072"/>
      </w:tabs>
      <w:spacing w:before="120" w:after="0"/>
      <w:ind w:left="284" w:right="567" w:hanging="284"/>
    </w:pPr>
    <w:rPr>
      <w:b/>
      <w:noProof/>
      <w:color w:val="7030A0"/>
    </w:rPr>
  </w:style>
  <w:style w:type="paragraph" w:styleId="TOC2">
    <w:name w:val="toc 2"/>
    <w:basedOn w:val="Normal"/>
    <w:next w:val="Normal"/>
    <w:autoRedefine/>
    <w:uiPriority w:val="39"/>
    <w:unhideWhenUsed/>
    <w:rsid w:val="006228CD"/>
    <w:pPr>
      <w:tabs>
        <w:tab w:val="left" w:pos="1418"/>
        <w:tab w:val="right" w:leader="dot" w:pos="9072"/>
      </w:tabs>
      <w:spacing w:after="0"/>
      <w:ind w:left="851" w:right="567" w:hanging="284"/>
    </w:pPr>
    <w:rPr>
      <w:noProof/>
    </w:rPr>
  </w:style>
  <w:style w:type="paragraph" w:styleId="TOC3">
    <w:name w:val="toc 3"/>
    <w:basedOn w:val="Normal"/>
    <w:next w:val="Normal"/>
    <w:autoRedefine/>
    <w:uiPriority w:val="39"/>
    <w:unhideWhenUsed/>
    <w:rsid w:val="00F63D35"/>
    <w:pPr>
      <w:tabs>
        <w:tab w:val="right" w:leader="dot" w:pos="9072"/>
      </w:tabs>
      <w:spacing w:after="0"/>
      <w:ind w:left="1418" w:right="567" w:hanging="284"/>
    </w:pPr>
  </w:style>
  <w:style w:type="paragraph" w:styleId="TOC4">
    <w:name w:val="toc 4"/>
    <w:basedOn w:val="Normal"/>
    <w:next w:val="Normal"/>
    <w:autoRedefine/>
    <w:uiPriority w:val="39"/>
    <w:unhideWhenUsed/>
    <w:rsid w:val="00585C00"/>
    <w:pPr>
      <w:tabs>
        <w:tab w:val="right" w:leader="dot" w:pos="9072"/>
        <w:tab w:val="right" w:leader="dot" w:pos="9182"/>
      </w:tabs>
      <w:spacing w:after="0"/>
      <w:ind w:left="567" w:right="567" w:hanging="567"/>
    </w:pPr>
  </w:style>
  <w:style w:type="paragraph" w:customStyle="1" w:styleId="Normal-disclaimerpage">
    <w:name w:val="Normal - disclaimer page"/>
    <w:basedOn w:val="Normal"/>
    <w:qFormat/>
    <w:rsid w:val="00DE3BEE"/>
    <w:pPr>
      <w:spacing w:after="120"/>
    </w:pPr>
    <w:rPr>
      <w:rFonts w:eastAsia="PMingLiU" w:cs="Mangal"/>
      <w:sz w:val="28"/>
      <w:lang w:eastAsia="zh-TW"/>
    </w:rPr>
  </w:style>
  <w:style w:type="paragraph" w:customStyle="1" w:styleId="Listparagraphbulletssecondlevel">
    <w:name w:val="List paragraph—bullets—second level"/>
    <w:basedOn w:val="Listparagraphbullets"/>
    <w:qFormat/>
    <w:rsid w:val="00F02B64"/>
    <w:pPr>
      <w:ind w:left="1134"/>
    </w:pPr>
  </w:style>
  <w:style w:type="character" w:styleId="FollowedHyperlink">
    <w:name w:val="FollowedHyperlink"/>
    <w:basedOn w:val="DefaultParagraphFont"/>
    <w:uiPriority w:val="99"/>
    <w:semiHidden/>
    <w:unhideWhenUsed/>
    <w:rsid w:val="003D0DBE"/>
    <w:rPr>
      <w:color w:val="155589" w:themeColor="followedHyperlink"/>
      <w:u w:val="single"/>
    </w:rPr>
  </w:style>
  <w:style w:type="paragraph" w:styleId="Subtitle">
    <w:name w:val="Subtitle"/>
    <w:basedOn w:val="Title"/>
    <w:link w:val="SubtitleChar"/>
    <w:rsid w:val="00B10FEC"/>
    <w:pPr>
      <w:spacing w:before="360"/>
    </w:pPr>
    <w:rPr>
      <w:bCs w:val="0"/>
      <w:sz w:val="28"/>
    </w:rPr>
  </w:style>
  <w:style w:type="character" w:customStyle="1" w:styleId="SubtitleChar">
    <w:name w:val="Subtitle Char"/>
    <w:basedOn w:val="DefaultParagraphFont"/>
    <w:link w:val="Subtitle"/>
    <w:rsid w:val="00B10FEC"/>
    <w:rPr>
      <w:rFonts w:ascii="Times New Roman" w:eastAsia="Times New Roman" w:hAnsi="Times New Roman" w:cs="Arial"/>
      <w:color w:val="FFFFFF" w:themeColor="background1"/>
      <w:kern w:val="28"/>
      <w:sz w:val="28"/>
      <w:szCs w:val="32"/>
      <w:lang w:val="en-GB" w:eastAsia="en-GB"/>
    </w:rPr>
  </w:style>
  <w:style w:type="paragraph" w:styleId="Title">
    <w:name w:val="Title"/>
    <w:basedOn w:val="Normal"/>
    <w:link w:val="TitleChar"/>
    <w:rsid w:val="00B10FEC"/>
    <w:pPr>
      <w:spacing w:before="640" w:after="360"/>
      <w:ind w:right="2268"/>
      <w:contextualSpacing/>
    </w:pPr>
    <w:rPr>
      <w:rFonts w:ascii="Times New Roman" w:eastAsia="Times New Roman" w:hAnsi="Times New Roman" w:cs="Arial"/>
      <w:bCs/>
      <w:color w:val="FFFFFF" w:themeColor="background1"/>
      <w:kern w:val="28"/>
      <w:sz w:val="52"/>
      <w:szCs w:val="32"/>
      <w:lang w:val="en-GB" w:eastAsia="en-GB"/>
    </w:rPr>
  </w:style>
  <w:style w:type="character" w:customStyle="1" w:styleId="TitleChar">
    <w:name w:val="Title Char"/>
    <w:basedOn w:val="DefaultParagraphFont"/>
    <w:link w:val="Title"/>
    <w:rsid w:val="00B10FEC"/>
    <w:rPr>
      <w:rFonts w:ascii="Times New Roman" w:eastAsia="Times New Roman" w:hAnsi="Times New Roman" w:cs="Arial"/>
      <w:bCs/>
      <w:color w:val="FFFFFF" w:themeColor="background1"/>
      <w:kern w:val="28"/>
      <w:sz w:val="52"/>
      <w:szCs w:val="32"/>
      <w:lang w:val="en-GB" w:eastAsia="en-GB"/>
    </w:rPr>
  </w:style>
  <w:style w:type="paragraph" w:customStyle="1" w:styleId="Authors">
    <w:name w:val="Authors"/>
    <w:basedOn w:val="Subtitle"/>
    <w:rsid w:val="00B10FEC"/>
    <w:pPr>
      <w:spacing w:before="0" w:after="0"/>
    </w:pPr>
    <w:rPr>
      <w:bCs/>
      <w:sz w:val="20"/>
    </w:rPr>
  </w:style>
  <w:style w:type="paragraph" w:customStyle="1" w:styleId="Base">
    <w:name w:val="Base"/>
    <w:basedOn w:val="Normal"/>
    <w:link w:val="BaseChar"/>
    <w:rsid w:val="00B10FEC"/>
    <w:pPr>
      <w:spacing w:after="0"/>
    </w:pPr>
    <w:rPr>
      <w:rFonts w:eastAsia="Times New Roman" w:cs="Times New Roman"/>
      <w:szCs w:val="24"/>
      <w:lang w:val="en-GB" w:eastAsia="en-GB"/>
    </w:rPr>
  </w:style>
  <w:style w:type="character" w:customStyle="1" w:styleId="BaseChar">
    <w:name w:val="Base Char"/>
    <w:basedOn w:val="DefaultParagraphFont"/>
    <w:link w:val="Base"/>
    <w:rsid w:val="00B10FEC"/>
    <w:rPr>
      <w:rFonts w:eastAsia="Times New Roman" w:cs="Times New Roman"/>
      <w:sz w:val="20"/>
      <w:szCs w:val="24"/>
      <w:lang w:val="en-GB" w:eastAsia="en-GB"/>
    </w:rPr>
  </w:style>
  <w:style w:type="table" w:customStyle="1" w:styleId="PlumTable">
    <w:name w:val="Plum Table"/>
    <w:basedOn w:val="TableNormal"/>
    <w:rsid w:val="00DE3BEE"/>
    <w:pPr>
      <w:spacing w:after="0" w:line="240" w:lineRule="auto"/>
    </w:pPr>
    <w:rPr>
      <w:rFonts w:eastAsia="Times New Roman" w:cs="Times New Roman"/>
      <w:sz w:val="18"/>
      <w:szCs w:val="20"/>
      <w:lang w:val="en-GB" w:eastAsia="en-GB"/>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57" w:type="dxa"/>
        <w:left w:w="57" w:type="dxa"/>
        <w:bottom w:w="57" w:type="dxa"/>
        <w:right w:w="57" w:type="dxa"/>
      </w:tblCellMar>
    </w:tblPr>
    <w:trPr>
      <w:cantSplit/>
    </w:trPr>
    <w:tcPr>
      <w:shd w:val="clear" w:color="auto" w:fill="F1F2F2"/>
    </w:tcPr>
    <w:tblStylePr w:type="firstRow">
      <w:rPr>
        <w:rFonts w:asciiTheme="majorHAnsi" w:hAnsiTheme="majorHAnsi"/>
        <w:color w:val="FFFFFF" w:themeColor="background1"/>
        <w:sz w:val="18"/>
      </w:rPr>
      <w:tblPr/>
      <w:tcPr>
        <w:shd w:val="clear" w:color="auto" w:fill="0D6635" w:themeFill="accent2"/>
      </w:tcPr>
    </w:tblStylePr>
    <w:tblStylePr w:type="band2Horz">
      <w:tblPr/>
      <w:tcPr>
        <w:shd w:val="clear" w:color="auto" w:fill="E6E7E8"/>
      </w:tcPr>
    </w:tblStylePr>
  </w:style>
  <w:style w:type="character" w:customStyle="1" w:styleId="Heading6Char">
    <w:name w:val="Heading 6 Char"/>
    <w:basedOn w:val="DefaultParagraphFont"/>
    <w:link w:val="Heading6"/>
    <w:rsid w:val="00DE3BEE"/>
    <w:rPr>
      <w:rFonts w:ascii="Segoe UI" w:eastAsia="Times New Roman" w:hAnsi="Segoe UI" w:cs="Arial"/>
      <w:b/>
      <w:color w:val="58595B"/>
      <w:kern w:val="32"/>
      <w:sz w:val="40"/>
      <w:lang w:val="en-GB"/>
    </w:rPr>
  </w:style>
  <w:style w:type="character" w:customStyle="1" w:styleId="Heading7Char">
    <w:name w:val="Heading 7 Char"/>
    <w:basedOn w:val="DefaultParagraphFont"/>
    <w:link w:val="Heading7"/>
    <w:uiPriority w:val="9"/>
    <w:rsid w:val="00DE3BEE"/>
    <w:rPr>
      <w:rFonts w:ascii="Segoe UI" w:eastAsia="Times New Roman" w:hAnsi="Segoe UI" w:cs="Arial"/>
      <w:b/>
      <w:iCs/>
      <w:color w:val="626E81" w:themeColor="accent3"/>
      <w:kern w:val="32"/>
      <w:sz w:val="24"/>
      <w:szCs w:val="28"/>
      <w:lang w:val="en-GB"/>
    </w:rPr>
  </w:style>
  <w:style w:type="character" w:customStyle="1" w:styleId="Heading8Char">
    <w:name w:val="Heading 8 Char"/>
    <w:basedOn w:val="DefaultParagraphFont"/>
    <w:link w:val="Heading8"/>
    <w:rsid w:val="00DE3BEE"/>
    <w:rPr>
      <w:rFonts w:asciiTheme="majorHAnsi" w:eastAsia="Times New Roman" w:hAnsiTheme="majorHAnsi" w:cs="Arial"/>
      <w:bCs/>
      <w:color w:val="626E81" w:themeColor="accent3"/>
      <w:kern w:val="32"/>
      <w:szCs w:val="26"/>
      <w:lang w:val="en-GB"/>
    </w:rPr>
  </w:style>
  <w:style w:type="character" w:customStyle="1" w:styleId="Heading9Char">
    <w:name w:val="Heading 9 Char"/>
    <w:basedOn w:val="DefaultParagraphFont"/>
    <w:link w:val="Heading9"/>
    <w:rsid w:val="00DE3BEE"/>
    <w:rPr>
      <w:rFonts w:asciiTheme="majorHAnsi" w:eastAsia="Times New Roman" w:hAnsiTheme="majorHAnsi" w:cs="Times New Roman"/>
      <w:bCs/>
      <w:color w:val="626E81" w:themeColor="accent3"/>
      <w:sz w:val="20"/>
      <w:lang w:val="en-GB"/>
    </w:rPr>
  </w:style>
  <w:style w:type="paragraph" w:customStyle="1" w:styleId="AfterTable">
    <w:name w:val="After Table"/>
    <w:basedOn w:val="BodyText"/>
    <w:next w:val="BodyText"/>
    <w:rsid w:val="00DE3BEE"/>
    <w:pPr>
      <w:spacing w:before="360"/>
    </w:pPr>
  </w:style>
  <w:style w:type="paragraph" w:styleId="BodyText">
    <w:name w:val="Body Text"/>
    <w:basedOn w:val="Base"/>
    <w:link w:val="BodyTextChar"/>
    <w:qFormat/>
    <w:rsid w:val="00DE3BEE"/>
    <w:pPr>
      <w:spacing w:before="260" w:after="260"/>
    </w:pPr>
    <w:rPr>
      <w:rFonts w:asciiTheme="minorHAnsi" w:hAnsiTheme="minorHAnsi"/>
    </w:rPr>
  </w:style>
  <w:style w:type="character" w:customStyle="1" w:styleId="BodyTextChar">
    <w:name w:val="Body Text Char"/>
    <w:basedOn w:val="DefaultParagraphFont"/>
    <w:link w:val="BodyText"/>
    <w:rsid w:val="00DE3BEE"/>
    <w:rPr>
      <w:rFonts w:eastAsia="Times New Roman" w:cs="Times New Roman"/>
      <w:sz w:val="20"/>
      <w:szCs w:val="24"/>
      <w:lang w:val="en-GB" w:eastAsia="en-GB"/>
    </w:rPr>
  </w:style>
  <w:style w:type="numbering" w:customStyle="1" w:styleId="BulletList">
    <w:name w:val="Bullet List"/>
    <w:basedOn w:val="NoList"/>
    <w:uiPriority w:val="99"/>
    <w:rsid w:val="00DE3BEE"/>
    <w:pPr>
      <w:numPr>
        <w:numId w:val="15"/>
      </w:numPr>
    </w:pPr>
  </w:style>
  <w:style w:type="paragraph" w:customStyle="1" w:styleId="BulletList1">
    <w:name w:val="Bullet List 1"/>
    <w:basedOn w:val="Base"/>
    <w:link w:val="BulletList1Char"/>
    <w:qFormat/>
    <w:rsid w:val="00DE3BEE"/>
    <w:pPr>
      <w:numPr>
        <w:numId w:val="15"/>
      </w:numPr>
      <w:spacing w:before="260" w:after="260"/>
    </w:pPr>
    <w:rPr>
      <w:rFonts w:asciiTheme="minorHAnsi" w:hAnsiTheme="minorHAnsi"/>
    </w:rPr>
  </w:style>
  <w:style w:type="character" w:customStyle="1" w:styleId="BulletList1Char">
    <w:name w:val="Bullet List 1 Char"/>
    <w:basedOn w:val="BaseChar"/>
    <w:link w:val="BulletList1"/>
    <w:rsid w:val="00DE3BEE"/>
    <w:rPr>
      <w:rFonts w:eastAsia="Times New Roman" w:cs="Times New Roman"/>
      <w:sz w:val="20"/>
      <w:szCs w:val="24"/>
      <w:lang w:val="en-GB" w:eastAsia="en-GB"/>
    </w:rPr>
  </w:style>
  <w:style w:type="paragraph" w:customStyle="1" w:styleId="BulletList2">
    <w:name w:val="Bullet List 2"/>
    <w:basedOn w:val="BulletList1"/>
    <w:link w:val="BulletList2Char"/>
    <w:qFormat/>
    <w:rsid w:val="00DE3BEE"/>
    <w:pPr>
      <w:numPr>
        <w:ilvl w:val="1"/>
      </w:numPr>
    </w:pPr>
  </w:style>
  <w:style w:type="character" w:customStyle="1" w:styleId="BulletList2Char">
    <w:name w:val="Bullet List 2 Char"/>
    <w:basedOn w:val="BulletList1Char"/>
    <w:link w:val="BulletList2"/>
    <w:rsid w:val="00DE3BEE"/>
    <w:rPr>
      <w:rFonts w:eastAsia="Times New Roman" w:cs="Times New Roman"/>
      <w:sz w:val="20"/>
      <w:szCs w:val="24"/>
      <w:lang w:val="en-GB" w:eastAsia="en-GB"/>
    </w:rPr>
  </w:style>
  <w:style w:type="paragraph" w:customStyle="1" w:styleId="BulletList3">
    <w:name w:val="Bullet List 3"/>
    <w:basedOn w:val="BulletList2"/>
    <w:link w:val="BulletList3Char"/>
    <w:qFormat/>
    <w:rsid w:val="00DE3BEE"/>
    <w:pPr>
      <w:numPr>
        <w:ilvl w:val="2"/>
      </w:numPr>
    </w:pPr>
  </w:style>
  <w:style w:type="character" w:customStyle="1" w:styleId="BulletList3Char">
    <w:name w:val="Bullet List 3 Char"/>
    <w:basedOn w:val="BulletList2Char"/>
    <w:link w:val="BulletList3"/>
    <w:rsid w:val="00DE3BEE"/>
    <w:rPr>
      <w:rFonts w:eastAsia="Times New Roman" w:cs="Times New Roman"/>
      <w:sz w:val="20"/>
      <w:szCs w:val="24"/>
      <w:lang w:val="en-GB" w:eastAsia="en-GB"/>
    </w:rPr>
  </w:style>
  <w:style w:type="paragraph" w:customStyle="1" w:styleId="BulletList4">
    <w:name w:val="Bullet List 4"/>
    <w:basedOn w:val="BulletList3"/>
    <w:link w:val="BulletList4Char"/>
    <w:rsid w:val="00DE3BEE"/>
    <w:pPr>
      <w:numPr>
        <w:ilvl w:val="3"/>
      </w:numPr>
      <w:tabs>
        <w:tab w:val="num" w:pos="360"/>
      </w:tabs>
      <w:ind w:left="1360"/>
    </w:pPr>
  </w:style>
  <w:style w:type="character" w:customStyle="1" w:styleId="BulletList4Char">
    <w:name w:val="Bullet List 4 Char"/>
    <w:basedOn w:val="BulletList3Char"/>
    <w:link w:val="BulletList4"/>
    <w:rsid w:val="00DE3BEE"/>
    <w:rPr>
      <w:rFonts w:eastAsia="Times New Roman" w:cs="Times New Roman"/>
      <w:sz w:val="20"/>
      <w:szCs w:val="24"/>
      <w:lang w:val="en-GB" w:eastAsia="en-GB"/>
    </w:rPr>
  </w:style>
  <w:style w:type="paragraph" w:customStyle="1" w:styleId="BulletList5">
    <w:name w:val="Bullet List 5"/>
    <w:basedOn w:val="BulletList4"/>
    <w:link w:val="BulletList5Char"/>
    <w:rsid w:val="00DE3BEE"/>
    <w:pPr>
      <w:numPr>
        <w:ilvl w:val="4"/>
      </w:numPr>
      <w:tabs>
        <w:tab w:val="num" w:pos="360"/>
      </w:tabs>
      <w:ind w:left="1360"/>
    </w:pPr>
  </w:style>
  <w:style w:type="character" w:customStyle="1" w:styleId="BulletList5Char">
    <w:name w:val="Bullet List 5 Char"/>
    <w:basedOn w:val="BulletList4Char"/>
    <w:link w:val="BulletList5"/>
    <w:rsid w:val="00DE3BEE"/>
    <w:rPr>
      <w:rFonts w:eastAsia="Times New Roman" w:cs="Times New Roman"/>
      <w:sz w:val="20"/>
      <w:szCs w:val="24"/>
      <w:lang w:val="en-GB" w:eastAsia="en-GB"/>
    </w:rPr>
  </w:style>
  <w:style w:type="paragraph" w:customStyle="1" w:styleId="BulletList6">
    <w:name w:val="Bullet List 6"/>
    <w:basedOn w:val="BulletList5"/>
    <w:link w:val="BulletList6Char"/>
    <w:rsid w:val="00DE3BEE"/>
    <w:pPr>
      <w:numPr>
        <w:ilvl w:val="5"/>
      </w:numPr>
      <w:tabs>
        <w:tab w:val="num" w:pos="360"/>
      </w:tabs>
      <w:ind w:left="1360"/>
    </w:pPr>
  </w:style>
  <w:style w:type="character" w:customStyle="1" w:styleId="BulletList6Char">
    <w:name w:val="Bullet List 6 Char"/>
    <w:basedOn w:val="BulletList5Char"/>
    <w:link w:val="BulletList6"/>
    <w:rsid w:val="00DE3BEE"/>
    <w:rPr>
      <w:rFonts w:eastAsia="Times New Roman" w:cs="Times New Roman"/>
      <w:sz w:val="20"/>
      <w:szCs w:val="24"/>
      <w:lang w:val="en-GB" w:eastAsia="en-GB"/>
    </w:rPr>
  </w:style>
  <w:style w:type="paragraph" w:customStyle="1" w:styleId="BulletList7">
    <w:name w:val="Bullet List 7"/>
    <w:basedOn w:val="BulletList6"/>
    <w:link w:val="BulletList7Char"/>
    <w:rsid w:val="00DE3BEE"/>
    <w:pPr>
      <w:numPr>
        <w:ilvl w:val="6"/>
      </w:numPr>
      <w:tabs>
        <w:tab w:val="num" w:pos="360"/>
      </w:tabs>
      <w:ind w:left="1360"/>
    </w:pPr>
  </w:style>
  <w:style w:type="character" w:customStyle="1" w:styleId="BulletList7Char">
    <w:name w:val="Bullet List 7 Char"/>
    <w:basedOn w:val="BulletList6Char"/>
    <w:link w:val="BulletList7"/>
    <w:rsid w:val="00DE3BEE"/>
    <w:rPr>
      <w:rFonts w:eastAsia="Times New Roman" w:cs="Times New Roman"/>
      <w:sz w:val="20"/>
      <w:szCs w:val="24"/>
      <w:lang w:val="en-GB" w:eastAsia="en-GB"/>
    </w:rPr>
  </w:style>
  <w:style w:type="paragraph" w:customStyle="1" w:styleId="BulletList8">
    <w:name w:val="Bullet List 8"/>
    <w:basedOn w:val="BulletList7"/>
    <w:link w:val="BulletList8Char"/>
    <w:rsid w:val="00DE3BEE"/>
    <w:pPr>
      <w:numPr>
        <w:ilvl w:val="7"/>
      </w:numPr>
    </w:pPr>
  </w:style>
  <w:style w:type="character" w:customStyle="1" w:styleId="BulletList8Char">
    <w:name w:val="Bullet List 8 Char"/>
    <w:basedOn w:val="BulletList7Char"/>
    <w:link w:val="BulletList8"/>
    <w:rsid w:val="00DE3BEE"/>
    <w:rPr>
      <w:rFonts w:eastAsia="Times New Roman" w:cs="Times New Roman"/>
      <w:sz w:val="20"/>
      <w:szCs w:val="24"/>
      <w:lang w:val="en-GB" w:eastAsia="en-GB"/>
    </w:rPr>
  </w:style>
  <w:style w:type="paragraph" w:customStyle="1" w:styleId="BulletList9">
    <w:name w:val="Bullet List 9"/>
    <w:basedOn w:val="BulletList8"/>
    <w:link w:val="BulletList9Char"/>
    <w:rsid w:val="00DE3BEE"/>
    <w:pPr>
      <w:numPr>
        <w:ilvl w:val="8"/>
      </w:numPr>
    </w:pPr>
  </w:style>
  <w:style w:type="character" w:customStyle="1" w:styleId="BulletList9Char">
    <w:name w:val="Bullet List 9 Char"/>
    <w:basedOn w:val="BulletList8Char"/>
    <w:link w:val="BulletList9"/>
    <w:rsid w:val="00DE3BEE"/>
    <w:rPr>
      <w:rFonts w:eastAsia="Times New Roman" w:cs="Times New Roman"/>
      <w:sz w:val="20"/>
      <w:szCs w:val="24"/>
      <w:lang w:val="en-GB" w:eastAsia="en-GB"/>
    </w:rPr>
  </w:style>
  <w:style w:type="paragraph" w:styleId="Date">
    <w:name w:val="Date"/>
    <w:basedOn w:val="Normal"/>
    <w:next w:val="Normal"/>
    <w:link w:val="DateChar"/>
    <w:rsid w:val="00DE3BEE"/>
    <w:pPr>
      <w:spacing w:after="0"/>
      <w:ind w:right="2268"/>
    </w:pPr>
    <w:rPr>
      <w:rFonts w:ascii="Times New Roman" w:eastAsia="Times New Roman" w:hAnsi="Times New Roman" w:cs="Times New Roman"/>
      <w:szCs w:val="24"/>
      <w:lang w:val="en-GB" w:eastAsia="en-GB"/>
    </w:rPr>
  </w:style>
  <w:style w:type="character" w:customStyle="1" w:styleId="DateChar">
    <w:name w:val="Date Char"/>
    <w:basedOn w:val="DefaultParagraphFont"/>
    <w:link w:val="Date"/>
    <w:rsid w:val="00DE3BEE"/>
    <w:rPr>
      <w:rFonts w:ascii="Times New Roman" w:eastAsia="Times New Roman" w:hAnsi="Times New Roman" w:cs="Times New Roman"/>
      <w:sz w:val="20"/>
      <w:szCs w:val="24"/>
      <w:lang w:val="en-GB" w:eastAsia="en-GB"/>
    </w:rPr>
  </w:style>
  <w:style w:type="paragraph" w:styleId="EndnoteText">
    <w:name w:val="endnote text"/>
    <w:basedOn w:val="Normal"/>
    <w:link w:val="EndnoteTextChar"/>
    <w:rsid w:val="00DE3BEE"/>
    <w:pPr>
      <w:spacing w:after="0"/>
      <w:ind w:right="2268"/>
    </w:pPr>
    <w:rPr>
      <w:rFonts w:ascii="Times New Roman" w:eastAsia="Times New Roman" w:hAnsi="Times New Roman" w:cs="Times New Roman"/>
      <w:szCs w:val="20"/>
      <w:lang w:val="en-GB" w:eastAsia="en-GB"/>
    </w:rPr>
  </w:style>
  <w:style w:type="character" w:customStyle="1" w:styleId="EndnoteTextChar">
    <w:name w:val="Endnote Text Char"/>
    <w:basedOn w:val="DefaultParagraphFont"/>
    <w:link w:val="EndnoteText"/>
    <w:rsid w:val="00DE3BEE"/>
    <w:rPr>
      <w:rFonts w:ascii="Times New Roman" w:eastAsia="Times New Roman" w:hAnsi="Times New Roman" w:cs="Times New Roman"/>
      <w:sz w:val="20"/>
      <w:szCs w:val="20"/>
      <w:lang w:val="en-GB" w:eastAsia="en-GB"/>
    </w:rPr>
  </w:style>
  <w:style w:type="paragraph" w:customStyle="1" w:styleId="FigureCaption">
    <w:name w:val="Figure Caption"/>
    <w:basedOn w:val="Normal"/>
    <w:next w:val="BodyText"/>
    <w:rsid w:val="00DE3BEE"/>
    <w:pPr>
      <w:keepNext/>
      <w:keepLines/>
      <w:spacing w:before="360" w:after="260"/>
    </w:pPr>
    <w:rPr>
      <w:rFonts w:asciiTheme="majorHAnsi" w:eastAsia="Times New Roman" w:hAnsiTheme="majorHAnsi" w:cs="Times New Roman"/>
      <w:color w:val="000000" w:themeColor="text1"/>
      <w:szCs w:val="24"/>
      <w:lang w:val="en-GB" w:eastAsia="en-GB"/>
    </w:rPr>
  </w:style>
  <w:style w:type="paragraph" w:customStyle="1" w:styleId="FooterA4Portrait">
    <w:name w:val="Footer A4 Portrait"/>
    <w:basedOn w:val="Footer"/>
    <w:rsid w:val="00DE3BEE"/>
    <w:pPr>
      <w:pBdr>
        <w:top w:val="single" w:sz="2" w:space="6" w:color="000000" w:themeColor="text1"/>
      </w:pBdr>
      <w:tabs>
        <w:tab w:val="clear" w:pos="4513"/>
        <w:tab w:val="clear" w:pos="9026"/>
        <w:tab w:val="right" w:pos="9639"/>
      </w:tabs>
    </w:pPr>
    <w:rPr>
      <w:rFonts w:eastAsia="Times New Roman" w:cs="Times New Roman"/>
      <w:color w:val="000000" w:themeColor="text1"/>
      <w:sz w:val="14"/>
      <w:szCs w:val="24"/>
      <w:lang w:val="en-GB" w:eastAsia="en-GB"/>
    </w:rPr>
  </w:style>
  <w:style w:type="paragraph" w:customStyle="1" w:styleId="FooterA4Landscape">
    <w:name w:val="Footer A4 Landscape"/>
    <w:basedOn w:val="FooterA4Portrait"/>
    <w:rsid w:val="00DE3BEE"/>
    <w:pPr>
      <w:tabs>
        <w:tab w:val="clear" w:pos="9639"/>
        <w:tab w:val="right" w:pos="14572"/>
      </w:tabs>
    </w:pPr>
  </w:style>
  <w:style w:type="paragraph" w:customStyle="1" w:styleId="HeaderA4Portrait">
    <w:name w:val="Header A4 Portrait"/>
    <w:basedOn w:val="Header"/>
    <w:rsid w:val="00DE3BEE"/>
    <w:pPr>
      <w:pBdr>
        <w:bottom w:val="single" w:sz="2" w:space="5" w:color="000000" w:themeColor="text1"/>
      </w:pBdr>
      <w:tabs>
        <w:tab w:val="clear" w:pos="4513"/>
        <w:tab w:val="clear" w:pos="9026"/>
        <w:tab w:val="right" w:pos="9639"/>
      </w:tabs>
      <w:spacing w:line="185" w:lineRule="auto"/>
    </w:pPr>
    <w:rPr>
      <w:rFonts w:asciiTheme="minorHAnsi" w:eastAsia="Times New Roman" w:hAnsiTheme="minorHAnsi" w:cs="Times New Roman"/>
      <w:color w:val="000000" w:themeColor="text1"/>
      <w:sz w:val="15"/>
      <w:szCs w:val="24"/>
      <w:lang w:val="en-GB" w:eastAsia="en-GB"/>
    </w:rPr>
  </w:style>
  <w:style w:type="paragraph" w:customStyle="1" w:styleId="HeaderA4Landscape">
    <w:name w:val="Header A4 Landscape"/>
    <w:basedOn w:val="HeaderA4Portrait"/>
    <w:rsid w:val="00DE3BEE"/>
    <w:pPr>
      <w:tabs>
        <w:tab w:val="clear" w:pos="9639"/>
        <w:tab w:val="right" w:pos="14572"/>
      </w:tabs>
    </w:pPr>
  </w:style>
  <w:style w:type="numbering" w:customStyle="1" w:styleId="Heading">
    <w:name w:val="Heading"/>
    <w:basedOn w:val="NoList"/>
    <w:uiPriority w:val="99"/>
    <w:rsid w:val="00DE3BEE"/>
    <w:pPr>
      <w:numPr>
        <w:numId w:val="17"/>
      </w:numPr>
    </w:pPr>
  </w:style>
  <w:style w:type="paragraph" w:customStyle="1" w:styleId="Heading1unnumbered">
    <w:name w:val="Heading 1 unnumbered"/>
    <w:basedOn w:val="Heading1"/>
    <w:next w:val="BodyText"/>
    <w:qFormat/>
    <w:rsid w:val="00DE3BEE"/>
    <w:pPr>
      <w:keepLines/>
      <w:pageBreakBefore/>
      <w:spacing w:after="440" w:line="211" w:lineRule="auto"/>
    </w:pPr>
    <w:rPr>
      <w:rFonts w:eastAsia="Times New Roman" w:cs="Arial"/>
      <w:bCs/>
      <w:color w:val="58595B"/>
      <w:kern w:val="32"/>
      <w:sz w:val="40"/>
      <w:lang w:val="en-GB"/>
    </w:rPr>
  </w:style>
  <w:style w:type="paragraph" w:customStyle="1" w:styleId="Heading2unnumbered">
    <w:name w:val="Heading 2 unnumbered"/>
    <w:basedOn w:val="Heading2"/>
    <w:next w:val="BodyText"/>
    <w:qFormat/>
    <w:rsid w:val="00DE3BEE"/>
    <w:pPr>
      <w:keepLines/>
      <w:spacing w:before="520" w:after="260"/>
    </w:pPr>
    <w:rPr>
      <w:rFonts w:eastAsia="Times New Roman" w:cs="Arial"/>
      <w:iCs/>
      <w:color w:val="626E81" w:themeColor="accent3"/>
      <w:kern w:val="32"/>
      <w:sz w:val="24"/>
      <w:szCs w:val="28"/>
      <w:lang w:val="en-GB"/>
    </w:rPr>
  </w:style>
  <w:style w:type="paragraph" w:customStyle="1" w:styleId="Heading3unnumbered">
    <w:name w:val="Heading 3 unnumbered"/>
    <w:basedOn w:val="Heading3"/>
    <w:next w:val="BodyText"/>
    <w:qFormat/>
    <w:rsid w:val="00DE3BEE"/>
    <w:pPr>
      <w:keepLines/>
      <w:spacing w:before="520" w:after="260"/>
    </w:pPr>
    <w:rPr>
      <w:rFonts w:asciiTheme="majorHAnsi" w:eastAsia="Times New Roman" w:hAnsiTheme="majorHAnsi" w:cs="Arial"/>
      <w:b w:val="0"/>
      <w:bCs/>
      <w:iCs/>
      <w:color w:val="626E81" w:themeColor="accent3"/>
      <w:kern w:val="32"/>
      <w:sz w:val="22"/>
      <w:szCs w:val="26"/>
      <w:lang w:val="en-GB"/>
    </w:rPr>
  </w:style>
  <w:style w:type="paragraph" w:customStyle="1" w:styleId="IntroText">
    <w:name w:val="Intro Text"/>
    <w:basedOn w:val="IntroTitle"/>
    <w:link w:val="IntroTextChar"/>
    <w:rsid w:val="00DE3BEE"/>
    <w:pPr>
      <w:spacing w:before="0" w:line="228" w:lineRule="auto"/>
    </w:pPr>
  </w:style>
  <w:style w:type="character" w:customStyle="1" w:styleId="IntroTextChar">
    <w:name w:val="Intro Text Char"/>
    <w:basedOn w:val="IntroTitleChar"/>
    <w:link w:val="IntroText"/>
    <w:rsid w:val="00DE3BEE"/>
    <w:rPr>
      <w:rFonts w:asciiTheme="majorHAnsi" w:eastAsia="Times New Roman" w:hAnsiTheme="majorHAnsi" w:cs="Times New Roman"/>
      <w:color w:val="626E81" w:themeColor="accent3"/>
      <w:sz w:val="28"/>
      <w:szCs w:val="29"/>
      <w:lang w:val="en-GB" w:eastAsia="en-GB"/>
    </w:rPr>
  </w:style>
  <w:style w:type="paragraph" w:customStyle="1" w:styleId="IntroTitle">
    <w:name w:val="Intro Title"/>
    <w:basedOn w:val="Base"/>
    <w:link w:val="IntroTitleChar"/>
    <w:rsid w:val="00DE3BEE"/>
    <w:pPr>
      <w:spacing w:before="240" w:after="200"/>
      <w:ind w:right="2268"/>
    </w:pPr>
    <w:rPr>
      <w:rFonts w:asciiTheme="majorHAnsi" w:hAnsiTheme="majorHAnsi"/>
      <w:color w:val="626E81" w:themeColor="accent3"/>
      <w:sz w:val="28"/>
      <w:szCs w:val="29"/>
    </w:rPr>
  </w:style>
  <w:style w:type="character" w:customStyle="1" w:styleId="IntroTitleChar">
    <w:name w:val="Intro Title Char"/>
    <w:basedOn w:val="BaseChar"/>
    <w:link w:val="IntroTitle"/>
    <w:rsid w:val="00DE3BEE"/>
    <w:rPr>
      <w:rFonts w:asciiTheme="majorHAnsi" w:eastAsia="Times New Roman" w:hAnsiTheme="majorHAnsi" w:cs="Times New Roman"/>
      <w:color w:val="626E81" w:themeColor="accent3"/>
      <w:sz w:val="28"/>
      <w:szCs w:val="29"/>
      <w:lang w:val="en-GB" w:eastAsia="en-GB"/>
    </w:rPr>
  </w:style>
  <w:style w:type="numbering" w:customStyle="1" w:styleId="NumberedList">
    <w:name w:val="Numbered List"/>
    <w:basedOn w:val="NoList"/>
    <w:uiPriority w:val="99"/>
    <w:rsid w:val="00DE3BEE"/>
    <w:pPr>
      <w:numPr>
        <w:numId w:val="18"/>
      </w:numPr>
    </w:pPr>
  </w:style>
  <w:style w:type="paragraph" w:customStyle="1" w:styleId="NumberedList1">
    <w:name w:val="Numbered List 1"/>
    <w:basedOn w:val="Base"/>
    <w:rsid w:val="00DE3BEE"/>
    <w:pPr>
      <w:numPr>
        <w:numId w:val="18"/>
      </w:numPr>
      <w:spacing w:before="260" w:after="260"/>
    </w:pPr>
    <w:rPr>
      <w:rFonts w:asciiTheme="minorHAnsi" w:hAnsiTheme="minorHAnsi"/>
    </w:rPr>
  </w:style>
  <w:style w:type="paragraph" w:customStyle="1" w:styleId="NumberedList2">
    <w:name w:val="Numbered List 2"/>
    <w:basedOn w:val="NumberedList1"/>
    <w:rsid w:val="00DE3BEE"/>
    <w:pPr>
      <w:numPr>
        <w:ilvl w:val="1"/>
      </w:numPr>
    </w:pPr>
  </w:style>
  <w:style w:type="paragraph" w:customStyle="1" w:styleId="NumberedList3">
    <w:name w:val="Numbered List 3"/>
    <w:basedOn w:val="NumberedList2"/>
    <w:rsid w:val="00DE3BEE"/>
    <w:pPr>
      <w:numPr>
        <w:ilvl w:val="2"/>
      </w:numPr>
    </w:pPr>
  </w:style>
  <w:style w:type="paragraph" w:customStyle="1" w:styleId="NumberedList4">
    <w:name w:val="Numbered List 4"/>
    <w:basedOn w:val="NumberedList3"/>
    <w:rsid w:val="00DE3BEE"/>
    <w:pPr>
      <w:numPr>
        <w:ilvl w:val="3"/>
      </w:numPr>
    </w:pPr>
  </w:style>
  <w:style w:type="paragraph" w:customStyle="1" w:styleId="NumberedList5">
    <w:name w:val="Numbered List 5"/>
    <w:basedOn w:val="NumberedList4"/>
    <w:rsid w:val="00DE3BEE"/>
    <w:pPr>
      <w:numPr>
        <w:ilvl w:val="4"/>
      </w:numPr>
    </w:pPr>
  </w:style>
  <w:style w:type="paragraph" w:customStyle="1" w:styleId="NumberedList6">
    <w:name w:val="Numbered List 6"/>
    <w:basedOn w:val="NumberedList5"/>
    <w:rsid w:val="00DE3BEE"/>
    <w:pPr>
      <w:numPr>
        <w:ilvl w:val="5"/>
      </w:numPr>
    </w:pPr>
  </w:style>
  <w:style w:type="paragraph" w:customStyle="1" w:styleId="NumberedList7">
    <w:name w:val="Numbered List 7"/>
    <w:basedOn w:val="NumberedList6"/>
    <w:rsid w:val="00DE3BEE"/>
    <w:pPr>
      <w:numPr>
        <w:ilvl w:val="6"/>
      </w:numPr>
    </w:pPr>
  </w:style>
  <w:style w:type="paragraph" w:customStyle="1" w:styleId="NumberedList8">
    <w:name w:val="Numbered List 8"/>
    <w:basedOn w:val="NumberedList7"/>
    <w:rsid w:val="00DE3BEE"/>
    <w:pPr>
      <w:numPr>
        <w:ilvl w:val="7"/>
      </w:numPr>
    </w:pPr>
  </w:style>
  <w:style w:type="paragraph" w:customStyle="1" w:styleId="NumberedList9">
    <w:name w:val="Numbered List 9"/>
    <w:basedOn w:val="NumberedList8"/>
    <w:qFormat/>
    <w:rsid w:val="00DE3BEE"/>
    <w:pPr>
      <w:numPr>
        <w:ilvl w:val="8"/>
      </w:numPr>
    </w:pPr>
  </w:style>
  <w:style w:type="paragraph" w:customStyle="1" w:styleId="PanelText">
    <w:name w:val="Panel Text"/>
    <w:basedOn w:val="Base"/>
    <w:rsid w:val="00DE3BEE"/>
    <w:pPr>
      <w:spacing w:after="250"/>
    </w:pPr>
    <w:rPr>
      <w:rFonts w:asciiTheme="minorHAnsi" w:hAnsiTheme="minorHAnsi"/>
      <w:sz w:val="19"/>
    </w:rPr>
  </w:style>
  <w:style w:type="character" w:styleId="PlaceholderText">
    <w:name w:val="Placeholder Text"/>
    <w:basedOn w:val="DefaultParagraphFont"/>
    <w:uiPriority w:val="99"/>
    <w:semiHidden/>
    <w:rsid w:val="00DE3BEE"/>
    <w:rPr>
      <w:color w:val="808080"/>
    </w:rPr>
  </w:style>
  <w:style w:type="table" w:customStyle="1" w:styleId="PlumPanel">
    <w:name w:val="Plum Panel"/>
    <w:basedOn w:val="TableNormal"/>
    <w:rsid w:val="00DE3BEE"/>
    <w:pPr>
      <w:spacing w:after="260" w:line="240" w:lineRule="auto"/>
    </w:pPr>
    <w:rPr>
      <w:rFonts w:eastAsia="Times New Roman" w:cs="Times New Roman"/>
      <w:color w:val="000000" w:themeColor="text1"/>
      <w:sz w:val="18"/>
      <w:szCs w:val="20"/>
      <w:lang w:val="en-GB" w:eastAsia="en-GB"/>
    </w:rPr>
    <w:tblPr>
      <w:tblStyleRowBandSize w:val="1"/>
      <w:tblBorders>
        <w:top w:val="single" w:sz="2" w:space="0" w:color="626E81" w:themeColor="accent3"/>
      </w:tblBorders>
      <w:tblCellMar>
        <w:top w:w="170" w:type="dxa"/>
        <w:left w:w="170" w:type="dxa"/>
        <w:bottom w:w="340" w:type="dxa"/>
        <w:right w:w="170" w:type="dxa"/>
      </w:tblCellMar>
    </w:tblPr>
    <w:trPr>
      <w:cantSplit/>
    </w:trPr>
    <w:tcPr>
      <w:shd w:val="clear" w:color="auto" w:fill="E6E7E8"/>
    </w:tcPr>
    <w:tblStylePr w:type="firstRow">
      <w:rPr>
        <w:rFonts w:ascii="Ek Mukta SemiBold" w:hAnsi="Ek Mukta SemiBold"/>
        <w:color w:val="auto"/>
      </w:rPr>
      <w:tblPr/>
      <w:trPr>
        <w:cantSplit w:val="0"/>
        <w:tblHeader/>
      </w:tr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DCDDDE"/>
      </w:tcPr>
    </w:tblStylePr>
    <w:tblStylePr w:type="band2Horz">
      <w:tblPr/>
      <w:tcPr>
        <w:shd w:val="clear" w:color="auto" w:fill="E6E7E8"/>
      </w:tcPr>
    </w:tblStylePr>
  </w:style>
  <w:style w:type="paragraph" w:customStyle="1" w:styleId="TableBullet">
    <w:name w:val="Table Bullet"/>
    <w:basedOn w:val="BulletList1"/>
    <w:qFormat/>
    <w:rsid w:val="00DE3BEE"/>
    <w:pPr>
      <w:tabs>
        <w:tab w:val="left" w:pos="454"/>
      </w:tabs>
      <w:spacing w:before="0" w:after="0"/>
      <w:ind w:left="170" w:hanging="170"/>
    </w:pPr>
    <w:rPr>
      <w:sz w:val="18"/>
      <w:szCs w:val="22"/>
      <w:lang w:eastAsia="en-US"/>
    </w:rPr>
  </w:style>
  <w:style w:type="paragraph" w:customStyle="1" w:styleId="TableCaption">
    <w:name w:val="Table Caption"/>
    <w:basedOn w:val="BodyText"/>
    <w:next w:val="BodyText"/>
    <w:rsid w:val="00DE3BEE"/>
    <w:pPr>
      <w:keepNext/>
      <w:keepLines/>
      <w:spacing w:before="360"/>
    </w:pPr>
    <w:rPr>
      <w:rFonts w:asciiTheme="majorHAnsi" w:hAnsiTheme="majorHAnsi"/>
      <w:color w:val="000000" w:themeColor="text1"/>
    </w:rPr>
  </w:style>
  <w:style w:type="paragraph" w:customStyle="1" w:styleId="TableNote">
    <w:name w:val="Table Note"/>
    <w:basedOn w:val="BodyText"/>
    <w:next w:val="BodyText"/>
    <w:qFormat/>
    <w:rsid w:val="00DE3BEE"/>
    <w:pPr>
      <w:spacing w:before="0"/>
    </w:pPr>
    <w:rPr>
      <w:sz w:val="18"/>
    </w:rPr>
  </w:style>
  <w:style w:type="paragraph" w:styleId="TOC5">
    <w:name w:val="toc 5"/>
    <w:basedOn w:val="TOC4"/>
    <w:next w:val="Normal"/>
    <w:semiHidden/>
    <w:rsid w:val="00DE3BEE"/>
    <w:pPr>
      <w:tabs>
        <w:tab w:val="clear" w:pos="9072"/>
        <w:tab w:val="clear" w:pos="9182"/>
        <w:tab w:val="right" w:pos="9639"/>
      </w:tabs>
      <w:ind w:left="960" w:right="0"/>
    </w:pPr>
    <w:rPr>
      <w:rFonts w:asciiTheme="minorHAnsi" w:eastAsia="Times New Roman" w:hAnsiTheme="minorHAnsi" w:cs="Times New Roman"/>
      <w:szCs w:val="24"/>
      <w:lang w:val="en-GB" w:eastAsia="en-GB"/>
    </w:rPr>
  </w:style>
  <w:style w:type="paragraph" w:styleId="TOC6">
    <w:name w:val="toc 6"/>
    <w:basedOn w:val="TOC1"/>
    <w:next w:val="Normal"/>
    <w:uiPriority w:val="39"/>
    <w:rsid w:val="00DE3BEE"/>
    <w:pPr>
      <w:keepNext w:val="0"/>
      <w:tabs>
        <w:tab w:val="clear" w:pos="9072"/>
        <w:tab w:val="right" w:pos="9639"/>
      </w:tabs>
      <w:spacing w:before="400" w:after="260"/>
      <w:ind w:left="1361" w:right="0" w:hanging="1361"/>
    </w:pPr>
    <w:rPr>
      <w:rFonts w:asciiTheme="majorHAnsi" w:eastAsia="Times New Roman" w:hAnsiTheme="majorHAnsi" w:cs="Times New Roman"/>
      <w:b w:val="0"/>
      <w:color w:val="626E81" w:themeColor="accent3"/>
      <w:szCs w:val="24"/>
      <w:lang w:val="en-GB" w:eastAsia="en-GB"/>
    </w:rPr>
  </w:style>
  <w:style w:type="paragraph" w:styleId="TOC7">
    <w:name w:val="toc 7"/>
    <w:basedOn w:val="TOC1"/>
    <w:next w:val="Normal"/>
    <w:semiHidden/>
    <w:rsid w:val="00DE3BEE"/>
    <w:pPr>
      <w:keepNext w:val="0"/>
      <w:tabs>
        <w:tab w:val="clear" w:pos="9072"/>
        <w:tab w:val="right" w:pos="9639"/>
      </w:tabs>
      <w:spacing w:before="400" w:after="260"/>
      <w:ind w:left="1440" w:right="0" w:hanging="340"/>
    </w:pPr>
    <w:rPr>
      <w:rFonts w:asciiTheme="majorHAnsi" w:eastAsia="Times New Roman" w:hAnsiTheme="majorHAnsi" w:cs="Times New Roman"/>
      <w:b w:val="0"/>
      <w:color w:val="626E81" w:themeColor="accent3"/>
      <w:szCs w:val="24"/>
      <w:lang w:val="en-GB" w:eastAsia="en-GB"/>
    </w:rPr>
  </w:style>
  <w:style w:type="paragraph" w:styleId="TOC8">
    <w:name w:val="toc 8"/>
    <w:basedOn w:val="TOC2"/>
    <w:next w:val="Normal"/>
    <w:semiHidden/>
    <w:rsid w:val="00DE3BEE"/>
    <w:pPr>
      <w:tabs>
        <w:tab w:val="clear" w:pos="9072"/>
        <w:tab w:val="right" w:pos="9639"/>
      </w:tabs>
      <w:ind w:left="1680" w:right="0" w:hanging="454"/>
    </w:pPr>
    <w:rPr>
      <w:rFonts w:asciiTheme="minorHAnsi" w:eastAsia="Times New Roman" w:hAnsiTheme="minorHAnsi" w:cs="Times New Roman"/>
      <w:szCs w:val="24"/>
      <w:lang w:val="en-GB" w:eastAsia="en-GB"/>
    </w:rPr>
  </w:style>
  <w:style w:type="paragraph" w:styleId="TOC9">
    <w:name w:val="toc 9"/>
    <w:basedOn w:val="TOC3"/>
    <w:next w:val="Normal"/>
    <w:semiHidden/>
    <w:rsid w:val="00DE3BEE"/>
    <w:pPr>
      <w:tabs>
        <w:tab w:val="clear" w:pos="9072"/>
        <w:tab w:val="right" w:pos="9639"/>
      </w:tabs>
      <w:spacing w:before="400" w:after="260"/>
      <w:ind w:left="1920" w:right="0" w:firstLine="0"/>
    </w:pPr>
    <w:rPr>
      <w:rFonts w:asciiTheme="majorHAnsi" w:eastAsia="Times New Roman" w:hAnsiTheme="majorHAnsi" w:cs="Times New Roman"/>
      <w:color w:val="626E81" w:themeColor="accent3"/>
      <w:szCs w:val="24"/>
      <w:lang w:val="en-GB" w:eastAsia="en-GB"/>
    </w:rPr>
  </w:style>
  <w:style w:type="paragraph" w:customStyle="1" w:styleId="TocTitle">
    <w:name w:val="Toc Title"/>
    <w:basedOn w:val="Heading1unnumbered"/>
    <w:rsid w:val="00DE3BEE"/>
    <w:pPr>
      <w:outlineLvl w:val="9"/>
    </w:pPr>
    <w:rPr>
      <w:color w:val="000000" w:themeColor="text1"/>
    </w:rPr>
  </w:style>
  <w:style w:type="character" w:styleId="PageNumber">
    <w:name w:val="page number"/>
    <w:basedOn w:val="DefaultParagraphFont"/>
    <w:rsid w:val="00DE3BEE"/>
  </w:style>
  <w:style w:type="numbering" w:styleId="ArticleSection">
    <w:name w:val="Outline List 3"/>
    <w:basedOn w:val="NoList"/>
    <w:rsid w:val="00DE3BEE"/>
    <w:pPr>
      <w:numPr>
        <w:numId w:val="19"/>
      </w:numPr>
    </w:pPr>
  </w:style>
  <w:style w:type="paragraph" w:styleId="ListNumber5">
    <w:name w:val="List Number 5"/>
    <w:basedOn w:val="Normal"/>
    <w:rsid w:val="00DE3BEE"/>
    <w:pPr>
      <w:tabs>
        <w:tab w:val="num" w:pos="1492"/>
      </w:tabs>
      <w:spacing w:after="0"/>
      <w:ind w:left="1492" w:right="2268" w:hanging="360"/>
      <w:contextualSpacing/>
    </w:pPr>
    <w:rPr>
      <w:rFonts w:ascii="Times New Roman" w:eastAsia="Times New Roman" w:hAnsi="Times New Roman" w:cs="Times New Roman"/>
      <w:szCs w:val="24"/>
      <w:lang w:val="en-GB" w:eastAsia="en-GB"/>
    </w:rPr>
  </w:style>
  <w:style w:type="paragraph" w:customStyle="1" w:styleId="TableText0">
    <w:name w:val="Table Text"/>
    <w:basedOn w:val="Base"/>
    <w:qFormat/>
    <w:rsid w:val="00DE3BEE"/>
    <w:rPr>
      <w:rFonts w:asciiTheme="minorHAnsi" w:hAnsiTheme="minorHAnsi"/>
      <w:sz w:val="18"/>
      <w:szCs w:val="20"/>
    </w:rPr>
  </w:style>
  <w:style w:type="paragraph" w:customStyle="1" w:styleId="TableSource">
    <w:name w:val="Table Source"/>
    <w:basedOn w:val="TableNote"/>
    <w:qFormat/>
    <w:rsid w:val="00DE3BEE"/>
    <w:rPr>
      <w:color w:val="000000" w:themeColor="text1"/>
      <w:sz w:val="16"/>
    </w:rPr>
  </w:style>
  <w:style w:type="paragraph" w:customStyle="1" w:styleId="Figure">
    <w:name w:val="Figure"/>
    <w:basedOn w:val="BodyText"/>
    <w:next w:val="BodyText"/>
    <w:link w:val="FigureChar"/>
    <w:qFormat/>
    <w:rsid w:val="00DE3BEE"/>
    <w:rPr>
      <w:noProof/>
    </w:rPr>
  </w:style>
  <w:style w:type="character" w:customStyle="1" w:styleId="FigureChar">
    <w:name w:val="Figure Char"/>
    <w:basedOn w:val="BodyTextChar"/>
    <w:link w:val="Figure"/>
    <w:rsid w:val="00DE3BEE"/>
    <w:rPr>
      <w:rFonts w:eastAsia="Times New Roman" w:cs="Times New Roman"/>
      <w:noProof/>
      <w:sz w:val="20"/>
      <w:szCs w:val="24"/>
      <w:lang w:val="en-GB" w:eastAsia="en-GB"/>
    </w:rPr>
  </w:style>
  <w:style w:type="table" w:customStyle="1" w:styleId="PlumQuotePanel">
    <w:name w:val="Plum Quote Panel"/>
    <w:basedOn w:val="PlumPanel"/>
    <w:uiPriority w:val="99"/>
    <w:rsid w:val="00DE3BEE"/>
    <w:pPr>
      <w:spacing w:after="120"/>
    </w:pPr>
    <w:rPr>
      <w:rFonts w:asciiTheme="majorHAnsi" w:hAnsiTheme="majorHAnsi"/>
      <w:sz w:val="26"/>
    </w:rPr>
    <w:tblPr>
      <w:tblCellMar>
        <w:bottom w:w="170" w:type="dxa"/>
      </w:tblCellMar>
    </w:tblPr>
    <w:tcPr>
      <w:shd w:val="clear" w:color="auto" w:fill="E6E7E8"/>
    </w:tcPr>
    <w:tblStylePr w:type="firstRow">
      <w:rPr>
        <w:rFonts w:ascii="Ek Mukta SemiBold" w:hAnsi="Ek Mukta SemiBold"/>
        <w:color w:val="auto"/>
      </w:rPr>
      <w:tblPr/>
      <w:trPr>
        <w:cantSplit w:val="0"/>
        <w:tblHeader/>
      </w:tr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DCDDDE"/>
      </w:tcPr>
    </w:tblStylePr>
    <w:tblStylePr w:type="band2Horz">
      <w:tblPr/>
      <w:tcPr>
        <w:shd w:val="clear" w:color="auto" w:fill="E6E7E8"/>
      </w:tcPr>
    </w:tblStylePr>
  </w:style>
  <w:style w:type="paragraph" w:customStyle="1" w:styleId="InsideAddress">
    <w:name w:val="Inside Address"/>
    <w:basedOn w:val="Normal"/>
    <w:rsid w:val="00DE3BEE"/>
    <w:pPr>
      <w:spacing w:after="160" w:line="259" w:lineRule="auto"/>
    </w:pPr>
    <w:rPr>
      <w:rFonts w:asciiTheme="minorHAnsi" w:hAnsiTheme="minorHAnsi"/>
      <w:sz w:val="22"/>
      <w:lang w:val="en-GB"/>
    </w:rPr>
  </w:style>
  <w:style w:type="character" w:customStyle="1" w:styleId="ListParagraphChar">
    <w:name w:val="List Paragraph Char"/>
    <w:aliases w:val="List Paragraph—numbers Char"/>
    <w:basedOn w:val="DefaultParagraphFont"/>
    <w:link w:val="ListParagraph"/>
    <w:uiPriority w:val="34"/>
    <w:locked/>
    <w:rsid w:val="00DE3BEE"/>
    <w:rPr>
      <w:rFonts w:ascii="Segoe UI" w:hAnsi="Segoe UI"/>
      <w:sz w:val="20"/>
    </w:rPr>
  </w:style>
  <w:style w:type="character" w:customStyle="1" w:styleId="UnresolvedMention">
    <w:name w:val="Unresolved Mention"/>
    <w:basedOn w:val="DefaultParagraphFont"/>
    <w:uiPriority w:val="99"/>
    <w:semiHidden/>
    <w:unhideWhenUsed/>
    <w:rsid w:val="00DE3BEE"/>
    <w:rPr>
      <w:color w:val="808080"/>
      <w:shd w:val="clear" w:color="auto" w:fill="E6E6E6"/>
    </w:rPr>
  </w:style>
  <w:style w:type="character" w:styleId="CommentReference">
    <w:name w:val="annotation reference"/>
    <w:basedOn w:val="DefaultParagraphFont"/>
    <w:uiPriority w:val="99"/>
    <w:semiHidden/>
    <w:unhideWhenUsed/>
    <w:rsid w:val="00DE3BEE"/>
    <w:rPr>
      <w:sz w:val="16"/>
      <w:szCs w:val="16"/>
    </w:rPr>
  </w:style>
  <w:style w:type="paragraph" w:styleId="CommentText">
    <w:name w:val="annotation text"/>
    <w:basedOn w:val="Normal"/>
    <w:link w:val="CommentTextChar"/>
    <w:uiPriority w:val="99"/>
    <w:semiHidden/>
    <w:unhideWhenUsed/>
    <w:rsid w:val="00DE3BEE"/>
    <w:pPr>
      <w:spacing w:after="160"/>
    </w:pPr>
    <w:rPr>
      <w:rFonts w:asciiTheme="minorHAnsi" w:hAnsiTheme="minorHAnsi"/>
      <w:szCs w:val="20"/>
      <w:lang w:val="en-GB"/>
    </w:rPr>
  </w:style>
  <w:style w:type="character" w:customStyle="1" w:styleId="CommentTextChar">
    <w:name w:val="Comment Text Char"/>
    <w:basedOn w:val="DefaultParagraphFont"/>
    <w:link w:val="CommentText"/>
    <w:uiPriority w:val="99"/>
    <w:semiHidden/>
    <w:rsid w:val="00DE3BEE"/>
    <w:rPr>
      <w:sz w:val="20"/>
      <w:szCs w:val="20"/>
      <w:lang w:val="en-GB"/>
    </w:rPr>
  </w:style>
  <w:style w:type="paragraph" w:styleId="CommentSubject">
    <w:name w:val="annotation subject"/>
    <w:basedOn w:val="CommentText"/>
    <w:next w:val="CommentText"/>
    <w:link w:val="CommentSubjectChar"/>
    <w:uiPriority w:val="99"/>
    <w:semiHidden/>
    <w:unhideWhenUsed/>
    <w:rsid w:val="00DE3BEE"/>
    <w:rPr>
      <w:b/>
      <w:bCs/>
    </w:rPr>
  </w:style>
  <w:style w:type="character" w:customStyle="1" w:styleId="CommentSubjectChar">
    <w:name w:val="Comment Subject Char"/>
    <w:basedOn w:val="CommentTextChar"/>
    <w:link w:val="CommentSubject"/>
    <w:uiPriority w:val="99"/>
    <w:semiHidden/>
    <w:rsid w:val="00DE3BEE"/>
    <w:rPr>
      <w:b/>
      <w:bCs/>
      <w:sz w:val="20"/>
      <w:szCs w:val="20"/>
      <w:lang w:val="en-GB"/>
    </w:rPr>
  </w:style>
  <w:style w:type="paragraph" w:styleId="BalloonText">
    <w:name w:val="Balloon Text"/>
    <w:basedOn w:val="Normal"/>
    <w:link w:val="BalloonTextChar"/>
    <w:uiPriority w:val="99"/>
    <w:semiHidden/>
    <w:unhideWhenUsed/>
    <w:rsid w:val="00DE3BEE"/>
    <w:pPr>
      <w:spacing w:after="0"/>
    </w:pPr>
    <w:rPr>
      <w:rFonts w:cs="Segoe UI"/>
      <w:sz w:val="18"/>
      <w:szCs w:val="18"/>
      <w:lang w:val="en-GB"/>
    </w:rPr>
  </w:style>
  <w:style w:type="character" w:customStyle="1" w:styleId="BalloonTextChar">
    <w:name w:val="Balloon Text Char"/>
    <w:basedOn w:val="DefaultParagraphFont"/>
    <w:link w:val="BalloonText"/>
    <w:uiPriority w:val="99"/>
    <w:semiHidden/>
    <w:rsid w:val="00DE3BEE"/>
    <w:rPr>
      <w:rFonts w:ascii="Segoe UI" w:hAnsi="Segoe UI" w:cs="Segoe UI"/>
      <w:sz w:val="18"/>
      <w:szCs w:val="18"/>
      <w:lang w:val="en-GB"/>
    </w:rPr>
  </w:style>
  <w:style w:type="paragraph" w:customStyle="1" w:styleId="Puce2">
    <w:name w:val="Puce 2"/>
    <w:basedOn w:val="Normal"/>
    <w:qFormat/>
    <w:rsid w:val="00DE3BEE"/>
    <w:pPr>
      <w:numPr>
        <w:ilvl w:val="1"/>
        <w:numId w:val="24"/>
      </w:numPr>
      <w:spacing w:before="60" w:after="60"/>
      <w:jc w:val="both"/>
    </w:pPr>
    <w:rPr>
      <w:rFonts w:asciiTheme="minorHAnsi" w:hAnsiTheme="minorHAnsi"/>
      <w:szCs w:val="20"/>
      <w:lang w:val="fr-FR"/>
    </w:rPr>
  </w:style>
  <w:style w:type="paragraph" w:customStyle="1" w:styleId="Puce1">
    <w:name w:val="Puce 1"/>
    <w:basedOn w:val="Normal"/>
    <w:qFormat/>
    <w:rsid w:val="00DE3BEE"/>
    <w:pPr>
      <w:numPr>
        <w:numId w:val="24"/>
      </w:numPr>
      <w:spacing w:before="60" w:after="60"/>
      <w:ind w:left="284" w:hanging="284"/>
      <w:jc w:val="both"/>
    </w:pPr>
    <w:rPr>
      <w:rFonts w:asciiTheme="minorHAnsi" w:hAnsiTheme="minorHAnsi"/>
      <w:szCs w:val="20"/>
      <w:lang w:val="fr-FR"/>
    </w:rPr>
  </w:style>
  <w:style w:type="paragraph" w:customStyle="1" w:styleId="Puce3">
    <w:name w:val="Puce 3"/>
    <w:basedOn w:val="Normal"/>
    <w:qFormat/>
    <w:rsid w:val="00DE3BEE"/>
    <w:pPr>
      <w:numPr>
        <w:ilvl w:val="2"/>
        <w:numId w:val="24"/>
      </w:numPr>
      <w:spacing w:before="60" w:after="60"/>
      <w:ind w:left="567" w:hanging="141"/>
      <w:jc w:val="both"/>
    </w:pPr>
    <w:rPr>
      <w:rFonts w:asciiTheme="minorHAnsi" w:hAnsiTheme="minorHAnsi"/>
      <w:szCs w:val="20"/>
      <w:lang w:val="fr-FR"/>
    </w:rPr>
  </w:style>
  <w:style w:type="table" w:customStyle="1" w:styleId="Checkv1">
    <w:name w:val="Check(v)1"/>
    <w:basedOn w:val="TableNormal"/>
    <w:next w:val="TableGrid"/>
    <w:uiPriority w:val="59"/>
    <w:rsid w:val="00DE3BEE"/>
    <w:pPr>
      <w:spacing w:before="40" w:after="20" w:line="240" w:lineRule="auto"/>
    </w:pPr>
    <w:rPr>
      <w:sz w:val="18"/>
      <w:szCs w:val="20"/>
      <w:lang w:val="fr-FR"/>
    </w:rPr>
    <w:tblPr>
      <w:tblStyleRowBandSize w:val="1"/>
      <w:tblBorders>
        <w:top w:val="single" w:sz="4" w:space="0" w:color="294E71"/>
        <w:left w:val="single" w:sz="4" w:space="0" w:color="294E71"/>
        <w:bottom w:val="single" w:sz="4" w:space="0" w:color="294E71"/>
        <w:right w:val="single" w:sz="4" w:space="0" w:color="294E71"/>
      </w:tblBorders>
      <w:tblCellMar>
        <w:left w:w="28" w:type="dxa"/>
        <w:right w:w="28" w:type="dxa"/>
      </w:tblCellMar>
    </w:tblPr>
    <w:tcPr>
      <w:shd w:val="clear" w:color="auto" w:fill="FFFFFF" w:themeFill="background1"/>
    </w:tcPr>
    <w:tblStylePr w:type="firstRow">
      <w:rPr>
        <w:rFonts w:asciiTheme="majorHAnsi" w:hAnsiTheme="majorHAnsi"/>
        <w:b/>
        <w:color w:val="FFFFFF" w:themeColor="background1"/>
        <w:sz w:val="18"/>
      </w:rPr>
      <w:tblPr/>
      <w:trPr>
        <w:tblHeader/>
      </w:trPr>
      <w:tcPr>
        <w:shd w:val="clear" w:color="auto" w:fill="294E71"/>
      </w:tcPr>
    </w:tblStylePr>
    <w:tblStylePr w:type="firstCol">
      <w:pPr>
        <w:wordWrap/>
        <w:jc w:val="left"/>
      </w:pPr>
      <w:rPr>
        <w:rFonts w:asciiTheme="majorHAnsi" w:hAnsiTheme="majorHAnsi"/>
        <w:b/>
        <w:sz w:val="18"/>
      </w:rPr>
    </w:tblStylePr>
    <w:tblStylePr w:type="band1Horz">
      <w:tblPr/>
      <w:tcPr>
        <w:shd w:val="clear" w:color="auto" w:fill="FFFFFF"/>
      </w:tcPr>
    </w:tblStylePr>
    <w:tblStylePr w:type="band2Horz">
      <w:tblPr/>
      <w:tcPr>
        <w:shd w:val="clear" w:color="auto" w:fill="E3E3EB"/>
      </w:tcPr>
    </w:tblStylePr>
  </w:style>
  <w:style w:type="paragraph" w:styleId="Caption">
    <w:name w:val="caption"/>
    <w:aliases w:val="Figure-caption,CAPTION,Figure-caption1,CAPTION1,Figure Caption1,Figure-caption2,CAPTION2,Figure Caption2,Figure-caption3,CAPTION3,Figure Caption3,Figure-caption4,CAPTION4,Figure Caption4,Figure-caption5,CAPTION5, Char Char,c"/>
    <w:basedOn w:val="Normal"/>
    <w:next w:val="Normal"/>
    <w:link w:val="CaptionChar"/>
    <w:uiPriority w:val="35"/>
    <w:qFormat/>
    <w:rsid w:val="00DE3BEE"/>
    <w:pPr>
      <w:keepNext/>
      <w:keepLines/>
      <w:spacing w:before="240" w:after="60"/>
      <w:ind w:left="1134" w:hanging="1134"/>
      <w:jc w:val="both"/>
    </w:pPr>
    <w:rPr>
      <w:rFonts w:asciiTheme="minorHAnsi" w:hAnsiTheme="minorHAnsi"/>
      <w:b/>
      <w:bCs/>
      <w:sz w:val="18"/>
      <w:szCs w:val="18"/>
      <w:lang w:val="fr-FR"/>
    </w:rPr>
  </w:style>
  <w:style w:type="paragraph" w:customStyle="1" w:styleId="Source">
    <w:name w:val="Source"/>
    <w:basedOn w:val="Normal"/>
    <w:next w:val="Normal"/>
    <w:link w:val="SourceCar"/>
    <w:uiPriority w:val="99"/>
    <w:qFormat/>
    <w:rsid w:val="00DE3BEE"/>
    <w:pPr>
      <w:spacing w:before="60" w:after="240"/>
      <w:jc w:val="both"/>
    </w:pPr>
    <w:rPr>
      <w:rFonts w:asciiTheme="minorHAnsi" w:hAnsiTheme="minorHAnsi"/>
      <w:sz w:val="16"/>
      <w:szCs w:val="20"/>
      <w:lang w:val="fr-FR"/>
    </w:rPr>
  </w:style>
  <w:style w:type="character" w:customStyle="1" w:styleId="CaptionChar">
    <w:name w:val="Caption Char"/>
    <w:aliases w:val="Figure-caption Char,CAPTION Char,Figure-caption1 Char,CAPTION1 Char,Figure Caption1 Char,Figure-caption2 Char,CAPTION2 Char,Figure Caption2 Char,Figure-caption3 Char,CAPTION3 Char,Figure Caption3 Char,Figure-caption4 Char,CAPTION4 Char"/>
    <w:basedOn w:val="DefaultParagraphFont"/>
    <w:link w:val="Caption"/>
    <w:uiPriority w:val="35"/>
    <w:rsid w:val="00DE3BEE"/>
    <w:rPr>
      <w:b/>
      <w:bCs/>
      <w:sz w:val="18"/>
      <w:szCs w:val="18"/>
      <w:lang w:val="fr-FR"/>
    </w:rPr>
  </w:style>
  <w:style w:type="character" w:customStyle="1" w:styleId="SourceCar">
    <w:name w:val="Source Car"/>
    <w:basedOn w:val="DefaultParagraphFont"/>
    <w:link w:val="Source"/>
    <w:uiPriority w:val="99"/>
    <w:rsid w:val="00DE3BEE"/>
    <w:rPr>
      <w:sz w:val="16"/>
      <w:szCs w:val="20"/>
      <w:lang w:val="fr-FR"/>
    </w:rPr>
  </w:style>
  <w:style w:type="table" w:customStyle="1" w:styleId="Checkv5">
    <w:name w:val="Check(v)5"/>
    <w:basedOn w:val="TableNormal"/>
    <w:next w:val="TableGrid"/>
    <w:uiPriority w:val="59"/>
    <w:rsid w:val="00DE3BEE"/>
    <w:pPr>
      <w:spacing w:before="40" w:after="20" w:line="240" w:lineRule="auto"/>
    </w:pPr>
    <w:rPr>
      <w:sz w:val="18"/>
      <w:szCs w:val="20"/>
      <w:lang w:val="fr-FR"/>
    </w:rPr>
    <w:tblPr>
      <w:tblStyleRowBandSize w:val="1"/>
      <w:tblBorders>
        <w:top w:val="single" w:sz="4" w:space="0" w:color="294E71"/>
        <w:left w:val="single" w:sz="4" w:space="0" w:color="294E71"/>
        <w:bottom w:val="single" w:sz="4" w:space="0" w:color="294E71"/>
        <w:right w:val="single" w:sz="4" w:space="0" w:color="294E71"/>
      </w:tblBorders>
      <w:tblCellMar>
        <w:left w:w="28" w:type="dxa"/>
        <w:right w:w="28" w:type="dxa"/>
      </w:tblCellMar>
    </w:tblPr>
    <w:tcPr>
      <w:shd w:val="clear" w:color="auto" w:fill="FFFFFF" w:themeFill="background1"/>
    </w:tcPr>
    <w:tblStylePr w:type="firstRow">
      <w:rPr>
        <w:rFonts w:asciiTheme="majorHAnsi" w:hAnsiTheme="majorHAnsi"/>
        <w:b/>
        <w:color w:val="FFFFFF" w:themeColor="background1"/>
        <w:sz w:val="18"/>
      </w:rPr>
      <w:tblPr/>
      <w:trPr>
        <w:tblHeader/>
      </w:trPr>
      <w:tcPr>
        <w:shd w:val="clear" w:color="auto" w:fill="294E71"/>
      </w:tcPr>
    </w:tblStylePr>
    <w:tblStylePr w:type="firstCol">
      <w:pPr>
        <w:wordWrap/>
        <w:jc w:val="left"/>
      </w:pPr>
      <w:rPr>
        <w:rFonts w:asciiTheme="majorHAnsi" w:hAnsiTheme="majorHAnsi"/>
        <w:b/>
        <w:sz w:val="18"/>
      </w:rPr>
    </w:tblStylePr>
    <w:tblStylePr w:type="band1Horz">
      <w:tblPr/>
      <w:tcPr>
        <w:shd w:val="clear" w:color="auto" w:fill="FFFFFF"/>
      </w:tcPr>
    </w:tblStylePr>
    <w:tblStylePr w:type="band2Horz">
      <w:tblPr/>
      <w:tcPr>
        <w:shd w:val="clear" w:color="auto" w:fill="E3E3EB"/>
      </w:tcPr>
    </w:tblStylePr>
  </w:style>
  <w:style w:type="paragraph" w:customStyle="1" w:styleId="Tabletext1">
    <w:name w:val="Table_text"/>
    <w:basedOn w:val="Normal"/>
    <w:link w:val="TabletextChar"/>
    <w:qFormat/>
    <w:rsid w:val="00DE3BE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eastAsia="Times New Roman" w:hAnsi="Times New Roman" w:cs="Times New Roman"/>
      <w:szCs w:val="20"/>
      <w:lang w:val="en-GB"/>
    </w:rPr>
  </w:style>
  <w:style w:type="paragraph" w:customStyle="1" w:styleId="Tablehead">
    <w:name w:val="Table_head"/>
    <w:basedOn w:val="Normal"/>
    <w:link w:val="TableheadChar"/>
    <w:qFormat/>
    <w:rsid w:val="00DE3BEE"/>
    <w:pPr>
      <w:keepNext/>
      <w:tabs>
        <w:tab w:val="left" w:pos="1134"/>
        <w:tab w:val="left" w:pos="1871"/>
        <w:tab w:val="left" w:pos="2268"/>
      </w:tabs>
      <w:overflowPunct w:val="0"/>
      <w:autoSpaceDE w:val="0"/>
      <w:autoSpaceDN w:val="0"/>
      <w:adjustRightInd w:val="0"/>
      <w:spacing w:before="80" w:after="80"/>
      <w:jc w:val="center"/>
      <w:textAlignment w:val="baseline"/>
    </w:pPr>
    <w:rPr>
      <w:rFonts w:ascii="Times New Roman Bold" w:eastAsia="Times New Roman" w:hAnsi="Times New Roman Bold" w:cs="Times New Roman Bold"/>
      <w:b/>
      <w:szCs w:val="20"/>
      <w:lang w:val="en-GB"/>
    </w:rPr>
  </w:style>
  <w:style w:type="paragraph" w:customStyle="1" w:styleId="TableNo">
    <w:name w:val="Table_No"/>
    <w:basedOn w:val="Normal"/>
    <w:next w:val="Normal"/>
    <w:link w:val="TableNoChar"/>
    <w:qFormat/>
    <w:rsid w:val="00DE3BEE"/>
    <w:pPr>
      <w:keepNext/>
      <w:tabs>
        <w:tab w:val="left" w:pos="1134"/>
        <w:tab w:val="left" w:pos="1871"/>
        <w:tab w:val="left" w:pos="2268"/>
      </w:tabs>
      <w:overflowPunct w:val="0"/>
      <w:autoSpaceDE w:val="0"/>
      <w:autoSpaceDN w:val="0"/>
      <w:adjustRightInd w:val="0"/>
      <w:spacing w:before="560" w:after="120"/>
      <w:jc w:val="center"/>
      <w:textAlignment w:val="baseline"/>
    </w:pPr>
    <w:rPr>
      <w:rFonts w:ascii="Times New Roman" w:eastAsia="Times New Roman" w:hAnsi="Times New Roman" w:cs="Times New Roman"/>
      <w:caps/>
      <w:szCs w:val="20"/>
      <w:lang w:val="en-GB"/>
    </w:rPr>
  </w:style>
  <w:style w:type="paragraph" w:customStyle="1" w:styleId="Tabletitle">
    <w:name w:val="Table_title"/>
    <w:basedOn w:val="Normal"/>
    <w:next w:val="Tabletext1"/>
    <w:link w:val="TabletitleChar"/>
    <w:qFormat/>
    <w:rsid w:val="00DE3BEE"/>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eastAsia="Times New Roman" w:hAnsi="Times New Roman Bold" w:cs="Times New Roman"/>
      <w:b/>
      <w:szCs w:val="20"/>
      <w:lang w:val="en-GB"/>
    </w:rPr>
  </w:style>
  <w:style w:type="character" w:customStyle="1" w:styleId="TabletextChar">
    <w:name w:val="Table_text Char"/>
    <w:basedOn w:val="DefaultParagraphFont"/>
    <w:link w:val="Tabletext1"/>
    <w:qFormat/>
    <w:rsid w:val="00DE3BEE"/>
    <w:rPr>
      <w:rFonts w:ascii="Times New Roman" w:eastAsia="Times New Roman" w:hAnsi="Times New Roman" w:cs="Times New Roman"/>
      <w:sz w:val="20"/>
      <w:szCs w:val="20"/>
      <w:lang w:val="en-GB"/>
    </w:rPr>
  </w:style>
  <w:style w:type="character" w:customStyle="1" w:styleId="TableheadChar">
    <w:name w:val="Table_head Char"/>
    <w:basedOn w:val="DefaultParagraphFont"/>
    <w:link w:val="Tablehead"/>
    <w:qFormat/>
    <w:locked/>
    <w:rsid w:val="00DE3BEE"/>
    <w:rPr>
      <w:rFonts w:ascii="Times New Roman Bold" w:eastAsia="Times New Roman" w:hAnsi="Times New Roman Bold" w:cs="Times New Roman Bold"/>
      <w:b/>
      <w:sz w:val="20"/>
      <w:szCs w:val="20"/>
      <w:lang w:val="en-GB"/>
    </w:rPr>
  </w:style>
  <w:style w:type="character" w:customStyle="1" w:styleId="TableNoChar">
    <w:name w:val="Table_No Char"/>
    <w:link w:val="TableNo"/>
    <w:locked/>
    <w:rsid w:val="00DE3BEE"/>
    <w:rPr>
      <w:rFonts w:ascii="Times New Roman" w:eastAsia="Times New Roman" w:hAnsi="Times New Roman" w:cs="Times New Roman"/>
      <w:caps/>
      <w:sz w:val="20"/>
      <w:szCs w:val="20"/>
      <w:lang w:val="en-GB"/>
    </w:rPr>
  </w:style>
  <w:style w:type="character" w:customStyle="1" w:styleId="TabletitleChar">
    <w:name w:val="Table_title Char"/>
    <w:basedOn w:val="DefaultParagraphFont"/>
    <w:link w:val="Tabletitle"/>
    <w:qFormat/>
    <w:locked/>
    <w:rsid w:val="00DE3BEE"/>
    <w:rPr>
      <w:rFonts w:ascii="Times New Roman Bold" w:eastAsia="Times New Roman" w:hAnsi="Times New Roman Bold" w:cs="Times New Roman"/>
      <w:b/>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0351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nbnco.com.au/blog/the-nbn-project/five-questions-with-nbns-satellite-program-director" TargetMode="Externa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9.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birrraus.com/2016/06/05/what-are-sky-muster-spot-beam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cnet.com/news/testing-verizons-early-5g-speeds-was-a-mess-but-im-still-excited-about-our-data-future/"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gizmodo.com.au/2016/04/nbn-has-launched-its-sky-muster-broadband-service-for-regional-areas/" TargetMode="External"/><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birrraus.com/2016/06/05/what-are-sky-muster-spot-beams/" TargetMode="External"/><Relationship Id="rId13" Type="http://schemas.openxmlformats.org/officeDocument/2006/relationships/hyperlink" Target="https://docs.fcc.gov/public/attachments/FCC-16-89A1.docx" TargetMode="External"/><Relationship Id="rId18" Type="http://schemas.openxmlformats.org/officeDocument/2006/relationships/hyperlink" Target="https://one5g.eu/documents/" TargetMode="External"/><Relationship Id="rId3" Type="http://schemas.openxmlformats.org/officeDocument/2006/relationships/hyperlink" Target="https://www.acma.gov.au/theACMA/-/media/E32D8C7AA2A647E085F6D37C2E6503A0.ashx" TargetMode="External"/><Relationship Id="rId21" Type="http://schemas.openxmlformats.org/officeDocument/2006/relationships/hyperlink" Target="http://epubs.surrey.ac.uk/849644/1/Capacity%20and%20Costs%20for%205G%20Networks%20in%20Dense%20Urban%20Areas.pdf" TargetMode="External"/><Relationship Id="rId7" Type="http://schemas.openxmlformats.org/officeDocument/2006/relationships/hyperlink" Target="https://www.wikiwand.com/en/Sky_Muster" TargetMode="External"/><Relationship Id="rId12" Type="http://schemas.openxmlformats.org/officeDocument/2006/relationships/hyperlink" Target="https://www.ecodocdb.dk/document/3361" TargetMode="External"/><Relationship Id="rId17" Type="http://schemas.openxmlformats.org/officeDocument/2006/relationships/hyperlink" Target="https://www.cnet.com/news/testing-verizons-early-5g-speeds-was-a-mess-but-im-still-excited-about-our-data-future/" TargetMode="External"/><Relationship Id="rId2" Type="http://schemas.openxmlformats.org/officeDocument/2006/relationships/hyperlink" Target="https://www.acma.gov.au/-/media/Spectrum-Transformation-and-Government/Issue-for-comment/IFC-32-2018/NBN-submission-pdf.pdf" TargetMode="External"/><Relationship Id="rId16" Type="http://schemas.openxmlformats.org/officeDocument/2006/relationships/hyperlink" Target="https://www.ic.gc.ca/eic/site/smt-gst.nsf/eng/sf11510.html" TargetMode="External"/><Relationship Id="rId20" Type="http://schemas.openxmlformats.org/officeDocument/2006/relationships/hyperlink" Target="https://fccid.io/IHDT56XL1/RF-Exposure-Info/PD-Simulation-report-0213-4170293" TargetMode="External"/><Relationship Id="rId1" Type="http://schemas.openxmlformats.org/officeDocument/2006/relationships/hyperlink" Target="https://www.acma.gov.au/theACMA/-/media/15EF7BCEB00E4297B99953C9CDC27125.ashx" TargetMode="External"/><Relationship Id="rId6" Type="http://schemas.openxmlformats.org/officeDocument/2006/relationships/hyperlink" Target="http://sslmda.com/html/1300_series_platform.php" TargetMode="External"/><Relationship Id="rId11" Type="http://schemas.openxmlformats.org/officeDocument/2006/relationships/hyperlink" Target="https://www.ecodocdb.dk/document/3358" TargetMode="External"/><Relationship Id="rId5" Type="http://schemas.openxmlformats.org/officeDocument/2006/relationships/hyperlink" Target="https://www.acma.gov.au/-/media/Spectrum-Transformation-and-Government/Issue-for-comment/IFC-32-2018/NBN-submission-attachment-pdf.pdf" TargetMode="External"/><Relationship Id="rId15" Type="http://schemas.openxmlformats.org/officeDocument/2006/relationships/hyperlink" Target="https://www.federalregister.gov/documents/2019/05/13/2019-09426/use-of-spectrum-bands-above-24-ghz-for-mobile-radio-services" TargetMode="External"/><Relationship Id="rId10" Type="http://schemas.openxmlformats.org/officeDocument/2006/relationships/hyperlink" Target="https://one5g.eu/documents/" TargetMode="External"/><Relationship Id="rId19" Type="http://schemas.openxmlformats.org/officeDocument/2006/relationships/hyperlink" Target="http://epubs.surrey.ac.uk/849644/1/Capacity%20and%20Costs%20for%205G%20Networks%20in%20Dense%20Urban%20Areas.pdf" TargetMode="External"/><Relationship Id="rId4" Type="http://schemas.openxmlformats.org/officeDocument/2006/relationships/hyperlink" Target="https://www.acma.gov.au/-/media/Spectrum-Transformation-and-Government/Issue-for-comment/IFC-32-2018/NBN-submission-pdf.pdf" TargetMode="External"/><Relationship Id="rId9" Type="http://schemas.openxmlformats.org/officeDocument/2006/relationships/hyperlink" Target="https://one5g.eu/project/" TargetMode="External"/><Relationship Id="rId14" Type="http://schemas.openxmlformats.org/officeDocument/2006/relationships/hyperlink" Target="https://www.federalregister.gov/documents/2018/07/20/2018-14806/use-of-spectrum-bands-above-24-ghz-for-mobile-radio-servic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DEPT\department--report--accessible--3september2019.dotx" TargetMode="External"/></Relationships>
</file>

<file path=word/theme/theme1.xml><?xml version="1.0" encoding="utf-8"?>
<a:theme xmlns:a="http://schemas.openxmlformats.org/drawingml/2006/main" name="Office Theme">
  <a:themeElements>
    <a:clrScheme name="DoCA">
      <a:dk1>
        <a:srgbClr val="000000"/>
      </a:dk1>
      <a:lt1>
        <a:srgbClr val="FFFFFF"/>
      </a:lt1>
      <a:dk2>
        <a:srgbClr val="155589"/>
      </a:dk2>
      <a:lt2>
        <a:srgbClr val="E4E4E4"/>
      </a:lt2>
      <a:accent1>
        <a:srgbClr val="155589"/>
      </a:accent1>
      <a:accent2>
        <a:srgbClr val="0D6635"/>
      </a:accent2>
      <a:accent3>
        <a:srgbClr val="626E81"/>
      </a:accent3>
      <a:accent4>
        <a:srgbClr val="488CCB"/>
      </a:accent4>
      <a:accent5>
        <a:srgbClr val="959ACD"/>
      </a:accent5>
      <a:accent6>
        <a:srgbClr val="488CCB"/>
      </a:accent6>
      <a:hlink>
        <a:srgbClr val="155589"/>
      </a:hlink>
      <a:folHlink>
        <a:srgbClr val="15558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A65D919E78644082831B372E562FFC" ma:contentTypeVersion="0" ma:contentTypeDescription="Create a new document." ma:contentTypeScope="" ma:versionID="15142f0c1c4577094703620367257c1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27079-A867-4EB2-9ADD-4A848C3596B6}">
  <ds:schemaRefs>
    <ds:schemaRef ds:uri="http://schemas.microsoft.com/sharepoint/v3/contenttype/forms"/>
  </ds:schemaRefs>
</ds:datastoreItem>
</file>

<file path=customXml/itemProps2.xml><?xml version="1.0" encoding="utf-8"?>
<ds:datastoreItem xmlns:ds="http://schemas.openxmlformats.org/officeDocument/2006/customXml" ds:itemID="{2A4F5793-DEDA-42FE-8567-03DE7C99F0AC}">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BAAE393-3B31-42EB-B299-98A658A5C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FA45D33-876B-45D0-AEF9-D72F69A5D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department--report--accessible--3september2019.dotx</Template>
  <TotalTime>71</TotalTime>
  <Pages>51</Pages>
  <Words>17974</Words>
  <Characters>94187</Characters>
  <Application>Microsoft Office Word</Application>
  <DocSecurity>0</DocSecurity>
  <Lines>2616</Lines>
  <Paragraphs>1515</Paragraphs>
  <ScaleCrop>false</ScaleCrop>
  <HeadingPairs>
    <vt:vector size="2" baseType="variant">
      <vt:variant>
        <vt:lpstr>Title</vt:lpstr>
      </vt:variant>
      <vt:variant>
        <vt:i4>1</vt:i4>
      </vt:variant>
    </vt:vector>
  </HeadingPairs>
  <TitlesOfParts>
    <vt:vector size="1" baseType="lpstr">
      <vt:lpstr>coexistence-of-terrestrial-and-satellite-services-at-26GHz(WACG2.0).docx</vt:lpstr>
    </vt:vector>
  </TitlesOfParts>
  <Company>Plum Consulting</Company>
  <LinksUpToDate>false</LinksUpToDate>
  <CharactersWithSpaces>110646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coexistence-of-terrestrial-and-satellite-services-at-26GHz(WACG2.0).docx</dc:title>
  <dc:subject/>
  <dc:creator>Plum Consulting</dc:creator>
  <cp:keywords/>
  <dc:description/>
  <cp:lastModifiedBy>Hall, Theresa</cp:lastModifiedBy>
  <cp:revision>7</cp:revision>
  <dcterms:created xsi:type="dcterms:W3CDTF">2019-10-08T01:04:00Z</dcterms:created>
  <dcterms:modified xsi:type="dcterms:W3CDTF">2019-10-08T02:16:00Z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0x01010010A65D919E78644082831B372E562FFC</vt:lpwstr>
  </property>
  <property fmtid="{D5CDD505-2E9C-101B-9397-08002B2CF9AE}" pid="3" name="TrimRevisionNumber">
    <vt:i4>4</vt:i4>
  </property>
</Properties>
</file>