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72DA56DA" wp14:editId="17E0D6E6">
            <wp:extent cx="7546547" cy="1369333"/>
            <wp:effectExtent l="0" t="0" r="0" b="0"/>
            <wp:docPr id="1" name="Picture 1" descr="Department of Communications and the Arts, Australiam Communications and Meida Authority (ACMA) and Screen Australia. " title="Logos for the 3 invol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46547" cy="13693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5910C9" w:rsidRDefault="005910C9" w:rsidP="00E40E9F">
      <w:pPr>
        <w:pStyle w:val="Heading1"/>
        <w:spacing w:after="120"/>
      </w:pPr>
      <w:r>
        <w:t xml:space="preserve">Australian and Children’s </w:t>
      </w:r>
      <w:r w:rsidR="000347A1">
        <w:t xml:space="preserve">Screen </w:t>
      </w:r>
      <w:r>
        <w:t>Content Review</w:t>
      </w:r>
    </w:p>
    <w:p w:rsidR="00211EAE" w:rsidRPr="00B049A1" w:rsidRDefault="00211EAE" w:rsidP="00E40E9F">
      <w:pPr>
        <w:pStyle w:val="Heading2"/>
        <w:spacing w:after="120"/>
        <w:rPr>
          <w:color w:val="FF0000"/>
        </w:rPr>
      </w:pPr>
      <w:r w:rsidRPr="00B049A1">
        <w:t xml:space="preserve">Terms of Reference </w:t>
      </w:r>
    </w:p>
    <w:p w:rsidR="00211EAE" w:rsidRPr="00B049A1" w:rsidRDefault="00211EAE" w:rsidP="00E40E9F">
      <w:pPr>
        <w:pStyle w:val="Heading3"/>
        <w:spacing w:after="0"/>
        <w:rPr>
          <w:lang w:val="en-GB"/>
        </w:rPr>
      </w:pPr>
      <w:r w:rsidRPr="00B049A1">
        <w:rPr>
          <w:lang w:val="en-GB"/>
        </w:rPr>
        <w:t>Cont</w:t>
      </w:r>
      <w:bookmarkStart w:id="0" w:name="_GoBack"/>
      <w:bookmarkEnd w:id="0"/>
      <w:r w:rsidRPr="00B049A1">
        <w:rPr>
          <w:lang w:val="en-GB"/>
        </w:rPr>
        <w:t>ext</w:t>
      </w:r>
    </w:p>
    <w:p w:rsidR="00D11E6A" w:rsidRPr="00B049A1" w:rsidRDefault="00D11E6A" w:rsidP="00E40E9F">
      <w:pPr>
        <w:pStyle w:val="BodyText"/>
        <w:spacing w:before="120"/>
        <w:rPr>
          <w:lang w:val="en-GB"/>
        </w:rPr>
      </w:pPr>
      <w:r w:rsidRPr="00B049A1">
        <w:t>In a globally connected, on-demand world</w:t>
      </w:r>
      <w:r w:rsidR="009814AF">
        <w:t>,</w:t>
      </w:r>
      <w:r w:rsidRPr="00B049A1">
        <w:t xml:space="preserve"> Australian stories </w:t>
      </w:r>
      <w:r w:rsidR="00EF52B7">
        <w:t>need to be</w:t>
      </w:r>
      <w:r w:rsidR="00EF52B7" w:rsidRPr="00B049A1">
        <w:t xml:space="preserve"> </w:t>
      </w:r>
      <w:r w:rsidRPr="00B049A1">
        <w:t>told and heard by Australians, in particular our children, and across the world</w:t>
      </w:r>
      <w:r>
        <w:rPr>
          <w:lang w:val="en-GB"/>
        </w:rPr>
        <w:t>.</w:t>
      </w:r>
      <w:r w:rsidR="00EF52B7">
        <w:rPr>
          <w:lang w:val="en-GB"/>
        </w:rPr>
        <w:t xml:space="preserve"> </w:t>
      </w:r>
      <w:r w:rsidRPr="00B049A1">
        <w:rPr>
          <w:lang w:val="en-GB"/>
        </w:rPr>
        <w:t>A viable domestic screen production sector is essential if audiences are to have access to quality Australian content. Given the small size of the Australian market for screen content, and the sheer quantities of screen content production in larger English-language markets such as the United States</w:t>
      </w:r>
      <w:r>
        <w:rPr>
          <w:lang w:val="en-GB"/>
        </w:rPr>
        <w:t xml:space="preserve"> and the United Kingdom, </w:t>
      </w:r>
      <w:r w:rsidRPr="00B049A1">
        <w:rPr>
          <w:lang w:val="en-GB"/>
        </w:rPr>
        <w:t>it is unlikely that Australia would produce the quantity, quality and variety of Australian content required to achieve cultural benefits without Government support.</w:t>
      </w:r>
      <w:r w:rsidR="00EF52B7" w:rsidRPr="00EF52B7">
        <w:rPr>
          <w:lang w:val="en-GB"/>
        </w:rPr>
        <w:t xml:space="preserve"> </w:t>
      </w:r>
      <w:r w:rsidR="00EF52B7" w:rsidRPr="00B049A1">
        <w:rPr>
          <w:lang w:val="en-GB"/>
        </w:rPr>
        <w:t>Similarly the Australian Screen Production Incentive was designed to suit pre-2007 industry models.</w:t>
      </w:r>
    </w:p>
    <w:p w:rsidR="00211EAE" w:rsidRPr="00B049A1" w:rsidRDefault="00211EAE" w:rsidP="00211EAE">
      <w:pPr>
        <w:pStyle w:val="BodyText"/>
        <w:rPr>
          <w:lang w:val="en-GB"/>
        </w:rPr>
      </w:pPr>
      <w:r w:rsidRPr="00B049A1">
        <w:rPr>
          <w:lang w:val="en-GB"/>
        </w:rPr>
        <w:t xml:space="preserve">Changes in audience </w:t>
      </w:r>
      <w:r w:rsidR="00C562A2">
        <w:rPr>
          <w:lang w:val="en-GB"/>
        </w:rPr>
        <w:t>consumption habits</w:t>
      </w:r>
      <w:r w:rsidRPr="00B049A1">
        <w:rPr>
          <w:lang w:val="en-GB"/>
        </w:rPr>
        <w:t xml:space="preserve">, </w:t>
      </w:r>
      <w:r w:rsidR="00EF52B7">
        <w:rPr>
          <w:lang w:val="en-GB"/>
        </w:rPr>
        <w:t xml:space="preserve">the introduction of new distribution platforms </w:t>
      </w:r>
      <w:r w:rsidRPr="00B049A1">
        <w:rPr>
          <w:lang w:val="en-GB"/>
        </w:rPr>
        <w:t xml:space="preserve">and increasing competitive pressure on Australian content producers and distributors mean that the existing models of </w:t>
      </w:r>
      <w:r w:rsidR="00896139">
        <w:rPr>
          <w:lang w:val="en-GB"/>
        </w:rPr>
        <w:t xml:space="preserve">regulation and </w:t>
      </w:r>
      <w:r w:rsidRPr="00B049A1">
        <w:rPr>
          <w:lang w:val="en-GB"/>
        </w:rPr>
        <w:t xml:space="preserve">support for Australian and children’s content need to be revisited.    </w:t>
      </w:r>
    </w:p>
    <w:p w:rsidR="00D11E6A" w:rsidRDefault="00D11E6A" w:rsidP="00D11E6A">
      <w:pPr>
        <w:pStyle w:val="Heading3"/>
        <w:rPr>
          <w:lang w:val="en-GB"/>
        </w:rPr>
      </w:pPr>
      <w:r>
        <w:rPr>
          <w:lang w:val="en-GB"/>
        </w:rPr>
        <w:t>Scope</w:t>
      </w:r>
    </w:p>
    <w:p w:rsidR="00211EAE" w:rsidRPr="00B049A1" w:rsidRDefault="00D11E6A" w:rsidP="00E40E9F">
      <w:pPr>
        <w:pStyle w:val="BodyText"/>
        <w:spacing w:before="120"/>
        <w:rPr>
          <w:lang w:val="en-GB"/>
        </w:rPr>
      </w:pPr>
      <w:r>
        <w:rPr>
          <w:rFonts w:eastAsia="Times New Roman"/>
          <w:szCs w:val="20"/>
          <w:lang w:val="en-GB"/>
        </w:rPr>
        <w:t>The</w:t>
      </w:r>
      <w:r w:rsidR="009013EF">
        <w:rPr>
          <w:rFonts w:eastAsia="Times New Roman"/>
          <w:szCs w:val="20"/>
          <w:lang w:val="en-GB"/>
        </w:rPr>
        <w:t xml:space="preserve"> R</w:t>
      </w:r>
      <w:r>
        <w:rPr>
          <w:rFonts w:eastAsia="Times New Roman"/>
          <w:szCs w:val="20"/>
          <w:lang w:val="en-GB"/>
        </w:rPr>
        <w:t>eview’s objective is to provide policy options to Government on the most</w:t>
      </w:r>
      <w:r w:rsidR="00184155">
        <w:rPr>
          <w:rFonts w:eastAsia="Times New Roman"/>
          <w:szCs w:val="20"/>
          <w:lang w:val="en-GB"/>
        </w:rPr>
        <w:t xml:space="preserve"> efficient and </w:t>
      </w:r>
      <w:r>
        <w:rPr>
          <w:rFonts w:eastAsia="Times New Roman"/>
          <w:szCs w:val="20"/>
          <w:lang w:val="en-GB"/>
        </w:rPr>
        <w:t xml:space="preserve">effective support mechanisms </w:t>
      </w:r>
      <w:r w:rsidR="00211EAE" w:rsidRPr="00B049A1">
        <w:rPr>
          <w:lang w:val="en-GB"/>
        </w:rPr>
        <w:t xml:space="preserve">to ensure the ongoing availability of Australian </w:t>
      </w:r>
      <w:r w:rsidR="000347A1">
        <w:rPr>
          <w:lang w:val="en-GB"/>
        </w:rPr>
        <w:t xml:space="preserve">screen </w:t>
      </w:r>
      <w:r w:rsidR="00211EAE" w:rsidRPr="00B049A1">
        <w:rPr>
          <w:lang w:val="en-GB"/>
        </w:rPr>
        <w:t>content to domestic and international audiences regardless of platform.</w:t>
      </w:r>
      <w:r w:rsidRPr="00D11E6A">
        <w:rPr>
          <w:rFonts w:asciiTheme="minorHAnsi" w:eastAsia="Times New Roman" w:hAnsiTheme="minorHAnsi"/>
          <w:szCs w:val="20"/>
          <w:lang w:val="en-GB"/>
        </w:rPr>
        <w:t xml:space="preserve"> Specifically, mechanisms to </w:t>
      </w:r>
      <w:r w:rsidR="00184155">
        <w:rPr>
          <w:rFonts w:asciiTheme="minorHAnsi" w:eastAsia="Times New Roman" w:hAnsiTheme="minorHAnsi"/>
          <w:szCs w:val="20"/>
          <w:lang w:val="en-GB"/>
        </w:rPr>
        <w:t xml:space="preserve">foster and </w:t>
      </w:r>
      <w:r w:rsidRPr="00D11E6A">
        <w:rPr>
          <w:rFonts w:asciiTheme="minorHAnsi" w:eastAsia="Times New Roman" w:hAnsiTheme="minorHAnsi"/>
          <w:szCs w:val="20"/>
          <w:lang w:val="en-GB"/>
        </w:rPr>
        <w:t>support Australian drama, documentary and children’s content and the Australian Screen Production Incentive will be reviewed.</w:t>
      </w:r>
    </w:p>
    <w:p w:rsidR="00211EAE" w:rsidRPr="00B049A1" w:rsidRDefault="00A410BF" w:rsidP="00E40E9F">
      <w:pPr>
        <w:pStyle w:val="BodyText"/>
        <w:spacing w:after="120"/>
        <w:rPr>
          <w:lang w:val="en-GB"/>
        </w:rPr>
      </w:pPr>
      <w:r>
        <w:rPr>
          <w:lang w:val="en-GB"/>
        </w:rPr>
        <w:t>T</w:t>
      </w:r>
      <w:r w:rsidR="00211EAE" w:rsidRPr="00B049A1">
        <w:rPr>
          <w:lang w:val="en-GB"/>
        </w:rPr>
        <w:t xml:space="preserve">he Review will </w:t>
      </w:r>
      <w:r w:rsidR="00896139">
        <w:rPr>
          <w:lang w:val="en-GB"/>
        </w:rPr>
        <w:t>consider</w:t>
      </w:r>
      <w:r w:rsidR="00211EAE" w:rsidRPr="00B049A1">
        <w:rPr>
          <w:lang w:val="en-GB"/>
        </w:rPr>
        <w:t>:</w:t>
      </w:r>
    </w:p>
    <w:p w:rsidR="00211EAE" w:rsidRPr="00B049A1" w:rsidRDefault="00211EAE" w:rsidP="00E40E9F">
      <w:pPr>
        <w:pStyle w:val="Bulletlevel1"/>
        <w:ind w:left="993"/>
      </w:pPr>
      <w:r w:rsidRPr="00B049A1">
        <w:t xml:space="preserve">the economic and social value of Australian </w:t>
      </w:r>
      <w:r w:rsidR="000347A1">
        <w:t xml:space="preserve">screen </w:t>
      </w:r>
      <w:r w:rsidRPr="00B049A1">
        <w:t>content to the Australian community;</w:t>
      </w:r>
    </w:p>
    <w:p w:rsidR="00211EAE" w:rsidRPr="00B049A1" w:rsidRDefault="00211EAE" w:rsidP="00E40E9F">
      <w:pPr>
        <w:pStyle w:val="Bulletlevel1"/>
        <w:ind w:left="993"/>
      </w:pPr>
      <w:r w:rsidRPr="00B049A1">
        <w:t xml:space="preserve">the current and likely future market for Australian </w:t>
      </w:r>
      <w:r w:rsidR="000347A1">
        <w:t xml:space="preserve">screen </w:t>
      </w:r>
      <w:r w:rsidRPr="00B049A1">
        <w:t xml:space="preserve">content production and distribution; </w:t>
      </w:r>
    </w:p>
    <w:p w:rsidR="00211EAE" w:rsidRPr="00B049A1" w:rsidRDefault="00211EAE" w:rsidP="00E40E9F">
      <w:pPr>
        <w:pStyle w:val="Bulletlevel1"/>
        <w:spacing w:after="0"/>
        <w:ind w:left="993" w:hanging="357"/>
        <w:contextualSpacing w:val="0"/>
      </w:pPr>
      <w:r w:rsidRPr="00B049A1">
        <w:t>whether the Australian Government’s current policy settings:</w:t>
      </w:r>
    </w:p>
    <w:p w:rsidR="00211EAE" w:rsidRPr="00B049A1" w:rsidRDefault="009316FE" w:rsidP="00211EAE">
      <w:pPr>
        <w:numPr>
          <w:ilvl w:val="1"/>
          <w:numId w:val="44"/>
        </w:numPr>
        <w:spacing w:after="0"/>
        <w:contextualSpacing/>
      </w:pPr>
      <w:r>
        <w:t>are relevant to</w:t>
      </w:r>
      <w:r w:rsidRPr="00B049A1">
        <w:t xml:space="preserve"> </w:t>
      </w:r>
      <w:r w:rsidR="00211EAE" w:rsidRPr="00B049A1">
        <w:t>current industry practice;</w:t>
      </w:r>
    </w:p>
    <w:p w:rsidR="00211EAE" w:rsidRPr="00B049A1" w:rsidRDefault="00211EAE" w:rsidP="00211EAE">
      <w:pPr>
        <w:numPr>
          <w:ilvl w:val="1"/>
          <w:numId w:val="44"/>
        </w:numPr>
        <w:spacing w:after="0"/>
        <w:contextualSpacing/>
      </w:pPr>
      <w:r w:rsidRPr="00B049A1">
        <w:t xml:space="preserve">appropriately target content that requires intervention; </w:t>
      </w:r>
    </w:p>
    <w:p w:rsidR="00211EAE" w:rsidRPr="00B049A1" w:rsidRDefault="00211EAE" w:rsidP="00211EAE">
      <w:pPr>
        <w:numPr>
          <w:ilvl w:val="1"/>
          <w:numId w:val="44"/>
        </w:numPr>
        <w:spacing w:after="0"/>
        <w:contextualSpacing/>
      </w:pPr>
      <w:r w:rsidRPr="00B049A1">
        <w:t xml:space="preserve">ensure </w:t>
      </w:r>
      <w:r w:rsidR="00896139">
        <w:t>an approach that works across a diversity of platforms</w:t>
      </w:r>
      <w:r w:rsidRPr="00B049A1">
        <w:t xml:space="preserve">; </w:t>
      </w:r>
    </w:p>
    <w:p w:rsidR="00211EAE" w:rsidRDefault="00211EAE" w:rsidP="00211EAE">
      <w:pPr>
        <w:numPr>
          <w:ilvl w:val="1"/>
          <w:numId w:val="44"/>
        </w:numPr>
        <w:spacing w:after="0"/>
        <w:contextualSpacing/>
      </w:pPr>
      <w:r w:rsidRPr="00B049A1">
        <w:t>promote a sustainable production and distribution sector</w:t>
      </w:r>
      <w:r w:rsidR="00EF52B7">
        <w:t xml:space="preserve">; </w:t>
      </w:r>
      <w:r w:rsidR="00EF52B7" w:rsidRPr="00B049A1">
        <w:t>and</w:t>
      </w:r>
    </w:p>
    <w:p w:rsidR="00EF52B7" w:rsidRDefault="00EF52B7" w:rsidP="00211EAE">
      <w:pPr>
        <w:numPr>
          <w:ilvl w:val="1"/>
          <w:numId w:val="44"/>
        </w:numPr>
        <w:spacing w:after="0"/>
        <w:contextualSpacing/>
      </w:pPr>
      <w:proofErr w:type="gramStart"/>
      <w:r>
        <w:t>are</w:t>
      </w:r>
      <w:proofErr w:type="gramEnd"/>
      <w:r>
        <w:t xml:space="preserve"> able to support Australian content on any platform into the future.</w:t>
      </w:r>
    </w:p>
    <w:p w:rsidR="00E40E9F" w:rsidRPr="00B049A1" w:rsidRDefault="00EF52B7" w:rsidP="00E40E9F">
      <w:pPr>
        <w:spacing w:before="120"/>
        <w:rPr>
          <w:rFonts w:eastAsia="Times New Roman"/>
          <w:szCs w:val="20"/>
          <w:lang w:val="en-GB"/>
        </w:rPr>
      </w:pPr>
      <w:r>
        <w:rPr>
          <w:rFonts w:eastAsia="Times New Roman"/>
          <w:szCs w:val="20"/>
          <w:lang w:val="en-GB"/>
        </w:rPr>
        <w:t xml:space="preserve">The regulations on local content for </w:t>
      </w:r>
      <w:r w:rsidR="00412576">
        <w:rPr>
          <w:rFonts w:eastAsia="Times New Roman"/>
          <w:szCs w:val="20"/>
          <w:lang w:val="en-GB"/>
        </w:rPr>
        <w:t xml:space="preserve">regional </w:t>
      </w:r>
      <w:r>
        <w:rPr>
          <w:rFonts w:eastAsia="Times New Roman"/>
          <w:szCs w:val="20"/>
          <w:lang w:val="en-GB"/>
        </w:rPr>
        <w:t xml:space="preserve">television and </w:t>
      </w:r>
      <w:r w:rsidR="00412576">
        <w:rPr>
          <w:rFonts w:eastAsia="Times New Roman"/>
          <w:szCs w:val="20"/>
          <w:lang w:val="en-GB"/>
        </w:rPr>
        <w:t xml:space="preserve">regional </w:t>
      </w:r>
      <w:r>
        <w:rPr>
          <w:rFonts w:eastAsia="Times New Roman"/>
          <w:szCs w:val="20"/>
          <w:lang w:val="en-GB"/>
        </w:rPr>
        <w:t>radio are out of scope of the review.</w:t>
      </w:r>
    </w:p>
    <w:p w:rsidR="00896139" w:rsidRDefault="00896139" w:rsidP="009A07CC">
      <w:pPr>
        <w:pStyle w:val="Heading3"/>
        <w:spacing w:after="0"/>
        <w:rPr>
          <w:lang w:val="en-GB"/>
        </w:rPr>
      </w:pPr>
      <w:r>
        <w:rPr>
          <w:lang w:val="en-GB"/>
        </w:rPr>
        <w:t>How you can get involved</w:t>
      </w:r>
    </w:p>
    <w:p w:rsidR="00C562A2" w:rsidRDefault="00C562A2" w:rsidP="00E40E9F">
      <w:pPr>
        <w:pStyle w:val="BodyText"/>
        <w:spacing w:before="120"/>
        <w:rPr>
          <w:lang w:val="en-GB"/>
        </w:rPr>
      </w:pPr>
      <w:r>
        <w:rPr>
          <w:lang w:val="en-GB"/>
        </w:rPr>
        <w:t xml:space="preserve">People with </w:t>
      </w:r>
      <w:r w:rsidR="00184155">
        <w:rPr>
          <w:lang w:val="en-GB"/>
        </w:rPr>
        <w:t xml:space="preserve">an interest in the creation, </w:t>
      </w:r>
      <w:r>
        <w:rPr>
          <w:lang w:val="en-GB"/>
        </w:rPr>
        <w:t xml:space="preserve">distribution </w:t>
      </w:r>
      <w:r w:rsidR="00184155">
        <w:rPr>
          <w:lang w:val="en-GB"/>
        </w:rPr>
        <w:t xml:space="preserve">and consumption </w:t>
      </w:r>
      <w:r>
        <w:rPr>
          <w:lang w:val="en-GB"/>
        </w:rPr>
        <w:t xml:space="preserve">of Australian content are encouraged to contribute to the review. </w:t>
      </w:r>
      <w:r w:rsidR="00EF52B7">
        <w:rPr>
          <w:lang w:val="en-GB"/>
        </w:rPr>
        <w:t>Consultations will commence from June 2017.</w:t>
      </w:r>
    </w:p>
    <w:p w:rsidR="009013EF" w:rsidRDefault="009013EF" w:rsidP="00211EAE">
      <w:pPr>
        <w:pStyle w:val="BodyText"/>
        <w:rPr>
          <w:lang w:val="en-GB"/>
        </w:rPr>
      </w:pPr>
      <w:r>
        <w:rPr>
          <w:lang w:val="en-GB"/>
        </w:rPr>
        <w:t>Information on the review</w:t>
      </w:r>
      <w:r w:rsidR="00E40E9F">
        <w:rPr>
          <w:lang w:val="en-GB"/>
        </w:rPr>
        <w:t xml:space="preserve"> </w:t>
      </w:r>
      <w:r w:rsidR="00EF52B7">
        <w:rPr>
          <w:lang w:val="en-GB"/>
        </w:rPr>
        <w:t>is</w:t>
      </w:r>
      <w:r>
        <w:rPr>
          <w:lang w:val="en-GB"/>
        </w:rPr>
        <w:t xml:space="preserve"> available on the Department of Communications and </w:t>
      </w:r>
      <w:r w:rsidR="00184155">
        <w:rPr>
          <w:lang w:val="en-GB"/>
        </w:rPr>
        <w:t xml:space="preserve">the </w:t>
      </w:r>
      <w:r>
        <w:rPr>
          <w:lang w:val="en-GB"/>
        </w:rPr>
        <w:t xml:space="preserve">Arts website </w:t>
      </w:r>
      <w:r>
        <w:rPr>
          <w:color w:val="1F497D"/>
        </w:rPr>
        <w:t xml:space="preserve">at </w:t>
      </w:r>
      <w:hyperlink r:id="rId13" w:history="1">
        <w:r>
          <w:rPr>
            <w:rStyle w:val="Hyperlink"/>
          </w:rPr>
          <w:t>www.communications.gov.au/contentreview</w:t>
        </w:r>
      </w:hyperlink>
      <w:r>
        <w:rPr>
          <w:lang w:val="en-GB"/>
        </w:rPr>
        <w:t xml:space="preserve"> </w:t>
      </w:r>
    </w:p>
    <w:p w:rsidR="00A7176A" w:rsidRPr="009A07CC" w:rsidRDefault="00E40E9F" w:rsidP="009A07CC">
      <w:pPr>
        <w:pStyle w:val="BodyText"/>
        <w:rPr>
          <w:lang w:val="en-GB"/>
        </w:rPr>
      </w:pPr>
      <w:r>
        <w:rPr>
          <w:lang w:val="en-GB"/>
        </w:rPr>
        <w:t xml:space="preserve">You can contact the Review Taskforce to share your views and ask questions related to the review by emailing </w:t>
      </w:r>
      <w:hyperlink r:id="rId14" w:history="1">
        <w:r>
          <w:rPr>
            <w:rStyle w:val="Hyperlink"/>
          </w:rPr>
          <w:t>contentreview@communications.gov.au</w:t>
        </w:r>
      </w:hyperlink>
    </w:p>
    <w:sectPr w:rsidR="00A7176A" w:rsidRPr="009A07CC" w:rsidSect="00B7153C">
      <w:headerReference w:type="default" r:id="rId15"/>
      <w:footerReference w:type="default" r:id="rId16"/>
      <w:type w:val="continuous"/>
      <w:pgSz w:w="11906" w:h="16838"/>
      <w:pgMar w:top="1440" w:right="849" w:bottom="1440" w:left="851"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F1" w:rsidRDefault="00F877F1" w:rsidP="003F0A2D">
      <w:pPr>
        <w:spacing w:after="0"/>
      </w:pPr>
      <w:r>
        <w:separator/>
      </w:r>
    </w:p>
  </w:endnote>
  <w:endnote w:type="continuationSeparator" w:id="0">
    <w:p w:rsidR="00F877F1" w:rsidRDefault="00F877F1"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297528">
    <w:pPr>
      <w:pStyle w:val="Footer"/>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Pr="0037566A" w:rsidRDefault="00540B2F" w:rsidP="00D83284">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r w:rsidRPr="0037566A">
      <w:rPr>
        <w:sz w:val="18"/>
        <w:szCs w:val="18"/>
      </w:rPr>
      <w:tab/>
    </w:r>
    <w:sdt>
      <w:sdtPr>
        <w:rPr>
          <w:sz w:val="18"/>
          <w:szCs w:val="18"/>
        </w:rPr>
        <w:id w:val="-97189721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A07C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A07CC">
          <w:rPr>
            <w:bCs/>
            <w:noProof/>
            <w:sz w:val="18"/>
            <w:szCs w:val="18"/>
          </w:rPr>
          <w:t>2</w:t>
        </w:r>
        <w:r w:rsidRPr="0037566A">
          <w:rPr>
            <w:bCs/>
            <w:sz w:val="18"/>
            <w:szCs w:val="18"/>
          </w:rPr>
          <w:fldChar w:fldCharType="end"/>
        </w:r>
      </w:sdtContent>
    </w:sdt>
  </w:p>
  <w:p w:rsidR="00540B2F" w:rsidRPr="0037566A" w:rsidRDefault="00540B2F" w:rsidP="00D83284">
    <w:pPr>
      <w:pStyle w:val="Footer"/>
      <w:tabs>
        <w:tab w:val="clear" w:pos="9026"/>
        <w:tab w:val="right" w:pos="9333"/>
      </w:tabs>
      <w:rPr>
        <w:rStyle w:val="Hyperlink"/>
        <w:sz w:val="18"/>
        <w:szCs w:val="18"/>
      </w:rPr>
    </w:pPr>
    <w:r w:rsidRPr="00E40E9F">
      <w:rPr>
        <w:sz w:val="18"/>
        <w:szCs w:val="18"/>
        <w:highlight w:val="yellow"/>
      </w:rPr>
      <w:t>&lt;</w:t>
    </w:r>
    <w:proofErr w:type="gramStart"/>
    <w:r w:rsidRPr="00E40E9F">
      <w:rPr>
        <w:sz w:val="18"/>
        <w:szCs w:val="18"/>
        <w:highlight w:val="yellow"/>
      </w:rPr>
      <w:t>add</w:t>
    </w:r>
    <w:proofErr w:type="gramEnd"/>
    <w:r w:rsidRPr="00E40E9F">
      <w:rPr>
        <w:sz w:val="18"/>
        <w:szCs w:val="18"/>
        <w:highlight w:val="yellow"/>
      </w:rPr>
      <w:t xml:space="preserve"> title of document here&gt;</w:t>
    </w:r>
    <w:r w:rsidRPr="0037566A">
      <w:rPr>
        <w:sz w:val="18"/>
        <w:szCs w:val="18"/>
      </w:rPr>
      <w:tab/>
    </w:r>
    <w:hyperlink r:id="rId2" w:history="1">
      <w:r w:rsidRPr="0037566A">
        <w:rPr>
          <w:rStyle w:val="Hyperlink"/>
          <w:sz w:val="18"/>
          <w:szCs w:val="18"/>
        </w:rPr>
        <w:t>www.arts.gov.au</w:t>
      </w:r>
    </w:hyperlink>
  </w:p>
  <w:p w:rsidR="00540B2F" w:rsidRPr="0037566A" w:rsidRDefault="00540B2F" w:rsidP="00EF66EB">
    <w:pPr>
      <w:pStyle w:val="Footer"/>
      <w:tabs>
        <w:tab w:val="clear" w:pos="9026"/>
        <w:tab w:val="right" w:pos="9333"/>
      </w:tabs>
      <w:rPr>
        <w:rStyle w:val="Hyperlink"/>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F1" w:rsidRDefault="00F877F1" w:rsidP="003F0A2D">
      <w:pPr>
        <w:spacing w:after="0"/>
      </w:pPr>
      <w:r>
        <w:separator/>
      </w:r>
    </w:p>
  </w:footnote>
  <w:footnote w:type="continuationSeparator" w:id="0">
    <w:p w:rsidR="00F877F1" w:rsidRDefault="00F877F1"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3F0A2D">
    <w:pPr>
      <w:pStyle w:val="Header"/>
      <w:ind w:left="-1418"/>
    </w:pPr>
  </w:p>
  <w:p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Pr="00E40E9F">
      <w:rPr>
        <w:color w:val="07478C"/>
        <w:highlight w:val="yellow"/>
      </w:rPr>
      <w:t>&lt;month year&gt;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8465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26161"/>
    <w:multiLevelType w:val="hybridMultilevel"/>
    <w:tmpl w:val="05AE5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673D7"/>
    <w:multiLevelType w:val="hybridMultilevel"/>
    <w:tmpl w:val="8474F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95D2BA1"/>
    <w:multiLevelType w:val="hybridMultilevel"/>
    <w:tmpl w:val="D43E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D76E53"/>
    <w:multiLevelType w:val="hybridMultilevel"/>
    <w:tmpl w:val="7D988D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737D0E"/>
    <w:multiLevelType w:val="hybridMultilevel"/>
    <w:tmpl w:val="9986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42"/>
  </w:num>
  <w:num w:numId="4">
    <w:abstractNumId w:val="1"/>
  </w:num>
  <w:num w:numId="5">
    <w:abstractNumId w:val="38"/>
  </w:num>
  <w:num w:numId="6">
    <w:abstractNumId w:val="32"/>
  </w:num>
  <w:num w:numId="7">
    <w:abstractNumId w:val="31"/>
  </w:num>
  <w:num w:numId="8">
    <w:abstractNumId w:val="36"/>
  </w:num>
  <w:num w:numId="9">
    <w:abstractNumId w:val="33"/>
  </w:num>
  <w:num w:numId="10">
    <w:abstractNumId w:val="39"/>
  </w:num>
  <w:num w:numId="11">
    <w:abstractNumId w:val="37"/>
  </w:num>
  <w:num w:numId="12">
    <w:abstractNumId w:val="46"/>
  </w:num>
  <w:num w:numId="13">
    <w:abstractNumId w:val="7"/>
  </w:num>
  <w:num w:numId="14">
    <w:abstractNumId w:val="21"/>
  </w:num>
  <w:num w:numId="15">
    <w:abstractNumId w:val="17"/>
  </w:num>
  <w:num w:numId="16">
    <w:abstractNumId w:val="3"/>
  </w:num>
  <w:num w:numId="17">
    <w:abstractNumId w:val="27"/>
  </w:num>
  <w:num w:numId="18">
    <w:abstractNumId w:val="12"/>
  </w:num>
  <w:num w:numId="19">
    <w:abstractNumId w:val="35"/>
  </w:num>
  <w:num w:numId="20">
    <w:abstractNumId w:val="20"/>
  </w:num>
  <w:num w:numId="21">
    <w:abstractNumId w:val="41"/>
  </w:num>
  <w:num w:numId="22">
    <w:abstractNumId w:val="16"/>
  </w:num>
  <w:num w:numId="23">
    <w:abstractNumId w:val="24"/>
  </w:num>
  <w:num w:numId="24">
    <w:abstractNumId w:val="4"/>
  </w:num>
  <w:num w:numId="25">
    <w:abstractNumId w:val="13"/>
  </w:num>
  <w:num w:numId="26">
    <w:abstractNumId w:val="40"/>
  </w:num>
  <w:num w:numId="27">
    <w:abstractNumId w:val="43"/>
  </w:num>
  <w:num w:numId="28">
    <w:abstractNumId w:val="29"/>
  </w:num>
  <w:num w:numId="29">
    <w:abstractNumId w:val="2"/>
  </w:num>
  <w:num w:numId="30">
    <w:abstractNumId w:val="14"/>
  </w:num>
  <w:num w:numId="31">
    <w:abstractNumId w:val="28"/>
  </w:num>
  <w:num w:numId="32">
    <w:abstractNumId w:val="9"/>
  </w:num>
  <w:num w:numId="33">
    <w:abstractNumId w:val="44"/>
  </w:num>
  <w:num w:numId="34">
    <w:abstractNumId w:val="18"/>
  </w:num>
  <w:num w:numId="35">
    <w:abstractNumId w:val="8"/>
  </w:num>
  <w:num w:numId="36">
    <w:abstractNumId w:val="26"/>
  </w:num>
  <w:num w:numId="37">
    <w:abstractNumId w:val="22"/>
  </w:num>
  <w:num w:numId="38">
    <w:abstractNumId w:val="25"/>
  </w:num>
  <w:num w:numId="39">
    <w:abstractNumId w:val="34"/>
  </w:num>
  <w:num w:numId="40">
    <w:abstractNumId w:val="10"/>
  </w:num>
  <w:num w:numId="41">
    <w:abstractNumId w:val="11"/>
  </w:num>
  <w:num w:numId="42">
    <w:abstractNumId w:val="23"/>
  </w:num>
  <w:num w:numId="43">
    <w:abstractNumId w:val="5"/>
  </w:num>
  <w:num w:numId="44">
    <w:abstractNumId w:val="45"/>
  </w:num>
  <w:num w:numId="45">
    <w:abstractNumId w:val="6"/>
  </w:num>
  <w:num w:numId="46">
    <w:abstractNumId w:val="0"/>
  </w:num>
  <w:num w:numId="47">
    <w:abstractNumId w:val="15"/>
  </w:num>
  <w:num w:numId="48">
    <w:abstractNumId w:val="19"/>
  </w:num>
  <w:num w:numId="49">
    <w:abstractNumId w:val="19"/>
  </w:num>
  <w:num w:numId="50">
    <w:abstractNumId w:val="47"/>
  </w:num>
  <w:num w:numId="5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F0"/>
    <w:rsid w:val="00012A5C"/>
    <w:rsid w:val="000249BC"/>
    <w:rsid w:val="000347A1"/>
    <w:rsid w:val="000C460E"/>
    <w:rsid w:val="000E1A93"/>
    <w:rsid w:val="000F2ED9"/>
    <w:rsid w:val="00184155"/>
    <w:rsid w:val="001F3924"/>
    <w:rsid w:val="00211EAE"/>
    <w:rsid w:val="00226203"/>
    <w:rsid w:val="0024105A"/>
    <w:rsid w:val="00285881"/>
    <w:rsid w:val="00297528"/>
    <w:rsid w:val="002B0472"/>
    <w:rsid w:val="002C6776"/>
    <w:rsid w:val="002D7EAC"/>
    <w:rsid w:val="003509FE"/>
    <w:rsid w:val="0037566A"/>
    <w:rsid w:val="00391A40"/>
    <w:rsid w:val="003D2DA3"/>
    <w:rsid w:val="003F0A2D"/>
    <w:rsid w:val="0040012A"/>
    <w:rsid w:val="0040622C"/>
    <w:rsid w:val="00412576"/>
    <w:rsid w:val="0045434B"/>
    <w:rsid w:val="0047258C"/>
    <w:rsid w:val="004C5FB0"/>
    <w:rsid w:val="004C719D"/>
    <w:rsid w:val="004D1391"/>
    <w:rsid w:val="004F3C4E"/>
    <w:rsid w:val="00507E41"/>
    <w:rsid w:val="005222B8"/>
    <w:rsid w:val="005263B0"/>
    <w:rsid w:val="00534F43"/>
    <w:rsid w:val="00535ADA"/>
    <w:rsid w:val="00540B2F"/>
    <w:rsid w:val="00556638"/>
    <w:rsid w:val="00566376"/>
    <w:rsid w:val="00567FAF"/>
    <w:rsid w:val="005910C9"/>
    <w:rsid w:val="00597042"/>
    <w:rsid w:val="005B25E6"/>
    <w:rsid w:val="005F08D5"/>
    <w:rsid w:val="0060346D"/>
    <w:rsid w:val="00606BE5"/>
    <w:rsid w:val="00612A2A"/>
    <w:rsid w:val="00641088"/>
    <w:rsid w:val="0064771D"/>
    <w:rsid w:val="006A19A2"/>
    <w:rsid w:val="006D014F"/>
    <w:rsid w:val="00704775"/>
    <w:rsid w:val="00715BC8"/>
    <w:rsid w:val="00770928"/>
    <w:rsid w:val="0077525F"/>
    <w:rsid w:val="00785236"/>
    <w:rsid w:val="00796C39"/>
    <w:rsid w:val="007C0935"/>
    <w:rsid w:val="0080530D"/>
    <w:rsid w:val="00815DD0"/>
    <w:rsid w:val="008227B8"/>
    <w:rsid w:val="00832492"/>
    <w:rsid w:val="0084603E"/>
    <w:rsid w:val="00852E5C"/>
    <w:rsid w:val="00853419"/>
    <w:rsid w:val="00854505"/>
    <w:rsid w:val="00896139"/>
    <w:rsid w:val="00896538"/>
    <w:rsid w:val="008A0CB2"/>
    <w:rsid w:val="008A312B"/>
    <w:rsid w:val="008A6EBC"/>
    <w:rsid w:val="008C0218"/>
    <w:rsid w:val="008C6204"/>
    <w:rsid w:val="008C6C53"/>
    <w:rsid w:val="008D36D1"/>
    <w:rsid w:val="009013EF"/>
    <w:rsid w:val="009316FE"/>
    <w:rsid w:val="00933ABA"/>
    <w:rsid w:val="00945743"/>
    <w:rsid w:val="00954C6E"/>
    <w:rsid w:val="009814AF"/>
    <w:rsid w:val="00987507"/>
    <w:rsid w:val="009A07CC"/>
    <w:rsid w:val="009A56D0"/>
    <w:rsid w:val="009F65D3"/>
    <w:rsid w:val="00A410BF"/>
    <w:rsid w:val="00A50344"/>
    <w:rsid w:val="00A625B3"/>
    <w:rsid w:val="00A669A1"/>
    <w:rsid w:val="00A7176A"/>
    <w:rsid w:val="00A72966"/>
    <w:rsid w:val="00AF277C"/>
    <w:rsid w:val="00B243F0"/>
    <w:rsid w:val="00B370BC"/>
    <w:rsid w:val="00B7153C"/>
    <w:rsid w:val="00B72C06"/>
    <w:rsid w:val="00B73125"/>
    <w:rsid w:val="00B94092"/>
    <w:rsid w:val="00BE6F9D"/>
    <w:rsid w:val="00C21C21"/>
    <w:rsid w:val="00C53C30"/>
    <w:rsid w:val="00C562A2"/>
    <w:rsid w:val="00C61D2E"/>
    <w:rsid w:val="00C6576B"/>
    <w:rsid w:val="00C97AC9"/>
    <w:rsid w:val="00CB62A5"/>
    <w:rsid w:val="00CD41C6"/>
    <w:rsid w:val="00D03788"/>
    <w:rsid w:val="00D11E6A"/>
    <w:rsid w:val="00D24D05"/>
    <w:rsid w:val="00D83284"/>
    <w:rsid w:val="00DB095A"/>
    <w:rsid w:val="00DD4718"/>
    <w:rsid w:val="00E240F8"/>
    <w:rsid w:val="00E24CC5"/>
    <w:rsid w:val="00E40E9F"/>
    <w:rsid w:val="00E56962"/>
    <w:rsid w:val="00E85992"/>
    <w:rsid w:val="00EB64F7"/>
    <w:rsid w:val="00ED6E52"/>
    <w:rsid w:val="00EE29EC"/>
    <w:rsid w:val="00EF52B7"/>
    <w:rsid w:val="00EF66EB"/>
    <w:rsid w:val="00F0693D"/>
    <w:rsid w:val="00F222BC"/>
    <w:rsid w:val="00F22CCE"/>
    <w:rsid w:val="00F36EFE"/>
    <w:rsid w:val="00F41896"/>
    <w:rsid w:val="00F729AE"/>
    <w:rsid w:val="00F877F1"/>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D395526B-1854-46EC-B3F7-9AD9B8F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30"/>
    <w:pPr>
      <w:spacing w:after="240" w:line="240" w:lineRule="auto"/>
    </w:pPr>
  </w:style>
  <w:style w:type="paragraph" w:styleId="Heading1">
    <w:name w:val="heading 1"/>
    <w:basedOn w:val="Normal"/>
    <w:next w:val="Normal"/>
    <w:link w:val="Heading1Char"/>
    <w:uiPriority w:val="9"/>
    <w:qFormat/>
    <w:rsid w:val="005910C9"/>
    <w:pPr>
      <w:keepNext/>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C9"/>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cations.gov.au/content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entreview@communication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C6CA01-30DD-43E4-B7B8-AF22F1A3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FF8F28CE.dotm</Template>
  <TotalTime>0</TotalTime>
  <Pages>1</Pages>
  <Words>421</Words>
  <Characters>2403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Geelan, Emma</dc:creator>
  <cp:keywords/>
  <dc:description/>
  <cp:lastModifiedBy>Owers, Cameron</cp:lastModifiedBy>
  <cp:revision>2</cp:revision>
  <cp:lastPrinted>2017-05-17T05:03:00Z</cp:lastPrinted>
  <dcterms:created xsi:type="dcterms:W3CDTF">2017-05-23T01:43:00Z</dcterms:created>
  <dcterms:modified xsi:type="dcterms:W3CDTF">2017-05-23T01:43:00Z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