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3A09E" w14:textId="77777777" w:rsidR="00567FAF" w:rsidRDefault="0038690F" w:rsidP="00297528">
      <w:pPr>
        <w:ind w:left="-1418"/>
        <w:sectPr w:rsidR="00567FAF" w:rsidSect="00EF3133">
          <w:footerReference w:type="default" r:id="rId11"/>
          <w:pgSz w:w="11906" w:h="16838"/>
          <w:pgMar w:top="0" w:right="1440" w:bottom="1440" w:left="1440" w:header="0" w:footer="0" w:gutter="0"/>
          <w:cols w:space="708"/>
          <w:titlePg/>
          <w:docGrid w:linePitch="360"/>
        </w:sectPr>
      </w:pPr>
      <w:r>
        <w:rPr>
          <w:noProof/>
          <w:lang w:eastAsia="en-AU"/>
        </w:rPr>
        <w:drawing>
          <wp:inline distT="0" distB="0" distL="0" distR="0" wp14:anchorId="48A3A11F" wp14:editId="48A3A120">
            <wp:extent cx="7537757" cy="1349375"/>
            <wp:effectExtent l="0" t="0" r="6350" b="3175"/>
            <wp:docPr id="1" name="Picture 1" descr="Logo: Australian Government, Department of Communications and the Arts.&#10;http://www.communications.gov.au&#10;http://www.arts.gov.au&#10;&#10;GPO Box 2154, Canberra ACT 2601 Australia.&#10;Telephone 02 6271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inline>
        </w:drawing>
      </w:r>
    </w:p>
    <w:p w14:paraId="48A3A09F" w14:textId="77777777" w:rsidR="00A7176A" w:rsidRPr="00892FC4" w:rsidRDefault="0038690F" w:rsidP="00C61D2E">
      <w:pPr>
        <w:pStyle w:val="Heading1"/>
        <w:rPr>
          <w:color w:val="07478C"/>
        </w:rPr>
      </w:pPr>
      <w:r>
        <w:rPr>
          <w:color w:val="07478C"/>
        </w:rPr>
        <w:t>Funding of telecommunications c</w:t>
      </w:r>
      <w:r w:rsidRPr="00892FC4">
        <w:rPr>
          <w:color w:val="07478C"/>
        </w:rPr>
        <w:t xml:space="preserve">onsumer </w:t>
      </w:r>
      <w:proofErr w:type="gramStart"/>
      <w:r w:rsidRPr="00892FC4">
        <w:rPr>
          <w:color w:val="07478C"/>
        </w:rPr>
        <w:t>representation</w:t>
      </w:r>
      <w:proofErr w:type="gramEnd"/>
      <w:r w:rsidRPr="00892FC4">
        <w:rPr>
          <w:color w:val="07478C"/>
        </w:rPr>
        <w:t xml:space="preserve"> </w:t>
      </w:r>
      <w:r>
        <w:rPr>
          <w:color w:val="07478C"/>
        </w:rPr>
        <w:t>grants</w:t>
      </w:r>
    </w:p>
    <w:p w14:paraId="48A3A0A0" w14:textId="77777777" w:rsidR="00A7176A" w:rsidRPr="005621D9" w:rsidRDefault="0038690F" w:rsidP="00A7176A">
      <w:pPr>
        <w:pStyle w:val="subtitleofdocument"/>
      </w:pPr>
      <w:r>
        <w:t>Annual Report 2015-16</w:t>
      </w:r>
      <w:bookmarkStart w:id="0" w:name="_GoBack"/>
      <w:bookmarkEnd w:id="0"/>
    </w:p>
    <w:p w14:paraId="48A3A0A1" w14:textId="77777777" w:rsidR="00A7176A" w:rsidRPr="005621D9" w:rsidRDefault="0038690F" w:rsidP="00A7176A">
      <w:pPr>
        <w:pStyle w:val="Normal-monthyearforcoverpage"/>
      </w:pPr>
      <w:r>
        <w:t>December 2016</w:t>
      </w:r>
    </w:p>
    <w:p w14:paraId="48A3A0A2" w14:textId="77777777" w:rsidR="00A7176A" w:rsidRDefault="0038690F" w:rsidP="00A7176A">
      <w:r>
        <w:br w:type="page"/>
      </w:r>
    </w:p>
    <w:p w14:paraId="48A3A0A3" w14:textId="77777777" w:rsidR="00A7176A" w:rsidRPr="0009516A" w:rsidRDefault="0038690F" w:rsidP="00A7176A">
      <w:pPr>
        <w:pStyle w:val="Heading2-notshowingincontentsindocument"/>
      </w:pPr>
      <w:r>
        <w:lastRenderedPageBreak/>
        <w:t>Disclaimer</w:t>
      </w:r>
    </w:p>
    <w:p w14:paraId="48A3A0A4" w14:textId="77777777" w:rsidR="00892FC4" w:rsidRPr="006628F3" w:rsidRDefault="0038690F" w:rsidP="00892FC4">
      <w:r w:rsidRPr="006628F3">
        <w:t>The material in this</w:t>
      </w:r>
      <w:r>
        <w:t xml:space="preserve"> report paper</w:t>
      </w:r>
      <w:r w:rsidRPr="006628F3">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48A3A0A5" w14:textId="77777777" w:rsidR="00892FC4" w:rsidRPr="006628F3" w:rsidRDefault="0038690F" w:rsidP="00892FC4">
      <w:r w:rsidRPr="006628F3">
        <w:t xml:space="preserve">The Commonwealth accepts no responsibility or liability for any damage, loss or expense incurred as a result of the reliance on information contained in this </w:t>
      </w:r>
      <w:r>
        <w:t>report</w:t>
      </w:r>
      <w:r w:rsidRPr="006628F3">
        <w:t>.</w:t>
      </w:r>
    </w:p>
    <w:p w14:paraId="48A3A0A6" w14:textId="77777777" w:rsidR="00A7176A" w:rsidRPr="006628F3" w:rsidRDefault="0038690F" w:rsidP="00A7176A">
      <w:r w:rsidRPr="006628F3">
        <w:t xml:space="preserve">This </w:t>
      </w:r>
      <w:r>
        <w:t>report</w:t>
      </w:r>
      <w:r w:rsidRPr="006628F3">
        <w:t xml:space="preserve"> has been prepared for </w:t>
      </w:r>
      <w:r>
        <w:t>information</w:t>
      </w:r>
      <w:r w:rsidRPr="006628F3">
        <w:t xml:space="preserve"> purposes only</w:t>
      </w:r>
      <w:r>
        <w:t>, as required by the Telecommunications Act 1997,</w:t>
      </w:r>
      <w:r w:rsidRPr="006628F3">
        <w:t xml:space="preserve"> and does not indicate the Commonwealth’s commitment to a particular course of action. </w:t>
      </w:r>
    </w:p>
    <w:p w14:paraId="48A3A0A7" w14:textId="77777777" w:rsidR="00A7176A" w:rsidRPr="0009516A" w:rsidRDefault="0038690F" w:rsidP="00A7176A">
      <w:pPr>
        <w:pStyle w:val="Heading2-notshowingincontentsindocument"/>
      </w:pPr>
      <w:r w:rsidRPr="0009516A">
        <w:t>Co</w:t>
      </w:r>
      <w:r>
        <w:t>pyright</w:t>
      </w:r>
    </w:p>
    <w:p w14:paraId="48A3A0A8" w14:textId="77777777" w:rsidR="00A7176A" w:rsidRPr="006628F3" w:rsidRDefault="0038690F" w:rsidP="00A7176A">
      <w:r w:rsidRPr="006628F3">
        <w:t xml:space="preserve">© </w:t>
      </w:r>
      <w:r w:rsidRPr="00892FC4">
        <w:t>Commonwealth of Australia 201</w:t>
      </w:r>
      <w:r>
        <w:t>6</w:t>
      </w:r>
    </w:p>
    <w:p w14:paraId="48A3A0A9" w14:textId="77777777" w:rsidR="00A7176A" w:rsidRPr="006628F3" w:rsidRDefault="0038690F" w:rsidP="00A7176A">
      <w:r w:rsidRPr="006628F3">
        <w:rPr>
          <w:noProof/>
          <w:lang w:eastAsia="en-AU"/>
        </w:rPr>
        <w:drawing>
          <wp:inline distT="0" distB="0" distL="0" distR="0" wp14:anchorId="48A3A121" wp14:editId="48A3A122">
            <wp:extent cx="836930" cy="293370"/>
            <wp:effectExtent l="0" t="0" r="1270" b="0"/>
            <wp:docPr id="14" name="Picture 14" descr="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tretch>
                      <a:fillRect/>
                    </a:stretch>
                  </pic:blipFill>
                  <pic:spPr bwMode="auto">
                    <a:xfrm>
                      <a:off x="0" y="0"/>
                      <a:ext cx="836930" cy="293370"/>
                    </a:xfrm>
                    <a:prstGeom prst="rect">
                      <a:avLst/>
                    </a:prstGeom>
                    <a:noFill/>
                    <a:ln>
                      <a:noFill/>
                    </a:ln>
                  </pic:spPr>
                </pic:pic>
              </a:graphicData>
            </a:graphic>
          </wp:inline>
        </w:drawing>
      </w:r>
      <w:r w:rsidRPr="006628F3">
        <w:t>  The material in this discussion paper is licensed under a Creative Commons Attribution—3.0 Australia license, with the exception of:</w:t>
      </w:r>
    </w:p>
    <w:p w14:paraId="48A3A0AA" w14:textId="77777777" w:rsidR="00A7176A" w:rsidRPr="006628F3" w:rsidRDefault="0038690F" w:rsidP="00A7176A">
      <w:pPr>
        <w:pStyle w:val="Bulletlevel1"/>
      </w:pPr>
      <w:r>
        <w:t>the Commonwealth Coat of Arms</w:t>
      </w:r>
    </w:p>
    <w:p w14:paraId="48A3A0AB" w14:textId="77777777" w:rsidR="00A7176A" w:rsidRPr="006628F3" w:rsidRDefault="0038690F" w:rsidP="00A7176A">
      <w:pPr>
        <w:pStyle w:val="Bulletlevel1"/>
      </w:pPr>
      <w:r w:rsidRPr="006628F3">
        <w:t>this Department’s logo</w:t>
      </w:r>
    </w:p>
    <w:p w14:paraId="48A3A0AC" w14:textId="77777777" w:rsidR="00A7176A" w:rsidRPr="006628F3" w:rsidRDefault="0038690F" w:rsidP="00A7176A">
      <w:pPr>
        <w:pStyle w:val="Bulletlevel1"/>
      </w:pPr>
      <w:r w:rsidRPr="006628F3">
        <w:t>any third party material</w:t>
      </w:r>
    </w:p>
    <w:p w14:paraId="48A3A0AD" w14:textId="77777777" w:rsidR="00A7176A" w:rsidRPr="006628F3" w:rsidRDefault="0038690F" w:rsidP="00A7176A">
      <w:pPr>
        <w:pStyle w:val="Bulletlevel1"/>
      </w:pPr>
      <w:r w:rsidRPr="006628F3">
        <w:t>any material protected by a trademark</w:t>
      </w:r>
      <w:r>
        <w:t>,</w:t>
      </w:r>
      <w:r w:rsidRPr="006628F3">
        <w:t xml:space="preserve"> and</w:t>
      </w:r>
    </w:p>
    <w:p w14:paraId="48A3A0AE" w14:textId="77777777" w:rsidR="00A7176A" w:rsidRPr="006628F3" w:rsidRDefault="0038690F" w:rsidP="00A7176A">
      <w:pPr>
        <w:pStyle w:val="Bulletlevel1"/>
      </w:pPr>
      <w:proofErr w:type="gramStart"/>
      <w:r w:rsidRPr="006628F3">
        <w:t>any</w:t>
      </w:r>
      <w:proofErr w:type="gramEnd"/>
      <w:r w:rsidRPr="006628F3">
        <w:t xml:space="preserve"> images and/or photographs.</w:t>
      </w:r>
    </w:p>
    <w:p w14:paraId="48A3A0AF" w14:textId="77777777" w:rsidR="00A7176A" w:rsidRPr="006628F3" w:rsidRDefault="0038690F" w:rsidP="00A7176A">
      <w:r w:rsidRPr="006628F3">
        <w:t xml:space="preserve">More information on this CC BY license is set out at the creative commons website: </w:t>
      </w:r>
      <w:hyperlink r:id="rId15" w:history="1">
        <w:r w:rsidRPr="006628F3">
          <w:rPr>
            <w:rStyle w:val="Hyperlink"/>
          </w:rPr>
          <w:t>www.creativecommons.org/licenses/by/3.0/au/</w:t>
        </w:r>
      </w:hyperlink>
      <w:r w:rsidRPr="006628F3">
        <w:t xml:space="preserve">. Enquiries about this license and any use of this discussion paper can be sent to: </w:t>
      </w:r>
      <w:r w:rsidRPr="003B123D">
        <w:t>Public Interest and NBN Migration</w:t>
      </w:r>
      <w:r w:rsidRPr="006628F3">
        <w:t xml:space="preserve">, Department of Communications </w:t>
      </w:r>
      <w:r>
        <w:t>and the Arts, PO Box 13310</w:t>
      </w:r>
      <w:r w:rsidRPr="006628F3">
        <w:t>,</w:t>
      </w:r>
      <w:r>
        <w:t xml:space="preserve"> Law Courts, Melbourne VIC 8010</w:t>
      </w:r>
      <w:r w:rsidRPr="006628F3">
        <w:t>.</w:t>
      </w:r>
    </w:p>
    <w:p w14:paraId="48A3A0B0" w14:textId="77777777" w:rsidR="00A7176A" w:rsidRPr="0009516A" w:rsidRDefault="0038690F" w:rsidP="00A7176A">
      <w:pPr>
        <w:pStyle w:val="Heading3-notshowingincontentsindocument"/>
      </w:pPr>
      <w:r w:rsidRPr="0009516A">
        <w:t>Attribution</w:t>
      </w:r>
    </w:p>
    <w:p w14:paraId="48A3A0B1" w14:textId="77777777" w:rsidR="00892FC4" w:rsidRPr="006628F3" w:rsidRDefault="0038690F" w:rsidP="00892FC4">
      <w:r w:rsidRPr="006628F3">
        <w:t xml:space="preserve">Use of all or part of this </w:t>
      </w:r>
      <w:r>
        <w:t>report</w:t>
      </w:r>
      <w:r w:rsidRPr="006628F3">
        <w:t xml:space="preserve"> must include the following attribution:</w:t>
      </w:r>
    </w:p>
    <w:p w14:paraId="48A3A0B2" w14:textId="77777777" w:rsidR="00A7176A" w:rsidRDefault="0038690F" w:rsidP="00892FC4">
      <w:pPr>
        <w:ind w:left="567"/>
      </w:pPr>
      <w:r w:rsidRPr="006628F3">
        <w:t xml:space="preserve">© Commonwealth of Australia </w:t>
      </w:r>
      <w:r>
        <w:t>2016</w:t>
      </w:r>
    </w:p>
    <w:p w14:paraId="48A3A0B3" w14:textId="77777777" w:rsidR="00A7176A" w:rsidRPr="0009516A" w:rsidRDefault="0038690F" w:rsidP="00A7176A">
      <w:pPr>
        <w:pStyle w:val="Heading3-notshowingincontentsindocument"/>
      </w:pPr>
      <w:bookmarkStart w:id="1" w:name="_Toc356292524"/>
      <w:r w:rsidRPr="0009516A">
        <w:t>Using the Commonwealth Coat of Arms</w:t>
      </w:r>
      <w:bookmarkEnd w:id="1"/>
    </w:p>
    <w:p w14:paraId="48A3A0B4" w14:textId="77777777" w:rsidR="00A7176A" w:rsidRPr="006628F3" w:rsidRDefault="0038690F" w:rsidP="00A7176A">
      <w:bookmarkStart w:id="2" w:name="_Toc356292525"/>
      <w:r w:rsidRPr="006628F3">
        <w:t xml:space="preserve">The terms of use for the Coat of Arms are available from the It’s an Honour website </w:t>
      </w:r>
      <w:r w:rsidRPr="006628F3">
        <w:br/>
        <w:t xml:space="preserve">(see </w:t>
      </w:r>
      <w:bookmarkEnd w:id="2"/>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14:paraId="48A3A0B5" w14:textId="77777777" w:rsidR="00CF5930" w:rsidRDefault="00C43592" w:rsidP="00A7176A">
      <w:pPr>
        <w:sectPr w:rsidR="00CF5930" w:rsidSect="00952A78">
          <w:headerReference w:type="default" r:id="rId16"/>
          <w:footerReference w:type="default" r:id="rId17"/>
          <w:type w:val="continuous"/>
          <w:pgSz w:w="11906" w:h="16838"/>
          <w:pgMar w:top="1702" w:right="1133" w:bottom="1276" w:left="1440" w:header="0" w:footer="340" w:gutter="0"/>
          <w:cols w:space="708"/>
          <w:titlePg/>
          <w:docGrid w:linePitch="360"/>
        </w:sectPr>
      </w:pPr>
    </w:p>
    <w:p w14:paraId="48A3A0B6" w14:textId="77777777" w:rsidR="00A7176A" w:rsidRPr="0009516A" w:rsidRDefault="0038690F" w:rsidP="00A7176A">
      <w:pPr>
        <w:pStyle w:val="Heading2-notshowingincontentsindocument"/>
      </w:pPr>
      <w:r w:rsidRPr="0009516A">
        <w:lastRenderedPageBreak/>
        <w:t>Contents</w:t>
      </w:r>
    </w:p>
    <w:p w14:paraId="48A3A0B7" w14:textId="77777777" w:rsidR="003C30C8" w:rsidRDefault="0038690F">
      <w:pPr>
        <w:pStyle w:val="TOC1"/>
        <w:rPr>
          <w:noProof/>
          <w:sz w:val="22"/>
        </w:rPr>
      </w:pPr>
      <w:r>
        <w:fldChar w:fldCharType="begin"/>
      </w:r>
      <w:r>
        <w:instrText xml:space="preserve"> TOC \h \z \u \t "Heading 2,1,Heading 3,2,Heading 4,3" </w:instrText>
      </w:r>
      <w:r>
        <w:fldChar w:fldCharType="separate"/>
      </w:r>
      <w:hyperlink w:anchor="_Toc256000015" w:history="1">
        <w:r>
          <w:rPr>
            <w:rStyle w:val="Hyperlink"/>
          </w:rPr>
          <w:t>PURPOSE OF SECTION 593 OF TELECOMMUNICATIONS ACT 1997</w:t>
        </w:r>
        <w:r>
          <w:rPr>
            <w:rStyle w:val="Hyperlink"/>
          </w:rPr>
          <w:tab/>
        </w:r>
        <w:r>
          <w:fldChar w:fldCharType="begin"/>
        </w:r>
        <w:r>
          <w:rPr>
            <w:rStyle w:val="Hyperlink"/>
          </w:rPr>
          <w:instrText xml:space="preserve"> PAGEREF _Toc256000015 \h </w:instrText>
        </w:r>
        <w:r>
          <w:fldChar w:fldCharType="separate"/>
        </w:r>
        <w:r w:rsidR="00C43592">
          <w:rPr>
            <w:rStyle w:val="Hyperlink"/>
            <w:noProof/>
          </w:rPr>
          <w:t>1</w:t>
        </w:r>
        <w:r>
          <w:fldChar w:fldCharType="end"/>
        </w:r>
      </w:hyperlink>
    </w:p>
    <w:p w14:paraId="48A3A0B8" w14:textId="77777777" w:rsidR="003C30C8" w:rsidRDefault="00C43592">
      <w:pPr>
        <w:pStyle w:val="TOC1"/>
        <w:rPr>
          <w:noProof/>
          <w:sz w:val="22"/>
        </w:rPr>
      </w:pPr>
      <w:hyperlink w:anchor="_Toc256000016" w:history="1">
        <w:r w:rsidR="0038690F" w:rsidRPr="003B0CB6">
          <w:rPr>
            <w:rStyle w:val="Hyperlink"/>
          </w:rPr>
          <w:t>FUNDING</w:t>
        </w:r>
        <w:r w:rsidR="0038690F">
          <w:rPr>
            <w:rStyle w:val="Hyperlink"/>
          </w:rPr>
          <w:t xml:space="preserve"> PROVIDED FOR 2015</w:t>
        </w:r>
        <w:r w:rsidR="0038690F" w:rsidRPr="00657895">
          <w:rPr>
            <w:rStyle w:val="Hyperlink"/>
          </w:rPr>
          <w:t>–</w:t>
        </w:r>
        <w:r w:rsidR="0038690F">
          <w:rPr>
            <w:rStyle w:val="Hyperlink"/>
          </w:rPr>
          <w:t>16</w:t>
        </w:r>
        <w:r w:rsidR="0038690F">
          <w:rPr>
            <w:rStyle w:val="Hyperlink"/>
          </w:rPr>
          <w:tab/>
        </w:r>
        <w:r w:rsidR="0038690F">
          <w:fldChar w:fldCharType="begin"/>
        </w:r>
        <w:r w:rsidR="0038690F">
          <w:rPr>
            <w:rStyle w:val="Hyperlink"/>
          </w:rPr>
          <w:instrText xml:space="preserve"> PAGEREF _Toc256000016 \h </w:instrText>
        </w:r>
        <w:r w:rsidR="0038690F">
          <w:fldChar w:fldCharType="separate"/>
        </w:r>
        <w:r>
          <w:rPr>
            <w:rStyle w:val="Hyperlink"/>
            <w:noProof/>
          </w:rPr>
          <w:t>1</w:t>
        </w:r>
        <w:r w:rsidR="0038690F">
          <w:fldChar w:fldCharType="end"/>
        </w:r>
      </w:hyperlink>
    </w:p>
    <w:p w14:paraId="48A3A0B9" w14:textId="77777777" w:rsidR="003C30C8" w:rsidRDefault="00C43592">
      <w:pPr>
        <w:pStyle w:val="TOC1"/>
        <w:rPr>
          <w:noProof/>
          <w:sz w:val="22"/>
        </w:rPr>
      </w:pPr>
      <w:hyperlink w:anchor="_Toc256000017" w:history="1">
        <w:r w:rsidR="0038690F">
          <w:rPr>
            <w:rStyle w:val="Hyperlink"/>
          </w:rPr>
          <w:t xml:space="preserve">ASSESSMENT OF </w:t>
        </w:r>
        <w:r w:rsidR="0038690F" w:rsidRPr="00657895">
          <w:rPr>
            <w:rStyle w:val="Hyperlink"/>
          </w:rPr>
          <w:t>ACCAN</w:t>
        </w:r>
        <w:r w:rsidR="0038690F">
          <w:rPr>
            <w:rStyle w:val="Hyperlink"/>
          </w:rPr>
          <w:t>’S GENERAL PERFORMANCE</w:t>
        </w:r>
        <w:r w:rsidR="0038690F">
          <w:rPr>
            <w:rStyle w:val="Hyperlink"/>
          </w:rPr>
          <w:tab/>
        </w:r>
        <w:r w:rsidR="0038690F">
          <w:fldChar w:fldCharType="begin"/>
        </w:r>
        <w:r w:rsidR="0038690F">
          <w:rPr>
            <w:rStyle w:val="Hyperlink"/>
          </w:rPr>
          <w:instrText xml:space="preserve"> PAGEREF _Toc256000017 \h </w:instrText>
        </w:r>
        <w:r w:rsidR="0038690F">
          <w:fldChar w:fldCharType="separate"/>
        </w:r>
        <w:r>
          <w:rPr>
            <w:rStyle w:val="Hyperlink"/>
            <w:noProof/>
          </w:rPr>
          <w:t>1</w:t>
        </w:r>
        <w:r w:rsidR="0038690F">
          <w:fldChar w:fldCharType="end"/>
        </w:r>
      </w:hyperlink>
    </w:p>
    <w:p w14:paraId="48A3A0BA" w14:textId="77777777" w:rsidR="003C30C8" w:rsidRDefault="00C43592">
      <w:pPr>
        <w:pStyle w:val="TOC1"/>
        <w:rPr>
          <w:noProof/>
          <w:sz w:val="22"/>
        </w:rPr>
      </w:pPr>
      <w:hyperlink w:anchor="_Toc256000018" w:history="1">
        <w:r w:rsidR="0038690F" w:rsidRPr="00E556AB">
          <w:rPr>
            <w:rStyle w:val="Hyperlink"/>
          </w:rPr>
          <w:t>INDEPENDENT GRANTS PROGRAM</w:t>
        </w:r>
        <w:r w:rsidR="0038690F">
          <w:rPr>
            <w:rStyle w:val="Hyperlink"/>
          </w:rPr>
          <w:tab/>
        </w:r>
        <w:r w:rsidR="0038690F">
          <w:fldChar w:fldCharType="begin"/>
        </w:r>
        <w:r w:rsidR="0038690F">
          <w:rPr>
            <w:rStyle w:val="Hyperlink"/>
          </w:rPr>
          <w:instrText xml:space="preserve"> PAGEREF _Toc256000018 \h </w:instrText>
        </w:r>
        <w:r w:rsidR="0038690F">
          <w:fldChar w:fldCharType="separate"/>
        </w:r>
        <w:r>
          <w:rPr>
            <w:rStyle w:val="Hyperlink"/>
            <w:noProof/>
          </w:rPr>
          <w:t>2</w:t>
        </w:r>
        <w:r w:rsidR="0038690F">
          <w:fldChar w:fldCharType="end"/>
        </w:r>
      </w:hyperlink>
    </w:p>
    <w:p w14:paraId="48A3A0BB" w14:textId="77777777" w:rsidR="003C30C8" w:rsidRDefault="00C43592">
      <w:pPr>
        <w:pStyle w:val="TOC1"/>
        <w:rPr>
          <w:noProof/>
          <w:sz w:val="22"/>
        </w:rPr>
      </w:pPr>
      <w:hyperlink w:anchor="_Toc256000019" w:history="1">
        <w:r w:rsidR="0038690F" w:rsidRPr="006B767D">
          <w:rPr>
            <w:rStyle w:val="Hyperlink"/>
          </w:rPr>
          <w:t xml:space="preserve">FINANCIAL </w:t>
        </w:r>
        <w:r w:rsidR="0038690F">
          <w:rPr>
            <w:rStyle w:val="Hyperlink"/>
          </w:rPr>
          <w:t>ACCOUNTS</w:t>
        </w:r>
        <w:r w:rsidR="0038690F">
          <w:rPr>
            <w:rStyle w:val="Hyperlink"/>
          </w:rPr>
          <w:tab/>
        </w:r>
        <w:r w:rsidR="0038690F">
          <w:fldChar w:fldCharType="begin"/>
        </w:r>
        <w:r w:rsidR="0038690F">
          <w:rPr>
            <w:rStyle w:val="Hyperlink"/>
          </w:rPr>
          <w:instrText xml:space="preserve"> PAGEREF _Toc256000019 \h </w:instrText>
        </w:r>
        <w:r w:rsidR="0038690F">
          <w:fldChar w:fldCharType="separate"/>
        </w:r>
        <w:r>
          <w:rPr>
            <w:rStyle w:val="Hyperlink"/>
            <w:noProof/>
          </w:rPr>
          <w:t>4</w:t>
        </w:r>
        <w:r w:rsidR="0038690F">
          <w:fldChar w:fldCharType="end"/>
        </w:r>
      </w:hyperlink>
    </w:p>
    <w:p w14:paraId="48A3A0BC" w14:textId="77777777" w:rsidR="003C30C8" w:rsidRDefault="0038690F" w:rsidP="00A7176A">
      <w:r>
        <w:fldChar w:fldCharType="end"/>
      </w:r>
    </w:p>
    <w:p w14:paraId="48A3A0BD" w14:textId="77777777" w:rsidR="00CF5930" w:rsidRDefault="00C43592">
      <w:pPr>
        <w:spacing w:after="160" w:line="259" w:lineRule="auto"/>
        <w:sectPr w:rsidR="00CF5930" w:rsidSect="00952A78">
          <w:pgSz w:w="11906" w:h="16838"/>
          <w:pgMar w:top="1702" w:right="1133" w:bottom="1276" w:left="1440" w:header="0" w:footer="340" w:gutter="0"/>
          <w:pgNumType w:start="1"/>
          <w:cols w:space="708"/>
          <w:titlePg/>
          <w:docGrid w:linePitch="360"/>
        </w:sectPr>
      </w:pPr>
      <w:bookmarkStart w:id="3" w:name="_Toc256000005"/>
      <w:bookmarkStart w:id="4" w:name="_Toc256000000"/>
      <w:bookmarkStart w:id="5" w:name="_Toc471463030"/>
    </w:p>
    <w:p w14:paraId="48A3A0BE" w14:textId="77777777" w:rsidR="00892FC4" w:rsidRDefault="0038690F" w:rsidP="00892FC4">
      <w:pPr>
        <w:pStyle w:val="Heading2"/>
      </w:pPr>
      <w:bookmarkStart w:id="6" w:name="_Toc256000015"/>
      <w:bookmarkStart w:id="7" w:name="_Toc256000010"/>
      <w:r>
        <w:lastRenderedPageBreak/>
        <w:t>PURPOSE OF SECTION 593 OF TELECOMMUNICATIONS ACT 1997</w:t>
      </w:r>
      <w:bookmarkEnd w:id="6"/>
      <w:bookmarkEnd w:id="7"/>
      <w:bookmarkEnd w:id="3"/>
      <w:bookmarkEnd w:id="4"/>
      <w:bookmarkEnd w:id="5"/>
    </w:p>
    <w:p w14:paraId="48A3A0BF" w14:textId="77777777" w:rsidR="00892FC4" w:rsidRPr="003B0CB6" w:rsidRDefault="0038690F" w:rsidP="00BF3702">
      <w:pPr>
        <w:tabs>
          <w:tab w:val="left" w:pos="720"/>
          <w:tab w:val="center" w:pos="4153"/>
          <w:tab w:val="right" w:pos="8306"/>
        </w:tabs>
        <w:spacing w:after="0"/>
        <w:rPr>
          <w:sz w:val="23"/>
          <w:szCs w:val="23"/>
        </w:rPr>
      </w:pPr>
      <w:r w:rsidRPr="003B0CB6">
        <w:rPr>
          <w:sz w:val="23"/>
          <w:szCs w:val="23"/>
        </w:rPr>
        <w:t xml:space="preserve">Section 593 of the </w:t>
      </w:r>
      <w:r w:rsidRPr="003B0CB6">
        <w:rPr>
          <w:i/>
          <w:sz w:val="23"/>
          <w:szCs w:val="23"/>
        </w:rPr>
        <w:t>Telecommunications Act 1997</w:t>
      </w:r>
      <w:r w:rsidRPr="003B0CB6">
        <w:rPr>
          <w:sz w:val="23"/>
          <w:szCs w:val="23"/>
        </w:rPr>
        <w:t xml:space="preserve"> </w:t>
      </w:r>
      <w:r w:rsidRPr="005F056E">
        <w:rPr>
          <w:rFonts w:eastAsia="Calibri"/>
          <w:sz w:val="23"/>
          <w:szCs w:val="23"/>
        </w:rPr>
        <w:t xml:space="preserve">(Telco Act) </w:t>
      </w:r>
      <w:r w:rsidRPr="003B0CB6">
        <w:rPr>
          <w:sz w:val="23"/>
          <w:szCs w:val="23"/>
        </w:rPr>
        <w:t>provides for the Minister for Communications</w:t>
      </w:r>
      <w:r>
        <w:rPr>
          <w:sz w:val="23"/>
          <w:szCs w:val="23"/>
        </w:rPr>
        <w:t xml:space="preserve"> </w:t>
      </w:r>
      <w:r w:rsidRPr="003B0CB6">
        <w:rPr>
          <w:sz w:val="23"/>
          <w:szCs w:val="23"/>
        </w:rPr>
        <w:t>(Minister) to make grants of financial assistance to:</w:t>
      </w:r>
    </w:p>
    <w:p w14:paraId="48A3A0C0" w14:textId="77777777" w:rsidR="00892FC4" w:rsidRPr="003B0CB6" w:rsidRDefault="0038690F" w:rsidP="00BF3702">
      <w:pPr>
        <w:numPr>
          <w:ilvl w:val="0"/>
          <w:numId w:val="20"/>
        </w:numPr>
        <w:tabs>
          <w:tab w:val="center" w:pos="4153"/>
          <w:tab w:val="right" w:pos="8306"/>
        </w:tabs>
        <w:spacing w:after="0"/>
        <w:rPr>
          <w:sz w:val="23"/>
          <w:szCs w:val="23"/>
        </w:rPr>
      </w:pPr>
      <w:r>
        <w:rPr>
          <w:sz w:val="23"/>
          <w:szCs w:val="23"/>
        </w:rPr>
        <w:t>consumer bodies</w:t>
      </w:r>
      <w:r w:rsidRPr="003B0CB6">
        <w:rPr>
          <w:sz w:val="23"/>
          <w:szCs w:val="23"/>
        </w:rPr>
        <w:t xml:space="preserve"> for purposes in connection with the representation of the interests of consumers in relation to telecommunications issues; and</w:t>
      </w:r>
    </w:p>
    <w:p w14:paraId="48A3A0C1" w14:textId="77777777" w:rsidR="00892FC4" w:rsidRPr="003B0CB6" w:rsidRDefault="0038690F" w:rsidP="00BF3702">
      <w:pPr>
        <w:numPr>
          <w:ilvl w:val="0"/>
          <w:numId w:val="20"/>
        </w:numPr>
        <w:tabs>
          <w:tab w:val="center" w:pos="4153"/>
          <w:tab w:val="right" w:pos="8306"/>
        </w:tabs>
        <w:spacing w:after="0"/>
        <w:rPr>
          <w:sz w:val="23"/>
          <w:szCs w:val="23"/>
        </w:rPr>
      </w:pPr>
      <w:proofErr w:type="gramStart"/>
      <w:r w:rsidRPr="003B0CB6">
        <w:rPr>
          <w:sz w:val="23"/>
          <w:szCs w:val="23"/>
        </w:rPr>
        <w:t>person</w:t>
      </w:r>
      <w:r>
        <w:rPr>
          <w:sz w:val="23"/>
          <w:szCs w:val="23"/>
        </w:rPr>
        <w:t>s</w:t>
      </w:r>
      <w:proofErr w:type="gramEnd"/>
      <w:r>
        <w:rPr>
          <w:sz w:val="23"/>
          <w:szCs w:val="23"/>
        </w:rPr>
        <w:t xml:space="preserve"> or bodies</w:t>
      </w:r>
      <w:r w:rsidRPr="003B0CB6">
        <w:rPr>
          <w:sz w:val="23"/>
          <w:szCs w:val="23"/>
        </w:rPr>
        <w:t xml:space="preserve"> for purposes in connection with research into social, economic, environmental or technological implications of developments relating to telecommunications.</w:t>
      </w:r>
    </w:p>
    <w:p w14:paraId="48A3A0C2" w14:textId="77777777" w:rsidR="00892FC4" w:rsidRPr="003B0CB6" w:rsidRDefault="0038690F" w:rsidP="00892FC4">
      <w:pPr>
        <w:pStyle w:val="Heading2"/>
      </w:pPr>
      <w:bookmarkStart w:id="8" w:name="_Toc256000016"/>
      <w:bookmarkStart w:id="9" w:name="_Toc256000011"/>
      <w:bookmarkStart w:id="10" w:name="_Toc256000006"/>
      <w:bookmarkStart w:id="11" w:name="_Toc256000001"/>
      <w:bookmarkStart w:id="12" w:name="_Toc471463031"/>
      <w:r w:rsidRPr="003B0CB6">
        <w:t>FUNDING</w:t>
      </w:r>
      <w:r>
        <w:t xml:space="preserve"> PROVIDED FOR 2015</w:t>
      </w:r>
      <w:r w:rsidRPr="00657895">
        <w:rPr>
          <w:sz w:val="23"/>
          <w:szCs w:val="23"/>
        </w:rPr>
        <w:t>–</w:t>
      </w:r>
      <w:r>
        <w:t>16</w:t>
      </w:r>
      <w:bookmarkEnd w:id="8"/>
      <w:bookmarkEnd w:id="9"/>
      <w:bookmarkEnd w:id="10"/>
      <w:bookmarkEnd w:id="11"/>
      <w:bookmarkEnd w:id="12"/>
    </w:p>
    <w:p w14:paraId="48A3A0C3" w14:textId="2A80BC56" w:rsidR="00892FC4" w:rsidRDefault="0038690F" w:rsidP="00BF3702">
      <w:pPr>
        <w:tabs>
          <w:tab w:val="left" w:pos="720"/>
          <w:tab w:val="center" w:pos="4153"/>
          <w:tab w:val="right" w:pos="8306"/>
        </w:tabs>
        <w:spacing w:after="0"/>
        <w:rPr>
          <w:sz w:val="23"/>
          <w:szCs w:val="23"/>
        </w:rPr>
      </w:pPr>
      <w:r>
        <w:rPr>
          <w:sz w:val="23"/>
          <w:szCs w:val="23"/>
        </w:rPr>
        <w:t xml:space="preserve">Funding under section 593 of the Telco Act for </w:t>
      </w:r>
      <w:r w:rsidRPr="00657895">
        <w:rPr>
          <w:sz w:val="23"/>
          <w:szCs w:val="23"/>
        </w:rPr>
        <w:t>201</w:t>
      </w:r>
      <w:r>
        <w:rPr>
          <w:sz w:val="23"/>
          <w:szCs w:val="23"/>
        </w:rPr>
        <w:t>5</w:t>
      </w:r>
      <w:r w:rsidRPr="00657895">
        <w:rPr>
          <w:sz w:val="23"/>
          <w:szCs w:val="23"/>
        </w:rPr>
        <w:t>–1</w:t>
      </w:r>
      <w:r>
        <w:rPr>
          <w:sz w:val="23"/>
          <w:szCs w:val="23"/>
        </w:rPr>
        <w:t>6 was provided only to t</w:t>
      </w:r>
      <w:r w:rsidRPr="003B0CB6">
        <w:rPr>
          <w:sz w:val="23"/>
          <w:szCs w:val="23"/>
        </w:rPr>
        <w:t>he Australian Communications Consumer Action Network (ACCAN)</w:t>
      </w:r>
      <w:r>
        <w:rPr>
          <w:sz w:val="23"/>
          <w:szCs w:val="23"/>
        </w:rPr>
        <w:t xml:space="preserve">.  This funding was provided under a </w:t>
      </w:r>
      <w:r w:rsidRPr="003B0CB6">
        <w:rPr>
          <w:sz w:val="23"/>
          <w:szCs w:val="23"/>
        </w:rPr>
        <w:t xml:space="preserve">multi-year Funding Agreement between ACCAN and the Department of Communications and the </w:t>
      </w:r>
      <w:r>
        <w:rPr>
          <w:sz w:val="23"/>
          <w:szCs w:val="23"/>
        </w:rPr>
        <w:t>Arts</w:t>
      </w:r>
      <w:r w:rsidRPr="003B0CB6">
        <w:rPr>
          <w:sz w:val="23"/>
          <w:szCs w:val="23"/>
        </w:rPr>
        <w:t xml:space="preserve">. </w:t>
      </w:r>
      <w:r>
        <w:rPr>
          <w:sz w:val="23"/>
          <w:szCs w:val="23"/>
        </w:rPr>
        <w:t xml:space="preserve"> </w:t>
      </w:r>
      <w:r w:rsidRPr="003B0CB6">
        <w:rPr>
          <w:sz w:val="23"/>
          <w:szCs w:val="23"/>
        </w:rPr>
        <w:t>Th</w:t>
      </w:r>
      <w:r>
        <w:rPr>
          <w:sz w:val="23"/>
          <w:szCs w:val="23"/>
        </w:rPr>
        <w:t xml:space="preserve">is Funding Agreement continues until 30 </w:t>
      </w:r>
      <w:r w:rsidR="00BB209A">
        <w:rPr>
          <w:sz w:val="23"/>
          <w:szCs w:val="23"/>
        </w:rPr>
        <w:t>May</w:t>
      </w:r>
      <w:r>
        <w:rPr>
          <w:sz w:val="23"/>
          <w:szCs w:val="23"/>
        </w:rPr>
        <w:t xml:space="preserve"> 2017, with </w:t>
      </w:r>
      <w:r w:rsidRPr="003B0CB6">
        <w:rPr>
          <w:sz w:val="23"/>
          <w:szCs w:val="23"/>
        </w:rPr>
        <w:t>funding of $2 million per annum (indexed)</w:t>
      </w:r>
      <w:r>
        <w:rPr>
          <w:sz w:val="23"/>
          <w:szCs w:val="23"/>
        </w:rPr>
        <w:t xml:space="preserve"> being provided to ACCAN</w:t>
      </w:r>
      <w:r w:rsidRPr="0041099B">
        <w:rPr>
          <w:sz w:val="23"/>
          <w:szCs w:val="23"/>
        </w:rPr>
        <w:t>.</w:t>
      </w:r>
      <w:r w:rsidRPr="003B0CB6">
        <w:rPr>
          <w:sz w:val="23"/>
          <w:szCs w:val="23"/>
        </w:rPr>
        <w:t xml:space="preserve"> </w:t>
      </w:r>
      <w:r>
        <w:rPr>
          <w:sz w:val="23"/>
          <w:szCs w:val="23"/>
        </w:rPr>
        <w:t xml:space="preserve"> </w:t>
      </w:r>
      <w:r w:rsidRPr="0041099B">
        <w:rPr>
          <w:sz w:val="23"/>
          <w:szCs w:val="23"/>
        </w:rPr>
        <w:t>Each quarterly payment to ACCAN</w:t>
      </w:r>
      <w:r>
        <w:rPr>
          <w:sz w:val="23"/>
          <w:szCs w:val="23"/>
        </w:rPr>
        <w:t xml:space="preserve"> under this Funding Agreement</w:t>
      </w:r>
      <w:r w:rsidRPr="0041099B">
        <w:rPr>
          <w:sz w:val="23"/>
          <w:szCs w:val="23"/>
        </w:rPr>
        <w:t xml:space="preserve"> is subject to assessment of </w:t>
      </w:r>
      <w:r w:rsidRPr="003B0CB6">
        <w:rPr>
          <w:sz w:val="23"/>
          <w:szCs w:val="23"/>
        </w:rPr>
        <w:t xml:space="preserve">the six Key Performance Indicators (KPIs) </w:t>
      </w:r>
      <w:r>
        <w:rPr>
          <w:sz w:val="23"/>
          <w:szCs w:val="23"/>
        </w:rPr>
        <w:t>and the milestones for completing a report on each stage of the activities, as set out in the Funding Agreement</w:t>
      </w:r>
      <w:r w:rsidR="00C8469B">
        <w:rPr>
          <w:sz w:val="23"/>
          <w:szCs w:val="23"/>
        </w:rPr>
        <w:t>.</w:t>
      </w:r>
    </w:p>
    <w:p w14:paraId="48A3A0C4" w14:textId="77777777" w:rsidR="000925EE" w:rsidRDefault="00C43592" w:rsidP="00BF3702">
      <w:pPr>
        <w:tabs>
          <w:tab w:val="left" w:pos="720"/>
          <w:tab w:val="center" w:pos="4153"/>
          <w:tab w:val="right" w:pos="8306"/>
        </w:tabs>
        <w:spacing w:after="0"/>
        <w:rPr>
          <w:sz w:val="23"/>
          <w:szCs w:val="23"/>
        </w:rPr>
      </w:pPr>
    </w:p>
    <w:p w14:paraId="48A3A0C5" w14:textId="77777777" w:rsidR="00892FC4" w:rsidRPr="003B0CB6" w:rsidRDefault="0038690F" w:rsidP="00BF3702">
      <w:pPr>
        <w:tabs>
          <w:tab w:val="left" w:pos="720"/>
          <w:tab w:val="center" w:pos="4153"/>
          <w:tab w:val="right" w:pos="8306"/>
        </w:tabs>
        <w:spacing w:after="0"/>
        <w:rPr>
          <w:sz w:val="23"/>
          <w:szCs w:val="23"/>
        </w:rPr>
      </w:pPr>
      <w:r>
        <w:rPr>
          <w:sz w:val="23"/>
          <w:szCs w:val="23"/>
        </w:rPr>
        <w:t xml:space="preserve">The funding provided </w:t>
      </w:r>
      <w:r w:rsidRPr="003B0CB6">
        <w:rPr>
          <w:sz w:val="23"/>
          <w:szCs w:val="23"/>
        </w:rPr>
        <w:t xml:space="preserve">to ACCAN </w:t>
      </w:r>
      <w:r>
        <w:rPr>
          <w:sz w:val="23"/>
          <w:szCs w:val="23"/>
        </w:rPr>
        <w:t xml:space="preserve">under section 593 of the Telco Act </w:t>
      </w:r>
      <w:r w:rsidRPr="003B0CB6">
        <w:rPr>
          <w:sz w:val="23"/>
          <w:szCs w:val="23"/>
        </w:rPr>
        <w:t xml:space="preserve">is recovered from the </w:t>
      </w:r>
      <w:r>
        <w:rPr>
          <w:sz w:val="23"/>
          <w:szCs w:val="23"/>
        </w:rPr>
        <w:t xml:space="preserve">annual carrier licence charge imposed under </w:t>
      </w:r>
      <w:r w:rsidRPr="003B0CB6">
        <w:rPr>
          <w:sz w:val="23"/>
          <w:szCs w:val="23"/>
        </w:rPr>
        <w:t xml:space="preserve">the </w:t>
      </w:r>
      <w:r w:rsidRPr="003B0CB6">
        <w:rPr>
          <w:i/>
          <w:sz w:val="23"/>
          <w:szCs w:val="23"/>
        </w:rPr>
        <w:t>Telecommunications (Carrier Licence Charges) Act 1997.</w:t>
      </w:r>
    </w:p>
    <w:p w14:paraId="48A3A0C6" w14:textId="77777777" w:rsidR="00892FC4" w:rsidRPr="00657895" w:rsidRDefault="0038690F" w:rsidP="00892FC4">
      <w:pPr>
        <w:pStyle w:val="Heading2"/>
      </w:pPr>
      <w:bookmarkStart w:id="13" w:name="_Toc256000017"/>
      <w:bookmarkStart w:id="14" w:name="_Toc256000012"/>
      <w:bookmarkStart w:id="15" w:name="_Toc256000007"/>
      <w:bookmarkStart w:id="16" w:name="_Toc256000002"/>
      <w:bookmarkStart w:id="17" w:name="_Toc471463032"/>
      <w:r>
        <w:t xml:space="preserve">ASSESSMENT OF </w:t>
      </w:r>
      <w:r w:rsidRPr="00657895">
        <w:t>ACCAN</w:t>
      </w:r>
      <w:r>
        <w:t>’S GENERAL PERFORMANCE</w:t>
      </w:r>
      <w:bookmarkEnd w:id="13"/>
      <w:bookmarkEnd w:id="14"/>
      <w:bookmarkEnd w:id="15"/>
      <w:bookmarkEnd w:id="16"/>
      <w:bookmarkEnd w:id="17"/>
    </w:p>
    <w:p w14:paraId="48A3A0C7" w14:textId="77777777" w:rsidR="00892FC4" w:rsidRDefault="0038690F" w:rsidP="000925EE">
      <w:pPr>
        <w:spacing w:after="0"/>
        <w:contextualSpacing/>
        <w:rPr>
          <w:sz w:val="23"/>
          <w:szCs w:val="23"/>
        </w:rPr>
      </w:pPr>
      <w:r w:rsidRPr="00657895">
        <w:rPr>
          <w:sz w:val="23"/>
          <w:szCs w:val="23"/>
        </w:rPr>
        <w:t>Quarterly progress reports for 201</w:t>
      </w:r>
      <w:r>
        <w:rPr>
          <w:sz w:val="23"/>
          <w:szCs w:val="23"/>
        </w:rPr>
        <w:t>5</w:t>
      </w:r>
      <w:r w:rsidRPr="00657895">
        <w:rPr>
          <w:sz w:val="23"/>
          <w:szCs w:val="23"/>
        </w:rPr>
        <w:t>–1</w:t>
      </w:r>
      <w:r>
        <w:rPr>
          <w:sz w:val="23"/>
          <w:szCs w:val="23"/>
        </w:rPr>
        <w:t>6</w:t>
      </w:r>
      <w:r w:rsidRPr="00657895">
        <w:rPr>
          <w:sz w:val="23"/>
          <w:szCs w:val="23"/>
        </w:rPr>
        <w:t xml:space="preserve"> demonstrated that ACCAN satisfactorily met each of its KPIs and Funding Agreement </w:t>
      </w:r>
      <w:r>
        <w:rPr>
          <w:sz w:val="23"/>
          <w:szCs w:val="23"/>
        </w:rPr>
        <w:t>m</w:t>
      </w:r>
      <w:r w:rsidRPr="00657895">
        <w:rPr>
          <w:sz w:val="23"/>
          <w:szCs w:val="23"/>
        </w:rPr>
        <w:t>ilestones.</w:t>
      </w:r>
      <w:r>
        <w:rPr>
          <w:sz w:val="23"/>
          <w:szCs w:val="23"/>
        </w:rPr>
        <w:t xml:space="preserve"> </w:t>
      </w:r>
    </w:p>
    <w:p w14:paraId="48A3A0C8" w14:textId="77777777" w:rsidR="00CF5930" w:rsidRDefault="00C43592" w:rsidP="000925EE">
      <w:pPr>
        <w:spacing w:after="0"/>
        <w:contextualSpacing/>
        <w:rPr>
          <w:sz w:val="23"/>
          <w:szCs w:val="23"/>
        </w:rPr>
      </w:pPr>
    </w:p>
    <w:p w14:paraId="48A3A0C9" w14:textId="77777777" w:rsidR="00892FC4" w:rsidRPr="0087699D" w:rsidRDefault="0038690F" w:rsidP="000925EE">
      <w:pPr>
        <w:spacing w:after="0"/>
        <w:contextualSpacing/>
        <w:rPr>
          <w:sz w:val="23"/>
          <w:szCs w:val="23"/>
        </w:rPr>
      </w:pPr>
      <w:r>
        <w:rPr>
          <w:sz w:val="23"/>
          <w:szCs w:val="23"/>
        </w:rPr>
        <w:t xml:space="preserve">ACCAN has published its </w:t>
      </w:r>
      <w:r w:rsidRPr="00657895">
        <w:rPr>
          <w:sz w:val="23"/>
          <w:szCs w:val="23"/>
        </w:rPr>
        <w:t>201</w:t>
      </w:r>
      <w:r>
        <w:rPr>
          <w:sz w:val="23"/>
          <w:szCs w:val="23"/>
        </w:rPr>
        <w:t>5</w:t>
      </w:r>
      <w:r w:rsidRPr="00657895">
        <w:rPr>
          <w:sz w:val="23"/>
          <w:szCs w:val="23"/>
        </w:rPr>
        <w:t>–1</w:t>
      </w:r>
      <w:r>
        <w:rPr>
          <w:sz w:val="23"/>
          <w:szCs w:val="23"/>
        </w:rPr>
        <w:t xml:space="preserve">6 </w:t>
      </w:r>
      <w:hyperlink r:id="rId18" w:history="1">
        <w:r>
          <w:rPr>
            <w:rStyle w:val="Hyperlink"/>
            <w:sz w:val="23"/>
            <w:szCs w:val="23"/>
          </w:rPr>
          <w:t>Annual Report</w:t>
        </w:r>
      </w:hyperlink>
      <w:r>
        <w:rPr>
          <w:sz w:val="23"/>
          <w:szCs w:val="23"/>
        </w:rPr>
        <w:t xml:space="preserve"> on its website.  This showed that in </w:t>
      </w:r>
      <w:r w:rsidRPr="0087699D">
        <w:rPr>
          <w:sz w:val="23"/>
          <w:szCs w:val="23"/>
        </w:rPr>
        <w:t>201</w:t>
      </w:r>
      <w:r>
        <w:rPr>
          <w:sz w:val="23"/>
          <w:szCs w:val="23"/>
        </w:rPr>
        <w:t>5</w:t>
      </w:r>
      <w:r w:rsidRPr="0087699D">
        <w:rPr>
          <w:sz w:val="23"/>
          <w:szCs w:val="23"/>
        </w:rPr>
        <w:t>–1</w:t>
      </w:r>
      <w:r>
        <w:rPr>
          <w:sz w:val="23"/>
          <w:szCs w:val="23"/>
        </w:rPr>
        <w:t>6</w:t>
      </w:r>
      <w:r w:rsidRPr="0087699D">
        <w:rPr>
          <w:sz w:val="23"/>
          <w:szCs w:val="23"/>
        </w:rPr>
        <w:t xml:space="preserve"> ACCAN:</w:t>
      </w:r>
    </w:p>
    <w:p w14:paraId="48A3A0CA" w14:textId="77777777" w:rsidR="00892FC4" w:rsidRPr="00A8624A" w:rsidRDefault="0038690F" w:rsidP="000925EE">
      <w:pPr>
        <w:numPr>
          <w:ilvl w:val="0"/>
          <w:numId w:val="21"/>
        </w:numPr>
        <w:tabs>
          <w:tab w:val="left" w:pos="426"/>
        </w:tabs>
        <w:spacing w:after="0"/>
        <w:ind w:left="426" w:hanging="426"/>
        <w:contextualSpacing/>
        <w:rPr>
          <w:sz w:val="23"/>
          <w:szCs w:val="23"/>
        </w:rPr>
      </w:pPr>
      <w:r>
        <w:rPr>
          <w:sz w:val="23"/>
          <w:szCs w:val="23"/>
        </w:rPr>
        <w:t>r</w:t>
      </w:r>
      <w:r w:rsidRPr="00A8624A">
        <w:rPr>
          <w:sz w:val="23"/>
          <w:szCs w:val="23"/>
        </w:rPr>
        <w:t>epresented consumers interests in over 2</w:t>
      </w:r>
      <w:r>
        <w:rPr>
          <w:sz w:val="23"/>
          <w:szCs w:val="23"/>
        </w:rPr>
        <w:t>7</w:t>
      </w:r>
      <w:r w:rsidRPr="00A8624A">
        <w:rPr>
          <w:sz w:val="23"/>
          <w:szCs w:val="23"/>
        </w:rPr>
        <w:t xml:space="preserve"> </w:t>
      </w:r>
      <w:r>
        <w:rPr>
          <w:sz w:val="23"/>
          <w:szCs w:val="23"/>
        </w:rPr>
        <w:t>G</w:t>
      </w:r>
      <w:r w:rsidRPr="00A8624A">
        <w:rPr>
          <w:sz w:val="23"/>
          <w:szCs w:val="23"/>
        </w:rPr>
        <w:t>overnment, industry and regulatory committees;</w:t>
      </w:r>
    </w:p>
    <w:p w14:paraId="48A3A0CB" w14:textId="77777777" w:rsidR="00892FC4" w:rsidRPr="00654A61" w:rsidRDefault="0038690F" w:rsidP="000925EE">
      <w:pPr>
        <w:numPr>
          <w:ilvl w:val="0"/>
          <w:numId w:val="21"/>
        </w:numPr>
        <w:tabs>
          <w:tab w:val="left" w:pos="426"/>
        </w:tabs>
        <w:spacing w:after="0"/>
        <w:ind w:left="426" w:hanging="426"/>
        <w:contextualSpacing/>
        <w:rPr>
          <w:sz w:val="23"/>
          <w:szCs w:val="23"/>
        </w:rPr>
      </w:pPr>
      <w:r>
        <w:rPr>
          <w:sz w:val="23"/>
          <w:szCs w:val="23"/>
        </w:rPr>
        <w:t>m</w:t>
      </w:r>
      <w:r w:rsidRPr="00654A61">
        <w:rPr>
          <w:sz w:val="23"/>
          <w:szCs w:val="23"/>
        </w:rPr>
        <w:t xml:space="preserve">ade </w:t>
      </w:r>
      <w:r>
        <w:rPr>
          <w:sz w:val="23"/>
          <w:szCs w:val="23"/>
        </w:rPr>
        <w:t>30</w:t>
      </w:r>
      <w:r w:rsidRPr="00654A61">
        <w:rPr>
          <w:sz w:val="23"/>
          <w:szCs w:val="23"/>
        </w:rPr>
        <w:t xml:space="preserve"> submissions to </w:t>
      </w:r>
      <w:r>
        <w:rPr>
          <w:sz w:val="23"/>
          <w:szCs w:val="23"/>
        </w:rPr>
        <w:t>G</w:t>
      </w:r>
      <w:r w:rsidRPr="00654A61">
        <w:rPr>
          <w:sz w:val="23"/>
          <w:szCs w:val="23"/>
        </w:rPr>
        <w:t xml:space="preserve">overnment, regulatory and other inquiries all of which are available at </w:t>
      </w:r>
      <w:r w:rsidRPr="00560CB2">
        <w:t>www.accan.org.au/submissions</w:t>
      </w:r>
      <w:r>
        <w:rPr>
          <w:sz w:val="23"/>
          <w:szCs w:val="23"/>
        </w:rPr>
        <w:t>;</w:t>
      </w:r>
    </w:p>
    <w:p w14:paraId="48A3A0CC" w14:textId="77777777" w:rsidR="00892FC4" w:rsidRPr="00E0413C" w:rsidRDefault="0038690F" w:rsidP="000925EE">
      <w:pPr>
        <w:numPr>
          <w:ilvl w:val="0"/>
          <w:numId w:val="21"/>
        </w:numPr>
        <w:tabs>
          <w:tab w:val="left" w:pos="426"/>
        </w:tabs>
        <w:spacing w:after="0"/>
        <w:ind w:left="426" w:hanging="426"/>
        <w:contextualSpacing/>
        <w:rPr>
          <w:sz w:val="23"/>
          <w:szCs w:val="23"/>
        </w:rPr>
      </w:pPr>
      <w:r>
        <w:rPr>
          <w:sz w:val="23"/>
          <w:szCs w:val="23"/>
        </w:rPr>
        <w:t>together</w:t>
      </w:r>
      <w:r w:rsidRPr="00560CB2">
        <w:rPr>
          <w:sz w:val="23"/>
          <w:szCs w:val="23"/>
        </w:rPr>
        <w:t xml:space="preserve"> with </w:t>
      </w:r>
      <w:r w:rsidRPr="00F37566">
        <w:rPr>
          <w:color w:val="231F20"/>
          <w:spacing w:val="-4"/>
          <w:sz w:val="23"/>
          <w:szCs w:val="23"/>
        </w:rPr>
        <w:t>th</w:t>
      </w:r>
      <w:r w:rsidRPr="00F37566">
        <w:rPr>
          <w:color w:val="231F20"/>
          <w:sz w:val="23"/>
          <w:szCs w:val="23"/>
        </w:rPr>
        <w:t>e</w:t>
      </w:r>
      <w:r w:rsidRPr="00F37566">
        <w:rPr>
          <w:color w:val="231F20"/>
          <w:spacing w:val="-38"/>
          <w:sz w:val="23"/>
          <w:szCs w:val="23"/>
        </w:rPr>
        <w:t xml:space="preserve"> </w:t>
      </w:r>
      <w:r w:rsidRPr="00F37566">
        <w:rPr>
          <w:color w:val="231F20"/>
          <w:spacing w:val="-4"/>
          <w:sz w:val="23"/>
          <w:szCs w:val="23"/>
        </w:rPr>
        <w:t>I</w:t>
      </w:r>
      <w:r w:rsidRPr="00F37566">
        <w:rPr>
          <w:color w:val="231F20"/>
          <w:spacing w:val="-5"/>
          <w:sz w:val="23"/>
          <w:szCs w:val="23"/>
        </w:rPr>
        <w:t>ndig</w:t>
      </w:r>
      <w:r w:rsidRPr="00F37566">
        <w:rPr>
          <w:color w:val="231F20"/>
          <w:spacing w:val="-4"/>
          <w:sz w:val="23"/>
          <w:szCs w:val="23"/>
        </w:rPr>
        <w:t>e</w:t>
      </w:r>
      <w:r w:rsidRPr="00F37566">
        <w:rPr>
          <w:color w:val="231F20"/>
          <w:spacing w:val="-5"/>
          <w:sz w:val="23"/>
          <w:szCs w:val="23"/>
        </w:rPr>
        <w:t>no</w:t>
      </w:r>
      <w:r w:rsidRPr="00F37566">
        <w:rPr>
          <w:color w:val="231F20"/>
          <w:spacing w:val="-4"/>
          <w:sz w:val="23"/>
          <w:szCs w:val="23"/>
        </w:rPr>
        <w:t>u</w:t>
      </w:r>
      <w:r w:rsidRPr="00F37566">
        <w:rPr>
          <w:color w:val="231F20"/>
          <w:sz w:val="23"/>
          <w:szCs w:val="23"/>
        </w:rPr>
        <w:t>s</w:t>
      </w:r>
      <w:r w:rsidRPr="00F37566">
        <w:rPr>
          <w:color w:val="231F20"/>
          <w:w w:val="101"/>
          <w:sz w:val="23"/>
          <w:szCs w:val="23"/>
        </w:rPr>
        <w:t xml:space="preserve"> </w:t>
      </w:r>
      <w:r w:rsidRPr="00F37566">
        <w:rPr>
          <w:color w:val="231F20"/>
          <w:spacing w:val="-5"/>
          <w:sz w:val="23"/>
          <w:szCs w:val="23"/>
        </w:rPr>
        <w:t>Re</w:t>
      </w:r>
      <w:r w:rsidRPr="00F37566">
        <w:rPr>
          <w:color w:val="231F20"/>
          <w:spacing w:val="-4"/>
          <w:sz w:val="23"/>
          <w:szCs w:val="23"/>
        </w:rPr>
        <w:t>m</w:t>
      </w:r>
      <w:r w:rsidRPr="00F37566">
        <w:rPr>
          <w:color w:val="231F20"/>
          <w:spacing w:val="-3"/>
          <w:sz w:val="23"/>
          <w:szCs w:val="23"/>
        </w:rPr>
        <w:t>o</w:t>
      </w:r>
      <w:r w:rsidRPr="00F37566">
        <w:rPr>
          <w:color w:val="231F20"/>
          <w:spacing w:val="-5"/>
          <w:sz w:val="23"/>
          <w:szCs w:val="23"/>
        </w:rPr>
        <w:t>t</w:t>
      </w:r>
      <w:r w:rsidRPr="00F37566">
        <w:rPr>
          <w:color w:val="231F20"/>
          <w:sz w:val="23"/>
          <w:szCs w:val="23"/>
        </w:rPr>
        <w:t>e</w:t>
      </w:r>
      <w:r w:rsidRPr="00F37566">
        <w:rPr>
          <w:color w:val="231F20"/>
          <w:spacing w:val="-19"/>
          <w:sz w:val="23"/>
          <w:szCs w:val="23"/>
        </w:rPr>
        <w:t xml:space="preserve"> </w:t>
      </w:r>
      <w:r w:rsidRPr="00F37566">
        <w:rPr>
          <w:color w:val="231F20"/>
          <w:spacing w:val="-5"/>
          <w:sz w:val="23"/>
          <w:szCs w:val="23"/>
        </w:rPr>
        <w:t>Com</w:t>
      </w:r>
      <w:r w:rsidRPr="00F37566">
        <w:rPr>
          <w:color w:val="231F20"/>
          <w:spacing w:val="-4"/>
          <w:sz w:val="23"/>
          <w:szCs w:val="23"/>
        </w:rPr>
        <w:t>mun</w:t>
      </w:r>
      <w:r w:rsidRPr="00F37566">
        <w:rPr>
          <w:color w:val="231F20"/>
          <w:spacing w:val="-5"/>
          <w:sz w:val="23"/>
          <w:szCs w:val="23"/>
        </w:rPr>
        <w:t>ica</w:t>
      </w:r>
      <w:r w:rsidRPr="00F37566">
        <w:rPr>
          <w:color w:val="231F20"/>
          <w:spacing w:val="-4"/>
          <w:sz w:val="23"/>
          <w:szCs w:val="23"/>
        </w:rPr>
        <w:t>tion</w:t>
      </w:r>
      <w:r w:rsidRPr="00F37566">
        <w:rPr>
          <w:color w:val="231F20"/>
          <w:sz w:val="23"/>
          <w:szCs w:val="23"/>
        </w:rPr>
        <w:t>s</w:t>
      </w:r>
      <w:r w:rsidRPr="00F37566">
        <w:rPr>
          <w:color w:val="231F20"/>
          <w:w w:val="101"/>
          <w:sz w:val="23"/>
          <w:szCs w:val="23"/>
        </w:rPr>
        <w:t xml:space="preserve"> </w:t>
      </w:r>
      <w:r w:rsidRPr="00F37566">
        <w:rPr>
          <w:color w:val="231F20"/>
          <w:sz w:val="23"/>
          <w:szCs w:val="23"/>
        </w:rPr>
        <w:t>A</w:t>
      </w:r>
      <w:r w:rsidRPr="00F37566">
        <w:rPr>
          <w:color w:val="231F20"/>
          <w:spacing w:val="-4"/>
          <w:sz w:val="23"/>
          <w:szCs w:val="23"/>
        </w:rPr>
        <w:t>s</w:t>
      </w:r>
      <w:r w:rsidRPr="00F37566">
        <w:rPr>
          <w:color w:val="231F20"/>
          <w:spacing w:val="-3"/>
          <w:sz w:val="23"/>
          <w:szCs w:val="23"/>
        </w:rPr>
        <w:t>s</w:t>
      </w:r>
      <w:r w:rsidRPr="00F37566">
        <w:rPr>
          <w:color w:val="231F20"/>
          <w:spacing w:val="-4"/>
          <w:sz w:val="23"/>
          <w:szCs w:val="23"/>
        </w:rPr>
        <w:t>o</w:t>
      </w:r>
      <w:r w:rsidRPr="00F37566">
        <w:rPr>
          <w:color w:val="231F20"/>
          <w:spacing w:val="-5"/>
          <w:sz w:val="23"/>
          <w:szCs w:val="23"/>
        </w:rPr>
        <w:t>c</w:t>
      </w:r>
      <w:r w:rsidRPr="00F37566">
        <w:rPr>
          <w:color w:val="231F20"/>
          <w:spacing w:val="-4"/>
          <w:sz w:val="23"/>
          <w:szCs w:val="23"/>
        </w:rPr>
        <w:t>i</w:t>
      </w:r>
      <w:r w:rsidRPr="00F37566">
        <w:rPr>
          <w:color w:val="231F20"/>
          <w:spacing w:val="-5"/>
          <w:sz w:val="23"/>
          <w:szCs w:val="23"/>
        </w:rPr>
        <w:t>a</w:t>
      </w:r>
      <w:r w:rsidRPr="00F37566">
        <w:rPr>
          <w:color w:val="231F20"/>
          <w:spacing w:val="-4"/>
          <w:sz w:val="23"/>
          <w:szCs w:val="23"/>
        </w:rPr>
        <w:t>t</w:t>
      </w:r>
      <w:r w:rsidRPr="00F37566">
        <w:rPr>
          <w:color w:val="231F20"/>
          <w:spacing w:val="-5"/>
          <w:sz w:val="23"/>
          <w:szCs w:val="23"/>
        </w:rPr>
        <w:t>io</w:t>
      </w:r>
      <w:r w:rsidRPr="00F37566">
        <w:rPr>
          <w:color w:val="231F20"/>
          <w:sz w:val="23"/>
          <w:szCs w:val="23"/>
        </w:rPr>
        <w:t>n</w:t>
      </w:r>
      <w:r>
        <w:rPr>
          <w:color w:val="231F20"/>
          <w:sz w:val="23"/>
          <w:szCs w:val="23"/>
        </w:rPr>
        <w:t>, hosted</w:t>
      </w:r>
      <w:r w:rsidRPr="00F37566">
        <w:rPr>
          <w:color w:val="231F20"/>
          <w:spacing w:val="-9"/>
          <w:sz w:val="23"/>
          <w:szCs w:val="23"/>
        </w:rPr>
        <w:t xml:space="preserve"> </w:t>
      </w:r>
      <w:r w:rsidRPr="00F37566">
        <w:rPr>
          <w:color w:val="231F20"/>
          <w:spacing w:val="-4"/>
          <w:sz w:val="23"/>
          <w:szCs w:val="23"/>
        </w:rPr>
        <w:t>a</w:t>
      </w:r>
      <w:r w:rsidRPr="00F37566">
        <w:rPr>
          <w:color w:val="231F20"/>
          <w:sz w:val="23"/>
          <w:szCs w:val="23"/>
        </w:rPr>
        <w:t>n</w:t>
      </w:r>
      <w:r w:rsidRPr="00F37566">
        <w:rPr>
          <w:color w:val="231F20"/>
          <w:spacing w:val="-9"/>
          <w:sz w:val="23"/>
          <w:szCs w:val="23"/>
        </w:rPr>
        <w:t xml:space="preserve"> </w:t>
      </w:r>
      <w:r w:rsidRPr="00F37566">
        <w:rPr>
          <w:color w:val="231F20"/>
          <w:spacing w:val="-4"/>
          <w:sz w:val="23"/>
          <w:szCs w:val="23"/>
        </w:rPr>
        <w:t>I</w:t>
      </w:r>
      <w:r w:rsidRPr="00F37566">
        <w:rPr>
          <w:color w:val="231F20"/>
          <w:spacing w:val="-5"/>
          <w:sz w:val="23"/>
          <w:szCs w:val="23"/>
        </w:rPr>
        <w:t>ndig</w:t>
      </w:r>
      <w:r w:rsidRPr="00F37566">
        <w:rPr>
          <w:color w:val="231F20"/>
          <w:spacing w:val="-4"/>
          <w:sz w:val="23"/>
          <w:szCs w:val="23"/>
        </w:rPr>
        <w:t>e</w:t>
      </w:r>
      <w:r w:rsidRPr="00F37566">
        <w:rPr>
          <w:color w:val="231F20"/>
          <w:spacing w:val="-5"/>
          <w:sz w:val="23"/>
          <w:szCs w:val="23"/>
        </w:rPr>
        <w:t>no</w:t>
      </w:r>
      <w:r w:rsidRPr="00F37566">
        <w:rPr>
          <w:color w:val="231F20"/>
          <w:spacing w:val="-4"/>
          <w:sz w:val="23"/>
          <w:szCs w:val="23"/>
        </w:rPr>
        <w:t>u</w:t>
      </w:r>
      <w:r w:rsidRPr="00F37566">
        <w:rPr>
          <w:color w:val="231F20"/>
          <w:sz w:val="23"/>
          <w:szCs w:val="23"/>
        </w:rPr>
        <w:t>s</w:t>
      </w:r>
      <w:r w:rsidRPr="00F37566">
        <w:rPr>
          <w:color w:val="231F20"/>
          <w:w w:val="101"/>
          <w:sz w:val="23"/>
          <w:szCs w:val="23"/>
        </w:rPr>
        <w:t xml:space="preserve"> </w:t>
      </w:r>
      <w:r w:rsidRPr="00F37566">
        <w:rPr>
          <w:color w:val="231F20"/>
          <w:spacing w:val="-10"/>
          <w:sz w:val="23"/>
          <w:szCs w:val="23"/>
        </w:rPr>
        <w:t>F</w:t>
      </w:r>
      <w:r w:rsidRPr="00F37566">
        <w:rPr>
          <w:color w:val="231F20"/>
          <w:spacing w:val="-4"/>
          <w:sz w:val="23"/>
          <w:szCs w:val="23"/>
        </w:rPr>
        <w:t>o</w:t>
      </w:r>
      <w:r w:rsidRPr="00F37566">
        <w:rPr>
          <w:color w:val="231F20"/>
          <w:spacing w:val="-5"/>
          <w:sz w:val="23"/>
          <w:szCs w:val="23"/>
        </w:rPr>
        <w:t>c</w:t>
      </w:r>
      <w:r w:rsidRPr="00F37566">
        <w:rPr>
          <w:color w:val="231F20"/>
          <w:spacing w:val="-4"/>
          <w:sz w:val="23"/>
          <w:szCs w:val="23"/>
        </w:rPr>
        <w:t>u</w:t>
      </w:r>
      <w:r w:rsidRPr="00F37566">
        <w:rPr>
          <w:color w:val="231F20"/>
          <w:sz w:val="23"/>
          <w:szCs w:val="23"/>
        </w:rPr>
        <w:t>s</w:t>
      </w:r>
      <w:r w:rsidRPr="00F37566">
        <w:rPr>
          <w:color w:val="231F20"/>
          <w:spacing w:val="-21"/>
          <w:sz w:val="23"/>
          <w:szCs w:val="23"/>
        </w:rPr>
        <w:t xml:space="preserve"> </w:t>
      </w:r>
      <w:r w:rsidRPr="00F37566">
        <w:rPr>
          <w:color w:val="231F20"/>
          <w:spacing w:val="-8"/>
          <w:sz w:val="23"/>
          <w:szCs w:val="23"/>
        </w:rPr>
        <w:t>D</w:t>
      </w:r>
      <w:r w:rsidRPr="00F37566">
        <w:rPr>
          <w:color w:val="231F20"/>
          <w:spacing w:val="-7"/>
          <w:sz w:val="23"/>
          <w:szCs w:val="23"/>
        </w:rPr>
        <w:t>a</w:t>
      </w:r>
      <w:r w:rsidRPr="00F37566">
        <w:rPr>
          <w:color w:val="231F20"/>
          <w:sz w:val="23"/>
          <w:szCs w:val="23"/>
        </w:rPr>
        <w:t>y</w:t>
      </w:r>
      <w:r w:rsidRPr="00F37566">
        <w:rPr>
          <w:color w:val="231F20"/>
          <w:spacing w:val="-21"/>
          <w:sz w:val="23"/>
          <w:szCs w:val="23"/>
        </w:rPr>
        <w:t xml:space="preserve"> </w:t>
      </w:r>
      <w:r w:rsidRPr="00F37566">
        <w:rPr>
          <w:color w:val="231F20"/>
          <w:spacing w:val="-4"/>
          <w:sz w:val="23"/>
          <w:szCs w:val="23"/>
        </w:rPr>
        <w:t>h</w:t>
      </w:r>
      <w:r w:rsidRPr="00F37566">
        <w:rPr>
          <w:color w:val="231F20"/>
          <w:spacing w:val="-5"/>
          <w:sz w:val="23"/>
          <w:szCs w:val="23"/>
        </w:rPr>
        <w:t>el</w:t>
      </w:r>
      <w:r w:rsidRPr="00F37566">
        <w:rPr>
          <w:color w:val="231F20"/>
          <w:sz w:val="23"/>
          <w:szCs w:val="23"/>
        </w:rPr>
        <w:t>d</w:t>
      </w:r>
      <w:r w:rsidRPr="00F37566">
        <w:rPr>
          <w:color w:val="231F20"/>
          <w:spacing w:val="-20"/>
          <w:sz w:val="23"/>
          <w:szCs w:val="23"/>
        </w:rPr>
        <w:t xml:space="preserve"> </w:t>
      </w:r>
      <w:r w:rsidRPr="00F37566">
        <w:rPr>
          <w:color w:val="231F20"/>
          <w:spacing w:val="-4"/>
          <w:sz w:val="23"/>
          <w:szCs w:val="23"/>
        </w:rPr>
        <w:t>i</w:t>
      </w:r>
      <w:r w:rsidRPr="00F37566">
        <w:rPr>
          <w:color w:val="231F20"/>
          <w:sz w:val="23"/>
          <w:szCs w:val="23"/>
        </w:rPr>
        <w:t>n</w:t>
      </w:r>
      <w:r w:rsidRPr="00F37566">
        <w:rPr>
          <w:color w:val="231F20"/>
          <w:spacing w:val="-21"/>
          <w:sz w:val="23"/>
          <w:szCs w:val="23"/>
        </w:rPr>
        <w:t xml:space="preserve"> </w:t>
      </w:r>
      <w:r w:rsidRPr="00F37566">
        <w:rPr>
          <w:color w:val="231F20"/>
          <w:spacing w:val="-6"/>
          <w:sz w:val="23"/>
          <w:szCs w:val="23"/>
        </w:rPr>
        <w:t>c</w:t>
      </w:r>
      <w:r w:rsidRPr="00F37566">
        <w:rPr>
          <w:color w:val="231F20"/>
          <w:spacing w:val="-5"/>
          <w:sz w:val="23"/>
          <w:szCs w:val="23"/>
        </w:rPr>
        <w:t>o</w:t>
      </w:r>
      <w:r w:rsidRPr="00F37566">
        <w:rPr>
          <w:color w:val="231F20"/>
          <w:spacing w:val="-4"/>
          <w:sz w:val="23"/>
          <w:szCs w:val="23"/>
        </w:rPr>
        <w:t>nju</w:t>
      </w:r>
      <w:r w:rsidRPr="00F37566">
        <w:rPr>
          <w:color w:val="231F20"/>
          <w:spacing w:val="-5"/>
          <w:sz w:val="23"/>
          <w:szCs w:val="23"/>
        </w:rPr>
        <w:t>nc</w:t>
      </w:r>
      <w:r w:rsidRPr="00F37566">
        <w:rPr>
          <w:color w:val="231F20"/>
          <w:spacing w:val="-4"/>
          <w:sz w:val="23"/>
          <w:szCs w:val="23"/>
        </w:rPr>
        <w:t>t</w:t>
      </w:r>
      <w:r w:rsidRPr="00F37566">
        <w:rPr>
          <w:color w:val="231F20"/>
          <w:spacing w:val="-5"/>
          <w:sz w:val="23"/>
          <w:szCs w:val="23"/>
        </w:rPr>
        <w:t>io</w:t>
      </w:r>
      <w:r w:rsidRPr="00F37566">
        <w:rPr>
          <w:color w:val="231F20"/>
          <w:sz w:val="23"/>
          <w:szCs w:val="23"/>
        </w:rPr>
        <w:t>n</w:t>
      </w:r>
      <w:r w:rsidRPr="00F37566">
        <w:rPr>
          <w:color w:val="231F20"/>
          <w:w w:val="109"/>
          <w:sz w:val="23"/>
          <w:szCs w:val="23"/>
        </w:rPr>
        <w:t xml:space="preserve"> </w:t>
      </w:r>
      <w:r w:rsidRPr="00F37566">
        <w:rPr>
          <w:color w:val="231F20"/>
          <w:spacing w:val="-4"/>
          <w:sz w:val="23"/>
          <w:szCs w:val="23"/>
        </w:rPr>
        <w:t>w</w:t>
      </w:r>
      <w:r w:rsidRPr="00F37566">
        <w:rPr>
          <w:color w:val="231F20"/>
          <w:spacing w:val="-5"/>
          <w:sz w:val="23"/>
          <w:szCs w:val="23"/>
        </w:rPr>
        <w:t>i</w:t>
      </w:r>
      <w:r w:rsidRPr="00F37566">
        <w:rPr>
          <w:color w:val="231F20"/>
          <w:spacing w:val="-4"/>
          <w:sz w:val="23"/>
          <w:szCs w:val="23"/>
        </w:rPr>
        <w:t>t</w:t>
      </w:r>
      <w:r w:rsidRPr="00F37566">
        <w:rPr>
          <w:color w:val="231F20"/>
          <w:sz w:val="23"/>
          <w:szCs w:val="23"/>
        </w:rPr>
        <w:t>h</w:t>
      </w:r>
      <w:r w:rsidRPr="00F37566">
        <w:rPr>
          <w:color w:val="231F20"/>
          <w:spacing w:val="-9"/>
          <w:sz w:val="23"/>
          <w:szCs w:val="23"/>
        </w:rPr>
        <w:t xml:space="preserve"> </w:t>
      </w:r>
      <w:r w:rsidRPr="00F37566">
        <w:rPr>
          <w:color w:val="231F20"/>
          <w:spacing w:val="-4"/>
          <w:sz w:val="23"/>
          <w:szCs w:val="23"/>
        </w:rPr>
        <w:t>th</w:t>
      </w:r>
      <w:r w:rsidRPr="00F37566">
        <w:rPr>
          <w:color w:val="231F20"/>
          <w:sz w:val="23"/>
          <w:szCs w:val="23"/>
        </w:rPr>
        <w:t>e</w:t>
      </w:r>
      <w:r w:rsidRPr="00F37566">
        <w:rPr>
          <w:color w:val="231F20"/>
          <w:spacing w:val="-8"/>
          <w:sz w:val="23"/>
          <w:szCs w:val="23"/>
        </w:rPr>
        <w:t xml:space="preserve"> </w:t>
      </w:r>
      <w:r w:rsidRPr="00F37566">
        <w:rPr>
          <w:color w:val="231F20"/>
          <w:spacing w:val="-4"/>
          <w:sz w:val="23"/>
          <w:szCs w:val="23"/>
        </w:rPr>
        <w:t>B</w:t>
      </w:r>
      <w:r w:rsidRPr="00F37566">
        <w:rPr>
          <w:color w:val="231F20"/>
          <w:spacing w:val="-7"/>
          <w:sz w:val="23"/>
          <w:szCs w:val="23"/>
        </w:rPr>
        <w:t>r</w:t>
      </w:r>
      <w:r w:rsidRPr="00F37566">
        <w:rPr>
          <w:color w:val="231F20"/>
          <w:spacing w:val="-5"/>
          <w:sz w:val="23"/>
          <w:szCs w:val="23"/>
        </w:rPr>
        <w:t>o</w:t>
      </w:r>
      <w:r w:rsidRPr="00F37566">
        <w:rPr>
          <w:color w:val="231F20"/>
          <w:spacing w:val="-6"/>
          <w:sz w:val="23"/>
          <w:szCs w:val="23"/>
        </w:rPr>
        <w:t>a</w:t>
      </w:r>
      <w:r w:rsidRPr="00F37566">
        <w:rPr>
          <w:color w:val="231F20"/>
          <w:spacing w:val="-4"/>
          <w:sz w:val="23"/>
          <w:szCs w:val="23"/>
        </w:rPr>
        <w:t>dba</w:t>
      </w:r>
      <w:r w:rsidRPr="00F37566">
        <w:rPr>
          <w:color w:val="231F20"/>
          <w:spacing w:val="-5"/>
          <w:sz w:val="23"/>
          <w:szCs w:val="23"/>
        </w:rPr>
        <w:t>n</w:t>
      </w:r>
      <w:r w:rsidRPr="00F37566">
        <w:rPr>
          <w:color w:val="231F20"/>
          <w:sz w:val="23"/>
          <w:szCs w:val="23"/>
        </w:rPr>
        <w:t>d</w:t>
      </w:r>
      <w:r w:rsidRPr="00F37566">
        <w:rPr>
          <w:color w:val="231F20"/>
          <w:spacing w:val="-8"/>
          <w:sz w:val="23"/>
          <w:szCs w:val="23"/>
        </w:rPr>
        <w:t xml:space="preserve"> f</w:t>
      </w:r>
      <w:r w:rsidRPr="00F37566">
        <w:rPr>
          <w:color w:val="231F20"/>
          <w:spacing w:val="-5"/>
          <w:sz w:val="23"/>
          <w:szCs w:val="23"/>
        </w:rPr>
        <w:t>o</w:t>
      </w:r>
      <w:r w:rsidRPr="00F37566">
        <w:rPr>
          <w:color w:val="231F20"/>
          <w:sz w:val="23"/>
          <w:szCs w:val="23"/>
        </w:rPr>
        <w:t>r</w:t>
      </w:r>
      <w:r w:rsidRPr="00F37566">
        <w:rPr>
          <w:color w:val="231F20"/>
          <w:spacing w:val="-8"/>
          <w:sz w:val="23"/>
          <w:szCs w:val="23"/>
        </w:rPr>
        <w:t xml:space="preserve"> </w:t>
      </w:r>
      <w:r w:rsidRPr="00F37566">
        <w:rPr>
          <w:color w:val="231F20"/>
          <w:spacing w:val="-4"/>
          <w:sz w:val="23"/>
          <w:szCs w:val="23"/>
        </w:rPr>
        <w:t>th</w:t>
      </w:r>
      <w:r w:rsidRPr="00F37566">
        <w:rPr>
          <w:color w:val="231F20"/>
          <w:sz w:val="23"/>
          <w:szCs w:val="23"/>
        </w:rPr>
        <w:t>e</w:t>
      </w:r>
      <w:r w:rsidRPr="00F37566">
        <w:rPr>
          <w:color w:val="231F20"/>
          <w:spacing w:val="-8"/>
          <w:sz w:val="23"/>
          <w:szCs w:val="23"/>
        </w:rPr>
        <w:t xml:space="preserve"> </w:t>
      </w:r>
      <w:r w:rsidRPr="00F37566">
        <w:rPr>
          <w:color w:val="231F20"/>
          <w:spacing w:val="-4"/>
          <w:sz w:val="23"/>
          <w:szCs w:val="23"/>
        </w:rPr>
        <w:t>Bush</w:t>
      </w:r>
      <w:r w:rsidRPr="00F37566">
        <w:rPr>
          <w:color w:val="231F20"/>
          <w:spacing w:val="-4"/>
          <w:w w:val="104"/>
          <w:sz w:val="23"/>
          <w:szCs w:val="23"/>
        </w:rPr>
        <w:t xml:space="preserve"> </w:t>
      </w:r>
      <w:r w:rsidRPr="00F37566">
        <w:rPr>
          <w:color w:val="231F20"/>
          <w:spacing w:val="-10"/>
          <w:sz w:val="23"/>
          <w:szCs w:val="23"/>
        </w:rPr>
        <w:t>F</w:t>
      </w:r>
      <w:r w:rsidRPr="00F37566">
        <w:rPr>
          <w:color w:val="231F20"/>
          <w:spacing w:val="-5"/>
          <w:sz w:val="23"/>
          <w:szCs w:val="23"/>
        </w:rPr>
        <w:t>o</w:t>
      </w:r>
      <w:r w:rsidRPr="00F37566">
        <w:rPr>
          <w:color w:val="231F20"/>
          <w:sz w:val="23"/>
          <w:szCs w:val="23"/>
        </w:rPr>
        <w:t>r</w:t>
      </w:r>
      <w:r w:rsidRPr="00F37566">
        <w:rPr>
          <w:color w:val="231F20"/>
          <w:spacing w:val="-4"/>
          <w:sz w:val="23"/>
          <w:szCs w:val="23"/>
        </w:rPr>
        <w:t>u</w:t>
      </w:r>
      <w:r w:rsidRPr="00F37566">
        <w:rPr>
          <w:color w:val="231F20"/>
          <w:sz w:val="23"/>
          <w:szCs w:val="23"/>
        </w:rPr>
        <w:t>m</w:t>
      </w:r>
      <w:r>
        <w:rPr>
          <w:color w:val="231F20"/>
          <w:sz w:val="23"/>
          <w:szCs w:val="23"/>
        </w:rPr>
        <w:t>;</w:t>
      </w:r>
    </w:p>
    <w:p w14:paraId="48A3A0CD" w14:textId="77777777" w:rsidR="00892FC4" w:rsidRPr="00560CB2" w:rsidRDefault="0038690F" w:rsidP="000925EE">
      <w:pPr>
        <w:numPr>
          <w:ilvl w:val="0"/>
          <w:numId w:val="21"/>
        </w:numPr>
        <w:tabs>
          <w:tab w:val="left" w:pos="426"/>
        </w:tabs>
        <w:spacing w:after="0"/>
        <w:ind w:left="426" w:hanging="426"/>
        <w:contextualSpacing/>
        <w:rPr>
          <w:sz w:val="23"/>
          <w:szCs w:val="23"/>
        </w:rPr>
      </w:pPr>
      <w:r>
        <w:rPr>
          <w:color w:val="231F20"/>
          <w:spacing w:val="-3"/>
          <w:w w:val="95"/>
          <w:sz w:val="23"/>
          <w:szCs w:val="23"/>
        </w:rPr>
        <w:t>a</w:t>
      </w:r>
      <w:r w:rsidRPr="00F37566">
        <w:rPr>
          <w:color w:val="231F20"/>
          <w:spacing w:val="-3"/>
          <w:w w:val="95"/>
          <w:sz w:val="23"/>
          <w:szCs w:val="23"/>
        </w:rPr>
        <w:t>ttend</w:t>
      </w:r>
      <w:r w:rsidRPr="00F37566">
        <w:rPr>
          <w:color w:val="231F20"/>
          <w:spacing w:val="-2"/>
          <w:w w:val="95"/>
          <w:sz w:val="23"/>
          <w:szCs w:val="23"/>
        </w:rPr>
        <w:t>e</w:t>
      </w:r>
      <w:r w:rsidRPr="00F37566">
        <w:rPr>
          <w:color w:val="231F20"/>
          <w:w w:val="95"/>
          <w:sz w:val="23"/>
          <w:szCs w:val="23"/>
        </w:rPr>
        <w:t>d</w:t>
      </w:r>
      <w:r w:rsidRPr="00F37566">
        <w:rPr>
          <w:color w:val="231F20"/>
          <w:spacing w:val="-2"/>
          <w:w w:val="95"/>
          <w:sz w:val="23"/>
          <w:szCs w:val="23"/>
        </w:rPr>
        <w:t xml:space="preserve"> </w:t>
      </w:r>
      <w:r w:rsidRPr="00F37566">
        <w:rPr>
          <w:color w:val="231F20"/>
          <w:spacing w:val="-3"/>
          <w:w w:val="95"/>
          <w:sz w:val="23"/>
          <w:szCs w:val="23"/>
        </w:rPr>
        <w:t>th</w:t>
      </w:r>
      <w:r w:rsidRPr="00F37566">
        <w:rPr>
          <w:color w:val="231F20"/>
          <w:w w:val="95"/>
          <w:sz w:val="23"/>
          <w:szCs w:val="23"/>
        </w:rPr>
        <w:t>e</w:t>
      </w:r>
      <w:r w:rsidRPr="00F37566">
        <w:rPr>
          <w:color w:val="231F20"/>
          <w:spacing w:val="-1"/>
          <w:w w:val="95"/>
          <w:sz w:val="23"/>
          <w:szCs w:val="23"/>
        </w:rPr>
        <w:t xml:space="preserve"> Council of Small Business Australia (</w:t>
      </w:r>
      <w:r w:rsidRPr="00F37566">
        <w:rPr>
          <w:color w:val="231F20"/>
          <w:spacing w:val="-4"/>
          <w:w w:val="95"/>
          <w:sz w:val="23"/>
          <w:szCs w:val="23"/>
        </w:rPr>
        <w:t>C</w:t>
      </w:r>
      <w:r w:rsidRPr="00F37566">
        <w:rPr>
          <w:color w:val="231F20"/>
          <w:spacing w:val="-1"/>
          <w:w w:val="95"/>
          <w:sz w:val="23"/>
          <w:szCs w:val="23"/>
        </w:rPr>
        <w:t>O</w:t>
      </w:r>
      <w:r w:rsidRPr="00F37566">
        <w:rPr>
          <w:color w:val="231F20"/>
          <w:spacing w:val="-4"/>
          <w:w w:val="95"/>
          <w:sz w:val="23"/>
          <w:szCs w:val="23"/>
        </w:rPr>
        <w:t>SB</w:t>
      </w:r>
      <w:r w:rsidRPr="00F37566">
        <w:rPr>
          <w:color w:val="231F20"/>
          <w:spacing w:val="-6"/>
          <w:w w:val="95"/>
          <w:sz w:val="23"/>
          <w:szCs w:val="23"/>
        </w:rPr>
        <w:t>O</w:t>
      </w:r>
      <w:r w:rsidRPr="00F37566">
        <w:rPr>
          <w:color w:val="231F20"/>
          <w:w w:val="95"/>
          <w:sz w:val="23"/>
          <w:szCs w:val="23"/>
        </w:rPr>
        <w:t>A)</w:t>
      </w:r>
      <w:r w:rsidRPr="00F37566">
        <w:rPr>
          <w:color w:val="231F20"/>
          <w:w w:val="83"/>
          <w:sz w:val="23"/>
          <w:szCs w:val="23"/>
        </w:rPr>
        <w:t xml:space="preserve"> </w:t>
      </w:r>
      <w:r w:rsidRPr="00F37566">
        <w:rPr>
          <w:color w:val="231F20"/>
          <w:spacing w:val="-4"/>
          <w:w w:val="105"/>
          <w:sz w:val="23"/>
          <w:szCs w:val="23"/>
        </w:rPr>
        <w:t>Co</w:t>
      </w:r>
      <w:r w:rsidRPr="00F37566">
        <w:rPr>
          <w:color w:val="231F20"/>
          <w:spacing w:val="-3"/>
          <w:w w:val="105"/>
          <w:sz w:val="23"/>
          <w:szCs w:val="23"/>
        </w:rPr>
        <w:t>n</w:t>
      </w:r>
      <w:r w:rsidRPr="00F37566">
        <w:rPr>
          <w:color w:val="231F20"/>
          <w:spacing w:val="-6"/>
          <w:w w:val="105"/>
          <w:sz w:val="23"/>
          <w:szCs w:val="23"/>
        </w:rPr>
        <w:t>f</w:t>
      </w:r>
      <w:r w:rsidRPr="00F37566">
        <w:rPr>
          <w:color w:val="231F20"/>
          <w:spacing w:val="-3"/>
          <w:w w:val="105"/>
          <w:sz w:val="23"/>
          <w:szCs w:val="23"/>
        </w:rPr>
        <w:t>e</w:t>
      </w:r>
      <w:r w:rsidRPr="00F37566">
        <w:rPr>
          <w:color w:val="231F20"/>
          <w:spacing w:val="-7"/>
          <w:w w:val="105"/>
          <w:sz w:val="23"/>
          <w:szCs w:val="23"/>
        </w:rPr>
        <w:t>r</w:t>
      </w:r>
      <w:r w:rsidRPr="00F37566">
        <w:rPr>
          <w:color w:val="231F20"/>
          <w:spacing w:val="-3"/>
          <w:w w:val="105"/>
          <w:sz w:val="23"/>
          <w:szCs w:val="23"/>
        </w:rPr>
        <w:t>en</w:t>
      </w:r>
      <w:r w:rsidRPr="00F37566">
        <w:rPr>
          <w:color w:val="231F20"/>
          <w:spacing w:val="-5"/>
          <w:w w:val="105"/>
          <w:sz w:val="23"/>
          <w:szCs w:val="23"/>
        </w:rPr>
        <w:t>c</w:t>
      </w:r>
      <w:r w:rsidRPr="00F37566">
        <w:rPr>
          <w:color w:val="231F20"/>
          <w:w w:val="105"/>
          <w:sz w:val="23"/>
          <w:szCs w:val="23"/>
        </w:rPr>
        <w:t>e;</w:t>
      </w:r>
    </w:p>
    <w:p w14:paraId="48A3A0CE" w14:textId="77777777" w:rsidR="00892FC4" w:rsidRPr="00560CB2" w:rsidRDefault="0038690F" w:rsidP="000925EE">
      <w:pPr>
        <w:numPr>
          <w:ilvl w:val="0"/>
          <w:numId w:val="21"/>
        </w:numPr>
        <w:tabs>
          <w:tab w:val="left" w:pos="426"/>
        </w:tabs>
        <w:spacing w:after="0"/>
        <w:ind w:left="426" w:hanging="426"/>
        <w:contextualSpacing/>
        <w:rPr>
          <w:sz w:val="23"/>
          <w:szCs w:val="23"/>
        </w:rPr>
      </w:pPr>
      <w:r>
        <w:rPr>
          <w:sz w:val="23"/>
          <w:szCs w:val="23"/>
        </w:rPr>
        <w:t>h</w:t>
      </w:r>
      <w:r w:rsidRPr="00303268">
        <w:rPr>
          <w:sz w:val="23"/>
          <w:szCs w:val="23"/>
        </w:rPr>
        <w:t xml:space="preserve">eld an information stall at the </w:t>
      </w:r>
      <w:r w:rsidRPr="00560CB2">
        <w:rPr>
          <w:sz w:val="23"/>
          <w:szCs w:val="23"/>
        </w:rPr>
        <w:t>biennial Federation of Ethnic Communities’ Councils of Australia (FECCA) Conference</w:t>
      </w:r>
      <w:r>
        <w:rPr>
          <w:sz w:val="23"/>
          <w:szCs w:val="23"/>
        </w:rPr>
        <w:t xml:space="preserve">, the </w:t>
      </w:r>
      <w:proofErr w:type="spellStart"/>
      <w:r>
        <w:rPr>
          <w:sz w:val="23"/>
          <w:szCs w:val="23"/>
        </w:rPr>
        <w:t>Yabun</w:t>
      </w:r>
      <w:proofErr w:type="spellEnd"/>
      <w:r>
        <w:rPr>
          <w:sz w:val="23"/>
          <w:szCs w:val="23"/>
        </w:rPr>
        <w:t xml:space="preserve"> Festival, the CLICK Digital Expo, the Australian Seniors Computer Club Association conference and the Liverpool Chamber of Commerce Small Biz Expo;</w:t>
      </w:r>
      <w:r w:rsidRPr="00560CB2">
        <w:rPr>
          <w:sz w:val="23"/>
          <w:szCs w:val="23"/>
        </w:rPr>
        <w:t xml:space="preserve"> </w:t>
      </w:r>
      <w:r>
        <w:rPr>
          <w:sz w:val="23"/>
          <w:szCs w:val="23"/>
        </w:rPr>
        <w:t>and</w:t>
      </w:r>
    </w:p>
    <w:p w14:paraId="48A3A0CF" w14:textId="77777777" w:rsidR="00892FC4" w:rsidRPr="00224CCC" w:rsidRDefault="0038690F" w:rsidP="000925EE">
      <w:pPr>
        <w:numPr>
          <w:ilvl w:val="0"/>
          <w:numId w:val="21"/>
        </w:numPr>
        <w:tabs>
          <w:tab w:val="left" w:pos="426"/>
        </w:tabs>
        <w:spacing w:after="0"/>
        <w:ind w:left="426" w:hanging="426"/>
        <w:contextualSpacing/>
        <w:rPr>
          <w:sz w:val="23"/>
          <w:szCs w:val="23"/>
        </w:rPr>
      </w:pPr>
      <w:proofErr w:type="gramStart"/>
      <w:r>
        <w:rPr>
          <w:sz w:val="23"/>
          <w:szCs w:val="23"/>
        </w:rPr>
        <w:t>c</w:t>
      </w:r>
      <w:r w:rsidRPr="00224CCC">
        <w:rPr>
          <w:sz w:val="23"/>
          <w:szCs w:val="23"/>
        </w:rPr>
        <w:t>on</w:t>
      </w:r>
      <w:r w:rsidRPr="00560CB2">
        <w:rPr>
          <w:sz w:val="23"/>
          <w:szCs w:val="23"/>
        </w:rPr>
        <w:t>tinued</w:t>
      </w:r>
      <w:proofErr w:type="gramEnd"/>
      <w:r w:rsidRPr="00224CCC">
        <w:rPr>
          <w:sz w:val="23"/>
          <w:szCs w:val="23"/>
        </w:rPr>
        <w:t xml:space="preserve"> its engagement with industry through quarterly meetings with Communications Alliance</w:t>
      </w:r>
      <w:r>
        <w:rPr>
          <w:sz w:val="23"/>
          <w:szCs w:val="23"/>
        </w:rPr>
        <w:t xml:space="preserve"> and participation in </w:t>
      </w:r>
      <w:r w:rsidRPr="00224CCC">
        <w:rPr>
          <w:sz w:val="23"/>
          <w:szCs w:val="23"/>
        </w:rPr>
        <w:t>Communications Alliance</w:t>
      </w:r>
      <w:r>
        <w:rPr>
          <w:sz w:val="23"/>
          <w:szCs w:val="23"/>
        </w:rPr>
        <w:t xml:space="preserve"> working groups</w:t>
      </w:r>
      <w:r w:rsidRPr="00224CCC">
        <w:rPr>
          <w:sz w:val="23"/>
          <w:szCs w:val="23"/>
        </w:rPr>
        <w:t xml:space="preserve">, bi-annual meetings with the Australian Mobile Telecommunications Association and through regular briefings and issues-specific dialogue with the major </w:t>
      </w:r>
      <w:r>
        <w:rPr>
          <w:sz w:val="23"/>
          <w:szCs w:val="23"/>
        </w:rPr>
        <w:t xml:space="preserve">retail telecommunications service </w:t>
      </w:r>
      <w:r w:rsidRPr="00224CCC">
        <w:rPr>
          <w:sz w:val="23"/>
          <w:szCs w:val="23"/>
        </w:rPr>
        <w:t>providers.</w:t>
      </w:r>
    </w:p>
    <w:p w14:paraId="48A3A0D0" w14:textId="77777777" w:rsidR="000925EE" w:rsidRPr="000925EE" w:rsidRDefault="00C43592" w:rsidP="000925EE">
      <w:pPr>
        <w:spacing w:after="0"/>
        <w:rPr>
          <w:sz w:val="23"/>
          <w:szCs w:val="23"/>
        </w:rPr>
      </w:pPr>
    </w:p>
    <w:p w14:paraId="48A3A0D1" w14:textId="77777777" w:rsidR="00892FC4" w:rsidRPr="001C4329" w:rsidRDefault="0038690F" w:rsidP="000925EE">
      <w:pPr>
        <w:spacing w:after="0"/>
        <w:contextualSpacing/>
        <w:rPr>
          <w:sz w:val="23"/>
          <w:szCs w:val="23"/>
        </w:rPr>
      </w:pPr>
      <w:r>
        <w:rPr>
          <w:sz w:val="23"/>
          <w:szCs w:val="23"/>
        </w:rPr>
        <w:t xml:space="preserve">During </w:t>
      </w:r>
      <w:r w:rsidRPr="00657895">
        <w:rPr>
          <w:sz w:val="23"/>
          <w:szCs w:val="23"/>
        </w:rPr>
        <w:t>201</w:t>
      </w:r>
      <w:r>
        <w:rPr>
          <w:sz w:val="23"/>
          <w:szCs w:val="23"/>
        </w:rPr>
        <w:t>5</w:t>
      </w:r>
      <w:r w:rsidRPr="00657895">
        <w:rPr>
          <w:sz w:val="23"/>
          <w:szCs w:val="23"/>
        </w:rPr>
        <w:t>–1</w:t>
      </w:r>
      <w:r>
        <w:rPr>
          <w:sz w:val="23"/>
          <w:szCs w:val="23"/>
        </w:rPr>
        <w:t xml:space="preserve">6 </w:t>
      </w:r>
      <w:r w:rsidRPr="001C4329">
        <w:rPr>
          <w:sz w:val="23"/>
          <w:szCs w:val="23"/>
        </w:rPr>
        <w:t xml:space="preserve">ACCAN </w:t>
      </w:r>
      <w:r>
        <w:rPr>
          <w:sz w:val="23"/>
          <w:szCs w:val="23"/>
        </w:rPr>
        <w:t>also</w:t>
      </w:r>
      <w:r w:rsidRPr="001C4329">
        <w:rPr>
          <w:sz w:val="23"/>
          <w:szCs w:val="23"/>
        </w:rPr>
        <w:t>:</w:t>
      </w:r>
    </w:p>
    <w:p w14:paraId="48A3A0D2" w14:textId="77777777" w:rsidR="00892FC4" w:rsidRDefault="0038690F" w:rsidP="000925EE">
      <w:pPr>
        <w:numPr>
          <w:ilvl w:val="0"/>
          <w:numId w:val="21"/>
        </w:numPr>
        <w:tabs>
          <w:tab w:val="left" w:pos="426"/>
        </w:tabs>
        <w:spacing w:after="0"/>
        <w:contextualSpacing/>
        <w:rPr>
          <w:sz w:val="23"/>
          <w:szCs w:val="23"/>
        </w:rPr>
      </w:pPr>
      <w:r>
        <w:rPr>
          <w:sz w:val="23"/>
          <w:szCs w:val="23"/>
        </w:rPr>
        <w:t xml:space="preserve">issued </w:t>
      </w:r>
      <w:r w:rsidRPr="00F37566">
        <w:rPr>
          <w:color w:val="231F20"/>
          <w:spacing w:val="-3"/>
          <w:sz w:val="23"/>
          <w:szCs w:val="23"/>
        </w:rPr>
        <w:t>m</w:t>
      </w:r>
      <w:r w:rsidRPr="00F37566">
        <w:rPr>
          <w:color w:val="231F20"/>
          <w:spacing w:val="-2"/>
          <w:sz w:val="23"/>
          <w:szCs w:val="23"/>
        </w:rPr>
        <w:t>e</w:t>
      </w:r>
      <w:r w:rsidRPr="00F37566">
        <w:rPr>
          <w:color w:val="231F20"/>
          <w:spacing w:val="-3"/>
          <w:sz w:val="23"/>
          <w:szCs w:val="23"/>
        </w:rPr>
        <w:t>d</w:t>
      </w:r>
      <w:r w:rsidRPr="00F37566">
        <w:rPr>
          <w:color w:val="231F20"/>
          <w:spacing w:val="-1"/>
          <w:sz w:val="23"/>
          <w:szCs w:val="23"/>
        </w:rPr>
        <w:t>i</w:t>
      </w:r>
      <w:r w:rsidRPr="00F37566">
        <w:rPr>
          <w:color w:val="231F20"/>
          <w:sz w:val="23"/>
          <w:szCs w:val="23"/>
        </w:rPr>
        <w:t>a</w:t>
      </w:r>
      <w:r w:rsidRPr="00F37566">
        <w:rPr>
          <w:color w:val="231F20"/>
          <w:spacing w:val="-11"/>
          <w:sz w:val="23"/>
          <w:szCs w:val="23"/>
        </w:rPr>
        <w:t xml:space="preserve"> </w:t>
      </w:r>
      <w:r w:rsidRPr="00F37566">
        <w:rPr>
          <w:color w:val="231F20"/>
          <w:spacing w:val="-6"/>
          <w:sz w:val="23"/>
          <w:szCs w:val="23"/>
        </w:rPr>
        <w:t>r</w:t>
      </w:r>
      <w:r w:rsidRPr="00F37566">
        <w:rPr>
          <w:color w:val="231F20"/>
          <w:spacing w:val="-4"/>
          <w:sz w:val="23"/>
          <w:szCs w:val="23"/>
        </w:rPr>
        <w:t>el</w:t>
      </w:r>
      <w:r w:rsidRPr="00F37566">
        <w:rPr>
          <w:color w:val="231F20"/>
          <w:spacing w:val="-3"/>
          <w:sz w:val="23"/>
          <w:szCs w:val="23"/>
        </w:rPr>
        <w:t>ea</w:t>
      </w:r>
      <w:r w:rsidRPr="00F37566">
        <w:rPr>
          <w:color w:val="231F20"/>
          <w:spacing w:val="-2"/>
          <w:sz w:val="23"/>
          <w:szCs w:val="23"/>
        </w:rPr>
        <w:t>s</w:t>
      </w:r>
      <w:r w:rsidRPr="00F37566">
        <w:rPr>
          <w:color w:val="231F20"/>
          <w:spacing w:val="-3"/>
          <w:sz w:val="23"/>
          <w:szCs w:val="23"/>
        </w:rPr>
        <w:t>e</w:t>
      </w:r>
      <w:r w:rsidRPr="00F37566">
        <w:rPr>
          <w:color w:val="231F20"/>
          <w:spacing w:val="-1"/>
          <w:sz w:val="23"/>
          <w:szCs w:val="23"/>
        </w:rPr>
        <w:t>s</w:t>
      </w:r>
      <w:r w:rsidRPr="00F37566">
        <w:rPr>
          <w:color w:val="231F20"/>
          <w:sz w:val="23"/>
          <w:szCs w:val="23"/>
        </w:rPr>
        <w:t xml:space="preserve"> </w:t>
      </w:r>
      <w:r w:rsidRPr="00F37566">
        <w:rPr>
          <w:color w:val="231F20"/>
          <w:spacing w:val="-5"/>
          <w:sz w:val="23"/>
          <w:szCs w:val="23"/>
        </w:rPr>
        <w:t>c</w:t>
      </w:r>
      <w:r w:rsidRPr="00F37566">
        <w:rPr>
          <w:color w:val="231F20"/>
          <w:spacing w:val="-3"/>
          <w:sz w:val="23"/>
          <w:szCs w:val="23"/>
        </w:rPr>
        <w:t>o</w:t>
      </w:r>
      <w:r w:rsidRPr="00F37566">
        <w:rPr>
          <w:color w:val="231F20"/>
          <w:spacing w:val="-5"/>
          <w:sz w:val="23"/>
          <w:szCs w:val="23"/>
        </w:rPr>
        <w:t>v</w:t>
      </w:r>
      <w:r w:rsidRPr="00F37566">
        <w:rPr>
          <w:color w:val="231F20"/>
          <w:spacing w:val="-3"/>
          <w:sz w:val="23"/>
          <w:szCs w:val="23"/>
        </w:rPr>
        <w:t>e</w:t>
      </w:r>
      <w:r w:rsidRPr="00F37566">
        <w:rPr>
          <w:color w:val="231F20"/>
          <w:sz w:val="23"/>
          <w:szCs w:val="23"/>
        </w:rPr>
        <w:t>r</w:t>
      </w:r>
      <w:r w:rsidRPr="00F37566">
        <w:rPr>
          <w:color w:val="231F20"/>
          <w:spacing w:val="-3"/>
          <w:sz w:val="23"/>
          <w:szCs w:val="23"/>
        </w:rPr>
        <w:t>ing</w:t>
      </w:r>
      <w:r w:rsidRPr="00F37566">
        <w:rPr>
          <w:color w:val="231F20"/>
          <w:spacing w:val="-3"/>
          <w:w w:val="99"/>
          <w:sz w:val="23"/>
          <w:szCs w:val="23"/>
        </w:rPr>
        <w:t xml:space="preserve"> </w:t>
      </w:r>
      <w:r w:rsidRPr="00F37566">
        <w:rPr>
          <w:color w:val="231F20"/>
          <w:spacing w:val="-4"/>
          <w:sz w:val="23"/>
          <w:szCs w:val="23"/>
        </w:rPr>
        <w:t>t</w:t>
      </w:r>
      <w:r w:rsidRPr="00F37566">
        <w:rPr>
          <w:color w:val="231F20"/>
          <w:spacing w:val="-3"/>
          <w:sz w:val="23"/>
          <w:szCs w:val="23"/>
        </w:rPr>
        <w:t>op</w:t>
      </w:r>
      <w:r w:rsidRPr="00F37566">
        <w:rPr>
          <w:color w:val="231F20"/>
          <w:spacing w:val="-4"/>
          <w:sz w:val="23"/>
          <w:szCs w:val="23"/>
        </w:rPr>
        <w:t>ic</w:t>
      </w:r>
      <w:r w:rsidRPr="00F37566">
        <w:rPr>
          <w:color w:val="231F20"/>
          <w:sz w:val="23"/>
          <w:szCs w:val="23"/>
        </w:rPr>
        <w:t>s</w:t>
      </w:r>
      <w:r w:rsidRPr="00F37566">
        <w:rPr>
          <w:color w:val="231F20"/>
          <w:spacing w:val="-10"/>
          <w:sz w:val="23"/>
          <w:szCs w:val="23"/>
        </w:rPr>
        <w:t xml:space="preserve"> </w:t>
      </w:r>
      <w:r w:rsidRPr="00F37566">
        <w:rPr>
          <w:color w:val="231F20"/>
          <w:spacing w:val="-3"/>
          <w:sz w:val="23"/>
          <w:szCs w:val="23"/>
        </w:rPr>
        <w:t>such as</w:t>
      </w:r>
      <w:r w:rsidRPr="00F37566">
        <w:rPr>
          <w:color w:val="231F20"/>
          <w:spacing w:val="-10"/>
          <w:sz w:val="23"/>
          <w:szCs w:val="23"/>
        </w:rPr>
        <w:t xml:space="preserve"> </w:t>
      </w:r>
      <w:r w:rsidRPr="00F37566">
        <w:rPr>
          <w:color w:val="231F20"/>
          <w:spacing w:val="-4"/>
          <w:sz w:val="23"/>
          <w:szCs w:val="23"/>
        </w:rPr>
        <w:t>af</w:t>
      </w:r>
      <w:r w:rsidRPr="00F37566">
        <w:rPr>
          <w:color w:val="231F20"/>
          <w:spacing w:val="-7"/>
          <w:sz w:val="23"/>
          <w:szCs w:val="23"/>
        </w:rPr>
        <w:t>f</w:t>
      </w:r>
      <w:r w:rsidRPr="00F37566">
        <w:rPr>
          <w:color w:val="231F20"/>
          <w:spacing w:val="-3"/>
          <w:sz w:val="23"/>
          <w:szCs w:val="23"/>
        </w:rPr>
        <w:t>o</w:t>
      </w:r>
      <w:r w:rsidRPr="00F37566">
        <w:rPr>
          <w:color w:val="231F20"/>
          <w:spacing w:val="-6"/>
          <w:sz w:val="23"/>
          <w:szCs w:val="23"/>
        </w:rPr>
        <w:t>r</w:t>
      </w:r>
      <w:r w:rsidRPr="00F37566">
        <w:rPr>
          <w:color w:val="231F20"/>
          <w:sz w:val="23"/>
          <w:szCs w:val="23"/>
        </w:rPr>
        <w:t>d</w:t>
      </w:r>
      <w:r w:rsidRPr="00F37566">
        <w:rPr>
          <w:color w:val="231F20"/>
          <w:spacing w:val="-2"/>
          <w:sz w:val="23"/>
          <w:szCs w:val="23"/>
        </w:rPr>
        <w:t>a</w:t>
      </w:r>
      <w:r w:rsidRPr="00F37566">
        <w:rPr>
          <w:color w:val="231F20"/>
          <w:spacing w:val="-3"/>
          <w:sz w:val="23"/>
          <w:szCs w:val="23"/>
        </w:rPr>
        <w:t>b</w:t>
      </w:r>
      <w:r w:rsidRPr="00F37566">
        <w:rPr>
          <w:color w:val="231F20"/>
          <w:spacing w:val="-4"/>
          <w:sz w:val="23"/>
          <w:szCs w:val="23"/>
        </w:rPr>
        <w:t>il</w:t>
      </w:r>
      <w:r w:rsidRPr="00F37566">
        <w:rPr>
          <w:color w:val="231F20"/>
          <w:spacing w:val="-3"/>
          <w:sz w:val="23"/>
          <w:szCs w:val="23"/>
        </w:rPr>
        <w:t>i</w:t>
      </w:r>
      <w:r w:rsidRPr="00F37566">
        <w:rPr>
          <w:color w:val="231F20"/>
          <w:spacing w:val="-2"/>
          <w:sz w:val="23"/>
          <w:szCs w:val="23"/>
        </w:rPr>
        <w:t>t</w:t>
      </w:r>
      <w:r w:rsidRPr="00F37566">
        <w:rPr>
          <w:color w:val="231F20"/>
          <w:spacing w:val="-17"/>
          <w:sz w:val="23"/>
          <w:szCs w:val="23"/>
        </w:rPr>
        <w:t>y</w:t>
      </w:r>
      <w:r w:rsidRPr="00F37566">
        <w:rPr>
          <w:color w:val="231F20"/>
          <w:sz w:val="23"/>
          <w:szCs w:val="23"/>
        </w:rPr>
        <w:t>,</w:t>
      </w:r>
      <w:r w:rsidRPr="00F37566">
        <w:rPr>
          <w:color w:val="231F20"/>
          <w:w w:val="97"/>
          <w:sz w:val="23"/>
          <w:szCs w:val="23"/>
        </w:rPr>
        <w:t xml:space="preserve"> </w:t>
      </w:r>
      <w:r w:rsidRPr="00F37566">
        <w:rPr>
          <w:color w:val="231F20"/>
          <w:spacing w:val="-4"/>
          <w:w w:val="95"/>
          <w:sz w:val="23"/>
          <w:szCs w:val="23"/>
        </w:rPr>
        <w:t>a</w:t>
      </w:r>
      <w:r w:rsidRPr="00F37566">
        <w:rPr>
          <w:color w:val="231F20"/>
          <w:spacing w:val="-6"/>
          <w:w w:val="95"/>
          <w:sz w:val="23"/>
          <w:szCs w:val="23"/>
        </w:rPr>
        <w:t>c</w:t>
      </w:r>
      <w:r w:rsidRPr="00F37566">
        <w:rPr>
          <w:color w:val="231F20"/>
          <w:spacing w:val="-5"/>
          <w:w w:val="95"/>
          <w:sz w:val="23"/>
          <w:szCs w:val="23"/>
        </w:rPr>
        <w:t>c</w:t>
      </w:r>
      <w:r w:rsidRPr="00F37566">
        <w:rPr>
          <w:color w:val="231F20"/>
          <w:spacing w:val="-3"/>
          <w:w w:val="95"/>
          <w:sz w:val="23"/>
          <w:szCs w:val="23"/>
        </w:rPr>
        <w:t>essib</w:t>
      </w:r>
      <w:r w:rsidRPr="00F37566">
        <w:rPr>
          <w:color w:val="231F20"/>
          <w:spacing w:val="-4"/>
          <w:w w:val="95"/>
          <w:sz w:val="23"/>
          <w:szCs w:val="23"/>
        </w:rPr>
        <w:t>il</w:t>
      </w:r>
      <w:r w:rsidRPr="00F37566">
        <w:rPr>
          <w:color w:val="231F20"/>
          <w:spacing w:val="-3"/>
          <w:w w:val="95"/>
          <w:sz w:val="23"/>
          <w:szCs w:val="23"/>
        </w:rPr>
        <w:t>i</w:t>
      </w:r>
      <w:r w:rsidRPr="00F37566">
        <w:rPr>
          <w:color w:val="231F20"/>
          <w:spacing w:val="-2"/>
          <w:w w:val="95"/>
          <w:sz w:val="23"/>
          <w:szCs w:val="23"/>
        </w:rPr>
        <w:t>t</w:t>
      </w:r>
      <w:r w:rsidRPr="00F37566">
        <w:rPr>
          <w:color w:val="231F20"/>
          <w:spacing w:val="-16"/>
          <w:w w:val="95"/>
          <w:sz w:val="23"/>
          <w:szCs w:val="23"/>
        </w:rPr>
        <w:t>y</w:t>
      </w:r>
      <w:r w:rsidRPr="00F37566">
        <w:rPr>
          <w:color w:val="231F20"/>
          <w:w w:val="95"/>
          <w:sz w:val="23"/>
          <w:szCs w:val="23"/>
        </w:rPr>
        <w:t>,</w:t>
      </w:r>
      <w:r>
        <w:rPr>
          <w:color w:val="231F20"/>
          <w:w w:val="95"/>
          <w:sz w:val="23"/>
          <w:szCs w:val="23"/>
        </w:rPr>
        <w:t xml:space="preserve"> the National Broadband Network</w:t>
      </w:r>
      <w:r w:rsidRPr="00F37566">
        <w:rPr>
          <w:color w:val="231F20"/>
          <w:spacing w:val="8"/>
          <w:w w:val="95"/>
          <w:sz w:val="23"/>
          <w:szCs w:val="23"/>
        </w:rPr>
        <w:t xml:space="preserve"> </w:t>
      </w:r>
      <w:r>
        <w:rPr>
          <w:color w:val="231F20"/>
          <w:spacing w:val="8"/>
          <w:w w:val="95"/>
          <w:sz w:val="23"/>
          <w:szCs w:val="23"/>
        </w:rPr>
        <w:t>(</w:t>
      </w:r>
      <w:r w:rsidRPr="00F37566">
        <w:rPr>
          <w:color w:val="231F20"/>
          <w:spacing w:val="-4"/>
          <w:w w:val="95"/>
          <w:sz w:val="23"/>
          <w:szCs w:val="23"/>
        </w:rPr>
        <w:t>NB</w:t>
      </w:r>
      <w:r w:rsidRPr="00F37566">
        <w:rPr>
          <w:color w:val="231F20"/>
          <w:spacing w:val="-2"/>
          <w:w w:val="95"/>
          <w:sz w:val="23"/>
          <w:szCs w:val="23"/>
        </w:rPr>
        <w:t>N</w:t>
      </w:r>
      <w:r>
        <w:rPr>
          <w:color w:val="231F20"/>
          <w:spacing w:val="-2"/>
          <w:w w:val="95"/>
          <w:sz w:val="23"/>
          <w:szCs w:val="23"/>
        </w:rPr>
        <w:t>)</w:t>
      </w:r>
      <w:r w:rsidRPr="00F37566">
        <w:rPr>
          <w:color w:val="231F20"/>
          <w:w w:val="95"/>
          <w:sz w:val="23"/>
          <w:szCs w:val="23"/>
        </w:rPr>
        <w:t>,</w:t>
      </w:r>
      <w:r w:rsidRPr="00F37566">
        <w:rPr>
          <w:color w:val="231F20"/>
          <w:spacing w:val="8"/>
          <w:w w:val="95"/>
          <w:sz w:val="23"/>
          <w:szCs w:val="23"/>
        </w:rPr>
        <w:t xml:space="preserve"> </w:t>
      </w:r>
      <w:r>
        <w:rPr>
          <w:color w:val="231F20"/>
          <w:spacing w:val="8"/>
          <w:w w:val="95"/>
          <w:sz w:val="23"/>
          <w:szCs w:val="23"/>
        </w:rPr>
        <w:t>Telecommunications Industry Ombudsman (</w:t>
      </w:r>
      <w:r w:rsidRPr="00F37566">
        <w:rPr>
          <w:color w:val="231F20"/>
          <w:spacing w:val="2"/>
          <w:w w:val="95"/>
          <w:sz w:val="23"/>
          <w:szCs w:val="23"/>
        </w:rPr>
        <w:t>T</w:t>
      </w:r>
      <w:r w:rsidRPr="00F37566">
        <w:rPr>
          <w:color w:val="231F20"/>
          <w:spacing w:val="-4"/>
          <w:w w:val="95"/>
          <w:sz w:val="23"/>
          <w:szCs w:val="23"/>
        </w:rPr>
        <w:t>I</w:t>
      </w:r>
      <w:r w:rsidRPr="00F37566">
        <w:rPr>
          <w:color w:val="231F20"/>
          <w:w w:val="95"/>
          <w:sz w:val="23"/>
          <w:szCs w:val="23"/>
        </w:rPr>
        <w:t>O</w:t>
      </w:r>
      <w:r>
        <w:rPr>
          <w:color w:val="231F20"/>
          <w:w w:val="95"/>
          <w:sz w:val="23"/>
          <w:szCs w:val="23"/>
        </w:rPr>
        <w:t>)</w:t>
      </w:r>
      <w:r w:rsidRPr="00F37566">
        <w:rPr>
          <w:color w:val="231F20"/>
          <w:w w:val="98"/>
          <w:sz w:val="23"/>
          <w:szCs w:val="23"/>
        </w:rPr>
        <w:t xml:space="preserve"> </w:t>
      </w:r>
      <w:r w:rsidRPr="00F37566">
        <w:rPr>
          <w:color w:val="231F20"/>
          <w:spacing w:val="-5"/>
          <w:sz w:val="23"/>
          <w:szCs w:val="23"/>
        </w:rPr>
        <w:t>c</w:t>
      </w:r>
      <w:r w:rsidRPr="00F37566">
        <w:rPr>
          <w:color w:val="231F20"/>
          <w:spacing w:val="-3"/>
          <w:sz w:val="23"/>
          <w:szCs w:val="23"/>
        </w:rPr>
        <w:t>omplain</w:t>
      </w:r>
      <w:r w:rsidRPr="00F37566">
        <w:rPr>
          <w:color w:val="231F20"/>
          <w:spacing w:val="-2"/>
          <w:sz w:val="23"/>
          <w:szCs w:val="23"/>
        </w:rPr>
        <w:t>t</w:t>
      </w:r>
      <w:r w:rsidRPr="00F37566">
        <w:rPr>
          <w:color w:val="231F20"/>
          <w:spacing w:val="-1"/>
          <w:sz w:val="23"/>
          <w:szCs w:val="23"/>
        </w:rPr>
        <w:t>s</w:t>
      </w:r>
      <w:r w:rsidRPr="00F37566">
        <w:rPr>
          <w:color w:val="231F20"/>
          <w:sz w:val="23"/>
          <w:szCs w:val="23"/>
        </w:rPr>
        <w:t>,</w:t>
      </w:r>
      <w:r w:rsidRPr="00F37566">
        <w:rPr>
          <w:color w:val="231F20"/>
          <w:spacing w:val="-15"/>
          <w:sz w:val="23"/>
          <w:szCs w:val="23"/>
        </w:rPr>
        <w:t xml:space="preserve"> </w:t>
      </w:r>
      <w:r w:rsidRPr="00F37566">
        <w:rPr>
          <w:color w:val="231F20"/>
          <w:spacing w:val="-3"/>
          <w:sz w:val="23"/>
          <w:szCs w:val="23"/>
        </w:rPr>
        <w:t>mob</w:t>
      </w:r>
      <w:r w:rsidRPr="00F37566">
        <w:rPr>
          <w:color w:val="231F20"/>
          <w:spacing w:val="-4"/>
          <w:sz w:val="23"/>
          <w:szCs w:val="23"/>
        </w:rPr>
        <w:t>il</w:t>
      </w:r>
      <w:r w:rsidRPr="00F37566">
        <w:rPr>
          <w:color w:val="231F20"/>
          <w:sz w:val="23"/>
          <w:szCs w:val="23"/>
        </w:rPr>
        <w:t>e</w:t>
      </w:r>
      <w:r w:rsidRPr="00F37566">
        <w:rPr>
          <w:color w:val="231F20"/>
          <w:spacing w:val="-14"/>
          <w:sz w:val="23"/>
          <w:szCs w:val="23"/>
        </w:rPr>
        <w:t xml:space="preserve"> </w:t>
      </w:r>
      <w:r w:rsidRPr="00F37566">
        <w:rPr>
          <w:color w:val="231F20"/>
          <w:spacing w:val="-5"/>
          <w:sz w:val="23"/>
          <w:szCs w:val="23"/>
        </w:rPr>
        <w:t>c</w:t>
      </w:r>
      <w:r w:rsidRPr="00F37566">
        <w:rPr>
          <w:color w:val="231F20"/>
          <w:spacing w:val="-3"/>
          <w:sz w:val="23"/>
          <w:szCs w:val="23"/>
        </w:rPr>
        <w:t>o</w:t>
      </w:r>
      <w:r w:rsidRPr="00F37566">
        <w:rPr>
          <w:color w:val="231F20"/>
          <w:spacing w:val="-5"/>
          <w:sz w:val="23"/>
          <w:szCs w:val="23"/>
        </w:rPr>
        <w:t>v</w:t>
      </w:r>
      <w:r w:rsidRPr="00F37566">
        <w:rPr>
          <w:color w:val="231F20"/>
          <w:spacing w:val="-3"/>
          <w:sz w:val="23"/>
          <w:szCs w:val="23"/>
        </w:rPr>
        <w:t>e</w:t>
      </w:r>
      <w:r w:rsidRPr="00F37566">
        <w:rPr>
          <w:color w:val="231F20"/>
          <w:spacing w:val="-5"/>
          <w:sz w:val="23"/>
          <w:szCs w:val="23"/>
        </w:rPr>
        <w:t>r</w:t>
      </w:r>
      <w:r w:rsidRPr="00F37566">
        <w:rPr>
          <w:color w:val="231F20"/>
          <w:spacing w:val="-1"/>
          <w:sz w:val="23"/>
          <w:szCs w:val="23"/>
        </w:rPr>
        <w:t>a</w:t>
      </w:r>
      <w:r w:rsidRPr="00F37566">
        <w:rPr>
          <w:color w:val="231F20"/>
          <w:spacing w:val="-4"/>
          <w:sz w:val="23"/>
          <w:szCs w:val="23"/>
        </w:rPr>
        <w:t>g</w:t>
      </w:r>
      <w:r w:rsidRPr="00F37566">
        <w:rPr>
          <w:color w:val="231F20"/>
          <w:sz w:val="23"/>
          <w:szCs w:val="23"/>
        </w:rPr>
        <w:t>e</w:t>
      </w:r>
      <w:r w:rsidRPr="00F37566">
        <w:rPr>
          <w:color w:val="231F20"/>
          <w:w w:val="99"/>
          <w:sz w:val="23"/>
          <w:szCs w:val="23"/>
        </w:rPr>
        <w:t xml:space="preserve"> </w:t>
      </w:r>
      <w:r w:rsidRPr="00F37566">
        <w:rPr>
          <w:color w:val="231F20"/>
          <w:spacing w:val="-3"/>
          <w:sz w:val="23"/>
          <w:szCs w:val="23"/>
        </w:rPr>
        <w:t>an</w:t>
      </w:r>
      <w:r w:rsidRPr="00F37566">
        <w:rPr>
          <w:color w:val="231F20"/>
          <w:sz w:val="23"/>
          <w:szCs w:val="23"/>
        </w:rPr>
        <w:t>d</w:t>
      </w:r>
      <w:r w:rsidRPr="00F37566">
        <w:rPr>
          <w:color w:val="231F20"/>
          <w:spacing w:val="25"/>
          <w:sz w:val="23"/>
          <w:szCs w:val="23"/>
        </w:rPr>
        <w:t xml:space="preserve"> </w:t>
      </w:r>
      <w:r w:rsidRPr="00F37566">
        <w:rPr>
          <w:color w:val="231F20"/>
          <w:spacing w:val="-3"/>
          <w:sz w:val="23"/>
          <w:szCs w:val="23"/>
        </w:rPr>
        <w:t>b</w:t>
      </w:r>
      <w:r w:rsidRPr="00F37566">
        <w:rPr>
          <w:color w:val="231F20"/>
          <w:spacing w:val="-6"/>
          <w:sz w:val="23"/>
          <w:szCs w:val="23"/>
        </w:rPr>
        <w:t>r</w:t>
      </w:r>
      <w:r w:rsidRPr="00F37566">
        <w:rPr>
          <w:color w:val="231F20"/>
          <w:spacing w:val="-3"/>
          <w:sz w:val="23"/>
          <w:szCs w:val="23"/>
        </w:rPr>
        <w:t>o</w:t>
      </w:r>
      <w:r w:rsidRPr="00F37566">
        <w:rPr>
          <w:color w:val="231F20"/>
          <w:spacing w:val="-4"/>
          <w:sz w:val="23"/>
          <w:szCs w:val="23"/>
        </w:rPr>
        <w:t>a</w:t>
      </w:r>
      <w:r w:rsidRPr="00F37566">
        <w:rPr>
          <w:color w:val="231F20"/>
          <w:spacing w:val="-3"/>
          <w:sz w:val="23"/>
          <w:szCs w:val="23"/>
        </w:rPr>
        <w:t>dban</w:t>
      </w:r>
      <w:r w:rsidRPr="00F37566">
        <w:rPr>
          <w:color w:val="231F20"/>
          <w:sz w:val="23"/>
          <w:szCs w:val="23"/>
        </w:rPr>
        <w:t>d</w:t>
      </w:r>
      <w:r w:rsidRPr="00F37566">
        <w:rPr>
          <w:color w:val="231F20"/>
          <w:spacing w:val="25"/>
          <w:sz w:val="23"/>
          <w:szCs w:val="23"/>
        </w:rPr>
        <w:t xml:space="preserve"> </w:t>
      </w:r>
      <w:r w:rsidRPr="00F37566">
        <w:rPr>
          <w:color w:val="231F20"/>
          <w:spacing w:val="-3"/>
          <w:sz w:val="23"/>
          <w:szCs w:val="23"/>
        </w:rPr>
        <w:t>mon</w:t>
      </w:r>
      <w:r w:rsidRPr="00F37566">
        <w:rPr>
          <w:color w:val="231F20"/>
          <w:spacing w:val="-2"/>
          <w:sz w:val="23"/>
          <w:szCs w:val="23"/>
        </w:rPr>
        <w:t>i</w:t>
      </w:r>
      <w:r w:rsidRPr="00F37566">
        <w:rPr>
          <w:color w:val="231F20"/>
          <w:spacing w:val="-4"/>
          <w:sz w:val="23"/>
          <w:szCs w:val="23"/>
        </w:rPr>
        <w:t>t</w:t>
      </w:r>
      <w:r w:rsidRPr="00F37566">
        <w:rPr>
          <w:color w:val="231F20"/>
          <w:spacing w:val="-3"/>
          <w:sz w:val="23"/>
          <w:szCs w:val="23"/>
        </w:rPr>
        <w:t>o</w:t>
      </w:r>
      <w:r w:rsidRPr="00F37566">
        <w:rPr>
          <w:color w:val="231F20"/>
          <w:sz w:val="23"/>
          <w:szCs w:val="23"/>
        </w:rPr>
        <w:t>r</w:t>
      </w:r>
      <w:r w:rsidRPr="00F37566">
        <w:rPr>
          <w:color w:val="231F20"/>
          <w:spacing w:val="-3"/>
          <w:sz w:val="23"/>
          <w:szCs w:val="23"/>
        </w:rPr>
        <w:t>in</w:t>
      </w:r>
      <w:r w:rsidRPr="00F37566">
        <w:rPr>
          <w:color w:val="231F20"/>
          <w:spacing w:val="-6"/>
          <w:sz w:val="23"/>
          <w:szCs w:val="23"/>
        </w:rPr>
        <w:t>g</w:t>
      </w:r>
      <w:r w:rsidRPr="00F37566">
        <w:rPr>
          <w:color w:val="231F20"/>
          <w:sz w:val="23"/>
          <w:szCs w:val="23"/>
        </w:rPr>
        <w:t>;</w:t>
      </w:r>
    </w:p>
    <w:p w14:paraId="48A3A0D3" w14:textId="77777777" w:rsidR="00892FC4" w:rsidRDefault="0038690F" w:rsidP="000925EE">
      <w:pPr>
        <w:numPr>
          <w:ilvl w:val="0"/>
          <w:numId w:val="21"/>
        </w:numPr>
        <w:tabs>
          <w:tab w:val="left" w:pos="426"/>
        </w:tabs>
        <w:spacing w:after="0"/>
        <w:contextualSpacing/>
        <w:rPr>
          <w:sz w:val="23"/>
          <w:szCs w:val="23"/>
        </w:rPr>
      </w:pPr>
      <w:r>
        <w:rPr>
          <w:sz w:val="23"/>
          <w:szCs w:val="23"/>
        </w:rPr>
        <w:lastRenderedPageBreak/>
        <w:t>posted</w:t>
      </w:r>
      <w:r w:rsidRPr="00556AA2">
        <w:rPr>
          <w:sz w:val="23"/>
          <w:szCs w:val="23"/>
        </w:rPr>
        <w:t xml:space="preserve"> </w:t>
      </w:r>
      <w:r>
        <w:rPr>
          <w:sz w:val="23"/>
          <w:szCs w:val="23"/>
        </w:rPr>
        <w:t>a range of</w:t>
      </w:r>
      <w:r w:rsidRPr="00556AA2">
        <w:rPr>
          <w:sz w:val="23"/>
          <w:szCs w:val="23"/>
        </w:rPr>
        <w:t xml:space="preserve"> ‘Hot issues’ articles</w:t>
      </w:r>
      <w:r>
        <w:rPr>
          <w:sz w:val="23"/>
          <w:szCs w:val="23"/>
        </w:rPr>
        <w:t xml:space="preserve"> </w:t>
      </w:r>
      <w:r w:rsidRPr="00303268">
        <w:rPr>
          <w:sz w:val="23"/>
          <w:szCs w:val="23"/>
        </w:rPr>
        <w:t>featur</w:t>
      </w:r>
      <w:r>
        <w:rPr>
          <w:sz w:val="23"/>
          <w:szCs w:val="23"/>
        </w:rPr>
        <w:t>ing</w:t>
      </w:r>
      <w:r w:rsidRPr="00303268">
        <w:rPr>
          <w:sz w:val="23"/>
          <w:szCs w:val="23"/>
        </w:rPr>
        <w:t xml:space="preserve"> information, tips and news on topics like regional telecommunications, mobile data and plans, global roaming, telecommunications outages,</w:t>
      </w:r>
      <w:r>
        <w:rPr>
          <w:sz w:val="23"/>
          <w:szCs w:val="23"/>
        </w:rPr>
        <w:t xml:space="preserve"> </w:t>
      </w:r>
      <w:r w:rsidRPr="00303268">
        <w:rPr>
          <w:sz w:val="23"/>
          <w:szCs w:val="23"/>
        </w:rPr>
        <w:t>captioning and audio description</w:t>
      </w:r>
      <w:r>
        <w:rPr>
          <w:sz w:val="23"/>
          <w:szCs w:val="23"/>
        </w:rPr>
        <w:t xml:space="preserve">; </w:t>
      </w:r>
    </w:p>
    <w:p w14:paraId="48A3A0D4" w14:textId="77777777" w:rsidR="00892FC4" w:rsidRDefault="0038690F" w:rsidP="000925EE">
      <w:pPr>
        <w:numPr>
          <w:ilvl w:val="0"/>
          <w:numId w:val="21"/>
        </w:numPr>
        <w:tabs>
          <w:tab w:val="left" w:pos="426"/>
        </w:tabs>
        <w:spacing w:after="0"/>
        <w:contextualSpacing/>
        <w:rPr>
          <w:sz w:val="23"/>
          <w:szCs w:val="23"/>
        </w:rPr>
      </w:pPr>
      <w:proofErr w:type="gramStart"/>
      <w:r>
        <w:rPr>
          <w:sz w:val="23"/>
          <w:szCs w:val="23"/>
        </w:rPr>
        <w:t>launched</w:t>
      </w:r>
      <w:proofErr w:type="gramEnd"/>
      <w:r>
        <w:rPr>
          <w:sz w:val="23"/>
          <w:szCs w:val="23"/>
        </w:rPr>
        <w:t xml:space="preserve"> the information pack ‘</w:t>
      </w:r>
      <w:r w:rsidRPr="00CA148F">
        <w:rPr>
          <w:sz w:val="23"/>
          <w:szCs w:val="23"/>
        </w:rPr>
        <w:t>Top tips for phones and internet</w:t>
      </w:r>
      <w:r>
        <w:rPr>
          <w:sz w:val="23"/>
          <w:szCs w:val="23"/>
        </w:rPr>
        <w:t>’</w:t>
      </w:r>
      <w:r w:rsidRPr="00CA148F">
        <w:rPr>
          <w:sz w:val="23"/>
          <w:szCs w:val="23"/>
        </w:rPr>
        <w:t xml:space="preserve">. </w:t>
      </w:r>
      <w:r>
        <w:rPr>
          <w:sz w:val="23"/>
          <w:szCs w:val="23"/>
        </w:rPr>
        <w:t xml:space="preserve"> </w:t>
      </w:r>
      <w:r w:rsidRPr="00CA148F">
        <w:rPr>
          <w:sz w:val="23"/>
          <w:szCs w:val="23"/>
        </w:rPr>
        <w:t xml:space="preserve">The pack consists of five </w:t>
      </w:r>
      <w:r>
        <w:rPr>
          <w:sz w:val="23"/>
          <w:szCs w:val="23"/>
        </w:rPr>
        <w:t>b</w:t>
      </w:r>
      <w:r w:rsidRPr="00CA148F">
        <w:rPr>
          <w:sz w:val="23"/>
          <w:szCs w:val="23"/>
        </w:rPr>
        <w:t>rochures and bookmarks that give tips on common communications consumer issues</w:t>
      </w:r>
      <w:r>
        <w:rPr>
          <w:sz w:val="23"/>
          <w:szCs w:val="23"/>
        </w:rPr>
        <w:t>;</w:t>
      </w:r>
      <w:r w:rsidRPr="00CA148F">
        <w:rPr>
          <w:sz w:val="23"/>
          <w:szCs w:val="23"/>
        </w:rPr>
        <w:t xml:space="preserve"> </w:t>
      </w:r>
      <w:r>
        <w:rPr>
          <w:sz w:val="23"/>
          <w:szCs w:val="23"/>
        </w:rPr>
        <w:t>and</w:t>
      </w:r>
    </w:p>
    <w:p w14:paraId="48A3A0D5" w14:textId="77777777" w:rsidR="00892FC4" w:rsidRPr="00CA148F" w:rsidRDefault="0038690F" w:rsidP="000925EE">
      <w:pPr>
        <w:numPr>
          <w:ilvl w:val="0"/>
          <w:numId w:val="21"/>
        </w:numPr>
        <w:tabs>
          <w:tab w:val="left" w:pos="426"/>
        </w:tabs>
        <w:spacing w:after="0"/>
        <w:contextualSpacing/>
        <w:rPr>
          <w:sz w:val="23"/>
          <w:szCs w:val="23"/>
        </w:rPr>
      </w:pPr>
      <w:proofErr w:type="gramStart"/>
      <w:r>
        <w:rPr>
          <w:sz w:val="23"/>
          <w:szCs w:val="23"/>
        </w:rPr>
        <w:t>produced</w:t>
      </w:r>
      <w:proofErr w:type="gramEnd"/>
      <w:r>
        <w:rPr>
          <w:sz w:val="23"/>
          <w:szCs w:val="23"/>
        </w:rPr>
        <w:t xml:space="preserve"> a</w:t>
      </w:r>
      <w:r w:rsidRPr="00CA148F">
        <w:rPr>
          <w:sz w:val="23"/>
          <w:szCs w:val="23"/>
        </w:rPr>
        <w:t xml:space="preserve"> second edition of the </w:t>
      </w:r>
      <w:r>
        <w:rPr>
          <w:sz w:val="23"/>
          <w:szCs w:val="23"/>
        </w:rPr>
        <w:t>‘</w:t>
      </w:r>
      <w:r w:rsidRPr="00CA148F">
        <w:rPr>
          <w:sz w:val="23"/>
          <w:szCs w:val="23"/>
        </w:rPr>
        <w:t>Community Consultation Guide</w:t>
      </w:r>
      <w:r>
        <w:rPr>
          <w:sz w:val="23"/>
          <w:szCs w:val="23"/>
        </w:rPr>
        <w:t>’</w:t>
      </w:r>
      <w:r w:rsidRPr="00CA148F">
        <w:rPr>
          <w:sz w:val="23"/>
          <w:szCs w:val="23"/>
        </w:rPr>
        <w:t xml:space="preserve"> to assist</w:t>
      </w:r>
      <w:r>
        <w:rPr>
          <w:sz w:val="23"/>
          <w:szCs w:val="23"/>
        </w:rPr>
        <w:t xml:space="preserve"> </w:t>
      </w:r>
      <w:r w:rsidRPr="00303268">
        <w:rPr>
          <w:sz w:val="23"/>
          <w:szCs w:val="23"/>
        </w:rPr>
        <w:t>communities in putting together a business case for funding to improve mobi</w:t>
      </w:r>
      <w:r>
        <w:rPr>
          <w:sz w:val="23"/>
          <w:szCs w:val="23"/>
        </w:rPr>
        <w:t>le coverage in their area.</w:t>
      </w:r>
    </w:p>
    <w:p w14:paraId="48A3A0D6" w14:textId="77777777" w:rsidR="00BF3702" w:rsidRDefault="00C43592" w:rsidP="000925EE">
      <w:pPr>
        <w:spacing w:after="0"/>
        <w:contextualSpacing/>
        <w:rPr>
          <w:sz w:val="23"/>
          <w:szCs w:val="23"/>
        </w:rPr>
      </w:pPr>
    </w:p>
    <w:p w14:paraId="48A3A0D7" w14:textId="77777777" w:rsidR="00CF5930" w:rsidRDefault="0038690F" w:rsidP="000925EE">
      <w:pPr>
        <w:spacing w:after="0"/>
        <w:contextualSpacing/>
        <w:rPr>
          <w:sz w:val="23"/>
          <w:szCs w:val="23"/>
        </w:rPr>
      </w:pPr>
      <w:r>
        <w:rPr>
          <w:sz w:val="23"/>
          <w:szCs w:val="23"/>
        </w:rPr>
        <w:t>The Annual Report also indicates that a</w:t>
      </w:r>
      <w:r w:rsidRPr="00657895">
        <w:rPr>
          <w:sz w:val="23"/>
          <w:szCs w:val="23"/>
        </w:rPr>
        <w:t xml:space="preserve"> significant outcome </w:t>
      </w:r>
      <w:r>
        <w:rPr>
          <w:sz w:val="23"/>
          <w:szCs w:val="23"/>
        </w:rPr>
        <w:t xml:space="preserve">for ACCAN for </w:t>
      </w:r>
      <w:r w:rsidRPr="00657895">
        <w:rPr>
          <w:sz w:val="23"/>
          <w:szCs w:val="23"/>
        </w:rPr>
        <w:t>201</w:t>
      </w:r>
      <w:r>
        <w:rPr>
          <w:sz w:val="23"/>
          <w:szCs w:val="23"/>
        </w:rPr>
        <w:t>5</w:t>
      </w:r>
      <w:r w:rsidRPr="00657895">
        <w:rPr>
          <w:sz w:val="23"/>
          <w:szCs w:val="23"/>
        </w:rPr>
        <w:t>–1</w:t>
      </w:r>
      <w:r>
        <w:rPr>
          <w:sz w:val="23"/>
          <w:szCs w:val="23"/>
        </w:rPr>
        <w:t xml:space="preserve">6 </w:t>
      </w:r>
      <w:r w:rsidRPr="00657895">
        <w:rPr>
          <w:sz w:val="23"/>
          <w:szCs w:val="23"/>
        </w:rPr>
        <w:t xml:space="preserve">was the </w:t>
      </w:r>
      <w:r>
        <w:rPr>
          <w:sz w:val="23"/>
          <w:szCs w:val="23"/>
        </w:rPr>
        <w:t>increase in page views following the launch of ACCAN’s new mobile friendly and accessible website.</w:t>
      </w:r>
      <w:r w:rsidRPr="000925EE">
        <w:rPr>
          <w:sz w:val="23"/>
          <w:szCs w:val="23"/>
        </w:rPr>
        <w:t xml:space="preserve"> </w:t>
      </w:r>
    </w:p>
    <w:p w14:paraId="48A3A0D8" w14:textId="77777777" w:rsidR="00CF5930" w:rsidRDefault="00C43592" w:rsidP="000925EE">
      <w:pPr>
        <w:spacing w:after="0"/>
        <w:contextualSpacing/>
        <w:rPr>
          <w:sz w:val="23"/>
          <w:szCs w:val="23"/>
        </w:rPr>
      </w:pPr>
    </w:p>
    <w:p w14:paraId="48A3A0D9" w14:textId="6F552178" w:rsidR="00CF5930" w:rsidRDefault="0038690F" w:rsidP="000925EE">
      <w:pPr>
        <w:spacing w:after="0"/>
        <w:contextualSpacing/>
        <w:rPr>
          <w:sz w:val="23"/>
          <w:szCs w:val="23"/>
        </w:rPr>
      </w:pPr>
      <w:r w:rsidRPr="0087699D">
        <w:rPr>
          <w:sz w:val="23"/>
          <w:szCs w:val="23"/>
        </w:rPr>
        <w:t xml:space="preserve">ACCAN </w:t>
      </w:r>
      <w:r>
        <w:rPr>
          <w:sz w:val="23"/>
          <w:szCs w:val="23"/>
        </w:rPr>
        <w:t xml:space="preserve">organisational </w:t>
      </w:r>
      <w:r w:rsidRPr="0087699D">
        <w:rPr>
          <w:sz w:val="23"/>
          <w:szCs w:val="23"/>
        </w:rPr>
        <w:t xml:space="preserve">membership </w:t>
      </w:r>
      <w:r>
        <w:rPr>
          <w:sz w:val="23"/>
          <w:szCs w:val="23"/>
        </w:rPr>
        <w:t>increased to 112.  M</w:t>
      </w:r>
      <w:r w:rsidRPr="0087699D">
        <w:rPr>
          <w:sz w:val="23"/>
          <w:szCs w:val="23"/>
        </w:rPr>
        <w:t>ember organisations represent remote and rural consumers, indigenous organisations, small businesses, farmers, disability groups, financial counsellors and community legal centres from across Australia.</w:t>
      </w:r>
    </w:p>
    <w:p w14:paraId="48A3A0DA" w14:textId="77777777" w:rsidR="00CF5930" w:rsidRDefault="00C43592" w:rsidP="000925EE">
      <w:pPr>
        <w:spacing w:after="0"/>
        <w:contextualSpacing/>
        <w:rPr>
          <w:sz w:val="23"/>
          <w:szCs w:val="23"/>
        </w:rPr>
      </w:pPr>
    </w:p>
    <w:p w14:paraId="48A3A0DB" w14:textId="0A312C2C" w:rsidR="000925EE" w:rsidRDefault="0038690F" w:rsidP="000925EE">
      <w:pPr>
        <w:spacing w:after="0"/>
        <w:contextualSpacing/>
        <w:rPr>
          <w:sz w:val="23"/>
          <w:szCs w:val="23"/>
        </w:rPr>
      </w:pPr>
      <w:r w:rsidRPr="0087699D">
        <w:rPr>
          <w:sz w:val="23"/>
          <w:szCs w:val="23"/>
        </w:rPr>
        <w:t xml:space="preserve">During </w:t>
      </w:r>
      <w:r>
        <w:rPr>
          <w:sz w:val="23"/>
          <w:szCs w:val="23"/>
        </w:rPr>
        <w:t>2015-16</w:t>
      </w:r>
      <w:r w:rsidRPr="0087699D">
        <w:rPr>
          <w:sz w:val="23"/>
          <w:szCs w:val="23"/>
        </w:rPr>
        <w:t xml:space="preserve"> </w:t>
      </w:r>
      <w:r>
        <w:rPr>
          <w:sz w:val="23"/>
          <w:szCs w:val="23"/>
        </w:rPr>
        <w:t xml:space="preserve">Len </w:t>
      </w:r>
      <w:proofErr w:type="spellStart"/>
      <w:r>
        <w:rPr>
          <w:sz w:val="23"/>
          <w:szCs w:val="23"/>
        </w:rPr>
        <w:t>Bytheway</w:t>
      </w:r>
      <w:proofErr w:type="spellEnd"/>
      <w:r w:rsidRPr="0087699D">
        <w:rPr>
          <w:sz w:val="23"/>
          <w:szCs w:val="23"/>
        </w:rPr>
        <w:t xml:space="preserve"> </w:t>
      </w:r>
      <w:r>
        <w:rPr>
          <w:sz w:val="23"/>
          <w:szCs w:val="23"/>
        </w:rPr>
        <w:t>resigned</w:t>
      </w:r>
      <w:r w:rsidRPr="0087699D">
        <w:rPr>
          <w:sz w:val="23"/>
          <w:szCs w:val="23"/>
        </w:rPr>
        <w:t xml:space="preserve"> from the ACCAN </w:t>
      </w:r>
      <w:r>
        <w:rPr>
          <w:sz w:val="23"/>
          <w:szCs w:val="23"/>
        </w:rPr>
        <w:t>b</w:t>
      </w:r>
      <w:r w:rsidRPr="0087699D">
        <w:rPr>
          <w:sz w:val="23"/>
          <w:szCs w:val="23"/>
        </w:rPr>
        <w:t xml:space="preserve">oard </w:t>
      </w:r>
      <w:r>
        <w:rPr>
          <w:sz w:val="23"/>
          <w:szCs w:val="23"/>
        </w:rPr>
        <w:t xml:space="preserve">and Chris </w:t>
      </w:r>
      <w:proofErr w:type="spellStart"/>
      <w:r>
        <w:rPr>
          <w:sz w:val="23"/>
          <w:szCs w:val="23"/>
        </w:rPr>
        <w:t>Dodds</w:t>
      </w:r>
      <w:proofErr w:type="spellEnd"/>
      <w:r w:rsidRPr="00D33A1A">
        <w:rPr>
          <w:sz w:val="23"/>
          <w:szCs w:val="23"/>
        </w:rPr>
        <w:t xml:space="preserve"> was elected</w:t>
      </w:r>
      <w:r>
        <w:rPr>
          <w:sz w:val="23"/>
          <w:szCs w:val="23"/>
        </w:rPr>
        <w:t xml:space="preserve"> as a new member</w:t>
      </w:r>
      <w:r w:rsidRPr="0087699D">
        <w:rPr>
          <w:sz w:val="23"/>
          <w:szCs w:val="23"/>
        </w:rPr>
        <w:t xml:space="preserve">. </w:t>
      </w:r>
      <w:r>
        <w:rPr>
          <w:sz w:val="23"/>
          <w:szCs w:val="23"/>
        </w:rPr>
        <w:t xml:space="preserve"> T</w:t>
      </w:r>
      <w:r w:rsidRPr="00DE25A6">
        <w:rPr>
          <w:sz w:val="23"/>
          <w:szCs w:val="23"/>
        </w:rPr>
        <w:t xml:space="preserve">wo new members joined </w:t>
      </w:r>
      <w:r>
        <w:rPr>
          <w:sz w:val="23"/>
          <w:szCs w:val="23"/>
        </w:rPr>
        <w:t>ACCAN’s</w:t>
      </w:r>
      <w:r w:rsidRPr="00DE25A6">
        <w:rPr>
          <w:sz w:val="23"/>
          <w:szCs w:val="23"/>
        </w:rPr>
        <w:t xml:space="preserve"> I</w:t>
      </w:r>
      <w:r>
        <w:rPr>
          <w:sz w:val="23"/>
          <w:szCs w:val="23"/>
        </w:rPr>
        <w:t xml:space="preserve">ndependent Grants Panel: </w:t>
      </w:r>
      <w:r w:rsidRPr="00DE25A6">
        <w:rPr>
          <w:sz w:val="23"/>
          <w:szCs w:val="23"/>
        </w:rPr>
        <w:t xml:space="preserve">Dr </w:t>
      </w:r>
      <w:proofErr w:type="spellStart"/>
      <w:r w:rsidRPr="00DE25A6">
        <w:rPr>
          <w:sz w:val="23"/>
          <w:szCs w:val="23"/>
        </w:rPr>
        <w:t>Lareen</w:t>
      </w:r>
      <w:proofErr w:type="spellEnd"/>
      <w:r w:rsidRPr="00DE25A6">
        <w:rPr>
          <w:sz w:val="23"/>
          <w:szCs w:val="23"/>
        </w:rPr>
        <w:t xml:space="preserve"> Newman was appointed to the Panel for a three-year term to replace Dr Sarah </w:t>
      </w:r>
      <w:proofErr w:type="spellStart"/>
      <w:r w:rsidRPr="00DE25A6">
        <w:rPr>
          <w:sz w:val="23"/>
          <w:szCs w:val="23"/>
        </w:rPr>
        <w:t>Dods</w:t>
      </w:r>
      <w:proofErr w:type="spellEnd"/>
      <w:r w:rsidRPr="00DE25A6">
        <w:rPr>
          <w:sz w:val="23"/>
          <w:szCs w:val="23"/>
        </w:rPr>
        <w:t>. Associate Professor Ellie Rennie was recruited to replace Dr Scott Ewing</w:t>
      </w:r>
      <w:r>
        <w:rPr>
          <w:sz w:val="23"/>
          <w:szCs w:val="23"/>
        </w:rPr>
        <w:t>.</w:t>
      </w:r>
    </w:p>
    <w:p w14:paraId="48A3A0DC" w14:textId="77777777" w:rsidR="000925EE" w:rsidRDefault="00C43592" w:rsidP="000925EE">
      <w:pPr>
        <w:spacing w:after="0"/>
        <w:contextualSpacing/>
        <w:rPr>
          <w:sz w:val="23"/>
          <w:szCs w:val="23"/>
        </w:rPr>
      </w:pPr>
      <w:bookmarkStart w:id="18" w:name="_Toc256000008"/>
      <w:bookmarkStart w:id="19" w:name="_Toc256000003"/>
      <w:bookmarkStart w:id="20" w:name="_Toc471463033"/>
    </w:p>
    <w:p w14:paraId="48A3A0DD" w14:textId="77777777" w:rsidR="00892FC4" w:rsidRPr="00E556AB" w:rsidRDefault="0038690F" w:rsidP="00892FC4">
      <w:pPr>
        <w:pStyle w:val="Heading2"/>
      </w:pPr>
      <w:bookmarkStart w:id="21" w:name="_Toc256000018"/>
      <w:bookmarkStart w:id="22" w:name="_Toc256000013"/>
      <w:r w:rsidRPr="00E556AB">
        <w:t>INDEPENDENT GRANTS PROGRAM</w:t>
      </w:r>
      <w:bookmarkEnd w:id="21"/>
      <w:bookmarkEnd w:id="22"/>
      <w:bookmarkEnd w:id="18"/>
      <w:bookmarkEnd w:id="19"/>
      <w:bookmarkEnd w:id="20"/>
    </w:p>
    <w:p w14:paraId="48A3A0DE" w14:textId="2203E33C" w:rsidR="00892FC4" w:rsidRPr="00E556AB" w:rsidRDefault="0038690F" w:rsidP="00892FC4">
      <w:pPr>
        <w:tabs>
          <w:tab w:val="left" w:pos="720"/>
          <w:tab w:val="center" w:pos="4153"/>
          <w:tab w:val="right" w:pos="8306"/>
        </w:tabs>
        <w:rPr>
          <w:sz w:val="16"/>
          <w:szCs w:val="16"/>
        </w:rPr>
      </w:pPr>
      <w:r w:rsidRPr="00E32980">
        <w:rPr>
          <w:sz w:val="23"/>
          <w:szCs w:val="23"/>
        </w:rPr>
        <w:t>ACCAN administers a competitive Independent Grants Program (IGP) in accordance with its Funding Agreement.</w:t>
      </w:r>
      <w:r>
        <w:rPr>
          <w:sz w:val="23"/>
          <w:szCs w:val="23"/>
        </w:rPr>
        <w:t xml:space="preserve">  </w:t>
      </w:r>
      <w:r w:rsidRPr="00E32980">
        <w:rPr>
          <w:sz w:val="23"/>
          <w:szCs w:val="23"/>
        </w:rPr>
        <w:t xml:space="preserve">The total funding available </w:t>
      </w:r>
      <w:r>
        <w:rPr>
          <w:sz w:val="23"/>
          <w:szCs w:val="23"/>
        </w:rPr>
        <w:t>for</w:t>
      </w:r>
      <w:r w:rsidRPr="00E32980">
        <w:rPr>
          <w:sz w:val="23"/>
          <w:szCs w:val="23"/>
        </w:rPr>
        <w:t xml:space="preserve"> </w:t>
      </w:r>
      <w:r>
        <w:rPr>
          <w:sz w:val="23"/>
          <w:szCs w:val="23"/>
        </w:rPr>
        <w:t xml:space="preserve">the </w:t>
      </w:r>
      <w:r w:rsidRPr="00E32980">
        <w:rPr>
          <w:sz w:val="23"/>
          <w:szCs w:val="23"/>
        </w:rPr>
        <w:t>IGP</w:t>
      </w:r>
      <w:r>
        <w:rPr>
          <w:sz w:val="23"/>
          <w:szCs w:val="23"/>
        </w:rPr>
        <w:t xml:space="preserve"> grants round held in </w:t>
      </w:r>
      <w:r w:rsidRPr="00657895">
        <w:rPr>
          <w:sz w:val="23"/>
          <w:szCs w:val="23"/>
        </w:rPr>
        <w:t>201</w:t>
      </w:r>
      <w:r>
        <w:rPr>
          <w:sz w:val="23"/>
          <w:szCs w:val="23"/>
        </w:rPr>
        <w:t>5</w:t>
      </w:r>
      <w:r w:rsidRPr="00657895">
        <w:rPr>
          <w:sz w:val="23"/>
          <w:szCs w:val="23"/>
        </w:rPr>
        <w:t>–1</w:t>
      </w:r>
      <w:r>
        <w:rPr>
          <w:sz w:val="23"/>
          <w:szCs w:val="23"/>
        </w:rPr>
        <w:t xml:space="preserve">6 </w:t>
      </w:r>
      <w:r w:rsidRPr="00E32980">
        <w:rPr>
          <w:sz w:val="23"/>
          <w:szCs w:val="23"/>
        </w:rPr>
        <w:t xml:space="preserve">was up to </w:t>
      </w:r>
      <w:r w:rsidRPr="00230E83">
        <w:rPr>
          <w:sz w:val="23"/>
          <w:szCs w:val="23"/>
        </w:rPr>
        <w:t>$</w:t>
      </w:r>
      <w:r>
        <w:rPr>
          <w:sz w:val="23"/>
          <w:szCs w:val="23"/>
        </w:rPr>
        <w:t>301,190*</w:t>
      </w:r>
      <w:r w:rsidRPr="00E32980">
        <w:rPr>
          <w:sz w:val="23"/>
          <w:szCs w:val="23"/>
        </w:rPr>
        <w:t xml:space="preserve"> (ex</w:t>
      </w:r>
      <w:r>
        <w:rPr>
          <w:sz w:val="23"/>
          <w:szCs w:val="23"/>
        </w:rPr>
        <w:t>cluding</w:t>
      </w:r>
      <w:r w:rsidRPr="00E32980">
        <w:rPr>
          <w:sz w:val="23"/>
          <w:szCs w:val="23"/>
        </w:rPr>
        <w:t xml:space="preserve"> GST), including funds reserved for overheads</w:t>
      </w:r>
      <w:r>
        <w:rPr>
          <w:sz w:val="23"/>
          <w:szCs w:val="23"/>
        </w:rPr>
        <w:t>,</w:t>
      </w:r>
      <w:r w:rsidRPr="00E32980">
        <w:rPr>
          <w:sz w:val="23"/>
          <w:szCs w:val="23"/>
        </w:rPr>
        <w:t xml:space="preserve"> with a maximum of $60,000 per recipient. </w:t>
      </w:r>
      <w:r>
        <w:rPr>
          <w:sz w:val="23"/>
          <w:szCs w:val="23"/>
        </w:rPr>
        <w:t xml:space="preserve"> </w:t>
      </w:r>
      <w:r w:rsidRPr="00E32980">
        <w:rPr>
          <w:sz w:val="23"/>
          <w:szCs w:val="23"/>
        </w:rPr>
        <w:t>S</w:t>
      </w:r>
      <w:r>
        <w:rPr>
          <w:sz w:val="23"/>
          <w:szCs w:val="23"/>
        </w:rPr>
        <w:t>ix</w:t>
      </w:r>
      <w:r w:rsidRPr="00E32980">
        <w:rPr>
          <w:sz w:val="23"/>
          <w:szCs w:val="23"/>
        </w:rPr>
        <w:t xml:space="preserve"> </w:t>
      </w:r>
      <w:r>
        <w:rPr>
          <w:sz w:val="23"/>
          <w:szCs w:val="23"/>
        </w:rPr>
        <w:t>projects</w:t>
      </w:r>
      <w:r w:rsidRPr="00E32980">
        <w:rPr>
          <w:sz w:val="23"/>
          <w:szCs w:val="23"/>
        </w:rPr>
        <w:t xml:space="preserve"> were awarded funding, out of the </w:t>
      </w:r>
      <w:r>
        <w:rPr>
          <w:sz w:val="23"/>
          <w:szCs w:val="23"/>
        </w:rPr>
        <w:t>39</w:t>
      </w:r>
      <w:r w:rsidRPr="00E32980">
        <w:rPr>
          <w:sz w:val="23"/>
          <w:szCs w:val="23"/>
        </w:rPr>
        <w:t xml:space="preserve"> eligible applications received (see Table 1 below). </w:t>
      </w:r>
      <w:r>
        <w:rPr>
          <w:sz w:val="23"/>
          <w:szCs w:val="23"/>
        </w:rPr>
        <w:t xml:space="preserve">The successful grants were announced in June 2016 with these projects to commence in 2016-17.  </w:t>
      </w:r>
      <w:r w:rsidRPr="00E32980">
        <w:rPr>
          <w:sz w:val="23"/>
          <w:szCs w:val="23"/>
        </w:rPr>
        <w:t xml:space="preserve">The projects </w:t>
      </w:r>
      <w:r>
        <w:rPr>
          <w:sz w:val="23"/>
          <w:szCs w:val="23"/>
        </w:rPr>
        <w:t xml:space="preserve">relate to ranking telecommunications practices, </w:t>
      </w:r>
      <w:r w:rsidRPr="00E32980">
        <w:rPr>
          <w:sz w:val="23"/>
          <w:szCs w:val="23"/>
        </w:rPr>
        <w:t xml:space="preserve">research into </w:t>
      </w:r>
      <w:r>
        <w:rPr>
          <w:sz w:val="23"/>
          <w:szCs w:val="23"/>
        </w:rPr>
        <w:t>identity theft,</w:t>
      </w:r>
      <w:r w:rsidRPr="00E32980">
        <w:rPr>
          <w:sz w:val="23"/>
          <w:szCs w:val="23"/>
        </w:rPr>
        <w:t xml:space="preserve"> </w:t>
      </w:r>
      <w:r>
        <w:rPr>
          <w:sz w:val="23"/>
          <w:szCs w:val="23"/>
        </w:rPr>
        <w:t>mental health applications, security and privacy threats from smart home ‘Internet of Things’ (IOT) devices,</w:t>
      </w:r>
      <w:r w:rsidRPr="00E32980">
        <w:rPr>
          <w:sz w:val="23"/>
          <w:szCs w:val="23"/>
        </w:rPr>
        <w:t xml:space="preserve"> </w:t>
      </w:r>
      <w:r>
        <w:rPr>
          <w:sz w:val="23"/>
          <w:szCs w:val="23"/>
        </w:rPr>
        <w:t>consumer access to digital media content and a telec</w:t>
      </w:r>
      <w:r w:rsidR="00C8469B">
        <w:rPr>
          <w:sz w:val="23"/>
          <w:szCs w:val="23"/>
        </w:rPr>
        <w:t>ommunication education project.</w:t>
      </w:r>
    </w:p>
    <w:p w14:paraId="48A3A0DF" w14:textId="77777777" w:rsidR="00892FC4" w:rsidRPr="00E556AB" w:rsidRDefault="00C43592" w:rsidP="00892FC4">
      <w:pPr>
        <w:tabs>
          <w:tab w:val="left" w:pos="720"/>
          <w:tab w:val="center" w:pos="4153"/>
          <w:tab w:val="right" w:pos="8306"/>
        </w:tabs>
        <w:rPr>
          <w:sz w:val="16"/>
          <w:szCs w:val="16"/>
        </w:rPr>
      </w:pPr>
    </w:p>
    <w:p w14:paraId="48A3A0E0" w14:textId="77777777" w:rsidR="00892FC4" w:rsidRPr="00C71D0A" w:rsidRDefault="0038690F" w:rsidP="00CF5930">
      <w:pPr>
        <w:keepNext/>
        <w:tabs>
          <w:tab w:val="left" w:pos="720"/>
          <w:tab w:val="center" w:pos="4153"/>
          <w:tab w:val="right" w:pos="8306"/>
        </w:tabs>
        <w:jc w:val="center"/>
        <w:rPr>
          <w:b/>
          <w:sz w:val="28"/>
          <w:szCs w:val="28"/>
        </w:rPr>
      </w:pPr>
      <w:r w:rsidRPr="00C71D0A">
        <w:rPr>
          <w:b/>
          <w:sz w:val="28"/>
          <w:szCs w:val="28"/>
        </w:rPr>
        <w:lastRenderedPageBreak/>
        <w:t>TABLE 1</w:t>
      </w:r>
      <w:r>
        <w:rPr>
          <w:b/>
          <w:sz w:val="28"/>
          <w:szCs w:val="28"/>
        </w:rPr>
        <w:t>:  RESEARCH FUNDING GRANTED</w:t>
      </w:r>
      <w:r w:rsidRPr="00732D1B">
        <w:rPr>
          <w:b/>
          <w:sz w:val="28"/>
          <w:szCs w:val="28"/>
        </w:rPr>
        <w:t xml:space="preserve"> IN 2015–16</w:t>
      </w:r>
    </w:p>
    <w:tbl>
      <w:tblPr>
        <w:tblStyle w:val="TableGrid1"/>
        <w:tblW w:w="0" w:type="auto"/>
        <w:jc w:val="center"/>
        <w:tblLook w:val="04A0" w:firstRow="1" w:lastRow="0" w:firstColumn="1" w:lastColumn="0" w:noHBand="0" w:noVBand="1"/>
        <w:tblDescription w:val="Recipient Amount ($)(excluding GST)&#10;Financial and Consumer Rights Council (FCRC) – ’Rank the Telco 2017’ $60,000&#10;Australian National University (Research School of Management) – ‘Understanding Consumer Identity Theft Risks Across Communications Media’  $44,966&#10;University of Sydney (Charles Perkins Centre) – ‘Finding peace of mind: Navigating the marketplace of mental health apps’  $59,842&#10;University of NSW (School of Electrical Engineering and Telecommunications) – ‘Increasing Public Awareness in Australia on Security and Privacy Threats for Smart-Home IoT Devices’ $50,000&#10;Queensland University of Technology (Digital Media Research Centre)  – ‘Australian consumer access to digital media content’ $59,860&#10;Association of Hazaras in Victoria – ‘Telecommunications Education Project’ $7,500&#10;TOTAL $282,168&#10;"/>
      </w:tblPr>
      <w:tblGrid>
        <w:gridCol w:w="7792"/>
        <w:gridCol w:w="1531"/>
      </w:tblGrid>
      <w:tr w:rsidR="003C30C8" w14:paraId="48A3A0E4" w14:textId="77777777" w:rsidTr="00C8469B">
        <w:trPr>
          <w:trHeight w:val="337"/>
          <w:tblHeader/>
          <w:jc w:val="center"/>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8A3A0E1" w14:textId="77777777" w:rsidR="00892FC4" w:rsidRPr="00E556AB" w:rsidRDefault="0038690F" w:rsidP="00CF5930">
            <w:pPr>
              <w:keepNext/>
              <w:tabs>
                <w:tab w:val="left" w:pos="720"/>
                <w:tab w:val="center" w:pos="4153"/>
                <w:tab w:val="right" w:pos="8306"/>
              </w:tabs>
              <w:jc w:val="center"/>
              <w:rPr>
                <w:b/>
                <w:sz w:val="23"/>
                <w:szCs w:val="23"/>
              </w:rPr>
            </w:pPr>
            <w:r w:rsidRPr="00E556AB">
              <w:rPr>
                <w:b/>
                <w:sz w:val="23"/>
                <w:szCs w:val="23"/>
              </w:rPr>
              <w:t>Recipient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8A3A0E2" w14:textId="77777777" w:rsidR="00892FC4" w:rsidRDefault="0038690F" w:rsidP="00CF5930">
            <w:pPr>
              <w:keepNext/>
              <w:tabs>
                <w:tab w:val="left" w:pos="720"/>
                <w:tab w:val="center" w:pos="4153"/>
                <w:tab w:val="right" w:pos="8306"/>
              </w:tabs>
              <w:spacing w:after="0"/>
              <w:jc w:val="center"/>
              <w:rPr>
                <w:b/>
                <w:sz w:val="23"/>
                <w:szCs w:val="23"/>
              </w:rPr>
            </w:pPr>
            <w:r w:rsidRPr="00E556AB">
              <w:rPr>
                <w:b/>
                <w:sz w:val="23"/>
                <w:szCs w:val="23"/>
              </w:rPr>
              <w:t>Amount ($)</w:t>
            </w:r>
          </w:p>
          <w:p w14:paraId="48A3A0E3" w14:textId="77777777" w:rsidR="00B53015" w:rsidRPr="00E556AB" w:rsidRDefault="0038690F" w:rsidP="00CF5930">
            <w:pPr>
              <w:keepNext/>
              <w:tabs>
                <w:tab w:val="left" w:pos="720"/>
                <w:tab w:val="center" w:pos="4153"/>
                <w:tab w:val="right" w:pos="8306"/>
              </w:tabs>
              <w:spacing w:after="0"/>
              <w:jc w:val="center"/>
              <w:rPr>
                <w:b/>
                <w:sz w:val="23"/>
                <w:szCs w:val="23"/>
              </w:rPr>
            </w:pPr>
            <w:r>
              <w:rPr>
                <w:b/>
                <w:sz w:val="23"/>
                <w:szCs w:val="23"/>
              </w:rPr>
              <w:t>(excluding GST)</w:t>
            </w:r>
          </w:p>
        </w:tc>
      </w:tr>
      <w:tr w:rsidR="003C30C8" w14:paraId="48A3A0E7" w14:textId="77777777" w:rsidTr="00B53015">
        <w:trPr>
          <w:jc w:val="center"/>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A3A0E5" w14:textId="77777777" w:rsidR="00892FC4" w:rsidRPr="00F44BE2" w:rsidRDefault="0038690F" w:rsidP="00CF5930">
            <w:pPr>
              <w:keepNext/>
              <w:tabs>
                <w:tab w:val="left" w:pos="720"/>
                <w:tab w:val="center" w:pos="4153"/>
                <w:tab w:val="right" w:pos="8306"/>
              </w:tabs>
              <w:rPr>
                <w:color w:val="000000"/>
                <w:sz w:val="23"/>
                <w:szCs w:val="23"/>
              </w:rPr>
            </w:pPr>
            <w:r>
              <w:rPr>
                <w:color w:val="000000"/>
                <w:sz w:val="23"/>
                <w:szCs w:val="23"/>
              </w:rPr>
              <w:t xml:space="preserve">Financial and Consumer </w:t>
            </w:r>
            <w:r w:rsidRPr="00F44BE2">
              <w:rPr>
                <w:color w:val="000000"/>
                <w:sz w:val="23"/>
                <w:szCs w:val="23"/>
              </w:rPr>
              <w:t>Rights Council (FCRC)</w:t>
            </w:r>
            <w:r w:rsidRPr="00E556AB">
              <w:rPr>
                <w:color w:val="000000"/>
                <w:sz w:val="23"/>
                <w:szCs w:val="23"/>
              </w:rPr>
              <w:t xml:space="preserve"> </w:t>
            </w:r>
            <w:r>
              <w:rPr>
                <w:color w:val="000000"/>
                <w:sz w:val="23"/>
                <w:szCs w:val="23"/>
              </w:rPr>
              <w:t>–</w:t>
            </w:r>
            <w:r w:rsidRPr="00E556AB">
              <w:rPr>
                <w:color w:val="000000"/>
                <w:sz w:val="23"/>
                <w:szCs w:val="23"/>
              </w:rPr>
              <w:t xml:space="preserve"> </w:t>
            </w:r>
            <w:r>
              <w:rPr>
                <w:i/>
                <w:iCs/>
                <w:color w:val="000000"/>
                <w:sz w:val="23"/>
                <w:szCs w:val="23"/>
              </w:rPr>
              <w:t>’Rank the Telco 2017’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0E6" w14:textId="77777777" w:rsidR="00892FC4" w:rsidRPr="00E556AB" w:rsidRDefault="0038690F" w:rsidP="00CF5930">
            <w:pPr>
              <w:keepNext/>
              <w:tabs>
                <w:tab w:val="left" w:pos="720"/>
                <w:tab w:val="center" w:pos="4153"/>
                <w:tab w:val="right" w:pos="8306"/>
              </w:tabs>
              <w:jc w:val="center"/>
              <w:rPr>
                <w:sz w:val="23"/>
                <w:szCs w:val="23"/>
              </w:rPr>
            </w:pPr>
            <w:r w:rsidRPr="00E556AB">
              <w:rPr>
                <w:sz w:val="23"/>
                <w:szCs w:val="23"/>
              </w:rPr>
              <w:t>$</w:t>
            </w:r>
            <w:r>
              <w:rPr>
                <w:sz w:val="23"/>
                <w:szCs w:val="23"/>
              </w:rPr>
              <w:t>60,000</w:t>
            </w:r>
          </w:p>
        </w:tc>
      </w:tr>
      <w:tr w:rsidR="003C30C8" w14:paraId="48A3A0EA" w14:textId="77777777" w:rsidTr="00B53015">
        <w:trPr>
          <w:jc w:val="center"/>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A3A0E8" w14:textId="77777777" w:rsidR="00892FC4" w:rsidRPr="00F44BE2" w:rsidRDefault="0038690F" w:rsidP="00CF5930">
            <w:pPr>
              <w:keepNext/>
              <w:tabs>
                <w:tab w:val="left" w:pos="720"/>
                <w:tab w:val="center" w:pos="4153"/>
                <w:tab w:val="right" w:pos="8306"/>
              </w:tabs>
              <w:rPr>
                <w:i/>
                <w:iCs/>
                <w:color w:val="000000"/>
                <w:sz w:val="23"/>
                <w:szCs w:val="23"/>
              </w:rPr>
            </w:pPr>
            <w:r>
              <w:rPr>
                <w:color w:val="000000"/>
                <w:sz w:val="23"/>
                <w:szCs w:val="23"/>
              </w:rPr>
              <w:t xml:space="preserve">Australian National </w:t>
            </w:r>
            <w:r w:rsidRPr="00F44BE2">
              <w:rPr>
                <w:color w:val="000000"/>
                <w:sz w:val="23"/>
                <w:szCs w:val="23"/>
              </w:rPr>
              <w:t>University (Research School of Management)</w:t>
            </w:r>
            <w:r w:rsidRPr="00E556AB">
              <w:rPr>
                <w:color w:val="000000"/>
                <w:sz w:val="23"/>
                <w:szCs w:val="23"/>
              </w:rPr>
              <w:t xml:space="preserve"> </w:t>
            </w:r>
            <w:r>
              <w:rPr>
                <w:color w:val="000000"/>
                <w:sz w:val="23"/>
                <w:szCs w:val="23"/>
              </w:rPr>
              <w:t>–</w:t>
            </w:r>
            <w:r w:rsidRPr="00E556AB">
              <w:rPr>
                <w:color w:val="000000"/>
                <w:sz w:val="23"/>
                <w:szCs w:val="23"/>
              </w:rPr>
              <w:t xml:space="preserve"> </w:t>
            </w:r>
            <w:r>
              <w:rPr>
                <w:i/>
                <w:color w:val="000000"/>
                <w:sz w:val="23"/>
                <w:szCs w:val="23"/>
              </w:rPr>
              <w:t>‘U</w:t>
            </w:r>
            <w:r>
              <w:rPr>
                <w:i/>
                <w:iCs/>
                <w:color w:val="000000"/>
                <w:sz w:val="23"/>
                <w:szCs w:val="23"/>
              </w:rPr>
              <w:t xml:space="preserve">nderstanding Consumer Identity Theft Risks Across </w:t>
            </w:r>
            <w:r w:rsidRPr="00F44BE2">
              <w:rPr>
                <w:i/>
                <w:iCs/>
                <w:color w:val="000000"/>
                <w:sz w:val="23"/>
                <w:szCs w:val="23"/>
              </w:rPr>
              <w:t>Communications Media</w:t>
            </w:r>
            <w:r>
              <w:rPr>
                <w:i/>
                <w:iCs/>
                <w:color w:val="000000"/>
                <w:sz w:val="23"/>
                <w:szCs w:val="23"/>
              </w:rPr>
              <w:t xml:space="preserve">’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0E9" w14:textId="77777777" w:rsidR="00892FC4" w:rsidRPr="00E556AB" w:rsidRDefault="0038690F" w:rsidP="00CF5930">
            <w:pPr>
              <w:keepNext/>
              <w:tabs>
                <w:tab w:val="left" w:pos="720"/>
                <w:tab w:val="center" w:pos="4153"/>
                <w:tab w:val="right" w:pos="8306"/>
              </w:tabs>
              <w:jc w:val="center"/>
              <w:rPr>
                <w:sz w:val="23"/>
                <w:szCs w:val="23"/>
              </w:rPr>
            </w:pPr>
            <w:r w:rsidRPr="00E556AB">
              <w:rPr>
                <w:sz w:val="23"/>
                <w:szCs w:val="23"/>
              </w:rPr>
              <w:t>$</w:t>
            </w:r>
            <w:r>
              <w:rPr>
                <w:sz w:val="23"/>
                <w:szCs w:val="23"/>
              </w:rPr>
              <w:t>44,966</w:t>
            </w:r>
          </w:p>
        </w:tc>
      </w:tr>
      <w:tr w:rsidR="003C30C8" w14:paraId="48A3A0ED" w14:textId="77777777" w:rsidTr="00B53015">
        <w:trPr>
          <w:trHeight w:val="299"/>
          <w:jc w:val="center"/>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A3A0EB" w14:textId="77777777" w:rsidR="00892FC4" w:rsidRPr="00A06D08" w:rsidRDefault="0038690F" w:rsidP="00CF5930">
            <w:pPr>
              <w:keepNext/>
              <w:spacing w:line="276" w:lineRule="auto"/>
              <w:rPr>
                <w:color w:val="000000"/>
                <w:sz w:val="23"/>
                <w:szCs w:val="23"/>
              </w:rPr>
            </w:pPr>
            <w:r>
              <w:rPr>
                <w:color w:val="000000"/>
                <w:sz w:val="23"/>
                <w:szCs w:val="23"/>
              </w:rPr>
              <w:t xml:space="preserve">University of Sydney </w:t>
            </w:r>
            <w:r w:rsidRPr="00F44BE2">
              <w:rPr>
                <w:color w:val="000000"/>
                <w:sz w:val="23"/>
                <w:szCs w:val="23"/>
              </w:rPr>
              <w:t>(Charles Perkins Centre)</w:t>
            </w:r>
            <w:r>
              <w:rPr>
                <w:color w:val="000000"/>
                <w:sz w:val="23"/>
                <w:szCs w:val="23"/>
              </w:rPr>
              <w:t xml:space="preserve"> –</w:t>
            </w:r>
            <w:r w:rsidRPr="00E556AB">
              <w:rPr>
                <w:color w:val="000000"/>
                <w:sz w:val="23"/>
                <w:szCs w:val="23"/>
              </w:rPr>
              <w:t xml:space="preserve"> </w:t>
            </w:r>
            <w:r>
              <w:rPr>
                <w:i/>
                <w:color w:val="000000"/>
                <w:sz w:val="23"/>
                <w:szCs w:val="23"/>
              </w:rPr>
              <w:t>‘</w:t>
            </w:r>
            <w:r>
              <w:rPr>
                <w:i/>
                <w:iCs/>
                <w:color w:val="000000"/>
                <w:sz w:val="23"/>
                <w:szCs w:val="23"/>
              </w:rPr>
              <w:t xml:space="preserve">Finding peace of mind: </w:t>
            </w:r>
            <w:r w:rsidRPr="00F44BE2">
              <w:rPr>
                <w:i/>
                <w:iCs/>
                <w:color w:val="000000"/>
                <w:sz w:val="23"/>
                <w:szCs w:val="23"/>
              </w:rPr>
              <w:t>Navigating the marketplace of mental health apps</w:t>
            </w:r>
            <w:r>
              <w:rPr>
                <w:i/>
                <w:iCs/>
                <w:color w:val="000000"/>
                <w:sz w:val="23"/>
                <w:szCs w:val="23"/>
              </w:rPr>
              <w:t>’</w:t>
            </w:r>
            <w:r w:rsidRPr="00F44BE2">
              <w:rPr>
                <w:i/>
                <w:iCs/>
                <w:color w:val="000000"/>
                <w:sz w:val="23"/>
                <w:szCs w:val="23"/>
              </w:rPr>
              <w:t xml:space="preserve">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0EC" w14:textId="77777777" w:rsidR="00892FC4" w:rsidRPr="00E556AB" w:rsidRDefault="0038690F" w:rsidP="00CF5930">
            <w:pPr>
              <w:keepNext/>
              <w:tabs>
                <w:tab w:val="left" w:pos="720"/>
                <w:tab w:val="center" w:pos="4153"/>
                <w:tab w:val="right" w:pos="8306"/>
              </w:tabs>
              <w:jc w:val="center"/>
              <w:rPr>
                <w:sz w:val="23"/>
                <w:szCs w:val="23"/>
              </w:rPr>
            </w:pPr>
            <w:r w:rsidRPr="00E556AB">
              <w:rPr>
                <w:sz w:val="23"/>
                <w:szCs w:val="23"/>
              </w:rPr>
              <w:t>$</w:t>
            </w:r>
            <w:r>
              <w:rPr>
                <w:sz w:val="23"/>
                <w:szCs w:val="23"/>
              </w:rPr>
              <w:t>59,842</w:t>
            </w:r>
          </w:p>
        </w:tc>
      </w:tr>
      <w:tr w:rsidR="003C30C8" w14:paraId="48A3A0F0" w14:textId="77777777" w:rsidTr="00B53015">
        <w:trPr>
          <w:jc w:val="center"/>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A3A0EE" w14:textId="77777777" w:rsidR="00892FC4" w:rsidRPr="00A06D08" w:rsidRDefault="0038690F" w:rsidP="00CF5930">
            <w:pPr>
              <w:keepNext/>
              <w:spacing w:line="276" w:lineRule="auto"/>
              <w:rPr>
                <w:color w:val="000000"/>
                <w:sz w:val="23"/>
                <w:szCs w:val="23"/>
              </w:rPr>
            </w:pPr>
            <w:r>
              <w:rPr>
                <w:color w:val="000000"/>
                <w:sz w:val="23"/>
                <w:szCs w:val="23"/>
              </w:rPr>
              <w:t xml:space="preserve">University of NSW (School of Electrical Engineering and </w:t>
            </w:r>
            <w:r w:rsidRPr="00C51C15">
              <w:rPr>
                <w:color w:val="000000"/>
                <w:sz w:val="23"/>
                <w:szCs w:val="23"/>
              </w:rPr>
              <w:t>Telecommunications)</w:t>
            </w:r>
            <w:r w:rsidRPr="00E556AB">
              <w:rPr>
                <w:color w:val="000000"/>
                <w:sz w:val="23"/>
                <w:szCs w:val="23"/>
              </w:rPr>
              <w:t xml:space="preserve"> </w:t>
            </w:r>
            <w:r>
              <w:rPr>
                <w:color w:val="000000"/>
                <w:sz w:val="23"/>
                <w:szCs w:val="23"/>
              </w:rPr>
              <w:t>–</w:t>
            </w:r>
            <w:r w:rsidRPr="00E556AB">
              <w:rPr>
                <w:color w:val="000000"/>
                <w:sz w:val="23"/>
                <w:szCs w:val="23"/>
              </w:rPr>
              <w:t xml:space="preserve"> </w:t>
            </w:r>
            <w:r>
              <w:rPr>
                <w:i/>
                <w:color w:val="000000"/>
                <w:sz w:val="23"/>
                <w:szCs w:val="23"/>
              </w:rPr>
              <w:t>‘</w:t>
            </w:r>
            <w:r>
              <w:rPr>
                <w:i/>
                <w:iCs/>
                <w:color w:val="000000"/>
                <w:sz w:val="23"/>
                <w:szCs w:val="23"/>
              </w:rPr>
              <w:t xml:space="preserve">Increasing Public </w:t>
            </w:r>
            <w:r w:rsidRPr="00F44BE2">
              <w:rPr>
                <w:i/>
                <w:iCs/>
                <w:color w:val="000000"/>
                <w:sz w:val="23"/>
                <w:szCs w:val="23"/>
              </w:rPr>
              <w:t xml:space="preserve">Awareness in Australia on Security and Privacy Threats for Smart-Home </w:t>
            </w:r>
            <w:proofErr w:type="spellStart"/>
            <w:r w:rsidRPr="00F44BE2">
              <w:rPr>
                <w:i/>
                <w:iCs/>
                <w:color w:val="000000"/>
                <w:sz w:val="23"/>
                <w:szCs w:val="23"/>
              </w:rPr>
              <w:t>IoT</w:t>
            </w:r>
            <w:proofErr w:type="spellEnd"/>
            <w:r w:rsidRPr="00F44BE2">
              <w:rPr>
                <w:i/>
                <w:iCs/>
                <w:color w:val="000000"/>
                <w:sz w:val="23"/>
                <w:szCs w:val="23"/>
              </w:rPr>
              <w:t xml:space="preserve"> Devices</w:t>
            </w:r>
            <w:r>
              <w:rPr>
                <w:i/>
                <w:iCs/>
                <w:color w:val="000000"/>
                <w:sz w:val="23"/>
                <w:szCs w:val="23"/>
              </w:rPr>
              <w: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0EF" w14:textId="77777777" w:rsidR="00892FC4" w:rsidRPr="00E556AB" w:rsidRDefault="0038690F" w:rsidP="00CF5930">
            <w:pPr>
              <w:keepNext/>
              <w:tabs>
                <w:tab w:val="left" w:pos="720"/>
                <w:tab w:val="center" w:pos="4153"/>
                <w:tab w:val="right" w:pos="8306"/>
              </w:tabs>
              <w:jc w:val="center"/>
              <w:rPr>
                <w:sz w:val="23"/>
                <w:szCs w:val="23"/>
              </w:rPr>
            </w:pPr>
            <w:r w:rsidRPr="00E556AB">
              <w:rPr>
                <w:sz w:val="23"/>
                <w:szCs w:val="23"/>
              </w:rPr>
              <w:t>$</w:t>
            </w:r>
            <w:r>
              <w:rPr>
                <w:sz w:val="23"/>
                <w:szCs w:val="23"/>
              </w:rPr>
              <w:t>50,000</w:t>
            </w:r>
          </w:p>
        </w:tc>
      </w:tr>
      <w:tr w:rsidR="003C30C8" w14:paraId="48A3A0F3" w14:textId="77777777" w:rsidTr="00B53015">
        <w:trPr>
          <w:jc w:val="center"/>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A3A0F1" w14:textId="77777777" w:rsidR="00892FC4" w:rsidRPr="00A06D08" w:rsidRDefault="0038690F" w:rsidP="00CF5930">
            <w:pPr>
              <w:keepNext/>
              <w:tabs>
                <w:tab w:val="left" w:pos="720"/>
                <w:tab w:val="center" w:pos="4153"/>
                <w:tab w:val="right" w:pos="8306"/>
              </w:tabs>
              <w:rPr>
                <w:color w:val="000000"/>
                <w:sz w:val="23"/>
                <w:szCs w:val="23"/>
              </w:rPr>
            </w:pPr>
            <w:r>
              <w:rPr>
                <w:color w:val="000000"/>
                <w:sz w:val="23"/>
                <w:szCs w:val="23"/>
              </w:rPr>
              <w:t xml:space="preserve">Queensland University of </w:t>
            </w:r>
            <w:r w:rsidRPr="00C51C15">
              <w:rPr>
                <w:color w:val="000000"/>
                <w:sz w:val="23"/>
                <w:szCs w:val="23"/>
              </w:rPr>
              <w:t>Technology (Digital Media Research Centre</w:t>
            </w:r>
            <w:r>
              <w:rPr>
                <w:color w:val="000000"/>
                <w:sz w:val="23"/>
                <w:szCs w:val="23"/>
              </w:rPr>
              <w:t xml:space="preserve">) </w:t>
            </w:r>
            <w:r w:rsidRPr="00E556AB">
              <w:rPr>
                <w:color w:val="000000"/>
                <w:sz w:val="23"/>
                <w:szCs w:val="23"/>
              </w:rPr>
              <w:t xml:space="preserve"> </w:t>
            </w:r>
            <w:r>
              <w:rPr>
                <w:color w:val="000000"/>
                <w:sz w:val="23"/>
                <w:szCs w:val="23"/>
              </w:rPr>
              <w:t>–</w:t>
            </w:r>
            <w:r w:rsidRPr="00E556AB">
              <w:rPr>
                <w:color w:val="000000"/>
                <w:sz w:val="23"/>
                <w:szCs w:val="23"/>
              </w:rPr>
              <w:t xml:space="preserve"> </w:t>
            </w:r>
            <w:r>
              <w:rPr>
                <w:i/>
                <w:color w:val="000000"/>
                <w:sz w:val="23"/>
                <w:szCs w:val="23"/>
              </w:rPr>
              <w:t>‘</w:t>
            </w:r>
            <w:r>
              <w:rPr>
                <w:i/>
                <w:iCs/>
                <w:color w:val="000000"/>
                <w:sz w:val="23"/>
                <w:szCs w:val="23"/>
              </w:rPr>
              <w:t xml:space="preserve">Australian consumer access </w:t>
            </w:r>
            <w:r w:rsidRPr="00C51C15">
              <w:rPr>
                <w:i/>
                <w:iCs/>
                <w:color w:val="000000"/>
                <w:sz w:val="23"/>
                <w:szCs w:val="23"/>
              </w:rPr>
              <w:t>to digital media content</w:t>
            </w:r>
            <w:r>
              <w:rPr>
                <w:i/>
                <w:iCs/>
                <w:color w:val="000000"/>
                <w:sz w:val="23"/>
                <w:szCs w:val="23"/>
              </w:rPr>
              <w: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0F2" w14:textId="77777777" w:rsidR="00892FC4" w:rsidRPr="00E556AB" w:rsidRDefault="0038690F" w:rsidP="00CF5930">
            <w:pPr>
              <w:keepNext/>
              <w:tabs>
                <w:tab w:val="left" w:pos="720"/>
                <w:tab w:val="center" w:pos="4153"/>
                <w:tab w:val="right" w:pos="8306"/>
              </w:tabs>
              <w:jc w:val="center"/>
              <w:rPr>
                <w:sz w:val="23"/>
                <w:szCs w:val="23"/>
              </w:rPr>
            </w:pPr>
            <w:r w:rsidRPr="00E556AB">
              <w:rPr>
                <w:sz w:val="23"/>
                <w:szCs w:val="23"/>
              </w:rPr>
              <w:t>$</w:t>
            </w:r>
            <w:r>
              <w:rPr>
                <w:sz w:val="23"/>
                <w:szCs w:val="23"/>
              </w:rPr>
              <w:t>59,860</w:t>
            </w:r>
          </w:p>
        </w:tc>
      </w:tr>
      <w:tr w:rsidR="003C30C8" w14:paraId="48A3A0F6" w14:textId="77777777" w:rsidTr="00B53015">
        <w:trPr>
          <w:jc w:val="center"/>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A3A0F4" w14:textId="77777777" w:rsidR="00892FC4" w:rsidRPr="00A06D08" w:rsidRDefault="0038690F" w:rsidP="00CF5930">
            <w:pPr>
              <w:keepNext/>
              <w:tabs>
                <w:tab w:val="left" w:pos="720"/>
                <w:tab w:val="center" w:pos="4153"/>
                <w:tab w:val="right" w:pos="8306"/>
              </w:tabs>
              <w:rPr>
                <w:i/>
                <w:iCs/>
                <w:color w:val="000000"/>
                <w:sz w:val="23"/>
                <w:szCs w:val="23"/>
              </w:rPr>
            </w:pPr>
            <w:r w:rsidRPr="00C51C15">
              <w:rPr>
                <w:color w:val="000000"/>
                <w:sz w:val="23"/>
                <w:szCs w:val="23"/>
              </w:rPr>
              <w:t xml:space="preserve">Association of </w:t>
            </w:r>
            <w:proofErr w:type="spellStart"/>
            <w:r w:rsidRPr="00C51C15">
              <w:rPr>
                <w:color w:val="000000"/>
                <w:sz w:val="23"/>
                <w:szCs w:val="23"/>
              </w:rPr>
              <w:t>Hazaras</w:t>
            </w:r>
            <w:proofErr w:type="spellEnd"/>
            <w:r w:rsidRPr="00C51C15">
              <w:rPr>
                <w:color w:val="000000"/>
                <w:sz w:val="23"/>
                <w:szCs w:val="23"/>
              </w:rPr>
              <w:t xml:space="preserve"> in</w:t>
            </w:r>
            <w:r>
              <w:rPr>
                <w:color w:val="000000"/>
                <w:sz w:val="23"/>
                <w:szCs w:val="23"/>
              </w:rPr>
              <w:t xml:space="preserve"> </w:t>
            </w:r>
            <w:r w:rsidRPr="00C51C15">
              <w:rPr>
                <w:color w:val="000000"/>
                <w:sz w:val="23"/>
                <w:szCs w:val="23"/>
              </w:rPr>
              <w:t>Victoria</w:t>
            </w:r>
            <w:r w:rsidRPr="00E556AB">
              <w:rPr>
                <w:color w:val="000000"/>
                <w:sz w:val="23"/>
                <w:szCs w:val="23"/>
              </w:rPr>
              <w:t xml:space="preserve"> </w:t>
            </w:r>
            <w:r>
              <w:rPr>
                <w:color w:val="000000"/>
                <w:sz w:val="23"/>
                <w:szCs w:val="23"/>
              </w:rPr>
              <w:t>–</w:t>
            </w:r>
            <w:r w:rsidRPr="00E556AB">
              <w:rPr>
                <w:color w:val="000000"/>
                <w:sz w:val="23"/>
                <w:szCs w:val="23"/>
              </w:rPr>
              <w:t xml:space="preserve"> </w:t>
            </w:r>
            <w:r>
              <w:rPr>
                <w:i/>
                <w:color w:val="000000"/>
                <w:sz w:val="23"/>
                <w:szCs w:val="23"/>
              </w:rPr>
              <w:t>‘</w:t>
            </w:r>
            <w:r w:rsidRPr="00C51C15">
              <w:rPr>
                <w:i/>
                <w:iCs/>
                <w:color w:val="000000"/>
                <w:sz w:val="23"/>
                <w:szCs w:val="23"/>
              </w:rPr>
              <w:t>Telecommunications</w:t>
            </w:r>
            <w:r>
              <w:rPr>
                <w:i/>
                <w:iCs/>
                <w:color w:val="000000"/>
                <w:sz w:val="23"/>
                <w:szCs w:val="23"/>
              </w:rPr>
              <w:t xml:space="preserve"> </w:t>
            </w:r>
            <w:r w:rsidRPr="00C51C15">
              <w:rPr>
                <w:i/>
                <w:iCs/>
                <w:color w:val="000000"/>
                <w:sz w:val="23"/>
                <w:szCs w:val="23"/>
              </w:rPr>
              <w:t>Education Project</w:t>
            </w:r>
            <w:r>
              <w:rPr>
                <w:i/>
                <w:iCs/>
                <w:color w:val="000000"/>
                <w:sz w:val="23"/>
                <w:szCs w:val="23"/>
              </w:rPr>
              <w: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3A0F5" w14:textId="77777777" w:rsidR="00892FC4" w:rsidRPr="00E556AB" w:rsidRDefault="0038690F" w:rsidP="00CF5930">
            <w:pPr>
              <w:keepNext/>
              <w:tabs>
                <w:tab w:val="left" w:pos="720"/>
                <w:tab w:val="center" w:pos="4153"/>
                <w:tab w:val="right" w:pos="8306"/>
              </w:tabs>
              <w:jc w:val="center"/>
              <w:rPr>
                <w:sz w:val="23"/>
                <w:szCs w:val="23"/>
              </w:rPr>
            </w:pPr>
            <w:r w:rsidRPr="00E556AB">
              <w:rPr>
                <w:sz w:val="23"/>
                <w:szCs w:val="23"/>
              </w:rPr>
              <w:t>$</w:t>
            </w:r>
            <w:r>
              <w:rPr>
                <w:sz w:val="23"/>
                <w:szCs w:val="23"/>
              </w:rPr>
              <w:t>7,500</w:t>
            </w:r>
          </w:p>
        </w:tc>
      </w:tr>
      <w:tr w:rsidR="003C30C8" w14:paraId="48A3A0F9" w14:textId="77777777" w:rsidTr="00B53015">
        <w:trPr>
          <w:trHeight w:val="405"/>
          <w:jc w:val="center"/>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3A0F7" w14:textId="77777777" w:rsidR="00892FC4" w:rsidRPr="00E556AB" w:rsidRDefault="0038690F" w:rsidP="00CF5930">
            <w:pPr>
              <w:keepNext/>
              <w:tabs>
                <w:tab w:val="left" w:pos="720"/>
                <w:tab w:val="center" w:pos="4153"/>
                <w:tab w:val="right" w:pos="8306"/>
              </w:tabs>
              <w:rPr>
                <w:b/>
                <w:sz w:val="23"/>
                <w:szCs w:val="23"/>
              </w:rPr>
            </w:pPr>
            <w:r w:rsidRPr="00E556AB">
              <w:rPr>
                <w:b/>
                <w:sz w:val="23"/>
                <w:szCs w:val="23"/>
              </w:rPr>
              <w:t>TOTAL</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3A0F8" w14:textId="77777777" w:rsidR="00892FC4" w:rsidRPr="00E556AB" w:rsidRDefault="0038690F" w:rsidP="00CF5930">
            <w:pPr>
              <w:keepNext/>
              <w:tabs>
                <w:tab w:val="left" w:pos="720"/>
                <w:tab w:val="center" w:pos="4153"/>
                <w:tab w:val="right" w:pos="8306"/>
              </w:tabs>
              <w:jc w:val="center"/>
              <w:rPr>
                <w:b/>
                <w:sz w:val="23"/>
                <w:szCs w:val="23"/>
              </w:rPr>
            </w:pPr>
            <w:r>
              <w:rPr>
                <w:b/>
                <w:sz w:val="23"/>
                <w:szCs w:val="23"/>
              </w:rPr>
              <w:t>$282,168</w:t>
            </w:r>
          </w:p>
        </w:tc>
      </w:tr>
    </w:tbl>
    <w:p w14:paraId="48A3A0FA" w14:textId="77777777" w:rsidR="00892FC4" w:rsidRDefault="00C43592" w:rsidP="00892FC4">
      <w:pPr>
        <w:rPr>
          <w:sz w:val="16"/>
          <w:szCs w:val="16"/>
          <w:highlight w:val="yellow"/>
        </w:rPr>
      </w:pPr>
    </w:p>
    <w:p w14:paraId="48A3A0FB" w14:textId="77777777" w:rsidR="00892FC4" w:rsidRDefault="0038690F" w:rsidP="00892FC4">
      <w:pPr>
        <w:rPr>
          <w:sz w:val="16"/>
          <w:szCs w:val="16"/>
        </w:rPr>
      </w:pPr>
      <w:r>
        <w:rPr>
          <w:sz w:val="16"/>
          <w:szCs w:val="16"/>
        </w:rPr>
        <w:t xml:space="preserve">* 2015-16 IGP funds were augmented with $25,182 returned after a contract was </w:t>
      </w:r>
      <w:r w:rsidRPr="00291769">
        <w:rPr>
          <w:sz w:val="16"/>
          <w:szCs w:val="16"/>
        </w:rPr>
        <w:t xml:space="preserve">terminated in </w:t>
      </w:r>
      <w:r>
        <w:rPr>
          <w:sz w:val="16"/>
          <w:szCs w:val="16"/>
        </w:rPr>
        <w:t>October</w:t>
      </w:r>
      <w:r w:rsidRPr="00291769">
        <w:rPr>
          <w:sz w:val="16"/>
          <w:szCs w:val="16"/>
        </w:rPr>
        <w:t xml:space="preserve"> </w:t>
      </w:r>
      <w:r>
        <w:rPr>
          <w:sz w:val="16"/>
          <w:szCs w:val="16"/>
        </w:rPr>
        <w:t xml:space="preserve">2015 </w:t>
      </w:r>
    </w:p>
    <w:p w14:paraId="48A3A0FC" w14:textId="77777777" w:rsidR="00892FC4" w:rsidRPr="00905C4A" w:rsidRDefault="0038690F" w:rsidP="00892FC4">
      <w:pPr>
        <w:rPr>
          <w:sz w:val="23"/>
          <w:szCs w:val="23"/>
        </w:rPr>
      </w:pPr>
      <w:r w:rsidRPr="006B767D">
        <w:rPr>
          <w:sz w:val="23"/>
          <w:szCs w:val="23"/>
        </w:rPr>
        <w:t xml:space="preserve">Six </w:t>
      </w:r>
      <w:r>
        <w:rPr>
          <w:sz w:val="23"/>
          <w:szCs w:val="23"/>
        </w:rPr>
        <w:t>research</w:t>
      </w:r>
      <w:r w:rsidRPr="006B767D">
        <w:rPr>
          <w:sz w:val="23"/>
          <w:szCs w:val="23"/>
        </w:rPr>
        <w:t xml:space="preserve"> projects </w:t>
      </w:r>
      <w:r>
        <w:rPr>
          <w:sz w:val="23"/>
          <w:szCs w:val="23"/>
        </w:rPr>
        <w:t xml:space="preserve">awarded by ACCAN in previous grants rounds </w:t>
      </w:r>
      <w:r w:rsidRPr="006B767D">
        <w:rPr>
          <w:sz w:val="23"/>
          <w:szCs w:val="23"/>
        </w:rPr>
        <w:t>were completed in 201</w:t>
      </w:r>
      <w:r>
        <w:rPr>
          <w:sz w:val="23"/>
          <w:szCs w:val="23"/>
        </w:rPr>
        <w:t>5</w:t>
      </w:r>
      <w:r w:rsidRPr="006B767D">
        <w:rPr>
          <w:sz w:val="23"/>
          <w:szCs w:val="23"/>
        </w:rPr>
        <w:t>–1</w:t>
      </w:r>
      <w:r>
        <w:rPr>
          <w:sz w:val="23"/>
          <w:szCs w:val="23"/>
        </w:rPr>
        <w:t>6</w:t>
      </w:r>
      <w:r w:rsidRPr="006B767D">
        <w:rPr>
          <w:sz w:val="23"/>
          <w:szCs w:val="23"/>
        </w:rPr>
        <w:t xml:space="preserve"> (see Table 2 below). </w:t>
      </w:r>
      <w:r>
        <w:rPr>
          <w:sz w:val="23"/>
          <w:szCs w:val="23"/>
        </w:rPr>
        <w:t xml:space="preserve"> These projects explored issues such as improving the communications of privacy information, competition in the mobile phone market, empowering women to end digital abuse, demystifying personal cloud services, enabling older social housing residents to use the internet and helping migrants with outreach services. </w:t>
      </w:r>
    </w:p>
    <w:p w14:paraId="48A3A0FD" w14:textId="77777777" w:rsidR="00892FC4" w:rsidRPr="00C71D0A" w:rsidRDefault="0038690F" w:rsidP="00C04A8C">
      <w:pPr>
        <w:keepNext/>
        <w:tabs>
          <w:tab w:val="left" w:pos="720"/>
          <w:tab w:val="center" w:pos="4153"/>
          <w:tab w:val="right" w:pos="8306"/>
        </w:tabs>
        <w:jc w:val="center"/>
        <w:rPr>
          <w:b/>
          <w:sz w:val="28"/>
          <w:szCs w:val="28"/>
        </w:rPr>
      </w:pPr>
      <w:r w:rsidRPr="00C71D0A">
        <w:rPr>
          <w:b/>
          <w:sz w:val="28"/>
          <w:szCs w:val="28"/>
        </w:rPr>
        <w:lastRenderedPageBreak/>
        <w:t>TABLE 2</w:t>
      </w:r>
      <w:r>
        <w:rPr>
          <w:b/>
          <w:sz w:val="28"/>
          <w:szCs w:val="28"/>
        </w:rPr>
        <w:t>:  RESEARCH PROJECTS COMPLETED IN</w:t>
      </w:r>
      <w:r w:rsidRPr="00732D1B">
        <w:rPr>
          <w:b/>
          <w:sz w:val="28"/>
          <w:szCs w:val="28"/>
        </w:rPr>
        <w:t xml:space="preserve"> 2015–16</w:t>
      </w:r>
    </w:p>
    <w:tbl>
      <w:tblPr>
        <w:tblStyle w:val="TableGrid1"/>
        <w:tblW w:w="9383" w:type="dxa"/>
        <w:jc w:val="center"/>
        <w:tblLayout w:type="fixed"/>
        <w:tblLook w:val="04A0" w:firstRow="1" w:lastRow="0" w:firstColumn="1" w:lastColumn="0" w:noHBand="0" w:noVBand="1"/>
        <w:tblDescription w:val="IGP Project Commenced Completed&#10;University of Technology Sydney (Communications Law Centre)  – ‘Improving the communication of privacy information for consumers’ 2014-15 March 2016&#10;Australian National University (School of Accounting and Business Information Systems) – ‘Investigating competition in the mobile phone marketplace’ 2014-15 January 2016&#10;Women's Legal Services NSW – ‘Recharge: women’s technology safety, legal resources, research and training’ 2014-15 December 2015&#10;Royal Melbourne Institute of Technology University – ‘Demystifying personal cloud services for Australian consumers’   2014-15 July 2015&#10;Southern Cross University – ‘The Digital Age Project Strategies that enable older social housing residents to use the internet’  2013-14 April 2014&#10;Justice Connect – ‘Don't just sign on the dotted line’ 2014-15 July 2015&#10;"/>
      </w:tblPr>
      <w:tblGrid>
        <w:gridCol w:w="6232"/>
        <w:gridCol w:w="1418"/>
        <w:gridCol w:w="1733"/>
      </w:tblGrid>
      <w:tr w:rsidR="003C30C8" w14:paraId="48A3A101" w14:textId="77777777" w:rsidTr="00C8469B">
        <w:trPr>
          <w:trHeight w:val="337"/>
          <w:tblHeader/>
          <w:jc w:val="center"/>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8A3A0FE" w14:textId="77777777" w:rsidR="00AF6C13" w:rsidRPr="00642EEE" w:rsidRDefault="0038690F" w:rsidP="00C04A8C">
            <w:pPr>
              <w:keepNext/>
              <w:tabs>
                <w:tab w:val="left" w:pos="720"/>
                <w:tab w:val="center" w:pos="4153"/>
                <w:tab w:val="right" w:pos="8306"/>
              </w:tabs>
              <w:jc w:val="center"/>
              <w:rPr>
                <w:b/>
                <w:highlight w:val="yellow"/>
              </w:rPr>
            </w:pPr>
            <w:r w:rsidRPr="00982500">
              <w:rPr>
                <w:b/>
              </w:rPr>
              <w:t>IGP Project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A3A0FF" w14:textId="77777777" w:rsidR="00AF6C13" w:rsidRDefault="0038690F" w:rsidP="00C04A8C">
            <w:pPr>
              <w:keepNext/>
              <w:tabs>
                <w:tab w:val="left" w:pos="720"/>
                <w:tab w:val="center" w:pos="4153"/>
                <w:tab w:val="right" w:pos="8306"/>
              </w:tabs>
              <w:jc w:val="center"/>
              <w:rPr>
                <w:b/>
              </w:rPr>
            </w:pPr>
            <w:r>
              <w:rPr>
                <w:b/>
              </w:rPr>
              <w:t>Commenced</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A3A100" w14:textId="77777777" w:rsidR="00AF6C13" w:rsidRPr="00982500" w:rsidRDefault="0038690F" w:rsidP="00C04A8C">
            <w:pPr>
              <w:keepNext/>
              <w:tabs>
                <w:tab w:val="left" w:pos="720"/>
                <w:tab w:val="center" w:pos="4153"/>
                <w:tab w:val="right" w:pos="8306"/>
              </w:tabs>
              <w:jc w:val="center"/>
              <w:rPr>
                <w:b/>
              </w:rPr>
            </w:pPr>
            <w:r>
              <w:rPr>
                <w:b/>
              </w:rPr>
              <w:t>Completed</w:t>
            </w:r>
          </w:p>
        </w:tc>
      </w:tr>
      <w:tr w:rsidR="003C30C8" w14:paraId="48A3A105" w14:textId="77777777" w:rsidTr="00C04A8C">
        <w:trPr>
          <w:jc w:val="center"/>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102" w14:textId="77777777" w:rsidR="00D50A57" w:rsidRPr="00982500" w:rsidRDefault="0038690F" w:rsidP="00C04A8C">
            <w:pPr>
              <w:keepNext/>
              <w:tabs>
                <w:tab w:val="left" w:pos="720"/>
                <w:tab w:val="center" w:pos="4153"/>
                <w:tab w:val="right" w:pos="8306"/>
              </w:tabs>
              <w:rPr>
                <w:b/>
                <w:bCs/>
              </w:rPr>
            </w:pPr>
            <w:r w:rsidRPr="00F37566">
              <w:rPr>
                <w:sz w:val="23"/>
                <w:szCs w:val="23"/>
              </w:rPr>
              <w:t xml:space="preserve">University of Technology Sydney (Communications Law Centre)  – </w:t>
            </w:r>
            <w:r>
              <w:rPr>
                <w:sz w:val="23"/>
                <w:szCs w:val="23"/>
              </w:rPr>
              <w:t>‘</w:t>
            </w:r>
            <w:r w:rsidRPr="00F37566">
              <w:rPr>
                <w:i/>
                <w:sz w:val="23"/>
                <w:szCs w:val="23"/>
              </w:rPr>
              <w:t>Improving the communication of privacy information for consumers</w:t>
            </w:r>
            <w:r>
              <w:rPr>
                <w:i/>
                <w:sz w:val="23"/>
                <w:szCs w:val="23"/>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03" w14:textId="77777777" w:rsidR="00D50A57" w:rsidRPr="00F52F5B" w:rsidRDefault="0038690F" w:rsidP="00C04A8C">
            <w:pPr>
              <w:keepNext/>
              <w:tabs>
                <w:tab w:val="left" w:pos="720"/>
                <w:tab w:val="center" w:pos="4153"/>
                <w:tab w:val="right" w:pos="8306"/>
              </w:tabs>
              <w:jc w:val="center"/>
              <w:rPr>
                <w:sz w:val="23"/>
                <w:szCs w:val="23"/>
              </w:rPr>
            </w:pPr>
            <w:r w:rsidRPr="00F52F5B">
              <w:t>2014-15</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04" w14:textId="77777777" w:rsidR="00D50A57" w:rsidRPr="00F52F5B" w:rsidRDefault="0038690F" w:rsidP="00C04A8C">
            <w:pPr>
              <w:keepNext/>
              <w:tabs>
                <w:tab w:val="left" w:pos="720"/>
                <w:tab w:val="center" w:pos="4153"/>
                <w:tab w:val="right" w:pos="8306"/>
              </w:tabs>
              <w:jc w:val="center"/>
              <w:rPr>
                <w:sz w:val="23"/>
                <w:szCs w:val="23"/>
              </w:rPr>
            </w:pPr>
            <w:r w:rsidRPr="00F52F5B">
              <w:t>March 2016</w:t>
            </w:r>
          </w:p>
        </w:tc>
      </w:tr>
      <w:tr w:rsidR="003C30C8" w14:paraId="48A3A109" w14:textId="77777777" w:rsidTr="00C04A8C">
        <w:trPr>
          <w:jc w:val="center"/>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106" w14:textId="77777777" w:rsidR="00D50A57" w:rsidRPr="00982500" w:rsidRDefault="0038690F" w:rsidP="00C04A8C">
            <w:pPr>
              <w:keepNext/>
              <w:tabs>
                <w:tab w:val="left" w:pos="720"/>
                <w:tab w:val="center" w:pos="4153"/>
                <w:tab w:val="right" w:pos="8306"/>
              </w:tabs>
            </w:pPr>
            <w:r w:rsidRPr="00244998">
              <w:rPr>
                <w:sz w:val="23"/>
                <w:szCs w:val="23"/>
              </w:rPr>
              <w:t xml:space="preserve">Australian National University </w:t>
            </w:r>
            <w:r>
              <w:rPr>
                <w:sz w:val="23"/>
                <w:szCs w:val="23"/>
              </w:rPr>
              <w:t>(</w:t>
            </w:r>
            <w:r w:rsidRPr="00244998">
              <w:rPr>
                <w:sz w:val="23"/>
                <w:szCs w:val="23"/>
              </w:rPr>
              <w:t>School of Accounting and Business Information Systems</w:t>
            </w:r>
            <w:r>
              <w:rPr>
                <w:sz w:val="23"/>
                <w:szCs w:val="23"/>
              </w:rPr>
              <w:t>)</w:t>
            </w:r>
            <w:r w:rsidRPr="00244998">
              <w:rPr>
                <w:sz w:val="23"/>
                <w:szCs w:val="23"/>
              </w:rPr>
              <w:t xml:space="preserve"> – </w:t>
            </w:r>
            <w:r w:rsidRPr="00244998">
              <w:rPr>
                <w:i/>
                <w:sz w:val="23"/>
                <w:szCs w:val="23"/>
              </w:rPr>
              <w:t>‘Investigating competition in the mobile phone marketplace’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07" w14:textId="77777777" w:rsidR="00D50A57" w:rsidRPr="00F52F5B" w:rsidRDefault="0038690F" w:rsidP="00C04A8C">
            <w:pPr>
              <w:keepNext/>
              <w:tabs>
                <w:tab w:val="left" w:pos="720"/>
                <w:tab w:val="center" w:pos="4153"/>
                <w:tab w:val="right" w:pos="8306"/>
              </w:tabs>
              <w:jc w:val="center"/>
              <w:rPr>
                <w:sz w:val="23"/>
                <w:szCs w:val="23"/>
              </w:rPr>
            </w:pPr>
            <w:r w:rsidRPr="00C8610E">
              <w:t>2014-15</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08" w14:textId="77777777" w:rsidR="00D50A57" w:rsidRPr="00F52F5B" w:rsidRDefault="0038690F" w:rsidP="00C04A8C">
            <w:pPr>
              <w:keepNext/>
              <w:tabs>
                <w:tab w:val="left" w:pos="720"/>
                <w:tab w:val="center" w:pos="4153"/>
                <w:tab w:val="right" w:pos="8306"/>
              </w:tabs>
              <w:jc w:val="center"/>
              <w:rPr>
                <w:sz w:val="23"/>
                <w:szCs w:val="23"/>
              </w:rPr>
            </w:pPr>
            <w:r w:rsidRPr="00F52F5B">
              <w:t>January 2016</w:t>
            </w:r>
          </w:p>
        </w:tc>
      </w:tr>
      <w:tr w:rsidR="003C30C8" w14:paraId="48A3A10D" w14:textId="77777777" w:rsidTr="00C04A8C">
        <w:trPr>
          <w:jc w:val="center"/>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10A" w14:textId="77777777" w:rsidR="00D50A57" w:rsidRPr="00560CB2" w:rsidRDefault="0038690F" w:rsidP="00C04A8C">
            <w:pPr>
              <w:keepNext/>
              <w:tabs>
                <w:tab w:val="left" w:pos="720"/>
                <w:tab w:val="center" w:pos="4153"/>
                <w:tab w:val="right" w:pos="8306"/>
              </w:tabs>
              <w:rPr>
                <w:i/>
                <w:sz w:val="23"/>
                <w:szCs w:val="23"/>
              </w:rPr>
            </w:pPr>
            <w:r w:rsidRPr="00244998">
              <w:rPr>
                <w:sz w:val="23"/>
                <w:szCs w:val="23"/>
              </w:rPr>
              <w:t>Women's Legal Services NSW</w:t>
            </w:r>
            <w:r>
              <w:rPr>
                <w:sz w:val="23"/>
                <w:szCs w:val="23"/>
              </w:rPr>
              <w:t xml:space="preserve"> – </w:t>
            </w:r>
            <w:r w:rsidRPr="00244998">
              <w:rPr>
                <w:i/>
                <w:sz w:val="23"/>
                <w:szCs w:val="23"/>
              </w:rPr>
              <w:t>‘</w:t>
            </w:r>
            <w:r w:rsidRPr="003445A1">
              <w:rPr>
                <w:i/>
                <w:sz w:val="23"/>
                <w:szCs w:val="23"/>
              </w:rPr>
              <w:t>Recha</w:t>
            </w:r>
            <w:r>
              <w:rPr>
                <w:i/>
                <w:sz w:val="23"/>
                <w:szCs w:val="23"/>
              </w:rPr>
              <w:t xml:space="preserve">rge: women’s technology safety, </w:t>
            </w:r>
            <w:r w:rsidRPr="003445A1">
              <w:rPr>
                <w:i/>
                <w:sz w:val="23"/>
                <w:szCs w:val="23"/>
              </w:rPr>
              <w:t>legal r</w:t>
            </w:r>
            <w:r>
              <w:rPr>
                <w:i/>
                <w:sz w:val="23"/>
                <w:szCs w:val="23"/>
              </w:rPr>
              <w:t>esources, research and training’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0B" w14:textId="77777777" w:rsidR="00D50A57" w:rsidRPr="00F52F5B" w:rsidRDefault="0038690F" w:rsidP="00C04A8C">
            <w:pPr>
              <w:keepNext/>
              <w:tabs>
                <w:tab w:val="left" w:pos="720"/>
                <w:tab w:val="center" w:pos="4153"/>
                <w:tab w:val="right" w:pos="8306"/>
              </w:tabs>
              <w:jc w:val="center"/>
              <w:rPr>
                <w:sz w:val="23"/>
                <w:szCs w:val="23"/>
              </w:rPr>
            </w:pPr>
            <w:r w:rsidRPr="00C8610E">
              <w:t>2014-15</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0C" w14:textId="77777777" w:rsidR="00D50A57" w:rsidRPr="00F52F5B" w:rsidRDefault="0038690F" w:rsidP="00C04A8C">
            <w:pPr>
              <w:keepNext/>
              <w:tabs>
                <w:tab w:val="left" w:pos="720"/>
                <w:tab w:val="center" w:pos="4153"/>
                <w:tab w:val="right" w:pos="8306"/>
              </w:tabs>
              <w:jc w:val="center"/>
              <w:rPr>
                <w:sz w:val="23"/>
                <w:szCs w:val="23"/>
              </w:rPr>
            </w:pPr>
            <w:r w:rsidRPr="00C8610E">
              <w:t>December 2015</w:t>
            </w:r>
          </w:p>
        </w:tc>
      </w:tr>
      <w:tr w:rsidR="003C30C8" w14:paraId="48A3A111" w14:textId="77777777" w:rsidTr="00C04A8C">
        <w:trPr>
          <w:jc w:val="center"/>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A10E" w14:textId="77777777" w:rsidR="00D50A57" w:rsidRPr="00642EEE" w:rsidRDefault="0038690F" w:rsidP="00C04A8C">
            <w:pPr>
              <w:keepNext/>
              <w:tabs>
                <w:tab w:val="left" w:pos="720"/>
                <w:tab w:val="center" w:pos="4153"/>
                <w:tab w:val="right" w:pos="8306"/>
              </w:tabs>
              <w:rPr>
                <w:highlight w:val="yellow"/>
              </w:rPr>
            </w:pPr>
            <w:r w:rsidRPr="00E45C39">
              <w:t>Royal Melbourne Institute of Technology University</w:t>
            </w:r>
            <w:r w:rsidRPr="00982500">
              <w:t xml:space="preserve"> – </w:t>
            </w:r>
            <w:r w:rsidRPr="00982500">
              <w:rPr>
                <w:i/>
              </w:rPr>
              <w:t>‘</w:t>
            </w:r>
            <w:r w:rsidRPr="00E45C39">
              <w:rPr>
                <w:i/>
              </w:rPr>
              <w:t>Demystifying personal cloud services for Australian consumers</w:t>
            </w:r>
            <w:r>
              <w:rPr>
                <w:i/>
              </w:rPr>
              <w:t xml:space="preserve">’ </w:t>
            </w:r>
            <w:r w:rsidRPr="00982500">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0F" w14:textId="77777777" w:rsidR="00D50A57" w:rsidRPr="00F52F5B" w:rsidRDefault="0038690F" w:rsidP="00C04A8C">
            <w:pPr>
              <w:keepNext/>
              <w:tabs>
                <w:tab w:val="left" w:pos="720"/>
                <w:tab w:val="center" w:pos="4153"/>
                <w:tab w:val="right" w:pos="8306"/>
              </w:tabs>
              <w:jc w:val="center"/>
            </w:pPr>
            <w:r w:rsidRPr="00C8610E">
              <w:t>2014-15</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10" w14:textId="77777777" w:rsidR="00D50A57" w:rsidRPr="00F52F5B" w:rsidRDefault="0038690F" w:rsidP="00C04A8C">
            <w:pPr>
              <w:keepNext/>
              <w:tabs>
                <w:tab w:val="left" w:pos="720"/>
                <w:tab w:val="center" w:pos="4153"/>
                <w:tab w:val="right" w:pos="8306"/>
              </w:tabs>
              <w:jc w:val="center"/>
            </w:pPr>
            <w:r w:rsidRPr="00C8610E">
              <w:t>July 2015</w:t>
            </w:r>
          </w:p>
        </w:tc>
      </w:tr>
      <w:tr w:rsidR="003C30C8" w14:paraId="48A3A115" w14:textId="77777777" w:rsidTr="00C04A8C">
        <w:trPr>
          <w:jc w:val="center"/>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3A112" w14:textId="77777777" w:rsidR="00D50A57" w:rsidRPr="00982500" w:rsidRDefault="0038690F" w:rsidP="00C04A8C">
            <w:pPr>
              <w:keepNext/>
              <w:tabs>
                <w:tab w:val="left" w:pos="720"/>
                <w:tab w:val="center" w:pos="4153"/>
                <w:tab w:val="right" w:pos="8306"/>
              </w:tabs>
            </w:pPr>
            <w:r w:rsidRPr="00E45C39">
              <w:t>Southern Cross University</w:t>
            </w:r>
            <w:r>
              <w:t xml:space="preserve"> – </w:t>
            </w:r>
            <w:r>
              <w:rPr>
                <w:i/>
              </w:rPr>
              <w:t>‘</w:t>
            </w:r>
            <w:r w:rsidRPr="00684C62">
              <w:rPr>
                <w:i/>
              </w:rPr>
              <w:t>The Digital Age Project Strategies that enable older social housing residents to use the internet</w:t>
            </w:r>
            <w:r>
              <w:rPr>
                <w:i/>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13" w14:textId="77777777" w:rsidR="00D50A57" w:rsidRPr="00F52F5B" w:rsidRDefault="0038690F" w:rsidP="00C04A8C">
            <w:pPr>
              <w:keepNext/>
              <w:tabs>
                <w:tab w:val="left" w:pos="720"/>
                <w:tab w:val="center" w:pos="4153"/>
                <w:tab w:val="right" w:pos="8306"/>
              </w:tabs>
              <w:jc w:val="center"/>
            </w:pPr>
            <w:r w:rsidRPr="00C8610E">
              <w:t>2013-14</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14" w14:textId="77777777" w:rsidR="00D50A57" w:rsidRPr="00F52F5B" w:rsidRDefault="0038690F" w:rsidP="00C04A8C">
            <w:pPr>
              <w:keepNext/>
              <w:tabs>
                <w:tab w:val="left" w:pos="720"/>
                <w:tab w:val="center" w:pos="4153"/>
                <w:tab w:val="right" w:pos="8306"/>
              </w:tabs>
              <w:jc w:val="center"/>
            </w:pPr>
            <w:r w:rsidRPr="00C8610E">
              <w:t>April 2014</w:t>
            </w:r>
          </w:p>
        </w:tc>
      </w:tr>
      <w:tr w:rsidR="003C30C8" w14:paraId="48A3A119" w14:textId="77777777" w:rsidTr="00C04A8C">
        <w:trPr>
          <w:jc w:val="center"/>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3A116" w14:textId="77777777" w:rsidR="00D50A57" w:rsidRDefault="0038690F" w:rsidP="00C04A8C">
            <w:pPr>
              <w:keepNext/>
              <w:tabs>
                <w:tab w:val="left" w:pos="1890"/>
              </w:tabs>
            </w:pPr>
            <w:r>
              <w:t xml:space="preserve">Justice Connect – </w:t>
            </w:r>
            <w:r>
              <w:rPr>
                <w:i/>
              </w:rPr>
              <w:t xml:space="preserve">‘Don't just sign on the dotted </w:t>
            </w:r>
            <w:r w:rsidRPr="00684C62">
              <w:rPr>
                <w:i/>
              </w:rPr>
              <w:t>line</w:t>
            </w:r>
            <w:r>
              <w:rPr>
                <w:i/>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17" w14:textId="77777777" w:rsidR="00D50A57" w:rsidRPr="00F52F5B" w:rsidRDefault="0038690F" w:rsidP="00C04A8C">
            <w:pPr>
              <w:keepNext/>
              <w:tabs>
                <w:tab w:val="left" w:pos="1890"/>
              </w:tabs>
              <w:jc w:val="center"/>
            </w:pPr>
            <w:r w:rsidRPr="00C8610E">
              <w:t>2014-15</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3A118" w14:textId="77777777" w:rsidR="00D50A57" w:rsidRPr="00F52F5B" w:rsidRDefault="0038690F" w:rsidP="00C04A8C">
            <w:pPr>
              <w:keepNext/>
              <w:tabs>
                <w:tab w:val="left" w:pos="1890"/>
              </w:tabs>
              <w:jc w:val="center"/>
            </w:pPr>
            <w:r w:rsidRPr="00C8610E">
              <w:t>July 2015</w:t>
            </w:r>
          </w:p>
        </w:tc>
      </w:tr>
    </w:tbl>
    <w:p w14:paraId="48A3A11A" w14:textId="77777777" w:rsidR="00892FC4" w:rsidRDefault="00C43592" w:rsidP="00892FC4">
      <w:pPr>
        <w:rPr>
          <w:b/>
          <w:szCs w:val="24"/>
        </w:rPr>
      </w:pPr>
    </w:p>
    <w:p w14:paraId="48A3A11B" w14:textId="77777777" w:rsidR="00892FC4" w:rsidRPr="006B767D" w:rsidRDefault="0038690F" w:rsidP="00892FC4">
      <w:pPr>
        <w:pStyle w:val="Heading2"/>
      </w:pPr>
      <w:bookmarkStart w:id="23" w:name="_Toc256000019"/>
      <w:bookmarkStart w:id="24" w:name="_Toc256000014"/>
      <w:bookmarkStart w:id="25" w:name="_Toc256000009"/>
      <w:bookmarkStart w:id="26" w:name="_Toc256000004"/>
      <w:bookmarkStart w:id="27" w:name="_Toc471463034"/>
      <w:r w:rsidRPr="006B767D">
        <w:t xml:space="preserve">FINANCIAL </w:t>
      </w:r>
      <w:r>
        <w:t>ACCOUNTS</w:t>
      </w:r>
      <w:bookmarkEnd w:id="23"/>
      <w:bookmarkEnd w:id="24"/>
      <w:bookmarkEnd w:id="25"/>
      <w:bookmarkEnd w:id="26"/>
      <w:bookmarkEnd w:id="27"/>
    </w:p>
    <w:p w14:paraId="48A3A11C" w14:textId="77777777" w:rsidR="00892FC4" w:rsidRPr="006B767D" w:rsidRDefault="0038690F" w:rsidP="00892FC4">
      <w:pPr>
        <w:rPr>
          <w:sz w:val="23"/>
          <w:szCs w:val="23"/>
        </w:rPr>
      </w:pPr>
      <w:r w:rsidRPr="006B767D">
        <w:rPr>
          <w:sz w:val="23"/>
          <w:szCs w:val="23"/>
        </w:rPr>
        <w:t xml:space="preserve">There were no significant changes in the nature of ACCAN’s activities during the financial year. The independent auditor of ACCAN’s financial </w:t>
      </w:r>
      <w:r>
        <w:rPr>
          <w:sz w:val="23"/>
          <w:szCs w:val="23"/>
        </w:rPr>
        <w:t>accounts</w:t>
      </w:r>
      <w:r w:rsidRPr="006B767D">
        <w:rPr>
          <w:sz w:val="23"/>
          <w:szCs w:val="23"/>
        </w:rPr>
        <w:t xml:space="preserve"> found that </w:t>
      </w:r>
      <w:r>
        <w:rPr>
          <w:sz w:val="23"/>
          <w:szCs w:val="23"/>
        </w:rPr>
        <w:t>the accounts</w:t>
      </w:r>
      <w:r w:rsidRPr="006B767D">
        <w:rPr>
          <w:sz w:val="23"/>
          <w:szCs w:val="23"/>
        </w:rPr>
        <w:t xml:space="preserve"> </w:t>
      </w:r>
      <w:r>
        <w:rPr>
          <w:sz w:val="23"/>
          <w:szCs w:val="23"/>
        </w:rPr>
        <w:t>were prepared</w:t>
      </w:r>
      <w:r w:rsidRPr="006B767D">
        <w:rPr>
          <w:sz w:val="23"/>
          <w:szCs w:val="23"/>
        </w:rPr>
        <w:t xml:space="preserve"> in accordance with the </w:t>
      </w:r>
      <w:r w:rsidRPr="006B767D">
        <w:rPr>
          <w:i/>
          <w:sz w:val="23"/>
          <w:szCs w:val="23"/>
        </w:rPr>
        <w:t>Corporations Act 2001</w:t>
      </w:r>
      <w:r>
        <w:rPr>
          <w:sz w:val="23"/>
          <w:szCs w:val="23"/>
        </w:rPr>
        <w:t xml:space="preserve"> and</w:t>
      </w:r>
      <w:r w:rsidRPr="006B767D">
        <w:rPr>
          <w:sz w:val="23"/>
          <w:szCs w:val="23"/>
        </w:rPr>
        <w:t>:</w:t>
      </w:r>
    </w:p>
    <w:p w14:paraId="48A3A11D" w14:textId="77777777" w:rsidR="00892FC4" w:rsidRPr="006B767D" w:rsidRDefault="0038690F" w:rsidP="00892FC4">
      <w:pPr>
        <w:numPr>
          <w:ilvl w:val="0"/>
          <w:numId w:val="21"/>
        </w:numPr>
        <w:tabs>
          <w:tab w:val="left" w:pos="426"/>
        </w:tabs>
        <w:spacing w:after="0"/>
        <w:ind w:left="426" w:hanging="426"/>
        <w:contextualSpacing/>
        <w:rPr>
          <w:sz w:val="23"/>
          <w:szCs w:val="23"/>
        </w:rPr>
      </w:pPr>
      <w:r>
        <w:rPr>
          <w:sz w:val="23"/>
          <w:szCs w:val="23"/>
        </w:rPr>
        <w:t>gave</w:t>
      </w:r>
      <w:r w:rsidRPr="006B767D">
        <w:rPr>
          <w:sz w:val="23"/>
          <w:szCs w:val="23"/>
        </w:rPr>
        <w:t xml:space="preserve"> a true and fair view of </w:t>
      </w:r>
      <w:r>
        <w:rPr>
          <w:sz w:val="23"/>
          <w:szCs w:val="23"/>
        </w:rPr>
        <w:t>ACCAN</w:t>
      </w:r>
      <w:r w:rsidRPr="006B767D">
        <w:rPr>
          <w:sz w:val="23"/>
          <w:szCs w:val="23"/>
        </w:rPr>
        <w:t>’s financial position as at 30 June 201</w:t>
      </w:r>
      <w:r>
        <w:rPr>
          <w:sz w:val="23"/>
          <w:szCs w:val="23"/>
        </w:rPr>
        <w:t>6</w:t>
      </w:r>
      <w:r w:rsidRPr="006B767D">
        <w:rPr>
          <w:sz w:val="23"/>
          <w:szCs w:val="23"/>
        </w:rPr>
        <w:t xml:space="preserve"> and its performance for the year ended on that date; and</w:t>
      </w:r>
    </w:p>
    <w:p w14:paraId="48A3A11E" w14:textId="77777777" w:rsidR="00892FC4" w:rsidRPr="006B767D" w:rsidRDefault="0038690F" w:rsidP="00892FC4">
      <w:pPr>
        <w:numPr>
          <w:ilvl w:val="0"/>
          <w:numId w:val="21"/>
        </w:numPr>
        <w:tabs>
          <w:tab w:val="left" w:pos="426"/>
        </w:tabs>
        <w:spacing w:after="0"/>
        <w:ind w:left="426" w:hanging="426"/>
        <w:contextualSpacing/>
        <w:rPr>
          <w:sz w:val="23"/>
          <w:szCs w:val="23"/>
        </w:rPr>
      </w:pPr>
      <w:proofErr w:type="gramStart"/>
      <w:r>
        <w:rPr>
          <w:sz w:val="23"/>
          <w:szCs w:val="23"/>
        </w:rPr>
        <w:t>complied</w:t>
      </w:r>
      <w:proofErr w:type="gramEnd"/>
      <w:r w:rsidRPr="006B767D">
        <w:rPr>
          <w:sz w:val="23"/>
          <w:szCs w:val="23"/>
        </w:rPr>
        <w:t xml:space="preserve"> with Australian Accounting Standards – Reduced Disclosure Requirements and the </w:t>
      </w:r>
      <w:r w:rsidRPr="006B767D">
        <w:rPr>
          <w:i/>
          <w:sz w:val="23"/>
          <w:szCs w:val="23"/>
        </w:rPr>
        <w:t>Corporations Regulations 2001.</w:t>
      </w:r>
    </w:p>
    <w:sectPr w:rsidR="00892FC4" w:rsidRPr="006B767D" w:rsidSect="009E37BA">
      <w:pgSz w:w="11906" w:h="16838"/>
      <w:pgMar w:top="1702" w:right="1133" w:bottom="1276" w:left="1440" w:header="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3A12D" w14:textId="77777777" w:rsidR="00F25F8B" w:rsidRDefault="0038690F">
      <w:pPr>
        <w:spacing w:after="0"/>
      </w:pPr>
      <w:r>
        <w:separator/>
      </w:r>
    </w:p>
  </w:endnote>
  <w:endnote w:type="continuationSeparator" w:id="0">
    <w:p w14:paraId="48A3A12F" w14:textId="77777777" w:rsidR="00F25F8B" w:rsidRDefault="00386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A123" w14:textId="77777777" w:rsidR="00297528" w:rsidRDefault="0038690F" w:rsidP="00297528">
    <w:pPr>
      <w:pStyle w:val="Footer"/>
      <w:ind w:left="-1418"/>
    </w:pPr>
    <w:r>
      <w:rPr>
        <w:noProof/>
        <w:lang w:eastAsia="en-AU"/>
      </w:rPr>
      <w:drawing>
        <wp:inline distT="0" distB="0" distL="0" distR="0" wp14:anchorId="48A3A129" wp14:editId="48A3A12A">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A127" w14:textId="6184E52E" w:rsidR="006A2230" w:rsidRPr="009E37BA" w:rsidRDefault="00C43592" w:rsidP="009E3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3A129" w14:textId="77777777" w:rsidR="00F25F8B" w:rsidRDefault="0038690F">
      <w:pPr>
        <w:spacing w:after="0"/>
      </w:pPr>
      <w:r>
        <w:separator/>
      </w:r>
    </w:p>
  </w:footnote>
  <w:footnote w:type="continuationSeparator" w:id="0">
    <w:p w14:paraId="48A3A12B" w14:textId="77777777" w:rsidR="00F25F8B" w:rsidRDefault="003869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A125" w14:textId="77777777" w:rsidR="00A625B3" w:rsidRDefault="0038690F" w:rsidP="003F0A2D">
    <w:pPr>
      <w:pStyle w:val="Header"/>
      <w:ind w:left="-1418"/>
    </w:pPr>
    <w:r>
      <w:rPr>
        <w:noProof/>
        <w:lang w:eastAsia="en-AU"/>
      </w:rPr>
      <w:drawing>
        <wp:inline distT="0" distB="0" distL="0" distR="0" wp14:anchorId="48A3A12B" wp14:editId="48A3A12C">
          <wp:extent cx="7634630" cy="406359"/>
          <wp:effectExtent l="0" t="0" r="0" b="0"/>
          <wp:docPr id="5" name="Picture 5" descr="Background image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inline>
      </w:drawing>
    </w:r>
  </w:p>
  <w:p w14:paraId="48A3A126" w14:textId="77777777" w:rsidR="00A625B3" w:rsidRPr="009A56D0" w:rsidRDefault="0038690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December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119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2F2D20"/>
    <w:multiLevelType w:val="hybridMultilevel"/>
    <w:tmpl w:val="1AC69F2C"/>
    <w:lvl w:ilvl="0" w:tplc="CAC8F426">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DBF4D820" w:tentative="1">
      <w:start w:val="1"/>
      <w:numFmt w:val="bullet"/>
      <w:lvlText w:val="o"/>
      <w:lvlJc w:val="left"/>
      <w:pPr>
        <w:ind w:left="1440" w:hanging="360"/>
      </w:pPr>
      <w:rPr>
        <w:rFonts w:ascii="Courier New" w:hAnsi="Courier New" w:cs="Courier New" w:hint="default"/>
      </w:rPr>
    </w:lvl>
    <w:lvl w:ilvl="2" w:tplc="008A2CB4" w:tentative="1">
      <w:start w:val="1"/>
      <w:numFmt w:val="bullet"/>
      <w:lvlText w:val=""/>
      <w:lvlJc w:val="left"/>
      <w:pPr>
        <w:ind w:left="2160" w:hanging="360"/>
      </w:pPr>
      <w:rPr>
        <w:rFonts w:ascii="Wingdings" w:hAnsi="Wingdings" w:hint="default"/>
      </w:rPr>
    </w:lvl>
    <w:lvl w:ilvl="3" w:tplc="3B6E416A" w:tentative="1">
      <w:start w:val="1"/>
      <w:numFmt w:val="bullet"/>
      <w:lvlText w:val=""/>
      <w:lvlJc w:val="left"/>
      <w:pPr>
        <w:ind w:left="2880" w:hanging="360"/>
      </w:pPr>
      <w:rPr>
        <w:rFonts w:ascii="Symbol" w:hAnsi="Symbol" w:hint="default"/>
      </w:rPr>
    </w:lvl>
    <w:lvl w:ilvl="4" w:tplc="0510BA68" w:tentative="1">
      <w:start w:val="1"/>
      <w:numFmt w:val="bullet"/>
      <w:lvlText w:val="o"/>
      <w:lvlJc w:val="left"/>
      <w:pPr>
        <w:ind w:left="3600" w:hanging="360"/>
      </w:pPr>
      <w:rPr>
        <w:rFonts w:ascii="Courier New" w:hAnsi="Courier New" w:cs="Courier New" w:hint="default"/>
      </w:rPr>
    </w:lvl>
    <w:lvl w:ilvl="5" w:tplc="BD8EA830" w:tentative="1">
      <w:start w:val="1"/>
      <w:numFmt w:val="bullet"/>
      <w:lvlText w:val=""/>
      <w:lvlJc w:val="left"/>
      <w:pPr>
        <w:ind w:left="4320" w:hanging="360"/>
      </w:pPr>
      <w:rPr>
        <w:rFonts w:ascii="Wingdings" w:hAnsi="Wingdings" w:hint="default"/>
      </w:rPr>
    </w:lvl>
    <w:lvl w:ilvl="6" w:tplc="A9244A7E" w:tentative="1">
      <w:start w:val="1"/>
      <w:numFmt w:val="bullet"/>
      <w:lvlText w:val=""/>
      <w:lvlJc w:val="left"/>
      <w:pPr>
        <w:ind w:left="5040" w:hanging="360"/>
      </w:pPr>
      <w:rPr>
        <w:rFonts w:ascii="Symbol" w:hAnsi="Symbol" w:hint="default"/>
      </w:rPr>
    </w:lvl>
    <w:lvl w:ilvl="7" w:tplc="2446ED3C" w:tentative="1">
      <w:start w:val="1"/>
      <w:numFmt w:val="bullet"/>
      <w:lvlText w:val="o"/>
      <w:lvlJc w:val="left"/>
      <w:pPr>
        <w:ind w:left="5760" w:hanging="360"/>
      </w:pPr>
      <w:rPr>
        <w:rFonts w:ascii="Courier New" w:hAnsi="Courier New" w:cs="Courier New" w:hint="default"/>
      </w:rPr>
    </w:lvl>
    <w:lvl w:ilvl="8" w:tplc="DFA8ABCA" w:tentative="1">
      <w:start w:val="1"/>
      <w:numFmt w:val="bullet"/>
      <w:lvlText w:val=""/>
      <w:lvlJc w:val="left"/>
      <w:pPr>
        <w:ind w:left="6480" w:hanging="360"/>
      </w:pPr>
      <w:rPr>
        <w:rFonts w:ascii="Wingdings" w:hAnsi="Wingdings" w:hint="default"/>
      </w:rPr>
    </w:lvl>
  </w:abstractNum>
  <w:abstractNum w:abstractNumId="12" w15:restartNumberingAfterBreak="0">
    <w:nsid w:val="30526CBD"/>
    <w:multiLevelType w:val="hybridMultilevel"/>
    <w:tmpl w:val="5F6875DE"/>
    <w:lvl w:ilvl="0" w:tplc="78E45446">
      <w:start w:val="1"/>
      <w:numFmt w:val="decimal"/>
      <w:lvlText w:val="%1."/>
      <w:lvlJc w:val="left"/>
      <w:pPr>
        <w:ind w:left="720" w:hanging="360"/>
      </w:pPr>
      <w:rPr>
        <w:rFonts w:hint="default"/>
      </w:rPr>
    </w:lvl>
    <w:lvl w:ilvl="1" w:tplc="8D4C13A2" w:tentative="1">
      <w:start w:val="1"/>
      <w:numFmt w:val="lowerLetter"/>
      <w:lvlText w:val="%2."/>
      <w:lvlJc w:val="left"/>
      <w:pPr>
        <w:ind w:left="1440" w:hanging="360"/>
      </w:pPr>
    </w:lvl>
    <w:lvl w:ilvl="2" w:tplc="7B0630C2" w:tentative="1">
      <w:start w:val="1"/>
      <w:numFmt w:val="lowerRoman"/>
      <w:lvlText w:val="%3."/>
      <w:lvlJc w:val="right"/>
      <w:pPr>
        <w:ind w:left="2160" w:hanging="180"/>
      </w:pPr>
    </w:lvl>
    <w:lvl w:ilvl="3" w:tplc="D2BAB1DC" w:tentative="1">
      <w:start w:val="1"/>
      <w:numFmt w:val="decimal"/>
      <w:lvlText w:val="%4."/>
      <w:lvlJc w:val="left"/>
      <w:pPr>
        <w:ind w:left="2880" w:hanging="360"/>
      </w:pPr>
    </w:lvl>
    <w:lvl w:ilvl="4" w:tplc="ECC26AE2" w:tentative="1">
      <w:start w:val="1"/>
      <w:numFmt w:val="lowerLetter"/>
      <w:lvlText w:val="%5."/>
      <w:lvlJc w:val="left"/>
      <w:pPr>
        <w:ind w:left="3600" w:hanging="360"/>
      </w:pPr>
    </w:lvl>
    <w:lvl w:ilvl="5" w:tplc="C7CEB372" w:tentative="1">
      <w:start w:val="1"/>
      <w:numFmt w:val="lowerRoman"/>
      <w:lvlText w:val="%6."/>
      <w:lvlJc w:val="right"/>
      <w:pPr>
        <w:ind w:left="4320" w:hanging="180"/>
      </w:pPr>
    </w:lvl>
    <w:lvl w:ilvl="6" w:tplc="BD24C4B2" w:tentative="1">
      <w:start w:val="1"/>
      <w:numFmt w:val="decimal"/>
      <w:lvlText w:val="%7."/>
      <w:lvlJc w:val="left"/>
      <w:pPr>
        <w:ind w:left="5040" w:hanging="360"/>
      </w:pPr>
    </w:lvl>
    <w:lvl w:ilvl="7" w:tplc="6A36F520" w:tentative="1">
      <w:start w:val="1"/>
      <w:numFmt w:val="lowerLetter"/>
      <w:lvlText w:val="%8."/>
      <w:lvlJc w:val="left"/>
      <w:pPr>
        <w:ind w:left="5760" w:hanging="360"/>
      </w:pPr>
    </w:lvl>
    <w:lvl w:ilvl="8" w:tplc="95A8ECFE" w:tentative="1">
      <w:start w:val="1"/>
      <w:numFmt w:val="lowerRoman"/>
      <w:lvlText w:val="%9."/>
      <w:lvlJc w:val="right"/>
      <w:pPr>
        <w:ind w:left="6480" w:hanging="180"/>
      </w:pPr>
    </w:lvl>
  </w:abstractNum>
  <w:abstractNum w:abstractNumId="13" w15:restartNumberingAfterBreak="0">
    <w:nsid w:val="456A468F"/>
    <w:multiLevelType w:val="hybridMultilevel"/>
    <w:tmpl w:val="43B29950"/>
    <w:lvl w:ilvl="0" w:tplc="E1982772">
      <w:start w:val="1"/>
      <w:numFmt w:val="decimal"/>
      <w:lvlText w:val="%1."/>
      <w:lvlJc w:val="left"/>
      <w:pPr>
        <w:ind w:left="720" w:hanging="360"/>
      </w:pPr>
      <w:rPr>
        <w:rFonts w:hint="default"/>
      </w:rPr>
    </w:lvl>
    <w:lvl w:ilvl="1" w:tplc="8EEC58BE" w:tentative="1">
      <w:start w:val="1"/>
      <w:numFmt w:val="lowerLetter"/>
      <w:lvlText w:val="%2."/>
      <w:lvlJc w:val="left"/>
      <w:pPr>
        <w:ind w:left="1440" w:hanging="360"/>
      </w:pPr>
    </w:lvl>
    <w:lvl w:ilvl="2" w:tplc="0AB8ADCC" w:tentative="1">
      <w:start w:val="1"/>
      <w:numFmt w:val="lowerRoman"/>
      <w:lvlText w:val="%3."/>
      <w:lvlJc w:val="right"/>
      <w:pPr>
        <w:ind w:left="2160" w:hanging="180"/>
      </w:pPr>
    </w:lvl>
    <w:lvl w:ilvl="3" w:tplc="1D8A9B30" w:tentative="1">
      <w:start w:val="1"/>
      <w:numFmt w:val="decimal"/>
      <w:lvlText w:val="%4."/>
      <w:lvlJc w:val="left"/>
      <w:pPr>
        <w:ind w:left="2880" w:hanging="360"/>
      </w:pPr>
    </w:lvl>
    <w:lvl w:ilvl="4" w:tplc="1D4EB24C" w:tentative="1">
      <w:start w:val="1"/>
      <w:numFmt w:val="lowerLetter"/>
      <w:lvlText w:val="%5."/>
      <w:lvlJc w:val="left"/>
      <w:pPr>
        <w:ind w:left="3600" w:hanging="360"/>
      </w:pPr>
    </w:lvl>
    <w:lvl w:ilvl="5" w:tplc="AC8851CA" w:tentative="1">
      <w:start w:val="1"/>
      <w:numFmt w:val="lowerRoman"/>
      <w:lvlText w:val="%6."/>
      <w:lvlJc w:val="right"/>
      <w:pPr>
        <w:ind w:left="4320" w:hanging="180"/>
      </w:pPr>
    </w:lvl>
    <w:lvl w:ilvl="6" w:tplc="4AE000EA" w:tentative="1">
      <w:start w:val="1"/>
      <w:numFmt w:val="decimal"/>
      <w:lvlText w:val="%7."/>
      <w:lvlJc w:val="left"/>
      <w:pPr>
        <w:ind w:left="5040" w:hanging="360"/>
      </w:pPr>
    </w:lvl>
    <w:lvl w:ilvl="7" w:tplc="90D2372A" w:tentative="1">
      <w:start w:val="1"/>
      <w:numFmt w:val="lowerLetter"/>
      <w:lvlText w:val="%8."/>
      <w:lvlJc w:val="left"/>
      <w:pPr>
        <w:ind w:left="5760" w:hanging="360"/>
      </w:pPr>
    </w:lvl>
    <w:lvl w:ilvl="8" w:tplc="BB4020D6" w:tentative="1">
      <w:start w:val="1"/>
      <w:numFmt w:val="lowerRoman"/>
      <w:lvlText w:val="%9."/>
      <w:lvlJc w:val="right"/>
      <w:pPr>
        <w:ind w:left="6480" w:hanging="180"/>
      </w:pPr>
    </w:lvl>
  </w:abstractNum>
  <w:abstractNum w:abstractNumId="14" w15:restartNumberingAfterBreak="0">
    <w:nsid w:val="4F0F4896"/>
    <w:multiLevelType w:val="hybridMultilevel"/>
    <w:tmpl w:val="DE446150"/>
    <w:lvl w:ilvl="0" w:tplc="624C9AB6">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B45CB136">
      <w:start w:val="1"/>
      <w:numFmt w:val="bullet"/>
      <w:lvlText w:val="o"/>
      <w:lvlJc w:val="left"/>
      <w:pPr>
        <w:ind w:left="1440" w:hanging="360"/>
      </w:pPr>
      <w:rPr>
        <w:rFonts w:ascii="Courier New" w:hAnsi="Courier New" w:cs="Courier New" w:hint="default"/>
      </w:rPr>
    </w:lvl>
    <w:lvl w:ilvl="2" w:tplc="E7C0736E">
      <w:start w:val="1"/>
      <w:numFmt w:val="bullet"/>
      <w:lvlText w:val=""/>
      <w:lvlJc w:val="left"/>
      <w:pPr>
        <w:ind w:left="2160" w:hanging="360"/>
      </w:pPr>
      <w:rPr>
        <w:rFonts w:ascii="Wingdings" w:hAnsi="Wingdings" w:hint="default"/>
      </w:rPr>
    </w:lvl>
    <w:lvl w:ilvl="3" w:tplc="C6AA022E">
      <w:start w:val="1"/>
      <w:numFmt w:val="bullet"/>
      <w:lvlText w:val=""/>
      <w:lvlJc w:val="left"/>
      <w:pPr>
        <w:ind w:left="2880" w:hanging="360"/>
      </w:pPr>
      <w:rPr>
        <w:rFonts w:ascii="Symbol" w:hAnsi="Symbol" w:hint="default"/>
      </w:rPr>
    </w:lvl>
    <w:lvl w:ilvl="4" w:tplc="FE9659BA">
      <w:start w:val="1"/>
      <w:numFmt w:val="bullet"/>
      <w:lvlText w:val="o"/>
      <w:lvlJc w:val="left"/>
      <w:pPr>
        <w:ind w:left="3600" w:hanging="360"/>
      </w:pPr>
      <w:rPr>
        <w:rFonts w:ascii="Courier New" w:hAnsi="Courier New" w:cs="Courier New" w:hint="default"/>
      </w:rPr>
    </w:lvl>
    <w:lvl w:ilvl="5" w:tplc="A31E410A">
      <w:start w:val="1"/>
      <w:numFmt w:val="bullet"/>
      <w:lvlText w:val=""/>
      <w:lvlJc w:val="left"/>
      <w:pPr>
        <w:ind w:left="4320" w:hanging="360"/>
      </w:pPr>
      <w:rPr>
        <w:rFonts w:ascii="Wingdings" w:hAnsi="Wingdings" w:hint="default"/>
      </w:rPr>
    </w:lvl>
    <w:lvl w:ilvl="6" w:tplc="A9B2C066">
      <w:start w:val="1"/>
      <w:numFmt w:val="bullet"/>
      <w:lvlText w:val=""/>
      <w:lvlJc w:val="left"/>
      <w:pPr>
        <w:ind w:left="5040" w:hanging="360"/>
      </w:pPr>
      <w:rPr>
        <w:rFonts w:ascii="Symbol" w:hAnsi="Symbol" w:hint="default"/>
      </w:rPr>
    </w:lvl>
    <w:lvl w:ilvl="7" w:tplc="A65A6644">
      <w:start w:val="1"/>
      <w:numFmt w:val="bullet"/>
      <w:lvlText w:val="o"/>
      <w:lvlJc w:val="left"/>
      <w:pPr>
        <w:ind w:left="5760" w:hanging="360"/>
      </w:pPr>
      <w:rPr>
        <w:rFonts w:ascii="Courier New" w:hAnsi="Courier New" w:cs="Courier New" w:hint="default"/>
      </w:rPr>
    </w:lvl>
    <w:lvl w:ilvl="8" w:tplc="BA76F8E4">
      <w:start w:val="1"/>
      <w:numFmt w:val="bullet"/>
      <w:lvlText w:val=""/>
      <w:lvlJc w:val="left"/>
      <w:pPr>
        <w:ind w:left="6480" w:hanging="360"/>
      </w:pPr>
      <w:rPr>
        <w:rFonts w:ascii="Wingdings" w:hAnsi="Wingdings" w:hint="default"/>
      </w:rPr>
    </w:lvl>
  </w:abstractNum>
  <w:abstractNum w:abstractNumId="15"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BE5DD6"/>
    <w:multiLevelType w:val="hybridMultilevel"/>
    <w:tmpl w:val="223228B8"/>
    <w:lvl w:ilvl="0" w:tplc="94725890">
      <w:start w:val="1"/>
      <w:numFmt w:val="bullet"/>
      <w:lvlText w:val=""/>
      <w:lvlJc w:val="left"/>
      <w:pPr>
        <w:ind w:left="360" w:hanging="360"/>
      </w:pPr>
      <w:rPr>
        <w:rFonts w:ascii="Symbol" w:hAnsi="Symbol" w:hint="default"/>
      </w:rPr>
    </w:lvl>
    <w:lvl w:ilvl="1" w:tplc="26C813AE" w:tentative="1">
      <w:start w:val="1"/>
      <w:numFmt w:val="bullet"/>
      <w:lvlText w:val="o"/>
      <w:lvlJc w:val="left"/>
      <w:pPr>
        <w:ind w:left="1080" w:hanging="360"/>
      </w:pPr>
      <w:rPr>
        <w:rFonts w:ascii="Courier New" w:hAnsi="Courier New" w:cs="Courier New" w:hint="default"/>
      </w:rPr>
    </w:lvl>
    <w:lvl w:ilvl="2" w:tplc="7250DB22" w:tentative="1">
      <w:start w:val="1"/>
      <w:numFmt w:val="bullet"/>
      <w:lvlText w:val=""/>
      <w:lvlJc w:val="left"/>
      <w:pPr>
        <w:ind w:left="1800" w:hanging="360"/>
      </w:pPr>
      <w:rPr>
        <w:rFonts w:ascii="Wingdings" w:hAnsi="Wingdings" w:hint="default"/>
      </w:rPr>
    </w:lvl>
    <w:lvl w:ilvl="3" w:tplc="47BA3726" w:tentative="1">
      <w:start w:val="1"/>
      <w:numFmt w:val="bullet"/>
      <w:lvlText w:val=""/>
      <w:lvlJc w:val="left"/>
      <w:pPr>
        <w:ind w:left="2520" w:hanging="360"/>
      </w:pPr>
      <w:rPr>
        <w:rFonts w:ascii="Symbol" w:hAnsi="Symbol" w:hint="default"/>
      </w:rPr>
    </w:lvl>
    <w:lvl w:ilvl="4" w:tplc="35AA2740" w:tentative="1">
      <w:start w:val="1"/>
      <w:numFmt w:val="bullet"/>
      <w:lvlText w:val="o"/>
      <w:lvlJc w:val="left"/>
      <w:pPr>
        <w:ind w:left="3240" w:hanging="360"/>
      </w:pPr>
      <w:rPr>
        <w:rFonts w:ascii="Courier New" w:hAnsi="Courier New" w:cs="Courier New" w:hint="default"/>
      </w:rPr>
    </w:lvl>
    <w:lvl w:ilvl="5" w:tplc="223A9110" w:tentative="1">
      <w:start w:val="1"/>
      <w:numFmt w:val="bullet"/>
      <w:lvlText w:val=""/>
      <w:lvlJc w:val="left"/>
      <w:pPr>
        <w:ind w:left="3960" w:hanging="360"/>
      </w:pPr>
      <w:rPr>
        <w:rFonts w:ascii="Wingdings" w:hAnsi="Wingdings" w:hint="default"/>
      </w:rPr>
    </w:lvl>
    <w:lvl w:ilvl="6" w:tplc="8A901B0E" w:tentative="1">
      <w:start w:val="1"/>
      <w:numFmt w:val="bullet"/>
      <w:lvlText w:val=""/>
      <w:lvlJc w:val="left"/>
      <w:pPr>
        <w:ind w:left="4680" w:hanging="360"/>
      </w:pPr>
      <w:rPr>
        <w:rFonts w:ascii="Symbol" w:hAnsi="Symbol" w:hint="default"/>
      </w:rPr>
    </w:lvl>
    <w:lvl w:ilvl="7" w:tplc="29B2E75C" w:tentative="1">
      <w:start w:val="1"/>
      <w:numFmt w:val="bullet"/>
      <w:lvlText w:val="o"/>
      <w:lvlJc w:val="left"/>
      <w:pPr>
        <w:ind w:left="5400" w:hanging="360"/>
      </w:pPr>
      <w:rPr>
        <w:rFonts w:ascii="Courier New" w:hAnsi="Courier New" w:cs="Courier New" w:hint="default"/>
      </w:rPr>
    </w:lvl>
    <w:lvl w:ilvl="8" w:tplc="54D87BFE" w:tentative="1">
      <w:start w:val="1"/>
      <w:numFmt w:val="bullet"/>
      <w:lvlText w:val=""/>
      <w:lvlJc w:val="left"/>
      <w:pPr>
        <w:ind w:left="6120" w:hanging="360"/>
      </w:pPr>
      <w:rPr>
        <w:rFonts w:ascii="Wingdings" w:hAnsi="Wingdings" w:hint="default"/>
      </w:rPr>
    </w:lvl>
  </w:abstractNum>
  <w:abstractNum w:abstractNumId="17" w15:restartNumberingAfterBreak="0">
    <w:nsid w:val="75B504F0"/>
    <w:multiLevelType w:val="hybridMultilevel"/>
    <w:tmpl w:val="AC4ED6F8"/>
    <w:lvl w:ilvl="0" w:tplc="6F72E8B2">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82080898">
      <w:start w:val="1"/>
      <w:numFmt w:val="bullet"/>
      <w:lvlText w:val="o"/>
      <w:lvlJc w:val="left"/>
      <w:pPr>
        <w:ind w:left="1440" w:hanging="360"/>
      </w:pPr>
      <w:rPr>
        <w:rFonts w:ascii="Courier New" w:hAnsi="Courier New" w:cs="Courier New" w:hint="default"/>
      </w:rPr>
    </w:lvl>
    <w:lvl w:ilvl="2" w:tplc="123C097E">
      <w:start w:val="1"/>
      <w:numFmt w:val="bullet"/>
      <w:lvlText w:val=""/>
      <w:lvlJc w:val="left"/>
      <w:pPr>
        <w:ind w:left="2160" w:hanging="360"/>
      </w:pPr>
      <w:rPr>
        <w:rFonts w:ascii="Wingdings" w:hAnsi="Wingdings" w:hint="default"/>
      </w:rPr>
    </w:lvl>
    <w:lvl w:ilvl="3" w:tplc="7324929A">
      <w:start w:val="1"/>
      <w:numFmt w:val="bullet"/>
      <w:lvlText w:val=""/>
      <w:lvlJc w:val="left"/>
      <w:pPr>
        <w:ind w:left="2880" w:hanging="360"/>
      </w:pPr>
      <w:rPr>
        <w:rFonts w:ascii="Symbol" w:hAnsi="Symbol" w:hint="default"/>
      </w:rPr>
    </w:lvl>
    <w:lvl w:ilvl="4" w:tplc="B8AE9E5C">
      <w:start w:val="1"/>
      <w:numFmt w:val="bullet"/>
      <w:lvlText w:val="o"/>
      <w:lvlJc w:val="left"/>
      <w:pPr>
        <w:ind w:left="3600" w:hanging="360"/>
      </w:pPr>
      <w:rPr>
        <w:rFonts w:ascii="Courier New" w:hAnsi="Courier New" w:cs="Courier New" w:hint="default"/>
      </w:rPr>
    </w:lvl>
    <w:lvl w:ilvl="5" w:tplc="A8F69380">
      <w:start w:val="1"/>
      <w:numFmt w:val="bullet"/>
      <w:lvlText w:val=""/>
      <w:lvlJc w:val="left"/>
      <w:pPr>
        <w:ind w:left="4320" w:hanging="360"/>
      </w:pPr>
      <w:rPr>
        <w:rFonts w:ascii="Wingdings" w:hAnsi="Wingdings" w:hint="default"/>
      </w:rPr>
    </w:lvl>
    <w:lvl w:ilvl="6" w:tplc="3E6038FA">
      <w:start w:val="1"/>
      <w:numFmt w:val="bullet"/>
      <w:lvlText w:val=""/>
      <w:lvlJc w:val="left"/>
      <w:pPr>
        <w:ind w:left="5040" w:hanging="360"/>
      </w:pPr>
      <w:rPr>
        <w:rFonts w:ascii="Symbol" w:hAnsi="Symbol" w:hint="default"/>
      </w:rPr>
    </w:lvl>
    <w:lvl w:ilvl="7" w:tplc="2F8ECD64">
      <w:start w:val="1"/>
      <w:numFmt w:val="bullet"/>
      <w:lvlText w:val="o"/>
      <w:lvlJc w:val="left"/>
      <w:pPr>
        <w:ind w:left="5760" w:hanging="360"/>
      </w:pPr>
      <w:rPr>
        <w:rFonts w:ascii="Courier New" w:hAnsi="Courier New" w:cs="Courier New" w:hint="default"/>
      </w:rPr>
    </w:lvl>
    <w:lvl w:ilvl="8" w:tplc="1436A698">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4"/>
  </w:num>
  <w:num w:numId="17">
    <w:abstractNumId w:val="17"/>
  </w:num>
  <w:num w:numId="18">
    <w:abstractNumId w:val="11"/>
  </w:num>
  <w:num w:numId="19">
    <w:abstractNumId w:val="17"/>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C8"/>
    <w:rsid w:val="000F253A"/>
    <w:rsid w:val="0038690F"/>
    <w:rsid w:val="003C30C8"/>
    <w:rsid w:val="009E37BA"/>
    <w:rsid w:val="00BB209A"/>
    <w:rsid w:val="00C43592"/>
    <w:rsid w:val="00C8469B"/>
    <w:rsid w:val="00CB4E15"/>
    <w:rsid w:val="00EF3133"/>
    <w:rsid w:val="00F25F8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3A09E"/>
  <w15:docId w15:val="{2C5D2F7E-6CBF-4C3B-92A1-64DF97FA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4C5FB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815D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47258C"/>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FB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815D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7258C"/>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942D4D"/>
    <w:pPr>
      <w:tabs>
        <w:tab w:val="right" w:leader="dot" w:pos="9323"/>
      </w:tabs>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47258C"/>
    <w:pPr>
      <w:spacing w:before="120" w:after="12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8D36D1"/>
    <w:pPr>
      <w:numPr>
        <w:numId w:val="17"/>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table" w:customStyle="1" w:styleId="TableGrid1">
    <w:name w:val="Table Grid1"/>
    <w:basedOn w:val="TableNormal"/>
    <w:uiPriority w:val="59"/>
    <w:rsid w:val="00892F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92FC4"/>
    <w:rPr>
      <w:sz w:val="16"/>
      <w:szCs w:val="16"/>
    </w:rPr>
  </w:style>
  <w:style w:type="paragraph" w:styleId="CommentText">
    <w:name w:val="annotation text"/>
    <w:basedOn w:val="Normal"/>
    <w:link w:val="CommentTextChar"/>
    <w:uiPriority w:val="99"/>
    <w:semiHidden/>
    <w:unhideWhenUsed/>
    <w:rsid w:val="00892FC4"/>
    <w:pPr>
      <w:spacing w:after="0"/>
    </w:pPr>
    <w:rPr>
      <w:rFonts w:ascii="Times New Roman" w:eastAsia="Times New Roman" w:hAnsi="Times New Roman" w:cs="Times New Roman"/>
      <w:sz w:val="20"/>
      <w:szCs w:val="20"/>
      <w:lang w:val="en-GB" w:eastAsia="en-AU"/>
    </w:rPr>
  </w:style>
  <w:style w:type="character" w:customStyle="1" w:styleId="CommentTextChar">
    <w:name w:val="Comment Text Char"/>
    <w:basedOn w:val="DefaultParagraphFont"/>
    <w:link w:val="CommentText"/>
    <w:uiPriority w:val="99"/>
    <w:semiHidden/>
    <w:rsid w:val="00892FC4"/>
    <w:rPr>
      <w:rFonts w:ascii="Times New Roman" w:eastAsia="Times New Roman" w:hAnsi="Times New Roman"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B53015"/>
    <w:pPr>
      <w:spacing w:after="24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B53015"/>
    <w:rPr>
      <w:rFonts w:ascii="Times New Roman" w:eastAsia="Times New Roman" w:hAnsi="Times New Roman" w:cs="Times New Roman"/>
      <w:b/>
      <w:bCs/>
      <w:sz w:val="20"/>
      <w:szCs w:val="20"/>
      <w:lang w:val="en-GB" w:eastAsia="en-AU"/>
    </w:rPr>
  </w:style>
  <w:style w:type="paragraph" w:styleId="Revision">
    <w:name w:val="Revision"/>
    <w:hidden/>
    <w:uiPriority w:val="99"/>
    <w:semiHidden/>
    <w:rsid w:val="00B53015"/>
    <w:pPr>
      <w:spacing w:after="0" w:line="240" w:lineRule="auto"/>
    </w:pPr>
  </w:style>
  <w:style w:type="paragraph" w:styleId="BalloonText">
    <w:name w:val="Balloon Text"/>
    <w:basedOn w:val="Normal"/>
    <w:link w:val="BalloonTextChar"/>
    <w:uiPriority w:val="99"/>
    <w:semiHidden/>
    <w:unhideWhenUsed/>
    <w:rsid w:val="00B530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accan.org.au/files/Annual%20and%20quarterly%20report/ACCAN%20Annual%20Report%202015-16%20web%20vers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D489D49DBDB243BC7E47FB975E0FCA" ma:contentTypeVersion="0" ma:contentTypeDescription="Create a new document." ma:contentTypeScope="" ma:versionID="eca40fff836e7374e73746567bcfb7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5F384-718E-4D90-B952-5632907BA3C6}"/>
</file>

<file path=customXml/itemProps2.xml><?xml version="1.0" encoding="utf-8"?>
<ds:datastoreItem xmlns:ds="http://schemas.openxmlformats.org/officeDocument/2006/customXml" ds:itemID="{DEAF60C5-5176-49FB-AB7A-95092674D393}"/>
</file>

<file path=customXml/itemProps3.xml><?xml version="1.0" encoding="utf-8"?>
<ds:datastoreItem xmlns:ds="http://schemas.openxmlformats.org/officeDocument/2006/customXml" ds:itemID="{983B1B18-5CC7-4B34-A370-60767FA8009A}"/>
</file>

<file path=customXml/itemProps4.xml><?xml version="1.0" encoding="utf-8"?>
<ds:datastoreItem xmlns:ds="http://schemas.openxmlformats.org/officeDocument/2006/customXml" ds:itemID="{30A7C8AD-093F-4737-93F8-44A7D888C0B1}"/>
</file>

<file path=docProps/app.xml><?xml version="1.0" encoding="utf-8"?>
<Properties xmlns="http://schemas.openxmlformats.org/officeDocument/2006/extended-properties" xmlns:vt="http://schemas.openxmlformats.org/officeDocument/2006/docPropsVTypes">
  <Template>45E5989E.dotm</Template>
  <TotalTime>243</TotalTime>
  <Pages>7</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Annual Report on Telecommunications Consumer Representation Grants 2015-16.docx</vt:lpstr>
    </vt:vector>
  </TitlesOfParts>
  <Company>Department of Communications</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Shegog, Ruth</dc:creator>
  <cp:lastModifiedBy>Carnovale, Nick</cp:lastModifiedBy>
  <cp:revision>5</cp:revision>
  <cp:lastPrinted>2017-02-16T03:38:00Z</cp:lastPrinted>
  <dcterms:created xsi:type="dcterms:W3CDTF">2017-02-14T05:44:00Z</dcterms:created>
  <dcterms:modified xsi:type="dcterms:W3CDTF">2017-02-16T03:40:00Z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06 January 2017</vt:lpwstr>
  </property>
  <property fmtid="{D5CDD505-2E9C-101B-9397-08002B2CF9AE}" pid="3" name="ClearanceDueDate">
    <vt:lpwstr/>
  </property>
  <property fmtid="{D5CDD505-2E9C-101B-9397-08002B2CF9AE}" pid="4" name="ContentTypeId">
    <vt:lpwstr>0x0101000DD489D49DBDB243BC7E47FB975E0FCA</vt:lpwstr>
  </property>
  <property fmtid="{D5CDD505-2E9C-101B-9397-08002B2CF9AE}" pid="5" name="LastClearingOfficer">
    <vt:lpwstr>Angela Flannery</vt:lpwstr>
  </property>
  <property fmtid="{D5CDD505-2E9C-101B-9397-08002B2CF9AE}" pid="6" name="TrimRevisionNumber">
    <vt:i4>1</vt:i4>
  </property>
</Properties>
</file>