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CE6518" w:rsidRDefault="00CF701A" w:rsidP="000C1A3F">
      <w:pPr>
        <w:pStyle w:val="Heading1"/>
      </w:pPr>
      <w:r w:rsidRPr="00CE6518">
        <w:t>Telecommunications (Acceptance of Undertaking about Structural Separation—Matters) Instrument 2011</w:t>
      </w:r>
    </w:p>
    <w:p w:rsidR="0012161F" w:rsidRPr="00CE6518" w:rsidRDefault="00CF701A" w:rsidP="0035403C">
      <w:pPr>
        <w:pStyle w:val="Subtitle"/>
      </w:pPr>
      <w:r w:rsidRPr="00CE6518">
        <w:t>Commonwealth of Australia</w:t>
      </w:r>
    </w:p>
    <w:p w:rsidR="0012161F" w:rsidRPr="00CE6518" w:rsidRDefault="00CF701A" w:rsidP="000D101F">
      <w:pPr>
        <w:pStyle w:val="Sub-subtitle"/>
      </w:pPr>
      <w:r w:rsidRPr="00CE6518">
        <w:t>Telecommunications Act 1997</w:t>
      </w:r>
    </w:p>
    <w:p w:rsidR="001725DC" w:rsidRPr="00CE6518" w:rsidRDefault="001725DC" w:rsidP="0012161F">
      <w:pPr>
        <w:sectPr w:rsidR="001725DC" w:rsidRPr="00CE6518" w:rsidSect="004C7914">
          <w:footerReference w:type="default" r:id="rId9"/>
          <w:pgSz w:w="11906" w:h="16838" w:code="9"/>
          <w:pgMar w:top="1080" w:right="1411" w:bottom="1080" w:left="1411" w:header="1080" w:footer="1080" w:gutter="0"/>
          <w:cols w:space="708"/>
          <w:docGrid w:linePitch="360"/>
        </w:sectPr>
      </w:pPr>
    </w:p>
    <w:p w:rsidR="00567895" w:rsidRPr="00CE6518" w:rsidRDefault="00567895" w:rsidP="00567895">
      <w:pPr>
        <w:rPr>
          <w:i/>
          <w:iCs/>
          <w:szCs w:val="20"/>
        </w:rPr>
      </w:pPr>
      <w:r w:rsidRPr="00CE6518">
        <w:rPr>
          <w:szCs w:val="20"/>
        </w:rPr>
        <w:lastRenderedPageBreak/>
        <w:t xml:space="preserve">I, STEPHEN MICHAEL CONROY, Minister for Broadband, Communications and the Digital Economy, make the following Instrument under subsection </w:t>
      </w:r>
      <w:proofErr w:type="gramStart"/>
      <w:r w:rsidRPr="00CE6518">
        <w:rPr>
          <w:szCs w:val="20"/>
        </w:rPr>
        <w:t>577A(</w:t>
      </w:r>
      <w:proofErr w:type="gramEnd"/>
      <w:r w:rsidRPr="00CE6518">
        <w:rPr>
          <w:szCs w:val="20"/>
        </w:rPr>
        <w:t xml:space="preserve">7) of the </w:t>
      </w:r>
      <w:r w:rsidRPr="00CE6518">
        <w:rPr>
          <w:i/>
          <w:iCs/>
          <w:szCs w:val="20"/>
        </w:rPr>
        <w:t>Telecommunications Act 1997.</w:t>
      </w:r>
    </w:p>
    <w:p w:rsidR="00567895" w:rsidRPr="00CE6518" w:rsidRDefault="00567895" w:rsidP="00567895">
      <w:pPr>
        <w:rPr>
          <w:szCs w:val="20"/>
        </w:rPr>
      </w:pPr>
      <w:r w:rsidRPr="00CE6518">
        <w:rPr>
          <w:szCs w:val="20"/>
        </w:rPr>
        <w:t>Dated 23 June 2011</w:t>
      </w:r>
    </w:p>
    <w:p w:rsidR="00567895" w:rsidRPr="00CE6518" w:rsidRDefault="00567895" w:rsidP="00567895">
      <w:pPr>
        <w:jc w:val="center"/>
        <w:rPr>
          <w:szCs w:val="20"/>
        </w:rPr>
      </w:pPr>
      <w:r w:rsidRPr="00CE6518">
        <w:rPr>
          <w:szCs w:val="20"/>
        </w:rPr>
        <w:t>STEPHEN CONROY</w:t>
      </w:r>
      <w:r w:rsidRPr="00CE6518">
        <w:rPr>
          <w:szCs w:val="20"/>
        </w:rPr>
        <w:br/>
        <w:t>Minister for Broadband, Communications and the Digital Economy</w:t>
      </w:r>
    </w:p>
    <w:p w:rsidR="00567895" w:rsidRPr="003C111B" w:rsidRDefault="00567895" w:rsidP="003C111B">
      <w:pPr>
        <w:rPr>
          <w:b/>
        </w:rPr>
      </w:pPr>
      <w:r w:rsidRPr="003C111B">
        <w:rPr>
          <w:b/>
        </w:rPr>
        <w:t>1</w:t>
      </w:r>
      <w:r w:rsidR="0019389E">
        <w:rPr>
          <w:b/>
        </w:rPr>
        <w:t>.</w:t>
      </w:r>
      <w:r w:rsidRPr="003C111B">
        <w:rPr>
          <w:b/>
        </w:rPr>
        <w:t xml:space="preserve"> Name of Instrument</w:t>
      </w:r>
    </w:p>
    <w:p w:rsidR="00567895" w:rsidRPr="00CE6518" w:rsidRDefault="00567895" w:rsidP="00567895">
      <w:pPr>
        <w:rPr>
          <w:szCs w:val="20"/>
        </w:rPr>
      </w:pPr>
      <w:r w:rsidRPr="00CE6518">
        <w:rPr>
          <w:szCs w:val="20"/>
        </w:rPr>
        <w:t xml:space="preserve">This Instrument is the </w:t>
      </w:r>
      <w:r w:rsidRPr="00CE6518">
        <w:rPr>
          <w:i/>
          <w:iCs/>
          <w:szCs w:val="20"/>
        </w:rPr>
        <w:t>Telecommunications (Acceptance of Undertaking about Structural Separation—Matters) Instrument 2011</w:t>
      </w:r>
      <w:r w:rsidRPr="00CE6518">
        <w:rPr>
          <w:szCs w:val="20"/>
        </w:rPr>
        <w:t>.</w:t>
      </w:r>
    </w:p>
    <w:p w:rsidR="00567895" w:rsidRPr="003C111B" w:rsidRDefault="00567895" w:rsidP="003C111B">
      <w:pPr>
        <w:rPr>
          <w:b/>
        </w:rPr>
      </w:pPr>
      <w:r w:rsidRPr="003C111B">
        <w:rPr>
          <w:b/>
        </w:rPr>
        <w:t>2</w:t>
      </w:r>
      <w:r w:rsidR="0019389E">
        <w:rPr>
          <w:b/>
        </w:rPr>
        <w:t>.</w:t>
      </w:r>
      <w:r w:rsidRPr="003C111B">
        <w:rPr>
          <w:b/>
        </w:rPr>
        <w:t xml:space="preserve"> Commencement</w:t>
      </w:r>
    </w:p>
    <w:p w:rsidR="00567895" w:rsidRPr="00CE6518" w:rsidRDefault="00567895" w:rsidP="00567895">
      <w:pPr>
        <w:rPr>
          <w:szCs w:val="20"/>
        </w:rPr>
      </w:pPr>
      <w:r w:rsidRPr="00CE6518">
        <w:rPr>
          <w:szCs w:val="20"/>
        </w:rPr>
        <w:t xml:space="preserve">This Instrument commences on the day after it is published on the Department's website in accordance with subsection </w:t>
      </w:r>
      <w:proofErr w:type="gramStart"/>
      <w:r w:rsidRPr="00CE6518">
        <w:rPr>
          <w:szCs w:val="20"/>
        </w:rPr>
        <w:t>577A(</w:t>
      </w:r>
      <w:proofErr w:type="gramEnd"/>
      <w:r w:rsidRPr="00CE6518">
        <w:rPr>
          <w:szCs w:val="20"/>
        </w:rPr>
        <w:t>22) of the Act.</w:t>
      </w:r>
    </w:p>
    <w:p w:rsidR="00567895" w:rsidRPr="003C111B" w:rsidRDefault="00567895" w:rsidP="003C111B">
      <w:pPr>
        <w:rPr>
          <w:b/>
        </w:rPr>
      </w:pPr>
      <w:r w:rsidRPr="003C111B">
        <w:rPr>
          <w:b/>
        </w:rPr>
        <w:t>3</w:t>
      </w:r>
      <w:r w:rsidR="0019389E">
        <w:rPr>
          <w:b/>
        </w:rPr>
        <w:t>.</w:t>
      </w:r>
      <w:bookmarkStart w:id="0" w:name="_GoBack"/>
      <w:bookmarkEnd w:id="0"/>
      <w:r w:rsidRPr="003C111B">
        <w:rPr>
          <w:b/>
        </w:rPr>
        <w:t xml:space="preserve"> Definitions</w:t>
      </w:r>
    </w:p>
    <w:p w:rsidR="00567895" w:rsidRPr="00CE6518" w:rsidRDefault="00567895" w:rsidP="00567895">
      <w:pPr>
        <w:rPr>
          <w:szCs w:val="20"/>
        </w:rPr>
      </w:pPr>
      <w:r w:rsidRPr="00CE6518">
        <w:rPr>
          <w:szCs w:val="20"/>
        </w:rPr>
        <w:t>(1)</w:t>
      </w:r>
      <w:r w:rsidRPr="00CE6518">
        <w:rPr>
          <w:szCs w:val="20"/>
        </w:rPr>
        <w:tab/>
        <w:t>In this Instrument:</w:t>
      </w:r>
    </w:p>
    <w:p w:rsidR="00567895" w:rsidRPr="00CE6518" w:rsidRDefault="00567895" w:rsidP="00567895">
      <w:pPr>
        <w:rPr>
          <w:i/>
          <w:iCs/>
          <w:szCs w:val="20"/>
        </w:rPr>
      </w:pPr>
      <w:r w:rsidRPr="00CE6518">
        <w:rPr>
          <w:b/>
          <w:bCs/>
          <w:i/>
          <w:iCs/>
          <w:szCs w:val="20"/>
        </w:rPr>
        <w:t xml:space="preserve">Act </w:t>
      </w:r>
      <w:r w:rsidRPr="00CE6518">
        <w:rPr>
          <w:szCs w:val="20"/>
        </w:rPr>
        <w:t xml:space="preserve">means the </w:t>
      </w:r>
      <w:r w:rsidRPr="00CE6518">
        <w:rPr>
          <w:i/>
          <w:iCs/>
          <w:szCs w:val="20"/>
        </w:rPr>
        <w:t>Telecommunications Act 1997.</w:t>
      </w:r>
    </w:p>
    <w:p w:rsidR="00567895" w:rsidRPr="00CE6518" w:rsidRDefault="00567895" w:rsidP="00567895">
      <w:pPr>
        <w:rPr>
          <w:i/>
          <w:iCs/>
          <w:szCs w:val="20"/>
        </w:rPr>
      </w:pPr>
      <w:proofErr w:type="gramStart"/>
      <w:r w:rsidRPr="00CE6518">
        <w:rPr>
          <w:b/>
          <w:bCs/>
          <w:i/>
          <w:iCs/>
          <w:szCs w:val="20"/>
        </w:rPr>
        <w:t>eligible</w:t>
      </w:r>
      <w:proofErr w:type="gramEnd"/>
      <w:r w:rsidRPr="00CE6518">
        <w:rPr>
          <w:b/>
          <w:bCs/>
          <w:i/>
          <w:iCs/>
          <w:szCs w:val="20"/>
        </w:rPr>
        <w:t xml:space="preserve"> service </w:t>
      </w:r>
      <w:r w:rsidRPr="00CE6518">
        <w:rPr>
          <w:szCs w:val="20"/>
        </w:rPr>
        <w:t xml:space="preserve">has the same meaning as in section 152AL of the </w:t>
      </w:r>
      <w:r w:rsidRPr="00CE6518">
        <w:rPr>
          <w:i/>
          <w:iCs/>
          <w:szCs w:val="20"/>
        </w:rPr>
        <w:t>Competition and Consumer Act 2010.</w:t>
      </w:r>
    </w:p>
    <w:p w:rsidR="00567895" w:rsidRPr="00CE6518" w:rsidRDefault="00567895" w:rsidP="00567895">
      <w:pPr>
        <w:rPr>
          <w:szCs w:val="20"/>
        </w:rPr>
      </w:pPr>
      <w:proofErr w:type="gramStart"/>
      <w:r w:rsidRPr="00CE6518">
        <w:rPr>
          <w:b/>
          <w:bCs/>
          <w:i/>
          <w:iCs/>
          <w:szCs w:val="20"/>
        </w:rPr>
        <w:t>national</w:t>
      </w:r>
      <w:proofErr w:type="gramEnd"/>
      <w:r w:rsidRPr="00CE6518">
        <w:rPr>
          <w:b/>
          <w:bCs/>
          <w:i/>
          <w:iCs/>
          <w:szCs w:val="20"/>
        </w:rPr>
        <w:t xml:space="preserve"> broadband network </w:t>
      </w:r>
      <w:r w:rsidRPr="00CE6518">
        <w:rPr>
          <w:szCs w:val="20"/>
        </w:rPr>
        <w:t>has the same meaning as in section 577BC of the Act.</w:t>
      </w:r>
    </w:p>
    <w:p w:rsidR="00567895" w:rsidRPr="00CE6518" w:rsidRDefault="00567895" w:rsidP="00567895">
      <w:pPr>
        <w:rPr>
          <w:szCs w:val="20"/>
        </w:rPr>
      </w:pPr>
      <w:r w:rsidRPr="00CE6518">
        <w:rPr>
          <w:b/>
          <w:bCs/>
          <w:i/>
          <w:iCs/>
          <w:szCs w:val="20"/>
        </w:rPr>
        <w:t xml:space="preserve">NBN Co </w:t>
      </w:r>
      <w:r w:rsidRPr="00CE6518">
        <w:rPr>
          <w:szCs w:val="20"/>
        </w:rPr>
        <w:t>has the same meaning as in section 577BC of the Act.</w:t>
      </w:r>
    </w:p>
    <w:p w:rsidR="00567895" w:rsidRPr="00CE6518" w:rsidRDefault="00567895" w:rsidP="00567895">
      <w:pPr>
        <w:rPr>
          <w:szCs w:val="20"/>
        </w:rPr>
      </w:pPr>
      <w:proofErr w:type="gramStart"/>
      <w:r w:rsidRPr="00CE6518">
        <w:rPr>
          <w:b/>
          <w:bCs/>
          <w:i/>
          <w:iCs/>
          <w:szCs w:val="20"/>
        </w:rPr>
        <w:t>network</w:t>
      </w:r>
      <w:proofErr w:type="gramEnd"/>
      <w:r w:rsidRPr="00CE6518">
        <w:rPr>
          <w:b/>
          <w:bCs/>
          <w:i/>
          <w:iCs/>
          <w:szCs w:val="20"/>
        </w:rPr>
        <w:t xml:space="preserve"> business unit </w:t>
      </w:r>
      <w:r w:rsidRPr="00CE6518">
        <w:rPr>
          <w:szCs w:val="20"/>
        </w:rPr>
        <w:t>means a business unit of Telstra that supplies the following in relation to eligible services:</w:t>
      </w:r>
    </w:p>
    <w:p w:rsidR="00567895" w:rsidRPr="00CE6518" w:rsidRDefault="00567895" w:rsidP="00C74F9D">
      <w:pPr>
        <w:ind w:left="720"/>
        <w:rPr>
          <w:szCs w:val="20"/>
        </w:rPr>
      </w:pPr>
      <w:r w:rsidRPr="00CE6518">
        <w:rPr>
          <w:szCs w:val="20"/>
        </w:rPr>
        <w:t>(a)</w:t>
      </w:r>
      <w:r w:rsidRPr="00CE6518">
        <w:rPr>
          <w:szCs w:val="20"/>
        </w:rPr>
        <w:tab/>
      </w:r>
      <w:proofErr w:type="gramStart"/>
      <w:r w:rsidRPr="00CE6518">
        <w:rPr>
          <w:szCs w:val="20"/>
        </w:rPr>
        <w:t>fault</w:t>
      </w:r>
      <w:proofErr w:type="gramEnd"/>
      <w:r w:rsidRPr="00CE6518">
        <w:rPr>
          <w:szCs w:val="20"/>
        </w:rPr>
        <w:t xml:space="preserve"> detection, handling and rectification;</w:t>
      </w:r>
    </w:p>
    <w:p w:rsidR="00567895" w:rsidRPr="00CE6518" w:rsidRDefault="00567895" w:rsidP="00C74F9D">
      <w:pPr>
        <w:ind w:left="720"/>
        <w:rPr>
          <w:szCs w:val="20"/>
        </w:rPr>
      </w:pPr>
      <w:r w:rsidRPr="00CE6518">
        <w:rPr>
          <w:szCs w:val="20"/>
        </w:rPr>
        <w:t>(b)</w:t>
      </w:r>
      <w:r w:rsidRPr="00CE6518">
        <w:rPr>
          <w:szCs w:val="20"/>
        </w:rPr>
        <w:tab/>
      </w:r>
      <w:proofErr w:type="gramStart"/>
      <w:r w:rsidRPr="00CE6518">
        <w:rPr>
          <w:szCs w:val="20"/>
        </w:rPr>
        <w:t>service</w:t>
      </w:r>
      <w:proofErr w:type="gramEnd"/>
      <w:r w:rsidRPr="00CE6518">
        <w:rPr>
          <w:szCs w:val="20"/>
        </w:rPr>
        <w:t xml:space="preserve"> activation and provisioning.</w:t>
      </w:r>
    </w:p>
    <w:p w:rsidR="00567895" w:rsidRPr="00CE6518" w:rsidRDefault="00567895" w:rsidP="00567895">
      <w:pPr>
        <w:rPr>
          <w:szCs w:val="20"/>
        </w:rPr>
      </w:pPr>
      <w:proofErr w:type="gramStart"/>
      <w:r w:rsidRPr="00CE6518">
        <w:rPr>
          <w:b/>
          <w:bCs/>
          <w:i/>
          <w:iCs/>
          <w:szCs w:val="20"/>
        </w:rPr>
        <w:t>retail</w:t>
      </w:r>
      <w:proofErr w:type="gramEnd"/>
      <w:r w:rsidRPr="00CE6518">
        <w:rPr>
          <w:b/>
          <w:bCs/>
          <w:i/>
          <w:iCs/>
          <w:szCs w:val="20"/>
        </w:rPr>
        <w:t xml:space="preserve"> business unit </w:t>
      </w:r>
      <w:r w:rsidRPr="00CE6518">
        <w:rPr>
          <w:szCs w:val="20"/>
        </w:rPr>
        <w:t>means a business unit by which Telstra deals with its retail customers.</w:t>
      </w:r>
    </w:p>
    <w:p w:rsidR="008D578D" w:rsidRPr="00CE6518" w:rsidRDefault="00567895" w:rsidP="00567895">
      <w:pPr>
        <w:rPr>
          <w:szCs w:val="20"/>
        </w:rPr>
      </w:pPr>
      <w:proofErr w:type="gramStart"/>
      <w:r w:rsidRPr="00CE6518">
        <w:rPr>
          <w:b/>
          <w:bCs/>
          <w:i/>
          <w:iCs/>
          <w:szCs w:val="20"/>
        </w:rPr>
        <w:t>wholesale</w:t>
      </w:r>
      <w:proofErr w:type="gramEnd"/>
      <w:r w:rsidRPr="00CE6518">
        <w:rPr>
          <w:b/>
          <w:bCs/>
          <w:i/>
          <w:iCs/>
          <w:szCs w:val="20"/>
        </w:rPr>
        <w:t xml:space="preserve"> business unit </w:t>
      </w:r>
      <w:r w:rsidRPr="00CE6518">
        <w:rPr>
          <w:szCs w:val="20"/>
        </w:rPr>
        <w:t>means a business unit by which Telstra deals with its wholesale customers.</w:t>
      </w:r>
    </w:p>
    <w:p w:rsidR="008D578D" w:rsidRPr="00CE6518" w:rsidRDefault="008D578D" w:rsidP="00F43B6E">
      <w:pPr>
        <w:ind w:left="720" w:hanging="720"/>
        <w:rPr>
          <w:i/>
          <w:iCs/>
          <w:szCs w:val="20"/>
        </w:rPr>
      </w:pPr>
      <w:r w:rsidRPr="00CE6518">
        <w:rPr>
          <w:szCs w:val="20"/>
        </w:rPr>
        <w:t>(2)</w:t>
      </w:r>
      <w:r w:rsidRPr="00CE6518">
        <w:rPr>
          <w:szCs w:val="20"/>
        </w:rPr>
        <w:tab/>
      </w:r>
      <w:r w:rsidR="00567895" w:rsidRPr="00CE6518">
        <w:rPr>
          <w:szCs w:val="20"/>
        </w:rPr>
        <w:t xml:space="preserve">In this instrument, </w:t>
      </w:r>
      <w:r w:rsidR="00567895" w:rsidRPr="00CE6518">
        <w:rPr>
          <w:b/>
          <w:bCs/>
          <w:i/>
          <w:iCs/>
          <w:szCs w:val="20"/>
        </w:rPr>
        <w:t xml:space="preserve">independent telecommunications adjudicator </w:t>
      </w:r>
      <w:r w:rsidR="00567895" w:rsidRPr="00CE6518">
        <w:rPr>
          <w:szCs w:val="20"/>
        </w:rPr>
        <w:t>has the</w:t>
      </w:r>
      <w:r w:rsidR="00C74F9D" w:rsidRPr="00CE6518">
        <w:rPr>
          <w:szCs w:val="20"/>
        </w:rPr>
        <w:t xml:space="preserve"> </w:t>
      </w:r>
      <w:r w:rsidR="00567895" w:rsidRPr="00CE6518">
        <w:rPr>
          <w:szCs w:val="20"/>
        </w:rPr>
        <w:t xml:space="preserve">same meaning as in section 152EQ of the </w:t>
      </w:r>
      <w:r w:rsidR="00567895" w:rsidRPr="00CE6518">
        <w:rPr>
          <w:i/>
          <w:iCs/>
          <w:szCs w:val="20"/>
        </w:rPr>
        <w:t>Competition and Consumer Act</w:t>
      </w:r>
      <w:r w:rsidR="00C74F9D" w:rsidRPr="00CE6518">
        <w:rPr>
          <w:i/>
          <w:iCs/>
          <w:szCs w:val="20"/>
        </w:rPr>
        <w:t xml:space="preserve"> </w:t>
      </w:r>
      <w:r w:rsidR="00567895" w:rsidRPr="00CE6518">
        <w:rPr>
          <w:i/>
          <w:iCs/>
          <w:szCs w:val="20"/>
        </w:rPr>
        <w:t>2010.</w:t>
      </w:r>
    </w:p>
    <w:p w:rsidR="00567895" w:rsidRPr="00CE6518" w:rsidRDefault="008D578D" w:rsidP="00F43B6E">
      <w:pPr>
        <w:ind w:left="720" w:hanging="720"/>
        <w:rPr>
          <w:szCs w:val="20"/>
        </w:rPr>
      </w:pPr>
      <w:r w:rsidRPr="00CE6518">
        <w:t>(3)</w:t>
      </w:r>
      <w:r w:rsidRPr="00CE6518">
        <w:rPr>
          <w:i/>
          <w:iCs/>
          <w:szCs w:val="20"/>
        </w:rPr>
        <w:tab/>
      </w:r>
      <w:r w:rsidR="00567895" w:rsidRPr="00CE6518">
        <w:rPr>
          <w:szCs w:val="20"/>
        </w:rPr>
        <w:t xml:space="preserve">For the purposes of subsection (2), assume that Division 3 of Part 1 of Schedule 1 to the </w:t>
      </w:r>
      <w:r w:rsidR="00567895" w:rsidRPr="00CE6518">
        <w:rPr>
          <w:i/>
          <w:iCs/>
          <w:szCs w:val="20"/>
        </w:rPr>
        <w:t xml:space="preserve">Telecommunications Legislation Amendment (Competition and Consumer Safeguards) Act 2010 </w:t>
      </w:r>
      <w:r w:rsidR="00567895" w:rsidRPr="00CE6518">
        <w:rPr>
          <w:szCs w:val="20"/>
        </w:rPr>
        <w:t>has commenced.</w:t>
      </w:r>
    </w:p>
    <w:p w:rsidR="00567895" w:rsidRPr="00CE6518" w:rsidRDefault="00567895" w:rsidP="00567895">
      <w:pPr>
        <w:rPr>
          <w:i/>
          <w:iCs/>
          <w:szCs w:val="20"/>
        </w:rPr>
      </w:pPr>
      <w:r w:rsidRPr="00CE6518">
        <w:rPr>
          <w:b/>
          <w:bCs/>
          <w:i/>
          <w:iCs/>
          <w:szCs w:val="20"/>
        </w:rPr>
        <w:t xml:space="preserve">Note </w:t>
      </w:r>
      <w:r w:rsidRPr="00CE6518">
        <w:rPr>
          <w:i/>
          <w:iCs/>
          <w:szCs w:val="20"/>
        </w:rPr>
        <w:t xml:space="preserve">By virtue </w:t>
      </w:r>
      <w:proofErr w:type="spellStart"/>
      <w:r w:rsidRPr="00CE6518">
        <w:rPr>
          <w:i/>
          <w:iCs/>
          <w:szCs w:val="20"/>
        </w:rPr>
        <w:t>ofparagraph</w:t>
      </w:r>
      <w:proofErr w:type="spellEnd"/>
      <w:r w:rsidRPr="00CE6518">
        <w:rPr>
          <w:i/>
          <w:iCs/>
          <w:szCs w:val="20"/>
        </w:rPr>
        <w:t xml:space="preserve"> 46(1</w:t>
      </w:r>
      <w:proofErr w:type="gramStart"/>
      <w:r w:rsidRPr="00CE6518">
        <w:rPr>
          <w:i/>
          <w:iCs/>
          <w:szCs w:val="20"/>
        </w:rPr>
        <w:t>)(</w:t>
      </w:r>
      <w:proofErr w:type="gramEnd"/>
      <w:r w:rsidRPr="00CE6518">
        <w:rPr>
          <w:i/>
          <w:iCs/>
          <w:szCs w:val="20"/>
        </w:rPr>
        <w:t xml:space="preserve">b) of the </w:t>
      </w:r>
      <w:r w:rsidRPr="00CE6518">
        <w:rPr>
          <w:szCs w:val="20"/>
        </w:rPr>
        <w:t xml:space="preserve">Acts Interpretation Act 1901, </w:t>
      </w:r>
      <w:r w:rsidRPr="00CE6518">
        <w:rPr>
          <w:i/>
          <w:iCs/>
          <w:szCs w:val="20"/>
        </w:rPr>
        <w:t>the</w:t>
      </w:r>
      <w:r w:rsidR="00C74F9D" w:rsidRPr="00CE6518">
        <w:rPr>
          <w:i/>
          <w:iCs/>
          <w:szCs w:val="20"/>
        </w:rPr>
        <w:t xml:space="preserve"> </w:t>
      </w:r>
      <w:r w:rsidRPr="00CE6518">
        <w:rPr>
          <w:i/>
          <w:iCs/>
          <w:szCs w:val="20"/>
        </w:rPr>
        <w:t>following expressions have the same meaning as in the Act:</w:t>
      </w:r>
    </w:p>
    <w:p w:rsidR="00567895" w:rsidRPr="00CE6518" w:rsidRDefault="00567895" w:rsidP="00C74F9D">
      <w:pPr>
        <w:pStyle w:val="ListBullet"/>
        <w:rPr>
          <w:i/>
        </w:rPr>
      </w:pPr>
      <w:r w:rsidRPr="00CE6518">
        <w:rPr>
          <w:i/>
        </w:rPr>
        <w:t>ACCC</w:t>
      </w:r>
    </w:p>
    <w:p w:rsidR="00567895" w:rsidRPr="00CE6518" w:rsidRDefault="00567895" w:rsidP="00C74F9D">
      <w:pPr>
        <w:pStyle w:val="ListBullet"/>
        <w:rPr>
          <w:i/>
        </w:rPr>
      </w:pPr>
      <w:r w:rsidRPr="00CE6518">
        <w:rPr>
          <w:i/>
        </w:rPr>
        <w:lastRenderedPageBreak/>
        <w:t>designated day</w:t>
      </w:r>
    </w:p>
    <w:p w:rsidR="00567895" w:rsidRPr="00CE6518" w:rsidRDefault="00567895" w:rsidP="00C74F9D">
      <w:pPr>
        <w:pStyle w:val="ListBullet"/>
        <w:rPr>
          <w:i/>
        </w:rPr>
      </w:pPr>
      <w:r w:rsidRPr="00CE6518">
        <w:rPr>
          <w:i/>
        </w:rPr>
        <w:t>equivalence</w:t>
      </w:r>
    </w:p>
    <w:p w:rsidR="00567895" w:rsidRPr="00CE6518" w:rsidRDefault="00567895" w:rsidP="00C74F9D">
      <w:pPr>
        <w:pStyle w:val="ListBullet"/>
        <w:rPr>
          <w:i/>
        </w:rPr>
      </w:pPr>
      <w:r w:rsidRPr="00CE6518">
        <w:rPr>
          <w:i/>
        </w:rPr>
        <w:t>fixed-line carriage service</w:t>
      </w:r>
    </w:p>
    <w:p w:rsidR="00567895" w:rsidRPr="00CE6518" w:rsidRDefault="00567895" w:rsidP="00C74F9D">
      <w:pPr>
        <w:pStyle w:val="ListBullet"/>
        <w:rPr>
          <w:i/>
        </w:rPr>
      </w:pPr>
      <w:r w:rsidRPr="00CE6518">
        <w:rPr>
          <w:i/>
        </w:rPr>
        <w:t>regulated service</w:t>
      </w:r>
    </w:p>
    <w:p w:rsidR="00567895" w:rsidRPr="00CE6518" w:rsidRDefault="00567895" w:rsidP="00C74F9D">
      <w:pPr>
        <w:pStyle w:val="ListBullet"/>
        <w:rPr>
          <w:i/>
        </w:rPr>
      </w:pPr>
      <w:r w:rsidRPr="00CE6518">
        <w:rPr>
          <w:i/>
        </w:rPr>
        <w:t>Telstra</w:t>
      </w:r>
    </w:p>
    <w:p w:rsidR="00567895" w:rsidRPr="003C111B" w:rsidRDefault="00567895" w:rsidP="003C111B">
      <w:pPr>
        <w:rPr>
          <w:b/>
        </w:rPr>
      </w:pPr>
      <w:r w:rsidRPr="003C111B">
        <w:rPr>
          <w:b/>
        </w:rPr>
        <w:t>4</w:t>
      </w:r>
      <w:r w:rsidR="0019389E">
        <w:rPr>
          <w:b/>
        </w:rPr>
        <w:t>.</w:t>
      </w:r>
      <w:r w:rsidRPr="003C111B">
        <w:rPr>
          <w:b/>
        </w:rPr>
        <w:t xml:space="preserve"> Matters to which the ACCC must have regard</w:t>
      </w:r>
    </w:p>
    <w:p w:rsidR="00567895" w:rsidRPr="00CE6518" w:rsidRDefault="00567895" w:rsidP="00567895">
      <w:pPr>
        <w:rPr>
          <w:szCs w:val="20"/>
        </w:rPr>
      </w:pPr>
      <w:r w:rsidRPr="00CE6518">
        <w:rPr>
          <w:szCs w:val="20"/>
        </w:rPr>
        <w:t xml:space="preserve">For the purposes of paragraph </w:t>
      </w:r>
      <w:proofErr w:type="gramStart"/>
      <w:r w:rsidRPr="00CE6518">
        <w:rPr>
          <w:szCs w:val="20"/>
        </w:rPr>
        <w:t>577A(</w:t>
      </w:r>
      <w:proofErr w:type="gramEnd"/>
      <w:r w:rsidRPr="00CE6518">
        <w:rPr>
          <w:szCs w:val="20"/>
        </w:rPr>
        <w:t>6)(a) of the Act, the ACCC must have regard to each of the following matters in deciding whether to accept an undertaking given by Telstra under section 577A of the Act:</w:t>
      </w:r>
    </w:p>
    <w:p w:rsidR="00567895" w:rsidRPr="00CE6518" w:rsidRDefault="00567895" w:rsidP="00C74F9D">
      <w:pPr>
        <w:ind w:left="1440" w:hanging="720"/>
        <w:rPr>
          <w:szCs w:val="20"/>
        </w:rPr>
      </w:pPr>
      <w:r w:rsidRPr="00CE6518">
        <w:rPr>
          <w:szCs w:val="20"/>
        </w:rPr>
        <w:t>(a)</w:t>
      </w:r>
      <w:r w:rsidRPr="00CE6518">
        <w:rPr>
          <w:szCs w:val="20"/>
        </w:rPr>
        <w:tab/>
      </w:r>
      <w:proofErr w:type="gramStart"/>
      <w:r w:rsidRPr="00CE6518">
        <w:rPr>
          <w:szCs w:val="20"/>
        </w:rPr>
        <w:t>the</w:t>
      </w:r>
      <w:proofErr w:type="gramEnd"/>
      <w:r w:rsidRPr="00CE6518">
        <w:rPr>
          <w:szCs w:val="20"/>
        </w:rPr>
        <w:t xml:space="preserve"> Government's policy objective of improving the accessibility and quality of broadband services for consumers in Australia, including those in regional, rural and remote areas;</w:t>
      </w:r>
    </w:p>
    <w:p w:rsidR="00567895" w:rsidRPr="00CE6518" w:rsidRDefault="00567895" w:rsidP="00C74F9D">
      <w:pPr>
        <w:ind w:left="1440" w:hanging="720"/>
        <w:rPr>
          <w:szCs w:val="20"/>
        </w:rPr>
      </w:pPr>
      <w:r w:rsidRPr="00CE6518">
        <w:rPr>
          <w:szCs w:val="20"/>
        </w:rPr>
        <w:t>(b)</w:t>
      </w:r>
      <w:r w:rsidRPr="00CE6518">
        <w:rPr>
          <w:szCs w:val="20"/>
        </w:rPr>
        <w:tab/>
        <w:t>the Government's support for a form of structural separation whereby Telstra will progressively migrate fixed-line carriage services that it supplies to retail customers to the national broadband network as that network is rolled out;</w:t>
      </w:r>
    </w:p>
    <w:p w:rsidR="00567895" w:rsidRPr="00CE6518" w:rsidRDefault="00567895" w:rsidP="00C74F9D">
      <w:pPr>
        <w:ind w:left="1440" w:hanging="720"/>
        <w:rPr>
          <w:szCs w:val="20"/>
        </w:rPr>
      </w:pPr>
      <w:r w:rsidRPr="00CE6518">
        <w:rPr>
          <w:szCs w:val="20"/>
        </w:rPr>
        <w:t>(c)</w:t>
      </w:r>
      <w:r w:rsidRPr="00CE6518">
        <w:rPr>
          <w:szCs w:val="20"/>
        </w:rPr>
        <w:tab/>
      </w:r>
      <w:proofErr w:type="gramStart"/>
      <w:r w:rsidRPr="00CE6518">
        <w:rPr>
          <w:szCs w:val="20"/>
        </w:rPr>
        <w:t>the</w:t>
      </w:r>
      <w:proofErr w:type="gramEnd"/>
      <w:r w:rsidRPr="00CE6518">
        <w:rPr>
          <w:szCs w:val="20"/>
        </w:rPr>
        <w:t xml:space="preserve"> expected distribution of the long-term economic benefits for different types of consumers in different geographic areas that would occur as a result of the undertaking coming into force;</w:t>
      </w:r>
    </w:p>
    <w:p w:rsidR="00567895" w:rsidRPr="00CE6518" w:rsidRDefault="00567895" w:rsidP="00C74F9D">
      <w:pPr>
        <w:ind w:left="1440" w:hanging="720"/>
        <w:rPr>
          <w:szCs w:val="20"/>
        </w:rPr>
      </w:pPr>
      <w:r w:rsidRPr="00CE6518">
        <w:rPr>
          <w:szCs w:val="20"/>
        </w:rPr>
        <w:t>(d)</w:t>
      </w:r>
      <w:r w:rsidRPr="00CE6518">
        <w:rPr>
          <w:szCs w:val="20"/>
        </w:rPr>
        <w:tab/>
      </w:r>
      <w:proofErr w:type="gramStart"/>
      <w:r w:rsidRPr="00CE6518">
        <w:rPr>
          <w:szCs w:val="20"/>
        </w:rPr>
        <w:t>the</w:t>
      </w:r>
      <w:proofErr w:type="gramEnd"/>
      <w:r w:rsidRPr="00CE6518">
        <w:rPr>
          <w:szCs w:val="20"/>
        </w:rPr>
        <w:t xml:space="preserve"> conduct that would be authorised under section 577BA of the Act as a consequence of the ACCC's acceptance of the undertaking or the undertaking coming into force;</w:t>
      </w:r>
    </w:p>
    <w:p w:rsidR="00567895" w:rsidRPr="00CE6518" w:rsidRDefault="00567895" w:rsidP="00C74F9D">
      <w:pPr>
        <w:ind w:left="1440" w:hanging="720"/>
        <w:rPr>
          <w:szCs w:val="20"/>
        </w:rPr>
      </w:pPr>
      <w:r w:rsidRPr="00CE6518">
        <w:rPr>
          <w:szCs w:val="20"/>
        </w:rPr>
        <w:t>(e)</w:t>
      </w:r>
      <w:r w:rsidRPr="00CE6518">
        <w:rPr>
          <w:szCs w:val="20"/>
        </w:rPr>
        <w:tab/>
      </w:r>
      <w:proofErr w:type="gramStart"/>
      <w:r w:rsidRPr="00CE6518">
        <w:rPr>
          <w:szCs w:val="20"/>
        </w:rPr>
        <w:t>whether</w:t>
      </w:r>
      <w:proofErr w:type="gramEnd"/>
      <w:r w:rsidRPr="00CE6518">
        <w:rPr>
          <w:szCs w:val="20"/>
        </w:rPr>
        <w:t xml:space="preserve"> the undertaking provides for the ACCC to be given written copies of all contracts, arrangements or understandings entered into by Telstra in order for it to comply with the undertaking;</w:t>
      </w:r>
    </w:p>
    <w:p w:rsidR="00567895" w:rsidRPr="00CE6518" w:rsidRDefault="00567895" w:rsidP="00C74F9D">
      <w:pPr>
        <w:ind w:left="1440" w:hanging="720"/>
        <w:rPr>
          <w:szCs w:val="20"/>
        </w:rPr>
      </w:pPr>
      <w:r w:rsidRPr="00CE6518">
        <w:rPr>
          <w:szCs w:val="20"/>
        </w:rPr>
        <w:t>(f)</w:t>
      </w:r>
      <w:r w:rsidRPr="00CE6518">
        <w:rPr>
          <w:szCs w:val="20"/>
        </w:rPr>
        <w:tab/>
      </w:r>
      <w:proofErr w:type="gramStart"/>
      <w:r w:rsidRPr="00CE6518">
        <w:rPr>
          <w:szCs w:val="20"/>
        </w:rPr>
        <w:t>whether</w:t>
      </w:r>
      <w:proofErr w:type="gramEnd"/>
      <w:r w:rsidRPr="00CE6518">
        <w:rPr>
          <w:szCs w:val="20"/>
        </w:rPr>
        <w:t xml:space="preserve"> the undertaking requires Telstra to implement a governance framework that:</w:t>
      </w:r>
    </w:p>
    <w:p w:rsidR="00567895" w:rsidRPr="00CE6518" w:rsidRDefault="00567895" w:rsidP="003C5D9A">
      <w:pPr>
        <w:ind w:left="2160" w:hanging="720"/>
        <w:rPr>
          <w:szCs w:val="20"/>
        </w:rPr>
      </w:pPr>
      <w:r w:rsidRPr="00CE6518">
        <w:rPr>
          <w:szCs w:val="20"/>
        </w:rPr>
        <w:t>(i)</w:t>
      </w:r>
      <w:r w:rsidRPr="00CE6518">
        <w:rPr>
          <w:szCs w:val="20"/>
        </w:rPr>
        <w:tab/>
      </w:r>
      <w:proofErr w:type="gramStart"/>
      <w:r w:rsidRPr="00CE6518">
        <w:rPr>
          <w:szCs w:val="20"/>
        </w:rPr>
        <w:t>ensures</w:t>
      </w:r>
      <w:proofErr w:type="gramEnd"/>
      <w:r w:rsidRPr="00CE6518">
        <w:rPr>
          <w:szCs w:val="20"/>
        </w:rPr>
        <w:t xml:space="preserve"> appropriate oversight by Telstra of its compliance with the undertaking; and</w:t>
      </w:r>
    </w:p>
    <w:p w:rsidR="00567895" w:rsidRPr="00CE6518" w:rsidRDefault="00567895" w:rsidP="003C5D9A">
      <w:pPr>
        <w:ind w:left="2160" w:hanging="720"/>
        <w:rPr>
          <w:szCs w:val="20"/>
        </w:rPr>
      </w:pPr>
      <w:r w:rsidRPr="00CE6518">
        <w:rPr>
          <w:szCs w:val="20"/>
        </w:rPr>
        <w:t>(ii)</w:t>
      </w:r>
      <w:r w:rsidRPr="00CE6518">
        <w:rPr>
          <w:szCs w:val="20"/>
        </w:rPr>
        <w:tab/>
      </w:r>
      <w:proofErr w:type="gramStart"/>
      <w:r w:rsidRPr="00CE6518">
        <w:rPr>
          <w:szCs w:val="20"/>
        </w:rPr>
        <w:t>requires</w:t>
      </w:r>
      <w:proofErr w:type="gramEnd"/>
      <w:r w:rsidRPr="00CE6518">
        <w:rPr>
          <w:szCs w:val="20"/>
        </w:rPr>
        <w:t xml:space="preserve"> regular reporting by Telstra to the ACCC on Telstra's compliance with the undertaking; and</w:t>
      </w:r>
    </w:p>
    <w:p w:rsidR="00567895" w:rsidRPr="00CE6518" w:rsidRDefault="00567895" w:rsidP="003C5D9A">
      <w:pPr>
        <w:ind w:left="2160" w:hanging="720"/>
        <w:rPr>
          <w:szCs w:val="20"/>
        </w:rPr>
      </w:pPr>
      <w:r w:rsidRPr="00CE6518">
        <w:rPr>
          <w:szCs w:val="20"/>
        </w:rPr>
        <w:t>(iii)</w:t>
      </w:r>
      <w:r w:rsidRPr="00CE6518">
        <w:rPr>
          <w:szCs w:val="20"/>
        </w:rPr>
        <w:tab/>
      </w:r>
      <w:proofErr w:type="gramStart"/>
      <w:r w:rsidRPr="00CE6518">
        <w:rPr>
          <w:szCs w:val="20"/>
        </w:rPr>
        <w:t>provides</w:t>
      </w:r>
      <w:proofErr w:type="gramEnd"/>
      <w:r w:rsidRPr="00CE6518">
        <w:rPr>
          <w:szCs w:val="20"/>
        </w:rPr>
        <w:t xml:space="preserve"> that the ACCC may consult with wholesale customers and other stakeholders about Telstra's compliance with the undertaking; and</w:t>
      </w:r>
    </w:p>
    <w:p w:rsidR="00567895" w:rsidRPr="00CE6518" w:rsidRDefault="00567895" w:rsidP="003C5D9A">
      <w:pPr>
        <w:ind w:left="2160" w:hanging="720"/>
        <w:rPr>
          <w:szCs w:val="20"/>
        </w:rPr>
      </w:pPr>
      <w:r w:rsidRPr="00CE6518">
        <w:rPr>
          <w:szCs w:val="20"/>
        </w:rPr>
        <w:t>(iv)</w:t>
      </w:r>
      <w:r w:rsidRPr="00CE6518">
        <w:rPr>
          <w:szCs w:val="20"/>
        </w:rPr>
        <w:tab/>
        <w:t>provides that the ACCC may, for the purpose of such consultation, disclose information provided to it by Telstra in accordance with subparagraph (f)(ii) (other than information that is commercially confidential); and</w:t>
      </w:r>
    </w:p>
    <w:p w:rsidR="00567895" w:rsidRPr="00CE6518" w:rsidRDefault="00567895" w:rsidP="003C5D9A">
      <w:pPr>
        <w:ind w:left="2160" w:hanging="720"/>
        <w:rPr>
          <w:szCs w:val="20"/>
        </w:rPr>
      </w:pPr>
      <w:r w:rsidRPr="00CE6518">
        <w:rPr>
          <w:szCs w:val="20"/>
        </w:rPr>
        <w:t>(v)</w:t>
      </w:r>
      <w:r w:rsidRPr="00CE6518">
        <w:rPr>
          <w:szCs w:val="20"/>
        </w:rPr>
        <w:tab/>
      </w:r>
      <w:proofErr w:type="gramStart"/>
      <w:r w:rsidRPr="00CE6518">
        <w:rPr>
          <w:szCs w:val="20"/>
        </w:rPr>
        <w:t>provides</w:t>
      </w:r>
      <w:proofErr w:type="gramEnd"/>
      <w:r w:rsidRPr="00CE6518">
        <w:rPr>
          <w:szCs w:val="20"/>
        </w:rPr>
        <w:t xml:space="preserve"> assurance to wholesale customers that Telstra is meeting its obligations under the undertaking;</w:t>
      </w:r>
    </w:p>
    <w:p w:rsidR="00567895" w:rsidRPr="00CE6518" w:rsidRDefault="00567895" w:rsidP="00C74F9D">
      <w:pPr>
        <w:ind w:left="1440" w:hanging="720"/>
        <w:rPr>
          <w:szCs w:val="20"/>
        </w:rPr>
      </w:pPr>
      <w:r w:rsidRPr="00CE6518">
        <w:rPr>
          <w:szCs w:val="20"/>
        </w:rPr>
        <w:lastRenderedPageBreak/>
        <w:t>(g)</w:t>
      </w:r>
      <w:r w:rsidRPr="00CE6518">
        <w:rPr>
          <w:szCs w:val="20"/>
        </w:rPr>
        <w:tab/>
      </w:r>
      <w:proofErr w:type="gramStart"/>
      <w:r w:rsidRPr="00CE6518">
        <w:rPr>
          <w:szCs w:val="20"/>
        </w:rPr>
        <w:t>whether</w:t>
      </w:r>
      <w:proofErr w:type="gramEnd"/>
      <w:r w:rsidRPr="00CE6518">
        <w:rPr>
          <w:szCs w:val="20"/>
        </w:rPr>
        <w:t xml:space="preserve"> the undertaking provides for the following matters relating to transparency and equivalence in relation to the supply by Telstra of regulated services:</w:t>
      </w:r>
    </w:p>
    <w:p w:rsidR="00567895" w:rsidRPr="00CE6518" w:rsidRDefault="00567895" w:rsidP="003C5D9A">
      <w:pPr>
        <w:ind w:left="2160" w:hanging="720"/>
        <w:rPr>
          <w:szCs w:val="20"/>
        </w:rPr>
      </w:pPr>
      <w:r w:rsidRPr="00CE6518">
        <w:rPr>
          <w:szCs w:val="20"/>
        </w:rPr>
        <w:t>(i)</w:t>
      </w:r>
      <w:r w:rsidRPr="00CE6518">
        <w:rPr>
          <w:szCs w:val="20"/>
        </w:rPr>
        <w:tab/>
      </w:r>
      <w:proofErr w:type="gramStart"/>
      <w:r w:rsidRPr="00CE6518">
        <w:rPr>
          <w:szCs w:val="20"/>
        </w:rPr>
        <w:t>measures</w:t>
      </w:r>
      <w:proofErr w:type="gramEnd"/>
      <w:r w:rsidRPr="00CE6518">
        <w:rPr>
          <w:szCs w:val="20"/>
        </w:rPr>
        <w:t xml:space="preserve"> to provide sufficient transparency to enable the ACCC to provide assurance to stakeholders that the undertaking provides for equivalence in relation to terms and conditions relating to price or a method of ascertaining price;</w:t>
      </w:r>
    </w:p>
    <w:p w:rsidR="00567895" w:rsidRPr="00CE6518" w:rsidRDefault="00567895" w:rsidP="003C5D9A">
      <w:pPr>
        <w:ind w:left="2160" w:hanging="720"/>
        <w:rPr>
          <w:szCs w:val="20"/>
        </w:rPr>
      </w:pPr>
      <w:r w:rsidRPr="00CE6518">
        <w:rPr>
          <w:szCs w:val="20"/>
        </w:rPr>
        <w:t>(ii)</w:t>
      </w:r>
      <w:r w:rsidRPr="00CE6518">
        <w:rPr>
          <w:szCs w:val="20"/>
        </w:rPr>
        <w:tab/>
      </w:r>
      <w:proofErr w:type="gramStart"/>
      <w:r w:rsidRPr="00CE6518">
        <w:rPr>
          <w:szCs w:val="20"/>
        </w:rPr>
        <w:t>organisational</w:t>
      </w:r>
      <w:proofErr w:type="gramEnd"/>
      <w:r w:rsidRPr="00CE6518">
        <w:rPr>
          <w:szCs w:val="20"/>
        </w:rPr>
        <w:t xml:space="preserve"> arrangements within Telstra that promote interim equivalence and transparency, including arrangements and measures set out in Schedule 1;</w:t>
      </w:r>
    </w:p>
    <w:p w:rsidR="00567895" w:rsidRPr="00CE6518" w:rsidRDefault="00567895" w:rsidP="003C5D9A">
      <w:pPr>
        <w:ind w:left="2160" w:hanging="720"/>
        <w:rPr>
          <w:szCs w:val="20"/>
        </w:rPr>
      </w:pPr>
      <w:r w:rsidRPr="00CE6518">
        <w:rPr>
          <w:szCs w:val="20"/>
        </w:rPr>
        <w:t>(iii)</w:t>
      </w:r>
      <w:r w:rsidRPr="00CE6518">
        <w:rPr>
          <w:szCs w:val="20"/>
        </w:rPr>
        <w:tab/>
      </w:r>
      <w:proofErr w:type="gramStart"/>
      <w:r w:rsidRPr="00CE6518">
        <w:rPr>
          <w:szCs w:val="20"/>
        </w:rPr>
        <w:t>measurable</w:t>
      </w:r>
      <w:proofErr w:type="gramEnd"/>
      <w:r w:rsidRPr="00CE6518">
        <w:rPr>
          <w:szCs w:val="20"/>
        </w:rPr>
        <w:t xml:space="preserve"> standards for the equivalent supply of regulated services to Telstra's wholesale customers and retail business units and enforcement of those standards, including through service level guarantee payments;</w:t>
      </w:r>
    </w:p>
    <w:p w:rsidR="00567895" w:rsidRPr="00CE6518" w:rsidRDefault="00567895" w:rsidP="003C5D9A">
      <w:pPr>
        <w:ind w:left="2160" w:hanging="720"/>
        <w:rPr>
          <w:szCs w:val="20"/>
        </w:rPr>
      </w:pPr>
      <w:r w:rsidRPr="00CE6518">
        <w:rPr>
          <w:szCs w:val="20"/>
        </w:rPr>
        <w:t>(iv)</w:t>
      </w:r>
      <w:r w:rsidRPr="00CE6518">
        <w:rPr>
          <w:szCs w:val="20"/>
        </w:rPr>
        <w:tab/>
        <w:t>effective measures to protect from unauthorised disclosure or use confidential information and commercially sensitive information that Telstra holds in relation to Telstra's wholesale customers, or in relation to customers of those wholesale customers or other end-user</w:t>
      </w:r>
      <w:r w:rsidR="003C5D9A" w:rsidRPr="00CE6518">
        <w:rPr>
          <w:szCs w:val="20"/>
        </w:rPr>
        <w:t xml:space="preserve">s of services supplied by those </w:t>
      </w:r>
      <w:r w:rsidRPr="00CE6518">
        <w:rPr>
          <w:szCs w:val="20"/>
        </w:rPr>
        <w:t>wholesale customers, which Telstra obtains for the purposes of, or in the course of, supplying wholesale carriage services to those wholesale customers;</w:t>
      </w:r>
    </w:p>
    <w:p w:rsidR="00567895" w:rsidRPr="00CE6518" w:rsidRDefault="00567895" w:rsidP="003C5D9A">
      <w:pPr>
        <w:ind w:left="2160" w:hanging="720"/>
        <w:rPr>
          <w:szCs w:val="20"/>
        </w:rPr>
      </w:pPr>
      <w:r w:rsidRPr="00CE6518">
        <w:rPr>
          <w:szCs w:val="20"/>
        </w:rPr>
        <w:t>(v)</w:t>
      </w:r>
      <w:r w:rsidRPr="00CE6518">
        <w:rPr>
          <w:szCs w:val="20"/>
        </w:rPr>
        <w:tab/>
      </w:r>
      <w:proofErr w:type="gramStart"/>
      <w:r w:rsidRPr="00CE6518">
        <w:rPr>
          <w:szCs w:val="20"/>
        </w:rPr>
        <w:t>equivalent</w:t>
      </w:r>
      <w:proofErr w:type="gramEnd"/>
      <w:r w:rsidRPr="00CE6518">
        <w:rPr>
          <w:szCs w:val="20"/>
        </w:rPr>
        <w:t xml:space="preserve"> notification to Telstra's wholesale customers and Telstra's retail business units of matters relating to Telstra's networks which affect the delivery or operational quality of regulated services;</w:t>
      </w:r>
    </w:p>
    <w:p w:rsidR="00567895" w:rsidRPr="00CE6518" w:rsidRDefault="00567895" w:rsidP="003C5D9A">
      <w:pPr>
        <w:ind w:left="2160" w:hanging="720"/>
        <w:rPr>
          <w:szCs w:val="20"/>
        </w:rPr>
      </w:pPr>
      <w:r w:rsidRPr="00CE6518">
        <w:rPr>
          <w:szCs w:val="20"/>
        </w:rPr>
        <w:t>(vi)</w:t>
      </w:r>
      <w:r w:rsidRPr="00CE6518">
        <w:rPr>
          <w:szCs w:val="20"/>
        </w:rPr>
        <w:tab/>
      </w:r>
      <w:proofErr w:type="gramStart"/>
      <w:r w:rsidRPr="00CE6518">
        <w:rPr>
          <w:szCs w:val="20"/>
        </w:rPr>
        <w:t>effective</w:t>
      </w:r>
      <w:proofErr w:type="gramEnd"/>
      <w:r w:rsidRPr="00CE6518">
        <w:rPr>
          <w:szCs w:val="20"/>
        </w:rPr>
        <w:t xml:space="preserve"> mechanisms for the resolution of equivalence disputes between Telstra and its wholesale customers;</w:t>
      </w:r>
    </w:p>
    <w:p w:rsidR="00567895" w:rsidRPr="00CE6518" w:rsidRDefault="00567895" w:rsidP="003C5D9A">
      <w:pPr>
        <w:ind w:left="2160" w:hanging="720"/>
        <w:rPr>
          <w:szCs w:val="20"/>
        </w:rPr>
      </w:pPr>
      <w:r w:rsidRPr="00CE6518">
        <w:rPr>
          <w:szCs w:val="20"/>
        </w:rPr>
        <w:t>(vii)</w:t>
      </w:r>
      <w:r w:rsidRPr="00CE6518">
        <w:rPr>
          <w:szCs w:val="20"/>
        </w:rPr>
        <w:tab/>
        <w:t>measures to ensure that systems used for wholesale customers in relation to billing information, ordering, provisioning, fault reporting and fault rectification provide outcomes and functionality that are equivalent to the outcomes and functionality provided by systems used for those matters by Telstra's retail business units;</w:t>
      </w:r>
    </w:p>
    <w:p w:rsidR="00567895" w:rsidRPr="00CE6518" w:rsidRDefault="00567895" w:rsidP="00C74F9D">
      <w:pPr>
        <w:ind w:left="1440" w:hanging="720"/>
        <w:rPr>
          <w:szCs w:val="20"/>
        </w:rPr>
      </w:pPr>
      <w:r w:rsidRPr="00CE6518">
        <w:rPr>
          <w:szCs w:val="20"/>
        </w:rPr>
        <w:t>(h)</w:t>
      </w:r>
      <w:r w:rsidRPr="00CE6518">
        <w:rPr>
          <w:szCs w:val="20"/>
        </w:rPr>
        <w:tab/>
        <w:t>if, as part of the mechanisms for the resolution of equivalence disputes set out in the undertaking in accordance with subparagraph (g)(vi), the undertaking provides for the establishment of the independent telecommunications adjudicator—whether the undertaking requires the independent telecommunications adjudicator to have the organisational and governance arrangements set out in Schedule 2;</w:t>
      </w:r>
    </w:p>
    <w:p w:rsidR="00567895" w:rsidRPr="00CE6518" w:rsidRDefault="00567895" w:rsidP="00C74F9D">
      <w:pPr>
        <w:ind w:left="1440" w:hanging="720"/>
        <w:rPr>
          <w:szCs w:val="20"/>
        </w:rPr>
      </w:pPr>
      <w:r w:rsidRPr="00CE6518">
        <w:rPr>
          <w:szCs w:val="20"/>
        </w:rPr>
        <w:t>(i)</w:t>
      </w:r>
      <w:r w:rsidRPr="00CE6518">
        <w:rPr>
          <w:szCs w:val="20"/>
        </w:rPr>
        <w:tab/>
      </w:r>
      <w:proofErr w:type="gramStart"/>
      <w:r w:rsidRPr="00CE6518">
        <w:rPr>
          <w:szCs w:val="20"/>
        </w:rPr>
        <w:t>the</w:t>
      </w:r>
      <w:proofErr w:type="gramEnd"/>
      <w:r w:rsidRPr="00CE6518">
        <w:rPr>
          <w:szCs w:val="20"/>
        </w:rPr>
        <w:t xml:space="preserve"> Government's statement of expectations given to NBN Co dated 17 December 2010;</w:t>
      </w:r>
    </w:p>
    <w:p w:rsidR="00567895" w:rsidRPr="00CE6518" w:rsidRDefault="00567895" w:rsidP="00C74F9D">
      <w:pPr>
        <w:ind w:left="1440" w:hanging="720"/>
        <w:rPr>
          <w:szCs w:val="20"/>
        </w:rPr>
      </w:pPr>
      <w:r w:rsidRPr="00CE6518">
        <w:rPr>
          <w:szCs w:val="20"/>
        </w:rPr>
        <w:t>(j)</w:t>
      </w:r>
      <w:r w:rsidRPr="00CE6518">
        <w:rPr>
          <w:szCs w:val="20"/>
        </w:rPr>
        <w:tab/>
        <w:t xml:space="preserve">NBN </w:t>
      </w:r>
      <w:proofErr w:type="spellStart"/>
      <w:r w:rsidRPr="00CE6518">
        <w:rPr>
          <w:szCs w:val="20"/>
        </w:rPr>
        <w:t>Co's</w:t>
      </w:r>
      <w:proofErr w:type="spellEnd"/>
      <w:r w:rsidRPr="00CE6518">
        <w:rPr>
          <w:szCs w:val="20"/>
        </w:rPr>
        <w:t xml:space="preserve"> Corporate Plan 2011-2013 dated 17 December 2010;</w:t>
      </w:r>
    </w:p>
    <w:p w:rsidR="00567895" w:rsidRPr="00CE6518" w:rsidRDefault="00567895" w:rsidP="00C74F9D">
      <w:pPr>
        <w:ind w:left="1440" w:hanging="720"/>
        <w:rPr>
          <w:i/>
          <w:iCs/>
          <w:szCs w:val="20"/>
        </w:rPr>
      </w:pPr>
      <w:r w:rsidRPr="00CE6518">
        <w:rPr>
          <w:szCs w:val="20"/>
        </w:rPr>
        <w:t>(k)</w:t>
      </w:r>
      <w:r w:rsidRPr="00CE6518">
        <w:rPr>
          <w:szCs w:val="20"/>
        </w:rPr>
        <w:tab/>
        <w:t xml:space="preserve">the governance and operating framework for NBN Co, established by the </w:t>
      </w:r>
      <w:r w:rsidRPr="00CE6518">
        <w:rPr>
          <w:i/>
          <w:iCs/>
          <w:szCs w:val="20"/>
        </w:rPr>
        <w:t xml:space="preserve">National Broadband Network Companies Act 2011 </w:t>
      </w:r>
      <w:r w:rsidRPr="00CE6518">
        <w:rPr>
          <w:szCs w:val="20"/>
        </w:rPr>
        <w:t xml:space="preserve">and the </w:t>
      </w:r>
      <w:r w:rsidRPr="00CE6518">
        <w:rPr>
          <w:i/>
          <w:iCs/>
          <w:szCs w:val="20"/>
        </w:rPr>
        <w:t>Telecommunications Legislation Amendment (National Broadband Network Measures—Access Arrangements) Act 2011.</w:t>
      </w:r>
    </w:p>
    <w:p w:rsidR="008D578D" w:rsidRPr="00CE6518" w:rsidRDefault="00567895" w:rsidP="003C5D9A">
      <w:pPr>
        <w:pStyle w:val="Heading2"/>
        <w:pageBreakBefore/>
      </w:pPr>
      <w:r w:rsidRPr="00CE6518">
        <w:lastRenderedPageBreak/>
        <w:t>Schedule 1</w:t>
      </w:r>
      <w:r w:rsidR="00161785">
        <w:t>:</w:t>
      </w:r>
      <w:r w:rsidRPr="00CE6518">
        <w:t xml:space="preserve"> Organisational arrangements that promote interim equivalence and transparency</w:t>
      </w:r>
    </w:p>
    <w:p w:rsidR="00567895" w:rsidRPr="00CE6518" w:rsidRDefault="008D578D" w:rsidP="00F43B6E">
      <w:pPr>
        <w:ind w:left="720" w:hanging="720"/>
        <w:rPr>
          <w:szCs w:val="20"/>
        </w:rPr>
      </w:pPr>
      <w:r w:rsidRPr="00CE6518">
        <w:t>(1)</w:t>
      </w:r>
      <w:r w:rsidRPr="00CE6518">
        <w:rPr>
          <w:b/>
          <w:bCs/>
          <w:szCs w:val="20"/>
        </w:rPr>
        <w:tab/>
      </w:r>
      <w:r w:rsidR="00567895" w:rsidRPr="00CE6518">
        <w:rPr>
          <w:szCs w:val="20"/>
        </w:rPr>
        <w:t>Maintaining one or more wholesale business units and one or more network business units which are separate from Telstra's retail business units.</w:t>
      </w:r>
    </w:p>
    <w:p w:rsidR="008D578D" w:rsidRPr="00CE6518" w:rsidRDefault="00567895" w:rsidP="00567895">
      <w:pPr>
        <w:rPr>
          <w:i/>
          <w:iCs/>
          <w:szCs w:val="20"/>
        </w:rPr>
      </w:pPr>
      <w:r w:rsidRPr="00CE6518">
        <w:rPr>
          <w:i/>
          <w:iCs/>
          <w:szCs w:val="20"/>
        </w:rPr>
        <w:t>Staff to work principally for the business units they are engaged by</w:t>
      </w:r>
    </w:p>
    <w:p w:rsidR="00567895" w:rsidRPr="00CE6518" w:rsidRDefault="008D578D" w:rsidP="00F43B6E">
      <w:pPr>
        <w:ind w:left="720" w:hanging="720"/>
        <w:rPr>
          <w:szCs w:val="20"/>
        </w:rPr>
      </w:pPr>
      <w:r w:rsidRPr="00CE6518">
        <w:t>(2)</w:t>
      </w:r>
      <w:r w:rsidRPr="00CE6518">
        <w:rPr>
          <w:i/>
          <w:iCs/>
          <w:szCs w:val="20"/>
        </w:rPr>
        <w:tab/>
      </w:r>
      <w:r w:rsidR="00567895" w:rsidRPr="00CE6518">
        <w:rPr>
          <w:szCs w:val="20"/>
        </w:rPr>
        <w:t>Subject to items (3), (5), (6) and (8) to (11) of this Schedule, measures that provide that:</w:t>
      </w:r>
    </w:p>
    <w:p w:rsidR="00567895" w:rsidRPr="00CE6518" w:rsidRDefault="00567895" w:rsidP="00C74F9D">
      <w:pPr>
        <w:ind w:left="1440" w:hanging="720"/>
        <w:rPr>
          <w:szCs w:val="20"/>
        </w:rPr>
      </w:pPr>
      <w:r w:rsidRPr="00CE6518">
        <w:rPr>
          <w:szCs w:val="20"/>
        </w:rPr>
        <w:t>(a)</w:t>
      </w:r>
      <w:r w:rsidRPr="00CE6518">
        <w:rPr>
          <w:szCs w:val="20"/>
        </w:rPr>
        <w:tab/>
      </w:r>
      <w:proofErr w:type="gramStart"/>
      <w:r w:rsidRPr="00CE6518">
        <w:rPr>
          <w:szCs w:val="20"/>
        </w:rPr>
        <w:t>staff</w:t>
      </w:r>
      <w:proofErr w:type="gramEnd"/>
      <w:r w:rsidRPr="00CE6518">
        <w:rPr>
          <w:szCs w:val="20"/>
        </w:rPr>
        <w:t xml:space="preserve"> who are engaged to work for Telstra's wholesale business units work principally for those business units; and</w:t>
      </w:r>
    </w:p>
    <w:p w:rsidR="00567895" w:rsidRPr="00CE6518" w:rsidRDefault="00567895" w:rsidP="00C74F9D">
      <w:pPr>
        <w:ind w:left="1440" w:hanging="720"/>
        <w:rPr>
          <w:szCs w:val="20"/>
        </w:rPr>
      </w:pPr>
      <w:r w:rsidRPr="00CE6518">
        <w:rPr>
          <w:szCs w:val="20"/>
        </w:rPr>
        <w:t>(b)</w:t>
      </w:r>
      <w:r w:rsidRPr="00CE6518">
        <w:rPr>
          <w:szCs w:val="20"/>
        </w:rPr>
        <w:tab/>
      </w:r>
      <w:proofErr w:type="gramStart"/>
      <w:r w:rsidRPr="00CE6518">
        <w:rPr>
          <w:szCs w:val="20"/>
        </w:rPr>
        <w:t>staff</w:t>
      </w:r>
      <w:proofErr w:type="gramEnd"/>
      <w:r w:rsidRPr="00CE6518">
        <w:rPr>
          <w:szCs w:val="20"/>
        </w:rPr>
        <w:t xml:space="preserve"> who are engaged to work for Telstra's retail business units work principally for those business units; and</w:t>
      </w:r>
    </w:p>
    <w:p w:rsidR="00567895" w:rsidRPr="00CE6518" w:rsidRDefault="00567895" w:rsidP="00C74F9D">
      <w:pPr>
        <w:ind w:left="1440" w:hanging="720"/>
        <w:rPr>
          <w:szCs w:val="20"/>
        </w:rPr>
      </w:pPr>
      <w:r w:rsidRPr="00CE6518">
        <w:rPr>
          <w:szCs w:val="20"/>
        </w:rPr>
        <w:t>(c)</w:t>
      </w:r>
      <w:r w:rsidRPr="00CE6518">
        <w:rPr>
          <w:szCs w:val="20"/>
        </w:rPr>
        <w:tab/>
      </w:r>
      <w:proofErr w:type="gramStart"/>
      <w:r w:rsidRPr="00CE6518">
        <w:rPr>
          <w:szCs w:val="20"/>
        </w:rPr>
        <w:t>staff</w:t>
      </w:r>
      <w:proofErr w:type="gramEnd"/>
      <w:r w:rsidRPr="00CE6518">
        <w:rPr>
          <w:szCs w:val="20"/>
        </w:rPr>
        <w:t xml:space="preserve"> who are engaged to work for Telstra's network business units work principally for those business units.</w:t>
      </w:r>
    </w:p>
    <w:p w:rsidR="008D578D" w:rsidRPr="00CE6518" w:rsidRDefault="00567895" w:rsidP="00567895">
      <w:pPr>
        <w:rPr>
          <w:i/>
          <w:iCs/>
          <w:szCs w:val="20"/>
        </w:rPr>
      </w:pPr>
      <w:r w:rsidRPr="00CE6518">
        <w:rPr>
          <w:i/>
          <w:iCs/>
          <w:szCs w:val="20"/>
        </w:rPr>
        <w:t>Wholesale business unit staff</w:t>
      </w:r>
    </w:p>
    <w:p w:rsidR="008D578D" w:rsidRPr="00CE6518" w:rsidRDefault="008D578D" w:rsidP="00F43B6E">
      <w:pPr>
        <w:ind w:left="720" w:hanging="720"/>
        <w:rPr>
          <w:szCs w:val="20"/>
        </w:rPr>
      </w:pPr>
      <w:r w:rsidRPr="00CE6518">
        <w:t>(3)</w:t>
      </w:r>
      <w:r w:rsidRPr="00CE6518">
        <w:rPr>
          <w:i/>
          <w:iCs/>
          <w:szCs w:val="20"/>
        </w:rPr>
        <w:tab/>
      </w:r>
      <w:r w:rsidR="00567895" w:rsidRPr="00CE6518">
        <w:rPr>
          <w:szCs w:val="20"/>
        </w:rPr>
        <w:t>Subject to item (11) of this Schedule, measures that prohibit staff who are engaged to work for Telstra's wholesale business units from undertaking any work for Telstra's retail business units.</w:t>
      </w:r>
    </w:p>
    <w:p w:rsidR="00567895" w:rsidRPr="00CE6518" w:rsidRDefault="008D578D" w:rsidP="00F43B6E">
      <w:pPr>
        <w:ind w:left="720" w:hanging="720"/>
        <w:rPr>
          <w:szCs w:val="20"/>
        </w:rPr>
      </w:pPr>
      <w:r w:rsidRPr="00CE6518">
        <w:rPr>
          <w:szCs w:val="20"/>
        </w:rPr>
        <w:t>(4)</w:t>
      </w:r>
      <w:r w:rsidRPr="00CE6518">
        <w:rPr>
          <w:szCs w:val="20"/>
        </w:rPr>
        <w:tab/>
      </w:r>
      <w:r w:rsidR="00567895" w:rsidRPr="00CE6518">
        <w:rPr>
          <w:szCs w:val="20"/>
        </w:rPr>
        <w:t>Measures that ensure that any incentive remuneration scheme applying to staff who are engaged to work for Telstra's wholesale business units is solely based on the performance of wholesale business units, unless otherwise approved by</w:t>
      </w:r>
      <w:r w:rsidR="00D056FA" w:rsidRPr="00CE6518">
        <w:rPr>
          <w:szCs w:val="20"/>
        </w:rPr>
        <w:t xml:space="preserve"> </w:t>
      </w:r>
      <w:r w:rsidR="00567895" w:rsidRPr="00CE6518">
        <w:rPr>
          <w:szCs w:val="20"/>
        </w:rPr>
        <w:t>the ACCC.</w:t>
      </w:r>
    </w:p>
    <w:p w:rsidR="008D578D" w:rsidRPr="00CE6518" w:rsidRDefault="00567895" w:rsidP="00567895">
      <w:pPr>
        <w:rPr>
          <w:i/>
          <w:iCs/>
          <w:szCs w:val="20"/>
        </w:rPr>
      </w:pPr>
      <w:r w:rsidRPr="00CE6518">
        <w:rPr>
          <w:i/>
          <w:iCs/>
          <w:szCs w:val="20"/>
        </w:rPr>
        <w:t>Network business unit staff</w:t>
      </w:r>
    </w:p>
    <w:p w:rsidR="008D578D" w:rsidRPr="00CE6518" w:rsidRDefault="008D578D" w:rsidP="00F43B6E">
      <w:pPr>
        <w:ind w:left="720" w:hanging="720"/>
        <w:rPr>
          <w:szCs w:val="20"/>
        </w:rPr>
      </w:pPr>
      <w:r w:rsidRPr="00CE6518">
        <w:t>(5)</w:t>
      </w:r>
      <w:r w:rsidRPr="00CE6518">
        <w:rPr>
          <w:i/>
          <w:iCs/>
          <w:szCs w:val="20"/>
        </w:rPr>
        <w:tab/>
      </w:r>
      <w:r w:rsidR="00567895" w:rsidRPr="00CE6518">
        <w:rPr>
          <w:szCs w:val="20"/>
        </w:rPr>
        <w:t>Subject to items (6) and (11) of this Schedule, measures that prohibit staff who are engaged to work for Telstra's network business units from undertaking any work for Telstra's retail business units.</w:t>
      </w:r>
    </w:p>
    <w:p w:rsidR="00567895" w:rsidRPr="00CE6518" w:rsidRDefault="008D578D" w:rsidP="00F43B6E">
      <w:pPr>
        <w:ind w:left="720" w:hanging="720"/>
        <w:rPr>
          <w:szCs w:val="20"/>
        </w:rPr>
      </w:pPr>
      <w:r w:rsidRPr="00CE6518">
        <w:rPr>
          <w:szCs w:val="20"/>
        </w:rPr>
        <w:t>(6)</w:t>
      </w:r>
      <w:r w:rsidRPr="00CE6518">
        <w:rPr>
          <w:szCs w:val="20"/>
        </w:rPr>
        <w:tab/>
      </w:r>
      <w:r w:rsidR="00567895" w:rsidRPr="00CE6518">
        <w:rPr>
          <w:szCs w:val="20"/>
        </w:rPr>
        <w:t>Measures that provide that staff who are engaged to work for Telstra's network business units may, in the course of working for the network business units, undertake for the retail business units each of the following kinds of work:</w:t>
      </w:r>
    </w:p>
    <w:p w:rsidR="00567895" w:rsidRPr="00CE6518" w:rsidRDefault="00567895" w:rsidP="00C74F9D">
      <w:pPr>
        <w:ind w:left="1440" w:hanging="720"/>
        <w:rPr>
          <w:szCs w:val="20"/>
        </w:rPr>
      </w:pPr>
      <w:r w:rsidRPr="00CE6518">
        <w:rPr>
          <w:szCs w:val="20"/>
        </w:rPr>
        <w:t>(a)</w:t>
      </w:r>
      <w:r w:rsidRPr="00CE6518">
        <w:rPr>
          <w:szCs w:val="20"/>
        </w:rPr>
        <w:tab/>
      </w:r>
      <w:proofErr w:type="gramStart"/>
      <w:r w:rsidRPr="00CE6518">
        <w:rPr>
          <w:szCs w:val="20"/>
        </w:rPr>
        <w:t>fault</w:t>
      </w:r>
      <w:proofErr w:type="gramEnd"/>
      <w:r w:rsidRPr="00CE6518">
        <w:rPr>
          <w:szCs w:val="20"/>
        </w:rPr>
        <w:t xml:space="preserve"> detection, handling and rectification;</w:t>
      </w:r>
    </w:p>
    <w:p w:rsidR="00567895" w:rsidRPr="00CE6518" w:rsidRDefault="00567895" w:rsidP="00C74F9D">
      <w:pPr>
        <w:ind w:left="1440" w:hanging="720"/>
        <w:rPr>
          <w:szCs w:val="20"/>
        </w:rPr>
      </w:pPr>
      <w:r w:rsidRPr="00CE6518">
        <w:rPr>
          <w:szCs w:val="20"/>
        </w:rPr>
        <w:t>(b)</w:t>
      </w:r>
      <w:r w:rsidRPr="00CE6518">
        <w:rPr>
          <w:szCs w:val="20"/>
        </w:rPr>
        <w:tab/>
      </w:r>
      <w:proofErr w:type="gramStart"/>
      <w:r w:rsidRPr="00CE6518">
        <w:rPr>
          <w:szCs w:val="20"/>
        </w:rPr>
        <w:t>service</w:t>
      </w:r>
      <w:proofErr w:type="gramEnd"/>
      <w:r w:rsidRPr="00CE6518">
        <w:rPr>
          <w:szCs w:val="20"/>
        </w:rPr>
        <w:t xml:space="preserve"> activation and provisioning;</w:t>
      </w:r>
    </w:p>
    <w:p w:rsidR="00567895" w:rsidRPr="00CE6518" w:rsidRDefault="00567895" w:rsidP="00C74F9D">
      <w:pPr>
        <w:ind w:left="1440" w:hanging="720"/>
        <w:rPr>
          <w:szCs w:val="20"/>
        </w:rPr>
      </w:pPr>
      <w:r w:rsidRPr="00CE6518">
        <w:rPr>
          <w:szCs w:val="20"/>
        </w:rPr>
        <w:t>(c)</w:t>
      </w:r>
      <w:r w:rsidRPr="00CE6518">
        <w:rPr>
          <w:szCs w:val="20"/>
        </w:rPr>
        <w:tab/>
      </w:r>
      <w:proofErr w:type="gramStart"/>
      <w:r w:rsidRPr="00CE6518">
        <w:rPr>
          <w:szCs w:val="20"/>
        </w:rPr>
        <w:t>if</w:t>
      </w:r>
      <w:proofErr w:type="gramEnd"/>
      <w:r w:rsidRPr="00CE6518">
        <w:rPr>
          <w:szCs w:val="20"/>
        </w:rPr>
        <w:t xml:space="preserve"> the undertaking sets out any reasonable circumstances in which those staff may undertake another kind of work for the retail business units, and those circumstances apply—that kind of work;</w:t>
      </w:r>
    </w:p>
    <w:p w:rsidR="008D578D" w:rsidRPr="00CE6518" w:rsidRDefault="00567895" w:rsidP="00D056FA">
      <w:pPr>
        <w:ind w:left="720"/>
        <w:rPr>
          <w:szCs w:val="20"/>
        </w:rPr>
      </w:pPr>
      <w:proofErr w:type="gramStart"/>
      <w:r w:rsidRPr="00CE6518">
        <w:rPr>
          <w:szCs w:val="20"/>
        </w:rPr>
        <w:t>where</w:t>
      </w:r>
      <w:proofErr w:type="gramEnd"/>
      <w:r w:rsidRPr="00CE6518">
        <w:rPr>
          <w:szCs w:val="20"/>
        </w:rPr>
        <w:t xml:space="preserve"> the network business units have been requested by the retail business units to undertake that kind of work.</w:t>
      </w:r>
    </w:p>
    <w:p w:rsidR="00567895" w:rsidRPr="00CE6518" w:rsidRDefault="008D578D" w:rsidP="00370485">
      <w:pPr>
        <w:ind w:left="720" w:hanging="720"/>
        <w:rPr>
          <w:szCs w:val="20"/>
        </w:rPr>
      </w:pPr>
      <w:r w:rsidRPr="00CE6518">
        <w:rPr>
          <w:szCs w:val="20"/>
        </w:rPr>
        <w:t>(7)</w:t>
      </w:r>
      <w:r w:rsidRPr="00CE6518">
        <w:rPr>
          <w:szCs w:val="20"/>
        </w:rPr>
        <w:tab/>
      </w:r>
      <w:r w:rsidR="00567895" w:rsidRPr="00CE6518">
        <w:rPr>
          <w:szCs w:val="20"/>
        </w:rPr>
        <w:t xml:space="preserve">Measures that ensure that any incentive remuneration scheme applying to staff who are engaged to work for Telstra's network business units is solely based on </w:t>
      </w:r>
      <w:r w:rsidR="00567895" w:rsidRPr="00CE6518">
        <w:rPr>
          <w:szCs w:val="20"/>
        </w:rPr>
        <w:lastRenderedPageBreak/>
        <w:t>the performance of network business units, unless otherwise approved by the</w:t>
      </w:r>
      <w:r w:rsidR="00D056FA" w:rsidRPr="00CE6518">
        <w:rPr>
          <w:szCs w:val="20"/>
        </w:rPr>
        <w:t xml:space="preserve"> </w:t>
      </w:r>
      <w:r w:rsidR="00567895" w:rsidRPr="00CE6518">
        <w:rPr>
          <w:szCs w:val="20"/>
        </w:rPr>
        <w:t>ACCC.</w:t>
      </w:r>
    </w:p>
    <w:p w:rsidR="00567895" w:rsidRPr="00CE6518" w:rsidRDefault="00567895" w:rsidP="00567895">
      <w:pPr>
        <w:rPr>
          <w:i/>
          <w:iCs/>
          <w:szCs w:val="20"/>
        </w:rPr>
      </w:pPr>
      <w:r w:rsidRPr="00CE6518">
        <w:rPr>
          <w:i/>
          <w:iCs/>
          <w:szCs w:val="20"/>
        </w:rPr>
        <w:t>Retail business unit staff</w:t>
      </w:r>
    </w:p>
    <w:p w:rsidR="00567895" w:rsidRPr="00CE6518" w:rsidRDefault="00567895" w:rsidP="00370485">
      <w:pPr>
        <w:ind w:left="720" w:hanging="720"/>
        <w:rPr>
          <w:szCs w:val="20"/>
        </w:rPr>
      </w:pPr>
      <w:r w:rsidRPr="00CE6518">
        <w:rPr>
          <w:szCs w:val="20"/>
        </w:rPr>
        <w:t>(8)</w:t>
      </w:r>
      <w:r w:rsidR="008D578D" w:rsidRPr="00CE6518">
        <w:rPr>
          <w:szCs w:val="20"/>
        </w:rPr>
        <w:tab/>
      </w:r>
      <w:r w:rsidRPr="00CE6518">
        <w:rPr>
          <w:szCs w:val="20"/>
        </w:rPr>
        <w:t>Subject to item (11) of this Schedule, measures that prohibit staff who are engaged to work for Telstra's retail business units from undertaking any work for Telstra's wholesale business units.</w:t>
      </w:r>
    </w:p>
    <w:p w:rsidR="00567895" w:rsidRPr="00CE6518" w:rsidRDefault="00567895" w:rsidP="00370485">
      <w:pPr>
        <w:ind w:left="720" w:hanging="720"/>
        <w:rPr>
          <w:szCs w:val="20"/>
        </w:rPr>
      </w:pPr>
      <w:r w:rsidRPr="00CE6518">
        <w:rPr>
          <w:szCs w:val="20"/>
        </w:rPr>
        <w:t>(9)</w:t>
      </w:r>
      <w:r w:rsidR="008D578D" w:rsidRPr="00CE6518">
        <w:rPr>
          <w:szCs w:val="20"/>
        </w:rPr>
        <w:tab/>
      </w:r>
      <w:r w:rsidRPr="00CE6518">
        <w:rPr>
          <w:szCs w:val="20"/>
        </w:rPr>
        <w:t>Subject to items (10) and (11) of this Schedule, measures that prohibit staff who are engaged to work for Telstra's retail business units from undertaking any work for Telstra's network business units.</w:t>
      </w:r>
    </w:p>
    <w:p w:rsidR="00567895" w:rsidRPr="00CE6518" w:rsidRDefault="00567895" w:rsidP="00370485">
      <w:pPr>
        <w:ind w:left="720" w:hanging="720"/>
        <w:rPr>
          <w:szCs w:val="20"/>
        </w:rPr>
      </w:pPr>
      <w:r w:rsidRPr="00CE6518">
        <w:rPr>
          <w:szCs w:val="20"/>
        </w:rPr>
        <w:t>(10)</w:t>
      </w:r>
      <w:r w:rsidR="008D578D" w:rsidRPr="00CE6518">
        <w:rPr>
          <w:szCs w:val="20"/>
        </w:rPr>
        <w:tab/>
      </w:r>
      <w:r w:rsidRPr="00CE6518">
        <w:rPr>
          <w:szCs w:val="20"/>
        </w:rPr>
        <w:t>Measures that provide that staff who are engaged to work for Telstra's retail business units may, in the course of working for the retail business units, undertake work for the network business units if:</w:t>
      </w:r>
    </w:p>
    <w:p w:rsidR="00567895" w:rsidRPr="00CE6518" w:rsidRDefault="00567895" w:rsidP="00C74F9D">
      <w:pPr>
        <w:ind w:left="1440" w:hanging="720"/>
        <w:rPr>
          <w:szCs w:val="20"/>
        </w:rPr>
      </w:pPr>
      <w:r w:rsidRPr="00CE6518">
        <w:rPr>
          <w:szCs w:val="20"/>
        </w:rPr>
        <w:t>(a)</w:t>
      </w:r>
      <w:r w:rsidRPr="00CE6518">
        <w:rPr>
          <w:szCs w:val="20"/>
        </w:rPr>
        <w:tab/>
      </w:r>
      <w:proofErr w:type="gramStart"/>
      <w:r w:rsidRPr="00CE6518">
        <w:rPr>
          <w:szCs w:val="20"/>
        </w:rPr>
        <w:t>the</w:t>
      </w:r>
      <w:proofErr w:type="gramEnd"/>
      <w:r w:rsidRPr="00CE6518">
        <w:rPr>
          <w:szCs w:val="20"/>
        </w:rPr>
        <w:t xml:space="preserve"> undertaking sets out any reasonable circumstances in which those staff may undertake a kind of work for the network business units; and</w:t>
      </w:r>
    </w:p>
    <w:p w:rsidR="00567895" w:rsidRPr="00CE6518" w:rsidRDefault="00567895" w:rsidP="00C74F9D">
      <w:pPr>
        <w:ind w:left="1440" w:hanging="720"/>
        <w:rPr>
          <w:szCs w:val="20"/>
        </w:rPr>
      </w:pPr>
      <w:r w:rsidRPr="00CE6518">
        <w:rPr>
          <w:szCs w:val="20"/>
        </w:rPr>
        <w:t>(b)</w:t>
      </w:r>
      <w:r w:rsidRPr="00CE6518">
        <w:rPr>
          <w:szCs w:val="20"/>
        </w:rPr>
        <w:tab/>
      </w:r>
      <w:proofErr w:type="gramStart"/>
      <w:r w:rsidRPr="00CE6518">
        <w:rPr>
          <w:szCs w:val="20"/>
        </w:rPr>
        <w:t>the</w:t>
      </w:r>
      <w:proofErr w:type="gramEnd"/>
      <w:r w:rsidRPr="00CE6518">
        <w:rPr>
          <w:szCs w:val="20"/>
        </w:rPr>
        <w:t xml:space="preserve"> work is of that kind; and</w:t>
      </w:r>
    </w:p>
    <w:p w:rsidR="00567895" w:rsidRPr="00CE6518" w:rsidRDefault="00567895" w:rsidP="00C74F9D">
      <w:pPr>
        <w:ind w:left="1440" w:hanging="720"/>
        <w:rPr>
          <w:szCs w:val="20"/>
        </w:rPr>
      </w:pPr>
      <w:r w:rsidRPr="00CE6518">
        <w:rPr>
          <w:szCs w:val="20"/>
        </w:rPr>
        <w:t>(c)</w:t>
      </w:r>
      <w:r w:rsidRPr="00CE6518">
        <w:rPr>
          <w:szCs w:val="20"/>
        </w:rPr>
        <w:tab/>
      </w:r>
      <w:proofErr w:type="gramStart"/>
      <w:r w:rsidRPr="00CE6518">
        <w:rPr>
          <w:szCs w:val="20"/>
        </w:rPr>
        <w:t>those</w:t>
      </w:r>
      <w:proofErr w:type="gramEnd"/>
      <w:r w:rsidRPr="00CE6518">
        <w:rPr>
          <w:szCs w:val="20"/>
        </w:rPr>
        <w:t xml:space="preserve"> circumstances apply; and</w:t>
      </w:r>
    </w:p>
    <w:p w:rsidR="00567895" w:rsidRPr="00CE6518" w:rsidRDefault="00567895" w:rsidP="00C74F9D">
      <w:pPr>
        <w:ind w:left="1440" w:hanging="720"/>
        <w:rPr>
          <w:szCs w:val="20"/>
        </w:rPr>
      </w:pPr>
      <w:r w:rsidRPr="00CE6518">
        <w:rPr>
          <w:szCs w:val="20"/>
        </w:rPr>
        <w:t>(d)</w:t>
      </w:r>
      <w:r w:rsidRPr="00CE6518">
        <w:rPr>
          <w:szCs w:val="20"/>
        </w:rPr>
        <w:tab/>
      </w:r>
      <w:proofErr w:type="gramStart"/>
      <w:r w:rsidRPr="00CE6518">
        <w:rPr>
          <w:szCs w:val="20"/>
        </w:rPr>
        <w:t>the</w:t>
      </w:r>
      <w:proofErr w:type="gramEnd"/>
      <w:r w:rsidRPr="00CE6518">
        <w:rPr>
          <w:szCs w:val="20"/>
        </w:rPr>
        <w:t xml:space="preserve"> retail business units have been requested by the network business units to undertake that kind of work.</w:t>
      </w:r>
    </w:p>
    <w:p w:rsidR="00567895" w:rsidRPr="00CE6518" w:rsidRDefault="00567895" w:rsidP="00567895">
      <w:pPr>
        <w:rPr>
          <w:i/>
          <w:iCs/>
          <w:szCs w:val="20"/>
        </w:rPr>
      </w:pPr>
      <w:r w:rsidRPr="00CE6518">
        <w:rPr>
          <w:i/>
          <w:iCs/>
          <w:szCs w:val="20"/>
        </w:rPr>
        <w:t>Services that any staff can work on</w:t>
      </w:r>
    </w:p>
    <w:p w:rsidR="00567895" w:rsidRPr="00CE6518" w:rsidRDefault="00567895" w:rsidP="00370485">
      <w:pPr>
        <w:ind w:left="720" w:hanging="720"/>
        <w:rPr>
          <w:szCs w:val="20"/>
        </w:rPr>
      </w:pPr>
      <w:r w:rsidRPr="00CE6518">
        <w:rPr>
          <w:szCs w:val="20"/>
        </w:rPr>
        <w:t>(11)</w:t>
      </w:r>
      <w:r w:rsidR="008D578D" w:rsidRPr="00CE6518">
        <w:rPr>
          <w:szCs w:val="20"/>
        </w:rPr>
        <w:tab/>
      </w:r>
      <w:r w:rsidRPr="00CE6518">
        <w:rPr>
          <w:szCs w:val="20"/>
        </w:rPr>
        <w:t>Measures that provide that, notwithstanding any other provision of this Schedule, staff engaged to work for:</w:t>
      </w:r>
    </w:p>
    <w:p w:rsidR="00567895" w:rsidRPr="00CE6518" w:rsidRDefault="00567895" w:rsidP="00C74F9D">
      <w:pPr>
        <w:ind w:left="1440" w:hanging="720"/>
        <w:rPr>
          <w:szCs w:val="20"/>
        </w:rPr>
      </w:pPr>
      <w:r w:rsidRPr="00CE6518">
        <w:rPr>
          <w:szCs w:val="20"/>
        </w:rPr>
        <w:t>(a)</w:t>
      </w:r>
      <w:r w:rsidRPr="00CE6518">
        <w:rPr>
          <w:szCs w:val="20"/>
        </w:rPr>
        <w:tab/>
        <w:t>Telstra's wholesale business units;</w:t>
      </w:r>
    </w:p>
    <w:p w:rsidR="00567895" w:rsidRPr="00CE6518" w:rsidRDefault="00567895" w:rsidP="00C74F9D">
      <w:pPr>
        <w:ind w:left="1440" w:hanging="720"/>
        <w:rPr>
          <w:szCs w:val="20"/>
        </w:rPr>
      </w:pPr>
      <w:r w:rsidRPr="00CE6518">
        <w:rPr>
          <w:szCs w:val="20"/>
        </w:rPr>
        <w:t>(b)</w:t>
      </w:r>
      <w:r w:rsidRPr="00CE6518">
        <w:rPr>
          <w:szCs w:val="20"/>
        </w:rPr>
        <w:tab/>
        <w:t>Telstra's retail business units;</w:t>
      </w:r>
    </w:p>
    <w:p w:rsidR="00567895" w:rsidRPr="00CE6518" w:rsidRDefault="00567895" w:rsidP="00C74F9D">
      <w:pPr>
        <w:ind w:left="1440" w:hanging="720"/>
        <w:rPr>
          <w:szCs w:val="20"/>
        </w:rPr>
      </w:pPr>
      <w:r w:rsidRPr="00CE6518">
        <w:rPr>
          <w:szCs w:val="20"/>
        </w:rPr>
        <w:t>(c)</w:t>
      </w:r>
      <w:r w:rsidRPr="00CE6518">
        <w:rPr>
          <w:szCs w:val="20"/>
        </w:rPr>
        <w:tab/>
        <w:t>Telstra's network business units;</w:t>
      </w:r>
    </w:p>
    <w:p w:rsidR="00567895" w:rsidRPr="00CE6518" w:rsidRDefault="00567895" w:rsidP="00D056FA">
      <w:pPr>
        <w:ind w:left="720"/>
        <w:rPr>
          <w:szCs w:val="20"/>
        </w:rPr>
      </w:pPr>
      <w:proofErr w:type="gramStart"/>
      <w:r w:rsidRPr="00CE6518">
        <w:rPr>
          <w:szCs w:val="20"/>
        </w:rPr>
        <w:t>may</w:t>
      </w:r>
      <w:proofErr w:type="gramEnd"/>
      <w:r w:rsidRPr="00CE6518">
        <w:rPr>
          <w:szCs w:val="20"/>
        </w:rPr>
        <w:t xml:space="preserve"> engage in work relating to the supply of the following types of services:</w:t>
      </w:r>
    </w:p>
    <w:p w:rsidR="00567895" w:rsidRPr="00CE6518" w:rsidRDefault="00567895" w:rsidP="00C74F9D">
      <w:pPr>
        <w:ind w:left="1440" w:hanging="720"/>
        <w:rPr>
          <w:szCs w:val="20"/>
        </w:rPr>
      </w:pPr>
      <w:r w:rsidRPr="00CE6518">
        <w:rPr>
          <w:szCs w:val="20"/>
        </w:rPr>
        <w:t>(d)</w:t>
      </w:r>
      <w:r w:rsidRPr="00CE6518">
        <w:rPr>
          <w:szCs w:val="20"/>
        </w:rPr>
        <w:tab/>
      </w:r>
      <w:proofErr w:type="gramStart"/>
      <w:r w:rsidRPr="00CE6518">
        <w:rPr>
          <w:szCs w:val="20"/>
        </w:rPr>
        <w:t>services</w:t>
      </w:r>
      <w:proofErr w:type="gramEnd"/>
      <w:r w:rsidRPr="00CE6518">
        <w:rPr>
          <w:szCs w:val="20"/>
        </w:rPr>
        <w:t xml:space="preserve"> supplied outside of Australia;</w:t>
      </w:r>
    </w:p>
    <w:p w:rsidR="00567895" w:rsidRPr="00CE6518" w:rsidRDefault="00567895" w:rsidP="00C74F9D">
      <w:pPr>
        <w:ind w:left="1440" w:hanging="720"/>
        <w:rPr>
          <w:szCs w:val="20"/>
        </w:rPr>
      </w:pPr>
      <w:r w:rsidRPr="00CE6518">
        <w:rPr>
          <w:szCs w:val="20"/>
        </w:rPr>
        <w:t>(e)</w:t>
      </w:r>
      <w:r w:rsidRPr="00CE6518">
        <w:rPr>
          <w:szCs w:val="20"/>
        </w:rPr>
        <w:tab/>
      </w:r>
      <w:proofErr w:type="gramStart"/>
      <w:r w:rsidRPr="00CE6518">
        <w:rPr>
          <w:szCs w:val="20"/>
        </w:rPr>
        <w:t>services</w:t>
      </w:r>
      <w:proofErr w:type="gramEnd"/>
      <w:r w:rsidRPr="00CE6518">
        <w:rPr>
          <w:szCs w:val="20"/>
        </w:rPr>
        <w:t xml:space="preserve"> supplied in Australia to customers outside of Australia;</w:t>
      </w:r>
    </w:p>
    <w:p w:rsidR="00567895" w:rsidRPr="00CE6518" w:rsidRDefault="00567895" w:rsidP="00C74F9D">
      <w:pPr>
        <w:ind w:left="1440" w:hanging="720"/>
        <w:rPr>
          <w:szCs w:val="20"/>
        </w:rPr>
      </w:pPr>
      <w:r w:rsidRPr="00CE6518">
        <w:rPr>
          <w:szCs w:val="20"/>
        </w:rPr>
        <w:t>(f)</w:t>
      </w:r>
      <w:r w:rsidRPr="00CE6518">
        <w:rPr>
          <w:szCs w:val="20"/>
        </w:rPr>
        <w:tab/>
      </w:r>
      <w:proofErr w:type="gramStart"/>
      <w:r w:rsidRPr="00CE6518">
        <w:rPr>
          <w:szCs w:val="20"/>
        </w:rPr>
        <w:t>services</w:t>
      </w:r>
      <w:proofErr w:type="gramEnd"/>
      <w:r w:rsidRPr="00CE6518">
        <w:rPr>
          <w:szCs w:val="20"/>
        </w:rPr>
        <w:t xml:space="preserve"> in relation to disability products;</w:t>
      </w:r>
    </w:p>
    <w:p w:rsidR="00567895" w:rsidRPr="00CE6518" w:rsidRDefault="00567895" w:rsidP="00C74F9D">
      <w:pPr>
        <w:ind w:left="1440" w:hanging="720"/>
        <w:rPr>
          <w:szCs w:val="20"/>
        </w:rPr>
      </w:pPr>
      <w:r w:rsidRPr="00CE6518">
        <w:rPr>
          <w:szCs w:val="20"/>
        </w:rPr>
        <w:t>(g)</w:t>
      </w:r>
      <w:r w:rsidRPr="00CE6518">
        <w:rPr>
          <w:szCs w:val="20"/>
        </w:rPr>
        <w:tab/>
      </w:r>
      <w:proofErr w:type="gramStart"/>
      <w:r w:rsidRPr="00CE6518">
        <w:rPr>
          <w:szCs w:val="20"/>
        </w:rPr>
        <w:t>emergency</w:t>
      </w:r>
      <w:proofErr w:type="gramEnd"/>
      <w:r w:rsidRPr="00CE6518">
        <w:rPr>
          <w:szCs w:val="20"/>
        </w:rPr>
        <w:t xml:space="preserve"> call services;</w:t>
      </w:r>
    </w:p>
    <w:p w:rsidR="00567895" w:rsidRPr="00CE6518" w:rsidRDefault="00567895" w:rsidP="00C74F9D">
      <w:pPr>
        <w:ind w:left="1440" w:hanging="720"/>
        <w:rPr>
          <w:szCs w:val="20"/>
        </w:rPr>
      </w:pPr>
      <w:r w:rsidRPr="00CE6518">
        <w:rPr>
          <w:szCs w:val="20"/>
        </w:rPr>
        <w:t>(h)</w:t>
      </w:r>
      <w:r w:rsidRPr="00CE6518">
        <w:rPr>
          <w:szCs w:val="20"/>
        </w:rPr>
        <w:tab/>
      </w:r>
      <w:proofErr w:type="gramStart"/>
      <w:r w:rsidRPr="00CE6518">
        <w:rPr>
          <w:szCs w:val="20"/>
        </w:rPr>
        <w:t>payphones</w:t>
      </w:r>
      <w:proofErr w:type="gramEnd"/>
      <w:r w:rsidRPr="00CE6518">
        <w:rPr>
          <w:szCs w:val="20"/>
        </w:rPr>
        <w:t xml:space="preserve"> and payphone carriage services;</w:t>
      </w:r>
    </w:p>
    <w:p w:rsidR="00567895" w:rsidRPr="00CE6518" w:rsidRDefault="00567895" w:rsidP="00C74F9D">
      <w:pPr>
        <w:ind w:left="1440" w:hanging="720"/>
        <w:rPr>
          <w:szCs w:val="20"/>
        </w:rPr>
      </w:pPr>
      <w:r w:rsidRPr="00CE6518">
        <w:rPr>
          <w:szCs w:val="20"/>
        </w:rPr>
        <w:t>(i)</w:t>
      </w:r>
      <w:r w:rsidRPr="00CE6518">
        <w:rPr>
          <w:szCs w:val="20"/>
        </w:rPr>
        <w:tab/>
      </w:r>
      <w:proofErr w:type="gramStart"/>
      <w:r w:rsidRPr="00CE6518">
        <w:rPr>
          <w:szCs w:val="20"/>
        </w:rPr>
        <w:t>other</w:t>
      </w:r>
      <w:proofErr w:type="gramEnd"/>
      <w:r w:rsidRPr="00CE6518">
        <w:rPr>
          <w:szCs w:val="20"/>
        </w:rPr>
        <w:t xml:space="preserve"> services which it is not technically or operationally efficient to supply across separate business units, and which are either:</w:t>
      </w:r>
    </w:p>
    <w:p w:rsidR="00567895" w:rsidRPr="00CE6518" w:rsidRDefault="00567895" w:rsidP="00D056FA">
      <w:pPr>
        <w:ind w:left="2160" w:hanging="720"/>
        <w:rPr>
          <w:szCs w:val="20"/>
        </w:rPr>
      </w:pPr>
      <w:r w:rsidRPr="00CE6518">
        <w:rPr>
          <w:szCs w:val="20"/>
        </w:rPr>
        <w:t>(i)</w:t>
      </w:r>
      <w:r w:rsidRPr="00CE6518">
        <w:rPr>
          <w:szCs w:val="20"/>
        </w:rPr>
        <w:tab/>
      </w:r>
      <w:proofErr w:type="gramStart"/>
      <w:r w:rsidRPr="00CE6518">
        <w:rPr>
          <w:szCs w:val="20"/>
        </w:rPr>
        <w:t>set</w:t>
      </w:r>
      <w:proofErr w:type="gramEnd"/>
      <w:r w:rsidRPr="00CE6518">
        <w:rPr>
          <w:szCs w:val="20"/>
        </w:rPr>
        <w:t xml:space="preserve"> out in the undertaking; or</w:t>
      </w:r>
    </w:p>
    <w:p w:rsidR="00567895" w:rsidRPr="00CE6518" w:rsidRDefault="00567895" w:rsidP="00D056FA">
      <w:pPr>
        <w:ind w:left="2160" w:hanging="720"/>
        <w:rPr>
          <w:szCs w:val="20"/>
        </w:rPr>
      </w:pPr>
      <w:r w:rsidRPr="00CE6518">
        <w:rPr>
          <w:szCs w:val="20"/>
        </w:rPr>
        <w:t>(ii)</w:t>
      </w:r>
      <w:r w:rsidRPr="00CE6518">
        <w:rPr>
          <w:szCs w:val="20"/>
        </w:rPr>
        <w:tab/>
      </w:r>
      <w:proofErr w:type="gramStart"/>
      <w:r w:rsidRPr="00CE6518">
        <w:rPr>
          <w:szCs w:val="20"/>
        </w:rPr>
        <w:t>approved</w:t>
      </w:r>
      <w:proofErr w:type="gramEnd"/>
      <w:r w:rsidRPr="00CE6518">
        <w:rPr>
          <w:szCs w:val="20"/>
        </w:rPr>
        <w:t xml:space="preserve"> by the ACCC from time to time;</w:t>
      </w:r>
    </w:p>
    <w:p w:rsidR="00567895" w:rsidRPr="00CE6518" w:rsidRDefault="00567895" w:rsidP="00D056FA">
      <w:pPr>
        <w:ind w:left="1440"/>
        <w:rPr>
          <w:szCs w:val="20"/>
        </w:rPr>
      </w:pPr>
      <w:proofErr w:type="gramStart"/>
      <w:r w:rsidRPr="00CE6518">
        <w:rPr>
          <w:szCs w:val="20"/>
        </w:rPr>
        <w:lastRenderedPageBreak/>
        <w:t>provided</w:t>
      </w:r>
      <w:proofErr w:type="gramEnd"/>
      <w:r w:rsidRPr="00CE6518">
        <w:rPr>
          <w:szCs w:val="20"/>
        </w:rPr>
        <w:t xml:space="preserve"> that safeguards that will apply to the provision of such services to ensure that Telstra gains no unfair competitive advantage from the integration, supply or provision of such services are either:</w:t>
      </w:r>
    </w:p>
    <w:p w:rsidR="00567895" w:rsidRPr="00CE6518" w:rsidRDefault="00567895" w:rsidP="00D056FA">
      <w:pPr>
        <w:ind w:left="2160" w:hanging="720"/>
        <w:rPr>
          <w:szCs w:val="20"/>
        </w:rPr>
      </w:pPr>
      <w:r w:rsidRPr="00CE6518">
        <w:rPr>
          <w:szCs w:val="20"/>
        </w:rPr>
        <w:t>(iii)</w:t>
      </w:r>
      <w:r w:rsidRPr="00CE6518">
        <w:rPr>
          <w:szCs w:val="20"/>
        </w:rPr>
        <w:tab/>
      </w:r>
      <w:proofErr w:type="gramStart"/>
      <w:r w:rsidRPr="00CE6518">
        <w:rPr>
          <w:szCs w:val="20"/>
        </w:rPr>
        <w:t>set</w:t>
      </w:r>
      <w:proofErr w:type="gramEnd"/>
      <w:r w:rsidRPr="00CE6518">
        <w:rPr>
          <w:szCs w:val="20"/>
        </w:rPr>
        <w:t xml:space="preserve"> out in the undertaking; or</w:t>
      </w:r>
    </w:p>
    <w:p w:rsidR="00567895" w:rsidRPr="00CE6518" w:rsidRDefault="00567895" w:rsidP="00D056FA">
      <w:pPr>
        <w:ind w:left="2160" w:hanging="720"/>
        <w:rPr>
          <w:szCs w:val="20"/>
        </w:rPr>
      </w:pPr>
      <w:r w:rsidRPr="00CE6518">
        <w:rPr>
          <w:szCs w:val="20"/>
        </w:rPr>
        <w:t>(iv)</w:t>
      </w:r>
      <w:r w:rsidRPr="00CE6518">
        <w:rPr>
          <w:szCs w:val="20"/>
        </w:rPr>
        <w:tab/>
      </w:r>
      <w:proofErr w:type="gramStart"/>
      <w:r w:rsidRPr="00CE6518">
        <w:rPr>
          <w:szCs w:val="20"/>
        </w:rPr>
        <w:t>approved</w:t>
      </w:r>
      <w:proofErr w:type="gramEnd"/>
      <w:r w:rsidRPr="00CE6518">
        <w:rPr>
          <w:szCs w:val="20"/>
        </w:rPr>
        <w:t xml:space="preserve"> by the ACCC.</w:t>
      </w:r>
    </w:p>
    <w:p w:rsidR="00567895" w:rsidRPr="00CE6518" w:rsidRDefault="00567895" w:rsidP="00567895">
      <w:pPr>
        <w:rPr>
          <w:i/>
          <w:iCs/>
          <w:szCs w:val="20"/>
        </w:rPr>
      </w:pPr>
      <w:r w:rsidRPr="00CE6518">
        <w:rPr>
          <w:i/>
          <w:iCs/>
          <w:szCs w:val="20"/>
        </w:rPr>
        <w:t>Resellers not prevented from being customers of Telstra's retail business units</w:t>
      </w:r>
    </w:p>
    <w:p w:rsidR="00567895" w:rsidRPr="00CE6518" w:rsidRDefault="00567895" w:rsidP="00370485">
      <w:pPr>
        <w:ind w:left="720" w:hanging="720"/>
        <w:rPr>
          <w:szCs w:val="20"/>
        </w:rPr>
      </w:pPr>
      <w:r w:rsidRPr="00CE6518">
        <w:rPr>
          <w:szCs w:val="20"/>
        </w:rPr>
        <w:t>(12)</w:t>
      </w:r>
      <w:r w:rsidR="008D578D" w:rsidRPr="00CE6518">
        <w:rPr>
          <w:szCs w:val="20"/>
        </w:rPr>
        <w:tab/>
      </w:r>
      <w:r w:rsidRPr="00CE6518">
        <w:rPr>
          <w:szCs w:val="20"/>
        </w:rPr>
        <w:t>For the avoidance of doubt, the organisational arrangements described in this Schedule are not intended to restrict or prevent a wholesale customer who resupplies Telstra services to a third person from choosing to be, with the agreement of a Telstra retail business unit, a customer of that Telstra retail business unit.</w:t>
      </w:r>
    </w:p>
    <w:p w:rsidR="008D578D" w:rsidRPr="00CE6518" w:rsidRDefault="00567895" w:rsidP="00D056FA">
      <w:pPr>
        <w:pStyle w:val="Heading2"/>
        <w:pageBreakBefore/>
      </w:pPr>
      <w:r w:rsidRPr="00CE6518">
        <w:lastRenderedPageBreak/>
        <w:t>Schedule 2</w:t>
      </w:r>
      <w:r w:rsidR="00161785">
        <w:t>:</w:t>
      </w:r>
      <w:r w:rsidRPr="00CE6518">
        <w:t xml:space="preserve"> Organisational and governance arrangements for the independent telecommunications adjudicator</w:t>
      </w:r>
    </w:p>
    <w:p w:rsidR="008D578D" w:rsidRPr="00CE6518" w:rsidRDefault="008D578D" w:rsidP="00370485">
      <w:pPr>
        <w:ind w:left="720" w:hanging="720"/>
        <w:rPr>
          <w:szCs w:val="20"/>
        </w:rPr>
      </w:pPr>
      <w:r w:rsidRPr="00CE6518">
        <w:t>(1)</w:t>
      </w:r>
      <w:r w:rsidRPr="00CE6518">
        <w:rPr>
          <w:b/>
          <w:bCs/>
          <w:szCs w:val="20"/>
        </w:rPr>
        <w:tab/>
      </w:r>
      <w:r w:rsidR="00567895" w:rsidRPr="00CE6518">
        <w:rPr>
          <w:szCs w:val="20"/>
        </w:rPr>
        <w:t>The independent telecommunications adjudicator (ITA) must be established as a company limited by guarantee.</w:t>
      </w:r>
    </w:p>
    <w:p w:rsidR="00567895" w:rsidRPr="00CE6518" w:rsidRDefault="008D578D" w:rsidP="00567895">
      <w:pPr>
        <w:rPr>
          <w:szCs w:val="20"/>
        </w:rPr>
      </w:pPr>
      <w:r w:rsidRPr="00CE6518">
        <w:rPr>
          <w:szCs w:val="20"/>
        </w:rPr>
        <w:t>(2)</w:t>
      </w:r>
      <w:r w:rsidRPr="00CE6518">
        <w:rPr>
          <w:szCs w:val="20"/>
        </w:rPr>
        <w:tab/>
      </w:r>
      <w:r w:rsidR="00567895" w:rsidRPr="00CE6518">
        <w:rPr>
          <w:szCs w:val="20"/>
        </w:rPr>
        <w:t>The company Constitution must:</w:t>
      </w:r>
    </w:p>
    <w:p w:rsidR="00567895" w:rsidRPr="00CE6518" w:rsidRDefault="00567895" w:rsidP="00C74F9D">
      <w:pPr>
        <w:ind w:left="1440" w:hanging="720"/>
        <w:rPr>
          <w:szCs w:val="20"/>
        </w:rPr>
      </w:pPr>
      <w:r w:rsidRPr="00CE6518">
        <w:rPr>
          <w:szCs w:val="20"/>
        </w:rPr>
        <w:t>(a)</w:t>
      </w:r>
      <w:r w:rsidRPr="00CE6518">
        <w:rPr>
          <w:szCs w:val="20"/>
        </w:rPr>
        <w:tab/>
      </w:r>
      <w:proofErr w:type="gramStart"/>
      <w:r w:rsidRPr="00CE6518">
        <w:rPr>
          <w:szCs w:val="20"/>
        </w:rPr>
        <w:t>provide</w:t>
      </w:r>
      <w:proofErr w:type="gramEnd"/>
      <w:r w:rsidRPr="00CE6518">
        <w:rPr>
          <w:szCs w:val="20"/>
        </w:rPr>
        <w:t xml:space="preserve"> for the appointment of a person approved by the ACCC to the position of Adjudicator, with the appointment and approval process for that position requiring;</w:t>
      </w:r>
    </w:p>
    <w:p w:rsidR="00567895" w:rsidRPr="00CE6518" w:rsidRDefault="00567895" w:rsidP="00606F18">
      <w:pPr>
        <w:ind w:left="2160" w:hanging="720"/>
        <w:rPr>
          <w:szCs w:val="20"/>
        </w:rPr>
      </w:pPr>
      <w:r w:rsidRPr="00CE6518">
        <w:rPr>
          <w:szCs w:val="20"/>
        </w:rPr>
        <w:t>(i)</w:t>
      </w:r>
      <w:r w:rsidRPr="00CE6518">
        <w:rPr>
          <w:szCs w:val="20"/>
        </w:rPr>
        <w:tab/>
      </w:r>
      <w:proofErr w:type="gramStart"/>
      <w:r w:rsidRPr="00CE6518">
        <w:rPr>
          <w:szCs w:val="20"/>
        </w:rPr>
        <w:t>the</w:t>
      </w:r>
      <w:proofErr w:type="gramEnd"/>
      <w:r w:rsidRPr="00CE6518">
        <w:rPr>
          <w:szCs w:val="20"/>
        </w:rPr>
        <w:t xml:space="preserve"> ITA to nominate a person to the ACCC as the proposed Adjudicator; and</w:t>
      </w:r>
    </w:p>
    <w:p w:rsidR="00567895" w:rsidRPr="00CE6518" w:rsidRDefault="00567895" w:rsidP="00606F18">
      <w:pPr>
        <w:ind w:left="2160" w:hanging="720"/>
        <w:rPr>
          <w:szCs w:val="20"/>
        </w:rPr>
      </w:pPr>
      <w:r w:rsidRPr="00CE6518">
        <w:rPr>
          <w:szCs w:val="20"/>
        </w:rPr>
        <w:t>(ii)</w:t>
      </w:r>
      <w:r w:rsidRPr="00CE6518">
        <w:rPr>
          <w:szCs w:val="20"/>
        </w:rPr>
        <w:tab/>
      </w:r>
      <w:proofErr w:type="gramStart"/>
      <w:r w:rsidRPr="00CE6518">
        <w:rPr>
          <w:szCs w:val="20"/>
        </w:rPr>
        <w:t>the</w:t>
      </w:r>
      <w:proofErr w:type="gramEnd"/>
      <w:r w:rsidRPr="00CE6518">
        <w:rPr>
          <w:szCs w:val="20"/>
        </w:rPr>
        <w:t xml:space="preserve"> ACCC to consult with wholesale customers and other stakeholders about the proposed appointment of that person as Adjudicator;</w:t>
      </w:r>
    </w:p>
    <w:p w:rsidR="00567895" w:rsidRPr="00CE6518" w:rsidRDefault="00567895" w:rsidP="00C74F9D">
      <w:pPr>
        <w:ind w:left="1440" w:hanging="720"/>
        <w:rPr>
          <w:szCs w:val="20"/>
        </w:rPr>
      </w:pPr>
      <w:r w:rsidRPr="00CE6518">
        <w:rPr>
          <w:szCs w:val="20"/>
        </w:rPr>
        <w:t>(b)</w:t>
      </w:r>
      <w:r w:rsidRPr="00CE6518">
        <w:rPr>
          <w:szCs w:val="20"/>
        </w:rPr>
        <w:tab/>
      </w:r>
      <w:proofErr w:type="gramStart"/>
      <w:r w:rsidRPr="00CE6518">
        <w:rPr>
          <w:szCs w:val="20"/>
        </w:rPr>
        <w:t>vest</w:t>
      </w:r>
      <w:proofErr w:type="gramEnd"/>
      <w:r w:rsidRPr="00CE6518">
        <w:rPr>
          <w:szCs w:val="20"/>
        </w:rPr>
        <w:t xml:space="preserve"> in the Adjudicator the authority to resolve equivalence disputes between Telstra and its wholesale customers in relation to the supply by Telstra of regulated services;</w:t>
      </w:r>
    </w:p>
    <w:p w:rsidR="00567895" w:rsidRPr="00CE6518" w:rsidRDefault="00567895" w:rsidP="00C74F9D">
      <w:pPr>
        <w:ind w:left="1440" w:hanging="720"/>
        <w:rPr>
          <w:szCs w:val="20"/>
        </w:rPr>
      </w:pPr>
      <w:r w:rsidRPr="00CE6518">
        <w:rPr>
          <w:szCs w:val="20"/>
        </w:rPr>
        <w:t>(c)</w:t>
      </w:r>
      <w:r w:rsidRPr="00CE6518">
        <w:rPr>
          <w:szCs w:val="20"/>
        </w:rPr>
        <w:tab/>
      </w:r>
      <w:proofErr w:type="gramStart"/>
      <w:r w:rsidRPr="00CE6518">
        <w:rPr>
          <w:szCs w:val="20"/>
        </w:rPr>
        <w:t>for</w:t>
      </w:r>
      <w:proofErr w:type="gramEnd"/>
      <w:r w:rsidRPr="00CE6518">
        <w:rPr>
          <w:szCs w:val="20"/>
        </w:rPr>
        <w:t xml:space="preserve"> this purpose, provide for the Adjudicator to receive, investigate and facilitate the resolution of complaints;</w:t>
      </w:r>
    </w:p>
    <w:p w:rsidR="00567895" w:rsidRPr="00CE6518" w:rsidRDefault="00567895" w:rsidP="00C74F9D">
      <w:pPr>
        <w:ind w:left="1440" w:hanging="720"/>
        <w:rPr>
          <w:szCs w:val="20"/>
        </w:rPr>
      </w:pPr>
      <w:r w:rsidRPr="00CE6518">
        <w:rPr>
          <w:szCs w:val="20"/>
        </w:rPr>
        <w:t>(</w:t>
      </w:r>
      <w:proofErr w:type="gramStart"/>
      <w:r w:rsidRPr="00CE6518">
        <w:rPr>
          <w:szCs w:val="20"/>
        </w:rPr>
        <w:t>d</w:t>
      </w:r>
      <w:proofErr w:type="gramEnd"/>
      <w:r w:rsidRPr="00CE6518">
        <w:rPr>
          <w:szCs w:val="20"/>
        </w:rPr>
        <w:t>)</w:t>
      </w:r>
      <w:r w:rsidRPr="00CE6518">
        <w:rPr>
          <w:szCs w:val="20"/>
        </w:rPr>
        <w:tab/>
        <w:t>in doing so, have regard to the law, good industry practice and what is fair and reasonable in all the circumstances;</w:t>
      </w:r>
    </w:p>
    <w:p w:rsidR="00567895" w:rsidRPr="00CE6518" w:rsidRDefault="00567895" w:rsidP="00C74F9D">
      <w:pPr>
        <w:ind w:left="1440" w:hanging="720"/>
        <w:rPr>
          <w:szCs w:val="20"/>
        </w:rPr>
      </w:pPr>
      <w:r w:rsidRPr="00CE6518">
        <w:rPr>
          <w:szCs w:val="20"/>
        </w:rPr>
        <w:t>(e)</w:t>
      </w:r>
      <w:r w:rsidRPr="00CE6518">
        <w:rPr>
          <w:szCs w:val="20"/>
        </w:rPr>
        <w:tab/>
      </w:r>
      <w:proofErr w:type="gramStart"/>
      <w:r w:rsidRPr="00CE6518">
        <w:rPr>
          <w:szCs w:val="20"/>
        </w:rPr>
        <w:t>require</w:t>
      </w:r>
      <w:proofErr w:type="gramEnd"/>
      <w:r w:rsidRPr="00CE6518">
        <w:rPr>
          <w:szCs w:val="20"/>
        </w:rPr>
        <w:t xml:space="preserve"> the Adjudicator to pursue the objective of fair, just, economical and expeditious resolution;</w:t>
      </w:r>
    </w:p>
    <w:p w:rsidR="00567895" w:rsidRPr="00CE6518" w:rsidRDefault="00567895" w:rsidP="00C74F9D">
      <w:pPr>
        <w:ind w:left="1440" w:hanging="720"/>
        <w:rPr>
          <w:szCs w:val="20"/>
        </w:rPr>
      </w:pPr>
      <w:r w:rsidRPr="00CE6518">
        <w:rPr>
          <w:szCs w:val="20"/>
        </w:rPr>
        <w:t>(f)</w:t>
      </w:r>
      <w:r w:rsidRPr="00CE6518">
        <w:rPr>
          <w:szCs w:val="20"/>
        </w:rPr>
        <w:tab/>
      </w:r>
      <w:proofErr w:type="gramStart"/>
      <w:r w:rsidRPr="00CE6518">
        <w:rPr>
          <w:szCs w:val="20"/>
        </w:rPr>
        <w:t>provide</w:t>
      </w:r>
      <w:proofErr w:type="gramEnd"/>
      <w:r w:rsidRPr="00CE6518">
        <w:rPr>
          <w:szCs w:val="20"/>
        </w:rPr>
        <w:t xml:space="preserve"> for Telstra to provide full access to the Adjudicator to its records, systems and personnel to facilitate expeditious investigation and resolution of complaints;</w:t>
      </w:r>
    </w:p>
    <w:p w:rsidR="00567895" w:rsidRPr="00CE6518" w:rsidRDefault="00567895" w:rsidP="00C74F9D">
      <w:pPr>
        <w:ind w:left="1440" w:hanging="720"/>
        <w:rPr>
          <w:szCs w:val="20"/>
        </w:rPr>
      </w:pPr>
      <w:r w:rsidRPr="00CE6518">
        <w:rPr>
          <w:szCs w:val="20"/>
        </w:rPr>
        <w:t>(g)</w:t>
      </w:r>
      <w:r w:rsidRPr="00CE6518">
        <w:rPr>
          <w:szCs w:val="20"/>
        </w:rPr>
        <w:tab/>
      </w:r>
      <w:proofErr w:type="gramStart"/>
      <w:r w:rsidRPr="00CE6518">
        <w:rPr>
          <w:szCs w:val="20"/>
        </w:rPr>
        <w:t>provide</w:t>
      </w:r>
      <w:proofErr w:type="gramEnd"/>
      <w:r w:rsidRPr="00CE6518">
        <w:rPr>
          <w:szCs w:val="20"/>
        </w:rPr>
        <w:t xml:space="preserve"> for the Adjudicator to report to the ACCC in relation to any matter;</w:t>
      </w:r>
    </w:p>
    <w:p w:rsidR="00567895" w:rsidRPr="00CE6518" w:rsidRDefault="00567895" w:rsidP="00C74F9D">
      <w:pPr>
        <w:ind w:left="1440" w:hanging="720"/>
        <w:rPr>
          <w:szCs w:val="20"/>
        </w:rPr>
      </w:pPr>
      <w:r w:rsidRPr="00CE6518">
        <w:rPr>
          <w:szCs w:val="20"/>
        </w:rPr>
        <w:t>(h)</w:t>
      </w:r>
      <w:r w:rsidRPr="00CE6518">
        <w:rPr>
          <w:szCs w:val="20"/>
        </w:rPr>
        <w:tab/>
      </w:r>
      <w:proofErr w:type="gramStart"/>
      <w:r w:rsidRPr="00CE6518">
        <w:rPr>
          <w:szCs w:val="20"/>
        </w:rPr>
        <w:t>provide</w:t>
      </w:r>
      <w:proofErr w:type="gramEnd"/>
      <w:r w:rsidRPr="00CE6518">
        <w:rPr>
          <w:szCs w:val="20"/>
        </w:rPr>
        <w:t xml:space="preserve"> for the Adjudicator to perform functions given to it under a final migration plan;</w:t>
      </w:r>
    </w:p>
    <w:p w:rsidR="00567895" w:rsidRPr="00CE6518" w:rsidRDefault="00567895" w:rsidP="00C74F9D">
      <w:pPr>
        <w:ind w:left="1440" w:hanging="720"/>
        <w:rPr>
          <w:szCs w:val="20"/>
        </w:rPr>
      </w:pPr>
      <w:r w:rsidRPr="00CE6518">
        <w:rPr>
          <w:szCs w:val="20"/>
        </w:rPr>
        <w:t>(i)</w:t>
      </w:r>
      <w:r w:rsidRPr="00CE6518">
        <w:rPr>
          <w:szCs w:val="20"/>
        </w:rPr>
        <w:tab/>
      </w:r>
      <w:proofErr w:type="gramStart"/>
      <w:r w:rsidRPr="00CE6518">
        <w:rPr>
          <w:szCs w:val="20"/>
        </w:rPr>
        <w:t>provide</w:t>
      </w:r>
      <w:proofErr w:type="gramEnd"/>
      <w:r w:rsidRPr="00CE6518">
        <w:rPr>
          <w:szCs w:val="20"/>
        </w:rPr>
        <w:t xml:space="preserve"> for the Adjudicator to prepare and propose an annual budget to the Board setting out the resources and funding the Adjudicator considers necessary to meet his or her functions;</w:t>
      </w:r>
    </w:p>
    <w:p w:rsidR="008D578D" w:rsidRPr="00CE6518" w:rsidRDefault="00567895" w:rsidP="00606F18">
      <w:pPr>
        <w:ind w:left="1440" w:hanging="720"/>
        <w:rPr>
          <w:szCs w:val="20"/>
        </w:rPr>
      </w:pPr>
      <w:r w:rsidRPr="00CE6518">
        <w:rPr>
          <w:szCs w:val="20"/>
        </w:rPr>
        <w:t>(j)</w:t>
      </w:r>
      <w:r w:rsidRPr="00CE6518">
        <w:rPr>
          <w:szCs w:val="20"/>
        </w:rPr>
        <w:tab/>
      </w:r>
      <w:proofErr w:type="gramStart"/>
      <w:r w:rsidRPr="00CE6518">
        <w:rPr>
          <w:szCs w:val="20"/>
        </w:rPr>
        <w:t>require</w:t>
      </w:r>
      <w:proofErr w:type="gramEnd"/>
      <w:r w:rsidRPr="00CE6518">
        <w:rPr>
          <w:szCs w:val="20"/>
        </w:rPr>
        <w:t xml:space="preserve"> the Board to create a charter of independence which guarantees the independence of the Adjudicator and is to be approved by the</w:t>
      </w:r>
      <w:r w:rsidR="00606F18" w:rsidRPr="00CE6518">
        <w:rPr>
          <w:szCs w:val="20"/>
        </w:rPr>
        <w:t xml:space="preserve"> </w:t>
      </w:r>
      <w:r w:rsidRPr="00CE6518">
        <w:rPr>
          <w:szCs w:val="20"/>
        </w:rPr>
        <w:t>ACCC.</w:t>
      </w:r>
    </w:p>
    <w:p w:rsidR="00567895" w:rsidRPr="00CE6518" w:rsidRDefault="008D578D" w:rsidP="00567895">
      <w:pPr>
        <w:rPr>
          <w:szCs w:val="20"/>
        </w:rPr>
      </w:pPr>
      <w:r w:rsidRPr="00CE6518">
        <w:rPr>
          <w:szCs w:val="20"/>
        </w:rPr>
        <w:t>(3)</w:t>
      </w:r>
      <w:r w:rsidRPr="00CE6518">
        <w:rPr>
          <w:szCs w:val="20"/>
        </w:rPr>
        <w:tab/>
      </w:r>
      <w:r w:rsidR="00567895" w:rsidRPr="00CE6518">
        <w:rPr>
          <w:szCs w:val="20"/>
        </w:rPr>
        <w:t>The person selected as the Adjudicator:</w:t>
      </w:r>
    </w:p>
    <w:p w:rsidR="00567895" w:rsidRPr="00CE6518" w:rsidRDefault="00567895" w:rsidP="00C74F9D">
      <w:pPr>
        <w:ind w:left="1440" w:hanging="720"/>
        <w:rPr>
          <w:szCs w:val="20"/>
        </w:rPr>
      </w:pPr>
      <w:r w:rsidRPr="00CE6518">
        <w:rPr>
          <w:szCs w:val="20"/>
        </w:rPr>
        <w:t>(a)</w:t>
      </w:r>
      <w:r w:rsidRPr="00CE6518">
        <w:rPr>
          <w:szCs w:val="20"/>
        </w:rPr>
        <w:tab/>
      </w:r>
      <w:proofErr w:type="gramStart"/>
      <w:r w:rsidRPr="00CE6518">
        <w:rPr>
          <w:szCs w:val="20"/>
        </w:rPr>
        <w:t>must</w:t>
      </w:r>
      <w:proofErr w:type="gramEnd"/>
      <w:r w:rsidRPr="00CE6518">
        <w:rPr>
          <w:szCs w:val="20"/>
        </w:rPr>
        <w:t xml:space="preserve"> have relevant expertise in the technical and operational matters relating to telecommunications;</w:t>
      </w:r>
    </w:p>
    <w:p w:rsidR="008D578D" w:rsidRPr="00CE6518" w:rsidRDefault="00567895" w:rsidP="00C74F9D">
      <w:pPr>
        <w:ind w:left="1440" w:hanging="720"/>
        <w:rPr>
          <w:szCs w:val="20"/>
        </w:rPr>
      </w:pPr>
      <w:r w:rsidRPr="00CE6518">
        <w:rPr>
          <w:szCs w:val="20"/>
        </w:rPr>
        <w:lastRenderedPageBreak/>
        <w:t>(ii)</w:t>
      </w:r>
      <w:r w:rsidRPr="00CE6518">
        <w:rPr>
          <w:szCs w:val="20"/>
        </w:rPr>
        <w:tab/>
      </w:r>
      <w:proofErr w:type="gramStart"/>
      <w:r w:rsidRPr="00CE6518">
        <w:rPr>
          <w:szCs w:val="20"/>
        </w:rPr>
        <w:t>must</w:t>
      </w:r>
      <w:proofErr w:type="gramEnd"/>
      <w:r w:rsidRPr="00CE6518">
        <w:rPr>
          <w:szCs w:val="20"/>
        </w:rPr>
        <w:t xml:space="preserve"> not be, and must not have been in the two years prior to his or her appointment as Adjudicator, an employee, agent or consultant of Telstra;</w:t>
      </w:r>
    </w:p>
    <w:p w:rsidR="008D578D" w:rsidRPr="00CE6518" w:rsidRDefault="008D578D" w:rsidP="00370485">
      <w:pPr>
        <w:ind w:left="720" w:hanging="720"/>
        <w:rPr>
          <w:szCs w:val="20"/>
        </w:rPr>
      </w:pPr>
      <w:r w:rsidRPr="00CE6518">
        <w:rPr>
          <w:szCs w:val="20"/>
        </w:rPr>
        <w:t>(4)</w:t>
      </w:r>
      <w:r w:rsidRPr="00CE6518">
        <w:rPr>
          <w:szCs w:val="20"/>
        </w:rPr>
        <w:tab/>
      </w:r>
      <w:r w:rsidR="00567895" w:rsidRPr="00CE6518">
        <w:rPr>
          <w:szCs w:val="20"/>
        </w:rPr>
        <w:t>The Adjudicator must have the powers necessary to fulfil the functions of the role, including the power to require reasonable remediation by Telstra of its wholesale processes.</w:t>
      </w:r>
    </w:p>
    <w:p w:rsidR="008D578D" w:rsidRPr="00CE6518" w:rsidRDefault="008D578D" w:rsidP="00370485">
      <w:pPr>
        <w:ind w:left="720" w:hanging="720"/>
        <w:rPr>
          <w:szCs w:val="20"/>
        </w:rPr>
      </w:pPr>
      <w:r w:rsidRPr="00CE6518">
        <w:rPr>
          <w:szCs w:val="20"/>
        </w:rPr>
        <w:t>(5)</w:t>
      </w:r>
      <w:r w:rsidRPr="00CE6518">
        <w:rPr>
          <w:szCs w:val="20"/>
        </w:rPr>
        <w:tab/>
      </w:r>
      <w:r w:rsidR="00567895" w:rsidRPr="00CE6518">
        <w:rPr>
          <w:szCs w:val="20"/>
        </w:rPr>
        <w:t>The company Constitution may vest in the Adjudicator the authority to resolve disputes between Telstra and its wholesale customers in relation to other matters.</w:t>
      </w:r>
    </w:p>
    <w:p w:rsidR="002560C6" w:rsidRPr="00CE6518" w:rsidRDefault="008D578D" w:rsidP="00370485">
      <w:pPr>
        <w:ind w:left="720" w:hanging="720"/>
      </w:pPr>
      <w:r w:rsidRPr="00CE6518">
        <w:rPr>
          <w:szCs w:val="20"/>
        </w:rPr>
        <w:t>(6)</w:t>
      </w:r>
      <w:r w:rsidRPr="00CE6518">
        <w:rPr>
          <w:szCs w:val="20"/>
        </w:rPr>
        <w:tab/>
      </w:r>
      <w:r w:rsidR="00567895" w:rsidRPr="00CE6518">
        <w:rPr>
          <w:szCs w:val="20"/>
        </w:rPr>
        <w:t>The company Constitution is to be in a form approved by the ACCC and not to be changed without the ACCC's approval.</w:t>
      </w:r>
    </w:p>
    <w:sectPr w:rsidR="002560C6" w:rsidRPr="00CE6518" w:rsidSect="004C7914">
      <w:headerReference w:type="default" r:id="rId10"/>
      <w:footerReference w:type="default" r:id="rId11"/>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3C0" w:rsidRDefault="006643C0" w:rsidP="007C5428">
      <w:r>
        <w:separator/>
      </w:r>
    </w:p>
  </w:endnote>
  <w:endnote w:type="continuationSeparator" w:id="0">
    <w:p w:rsidR="006643C0" w:rsidRDefault="006643C0"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567895" w:rsidP="00E0196E">
    <w:pPr>
      <w:pStyle w:val="Footer"/>
      <w:jc w:val="right"/>
    </w:pPr>
    <w:r>
      <w:fldChar w:fldCharType="begin"/>
    </w:r>
    <w:r>
      <w:instrText xml:space="preserve"> PAGE   \* MERGEFORMAT </w:instrText>
    </w:r>
    <w:r>
      <w:fldChar w:fldCharType="separate"/>
    </w:r>
    <w:r w:rsidR="0019389E">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3C0" w:rsidRDefault="006643C0" w:rsidP="007C5428">
      <w:r>
        <w:separator/>
      </w:r>
    </w:p>
  </w:footnote>
  <w:footnote w:type="continuationSeparator" w:id="0">
    <w:p w:rsidR="006643C0" w:rsidRDefault="006643C0"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Pr="003C219C" w:rsidRDefault="00567895" w:rsidP="00E0196E">
    <w:pPr>
      <w:pStyle w:val="Header"/>
      <w:spacing w:after="240"/>
      <w:jc w:val="right"/>
      <w:rPr>
        <w:i w:val="0"/>
      </w:rPr>
    </w:pPr>
    <w:r w:rsidRPr="003C219C">
      <w:rPr>
        <w:i w:val="0"/>
      </w:rPr>
      <w:t>Telecommunications (Acceptance of Undertaking about Structural Separation—Matters) Instrument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3C0"/>
    <w:rsid w:val="0000634F"/>
    <w:rsid w:val="00027D40"/>
    <w:rsid w:val="000429C1"/>
    <w:rsid w:val="0005266B"/>
    <w:rsid w:val="0007752B"/>
    <w:rsid w:val="000831CB"/>
    <w:rsid w:val="0009674A"/>
    <w:rsid w:val="000A18A7"/>
    <w:rsid w:val="000A1B3E"/>
    <w:rsid w:val="000A1FE0"/>
    <w:rsid w:val="000C1A3F"/>
    <w:rsid w:val="000D101F"/>
    <w:rsid w:val="000D5768"/>
    <w:rsid w:val="000E6E62"/>
    <w:rsid w:val="0012161F"/>
    <w:rsid w:val="00136A48"/>
    <w:rsid w:val="001403C0"/>
    <w:rsid w:val="00147D60"/>
    <w:rsid w:val="00161785"/>
    <w:rsid w:val="001725DC"/>
    <w:rsid w:val="00191B09"/>
    <w:rsid w:val="0019389E"/>
    <w:rsid w:val="001C1F52"/>
    <w:rsid w:val="0020392F"/>
    <w:rsid w:val="00244729"/>
    <w:rsid w:val="0024639A"/>
    <w:rsid w:val="002560C6"/>
    <w:rsid w:val="00273E75"/>
    <w:rsid w:val="00293A2B"/>
    <w:rsid w:val="002C244C"/>
    <w:rsid w:val="002E26CE"/>
    <w:rsid w:val="002F3DB8"/>
    <w:rsid w:val="00343274"/>
    <w:rsid w:val="0035403C"/>
    <w:rsid w:val="0036267C"/>
    <w:rsid w:val="0036590E"/>
    <w:rsid w:val="00370485"/>
    <w:rsid w:val="00384153"/>
    <w:rsid w:val="003B586C"/>
    <w:rsid w:val="003B61FD"/>
    <w:rsid w:val="003C111B"/>
    <w:rsid w:val="003C219C"/>
    <w:rsid w:val="003C5D9A"/>
    <w:rsid w:val="003E156C"/>
    <w:rsid w:val="003E3B1E"/>
    <w:rsid w:val="003F3D73"/>
    <w:rsid w:val="00426913"/>
    <w:rsid w:val="00435D2A"/>
    <w:rsid w:val="004528A0"/>
    <w:rsid w:val="004914B4"/>
    <w:rsid w:val="004A5FC0"/>
    <w:rsid w:val="004B55B9"/>
    <w:rsid w:val="004C1ECF"/>
    <w:rsid w:val="004C7914"/>
    <w:rsid w:val="004F780B"/>
    <w:rsid w:val="0051059A"/>
    <w:rsid w:val="005549E1"/>
    <w:rsid w:val="00567895"/>
    <w:rsid w:val="005B6A1F"/>
    <w:rsid w:val="005E399C"/>
    <w:rsid w:val="005F0A45"/>
    <w:rsid w:val="005F7A63"/>
    <w:rsid w:val="00606F18"/>
    <w:rsid w:val="00626CC3"/>
    <w:rsid w:val="00650CDD"/>
    <w:rsid w:val="006643C0"/>
    <w:rsid w:val="00684101"/>
    <w:rsid w:val="006C0C13"/>
    <w:rsid w:val="006E7A89"/>
    <w:rsid w:val="007063C7"/>
    <w:rsid w:val="0071332A"/>
    <w:rsid w:val="00737F9E"/>
    <w:rsid w:val="0074792E"/>
    <w:rsid w:val="0075638E"/>
    <w:rsid w:val="007B1210"/>
    <w:rsid w:val="007C5428"/>
    <w:rsid w:val="007D7E29"/>
    <w:rsid w:val="007E6713"/>
    <w:rsid w:val="00815EE7"/>
    <w:rsid w:val="00862D74"/>
    <w:rsid w:val="008D578D"/>
    <w:rsid w:val="008E0B44"/>
    <w:rsid w:val="00904089"/>
    <w:rsid w:val="009200D5"/>
    <w:rsid w:val="0092079A"/>
    <w:rsid w:val="009415FA"/>
    <w:rsid w:val="009A6686"/>
    <w:rsid w:val="00A011A0"/>
    <w:rsid w:val="00A56904"/>
    <w:rsid w:val="00A75397"/>
    <w:rsid w:val="00A8189C"/>
    <w:rsid w:val="00A96152"/>
    <w:rsid w:val="00AE157B"/>
    <w:rsid w:val="00AE78CA"/>
    <w:rsid w:val="00B11BFC"/>
    <w:rsid w:val="00B234F1"/>
    <w:rsid w:val="00B3392C"/>
    <w:rsid w:val="00B53DCB"/>
    <w:rsid w:val="00BA4D98"/>
    <w:rsid w:val="00BE74C5"/>
    <w:rsid w:val="00BF122A"/>
    <w:rsid w:val="00C2140D"/>
    <w:rsid w:val="00C74B40"/>
    <w:rsid w:val="00C74F9D"/>
    <w:rsid w:val="00C76580"/>
    <w:rsid w:val="00CD24CF"/>
    <w:rsid w:val="00CE6518"/>
    <w:rsid w:val="00CF701A"/>
    <w:rsid w:val="00D0029A"/>
    <w:rsid w:val="00D056FA"/>
    <w:rsid w:val="00D06AE5"/>
    <w:rsid w:val="00D33D07"/>
    <w:rsid w:val="00D42027"/>
    <w:rsid w:val="00D61035"/>
    <w:rsid w:val="00D730A3"/>
    <w:rsid w:val="00D826D4"/>
    <w:rsid w:val="00DA5253"/>
    <w:rsid w:val="00DA6871"/>
    <w:rsid w:val="00DB1FB3"/>
    <w:rsid w:val="00DB79D8"/>
    <w:rsid w:val="00DD6227"/>
    <w:rsid w:val="00DF4FE1"/>
    <w:rsid w:val="00E0196E"/>
    <w:rsid w:val="00E1353B"/>
    <w:rsid w:val="00E62AF2"/>
    <w:rsid w:val="00E77ED5"/>
    <w:rsid w:val="00EA209E"/>
    <w:rsid w:val="00ED63E1"/>
    <w:rsid w:val="00F35533"/>
    <w:rsid w:val="00F35BBB"/>
    <w:rsid w:val="00F43B6E"/>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89E"/>
    <w:pPr>
      <w:spacing w:before="240"/>
    </w:pPr>
    <w:rPr>
      <w:rFonts w:ascii="Verdana" w:hAnsi="Verdana"/>
      <w:szCs w:val="24"/>
    </w:rPr>
  </w:style>
  <w:style w:type="paragraph" w:styleId="Heading1">
    <w:name w:val="heading 1"/>
    <w:basedOn w:val="Normal"/>
    <w:next w:val="Normal"/>
    <w:qFormat/>
    <w:rsid w:val="0019389E"/>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19389E"/>
    <w:pPr>
      <w:keepNext/>
      <w:spacing w:after="60"/>
      <w:outlineLvl w:val="1"/>
    </w:pPr>
    <w:rPr>
      <w:rFonts w:cs="Arial"/>
      <w:b/>
      <w:bCs/>
      <w:iCs/>
      <w:sz w:val="28"/>
      <w:szCs w:val="28"/>
    </w:rPr>
  </w:style>
  <w:style w:type="paragraph" w:styleId="Heading3">
    <w:name w:val="heading 3"/>
    <w:basedOn w:val="Heading2"/>
    <w:next w:val="Normal"/>
    <w:qFormat/>
    <w:rsid w:val="0019389E"/>
    <w:pPr>
      <w:outlineLvl w:val="2"/>
    </w:pPr>
    <w:rPr>
      <w:bCs w:val="0"/>
      <w:sz w:val="24"/>
      <w:szCs w:val="26"/>
    </w:rPr>
  </w:style>
  <w:style w:type="paragraph" w:styleId="Heading4">
    <w:name w:val="heading 4"/>
    <w:basedOn w:val="Normal"/>
    <w:next w:val="Normal"/>
    <w:qFormat/>
    <w:rsid w:val="0019389E"/>
    <w:pPr>
      <w:keepNext/>
      <w:numPr>
        <w:ilvl w:val="3"/>
        <w:numId w:val="11"/>
      </w:numPr>
      <w:spacing w:after="60"/>
      <w:outlineLvl w:val="3"/>
    </w:pPr>
    <w:rPr>
      <w:b/>
      <w:bCs/>
      <w:sz w:val="22"/>
    </w:rPr>
  </w:style>
  <w:style w:type="paragraph" w:styleId="Heading5">
    <w:name w:val="heading 5"/>
    <w:basedOn w:val="Normal"/>
    <w:next w:val="Normal"/>
    <w:qFormat/>
    <w:rsid w:val="0019389E"/>
    <w:pPr>
      <w:spacing w:after="60"/>
      <w:outlineLvl w:val="4"/>
    </w:pPr>
    <w:rPr>
      <w:b/>
      <w:bCs/>
      <w:iCs/>
      <w:szCs w:val="20"/>
    </w:rPr>
  </w:style>
  <w:style w:type="paragraph" w:styleId="Heading6">
    <w:name w:val="heading 6"/>
    <w:basedOn w:val="Normal"/>
    <w:next w:val="Normal"/>
    <w:qFormat/>
    <w:rsid w:val="0019389E"/>
    <w:pPr>
      <w:numPr>
        <w:ilvl w:val="5"/>
        <w:numId w:val="20"/>
      </w:numPr>
      <w:spacing w:after="60"/>
      <w:outlineLvl w:val="5"/>
    </w:pPr>
    <w:rPr>
      <w:b/>
      <w:bCs/>
      <w:sz w:val="22"/>
      <w:szCs w:val="22"/>
    </w:rPr>
  </w:style>
  <w:style w:type="paragraph" w:styleId="Heading7">
    <w:name w:val="heading 7"/>
    <w:basedOn w:val="Normal"/>
    <w:next w:val="Normal"/>
    <w:qFormat/>
    <w:rsid w:val="0019389E"/>
    <w:pPr>
      <w:numPr>
        <w:ilvl w:val="6"/>
        <w:numId w:val="20"/>
      </w:numPr>
      <w:spacing w:after="60"/>
      <w:outlineLvl w:val="6"/>
    </w:pPr>
  </w:style>
  <w:style w:type="paragraph" w:styleId="Heading8">
    <w:name w:val="heading 8"/>
    <w:basedOn w:val="Normal"/>
    <w:next w:val="Normal"/>
    <w:qFormat/>
    <w:rsid w:val="0019389E"/>
    <w:pPr>
      <w:numPr>
        <w:ilvl w:val="7"/>
        <w:numId w:val="20"/>
      </w:numPr>
      <w:spacing w:after="60"/>
      <w:outlineLvl w:val="7"/>
    </w:pPr>
    <w:rPr>
      <w:i/>
      <w:iCs/>
    </w:rPr>
  </w:style>
  <w:style w:type="paragraph" w:styleId="Heading9">
    <w:name w:val="heading 9"/>
    <w:basedOn w:val="Normal"/>
    <w:next w:val="Normal"/>
    <w:qFormat/>
    <w:rsid w:val="0019389E"/>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1938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389E"/>
  </w:style>
  <w:style w:type="paragraph" w:styleId="ListBullet3">
    <w:name w:val="List Bullet 3"/>
    <w:basedOn w:val="Normal"/>
    <w:rsid w:val="0019389E"/>
    <w:pPr>
      <w:numPr>
        <w:numId w:val="3"/>
      </w:numPr>
      <w:tabs>
        <w:tab w:val="clear" w:pos="1699"/>
        <w:tab w:val="left" w:pos="720"/>
        <w:tab w:val="left" w:pos="1440"/>
        <w:tab w:val="left" w:pos="2160"/>
      </w:tabs>
      <w:ind w:left="2160" w:hanging="720"/>
    </w:pPr>
  </w:style>
  <w:style w:type="character" w:customStyle="1" w:styleId="Hints">
    <w:name w:val="Hints"/>
    <w:semiHidden/>
    <w:rsid w:val="0019389E"/>
    <w:rPr>
      <w:noProof/>
      <w:color w:val="FF0000"/>
    </w:rPr>
  </w:style>
  <w:style w:type="paragraph" w:styleId="Header">
    <w:name w:val="header"/>
    <w:basedOn w:val="Normal"/>
    <w:semiHidden/>
    <w:rsid w:val="0019389E"/>
    <w:pPr>
      <w:tabs>
        <w:tab w:val="center" w:pos="4153"/>
        <w:tab w:val="right" w:pos="8306"/>
      </w:tabs>
      <w:spacing w:before="0"/>
    </w:pPr>
    <w:rPr>
      <w:i/>
      <w:sz w:val="16"/>
    </w:rPr>
  </w:style>
  <w:style w:type="table" w:styleId="TableGrid">
    <w:name w:val="Table Grid"/>
    <w:basedOn w:val="TableNormal"/>
    <w:semiHidden/>
    <w:rsid w:val="00193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19389E"/>
    <w:pPr>
      <w:tabs>
        <w:tab w:val="right" w:leader="dot" w:pos="9061"/>
      </w:tabs>
    </w:pPr>
    <w:rPr>
      <w:b/>
    </w:rPr>
  </w:style>
  <w:style w:type="paragraph" w:styleId="TOC2">
    <w:name w:val="toc 2"/>
    <w:basedOn w:val="Normal"/>
    <w:autoRedefine/>
    <w:semiHidden/>
    <w:rsid w:val="0019389E"/>
    <w:pPr>
      <w:tabs>
        <w:tab w:val="right" w:leader="dot" w:pos="9061"/>
      </w:tabs>
      <w:spacing w:before="0"/>
      <w:ind w:left="567"/>
    </w:pPr>
  </w:style>
  <w:style w:type="paragraph" w:styleId="ListNumber3">
    <w:name w:val="List Number 3"/>
    <w:basedOn w:val="Normal"/>
    <w:rsid w:val="0019389E"/>
    <w:pPr>
      <w:numPr>
        <w:numId w:val="37"/>
      </w:numPr>
    </w:pPr>
  </w:style>
  <w:style w:type="paragraph" w:customStyle="1" w:styleId="Sub-subtitle">
    <w:name w:val="Sub-subtitle"/>
    <w:basedOn w:val="Subtitle"/>
    <w:next w:val="Normal"/>
    <w:rsid w:val="0019389E"/>
    <w:rPr>
      <w:sz w:val="24"/>
    </w:rPr>
  </w:style>
  <w:style w:type="paragraph" w:styleId="Subtitle">
    <w:name w:val="Subtitle"/>
    <w:basedOn w:val="Normal"/>
    <w:next w:val="Sub-subtitle"/>
    <w:qFormat/>
    <w:rsid w:val="0019389E"/>
    <w:pPr>
      <w:spacing w:before="2400"/>
      <w:jc w:val="center"/>
      <w:outlineLvl w:val="1"/>
    </w:pPr>
    <w:rPr>
      <w:rFonts w:cs="Arial"/>
      <w:b/>
      <w:caps/>
      <w:sz w:val="28"/>
      <w:szCs w:val="28"/>
    </w:rPr>
  </w:style>
  <w:style w:type="paragraph" w:customStyle="1" w:styleId="Contents">
    <w:name w:val="Contents"/>
    <w:basedOn w:val="Heading2"/>
    <w:next w:val="Normal"/>
    <w:rsid w:val="0019389E"/>
  </w:style>
  <w:style w:type="paragraph" w:customStyle="1" w:styleId="TableText">
    <w:name w:val="Table Text"/>
    <w:basedOn w:val="Normal"/>
    <w:rsid w:val="0019389E"/>
    <w:pPr>
      <w:spacing w:before="80" w:after="80"/>
    </w:pPr>
  </w:style>
  <w:style w:type="paragraph" w:customStyle="1" w:styleId="TableHeading">
    <w:name w:val="Table Heading"/>
    <w:basedOn w:val="TableText"/>
    <w:rsid w:val="0019389E"/>
    <w:pPr>
      <w:keepNext/>
    </w:pPr>
    <w:rPr>
      <w:b/>
    </w:rPr>
  </w:style>
  <w:style w:type="paragraph" w:customStyle="1" w:styleId="TableCaption">
    <w:name w:val="Table Caption"/>
    <w:basedOn w:val="Normal"/>
    <w:next w:val="Normal"/>
    <w:rsid w:val="0019389E"/>
    <w:pPr>
      <w:keepNext/>
      <w:spacing w:after="240"/>
    </w:pPr>
    <w:rPr>
      <w:b/>
    </w:rPr>
  </w:style>
  <w:style w:type="paragraph" w:customStyle="1" w:styleId="Figure">
    <w:name w:val="Figure"/>
    <w:basedOn w:val="Normal"/>
    <w:next w:val="ListBullet3"/>
    <w:rsid w:val="0019389E"/>
  </w:style>
  <w:style w:type="paragraph" w:customStyle="1" w:styleId="FigureCaption">
    <w:name w:val="Figure Caption"/>
    <w:basedOn w:val="Normal"/>
    <w:next w:val="Figure"/>
    <w:rsid w:val="0019389E"/>
    <w:pPr>
      <w:keepNext/>
      <w:spacing w:after="240"/>
    </w:pPr>
    <w:rPr>
      <w:b/>
    </w:rPr>
  </w:style>
  <w:style w:type="paragraph" w:customStyle="1" w:styleId="SectionHeading">
    <w:name w:val="Section Heading"/>
    <w:basedOn w:val="Normal"/>
    <w:next w:val="Heading2"/>
    <w:semiHidden/>
    <w:rsid w:val="0019389E"/>
    <w:rPr>
      <w:b/>
      <w:sz w:val="24"/>
    </w:rPr>
  </w:style>
  <w:style w:type="paragraph" w:styleId="Footer">
    <w:name w:val="footer"/>
    <w:basedOn w:val="Normal"/>
    <w:semiHidden/>
    <w:rsid w:val="0019389E"/>
    <w:pPr>
      <w:tabs>
        <w:tab w:val="center" w:pos="4153"/>
        <w:tab w:val="right" w:pos="8306"/>
      </w:tabs>
    </w:pPr>
    <w:rPr>
      <w:sz w:val="16"/>
    </w:rPr>
  </w:style>
  <w:style w:type="paragraph" w:styleId="ListBullet">
    <w:name w:val="List Bullet"/>
    <w:basedOn w:val="Normal"/>
    <w:rsid w:val="0019389E"/>
    <w:pPr>
      <w:numPr>
        <w:numId w:val="1"/>
      </w:numPr>
      <w:tabs>
        <w:tab w:val="clear" w:pos="567"/>
        <w:tab w:val="left" w:pos="720"/>
      </w:tabs>
      <w:ind w:left="720" w:hanging="720"/>
    </w:pPr>
  </w:style>
  <w:style w:type="paragraph" w:styleId="ListBullet2">
    <w:name w:val="List Bullet 2"/>
    <w:basedOn w:val="ListBullet"/>
    <w:rsid w:val="0019389E"/>
    <w:pPr>
      <w:numPr>
        <w:numId w:val="2"/>
      </w:numPr>
      <w:tabs>
        <w:tab w:val="clear" w:pos="567"/>
        <w:tab w:val="left" w:pos="1440"/>
      </w:tabs>
      <w:ind w:left="1440" w:hanging="720"/>
    </w:pPr>
  </w:style>
  <w:style w:type="paragraph" w:styleId="ListNumber">
    <w:name w:val="List Number"/>
    <w:basedOn w:val="Normal"/>
    <w:rsid w:val="0019389E"/>
    <w:pPr>
      <w:numPr>
        <w:numId w:val="39"/>
      </w:numPr>
    </w:pPr>
  </w:style>
  <w:style w:type="paragraph" w:styleId="ListNumber2">
    <w:name w:val="List Number 2"/>
    <w:basedOn w:val="Normal"/>
    <w:rsid w:val="0019389E"/>
    <w:pPr>
      <w:numPr>
        <w:numId w:val="40"/>
      </w:numPr>
    </w:pPr>
  </w:style>
  <w:style w:type="paragraph" w:styleId="TableofFigures">
    <w:name w:val="table of figures"/>
    <w:basedOn w:val="TOC2"/>
    <w:next w:val="Normal"/>
    <w:semiHidden/>
    <w:rsid w:val="0019389E"/>
    <w:pPr>
      <w:ind w:left="0"/>
    </w:pPr>
  </w:style>
  <w:style w:type="paragraph" w:customStyle="1" w:styleId="Heading1-nonumbering">
    <w:name w:val="Heading 1 - no numbering"/>
    <w:basedOn w:val="Heading1"/>
    <w:next w:val="Normal"/>
    <w:semiHidden/>
    <w:rsid w:val="0019389E"/>
  </w:style>
  <w:style w:type="paragraph" w:styleId="TOC3">
    <w:name w:val="toc 3"/>
    <w:basedOn w:val="TOC2"/>
    <w:next w:val="Normal"/>
    <w:autoRedefine/>
    <w:semiHidden/>
    <w:rsid w:val="0019389E"/>
    <w:pPr>
      <w:tabs>
        <w:tab w:val="clear" w:pos="9061"/>
        <w:tab w:val="right" w:leader="dot" w:pos="9060"/>
      </w:tabs>
      <w:ind w:left="1134"/>
    </w:pPr>
  </w:style>
  <w:style w:type="paragraph" w:customStyle="1" w:styleId="Footnote">
    <w:name w:val="Footnote"/>
    <w:next w:val="Normal"/>
    <w:rsid w:val="0019389E"/>
    <w:pPr>
      <w:spacing w:before="60" w:after="60"/>
    </w:pPr>
    <w:rPr>
      <w:rFonts w:ascii="Verdana" w:hAnsi="Verdana" w:cs="Arial"/>
      <w:bCs/>
      <w:kern w:val="28"/>
      <w:sz w:val="16"/>
      <w:szCs w:val="16"/>
    </w:rPr>
  </w:style>
  <w:style w:type="paragraph" w:styleId="FootnoteText">
    <w:name w:val="footnote text"/>
    <w:basedOn w:val="Normal"/>
    <w:link w:val="FootnoteTextChar"/>
    <w:rsid w:val="0019389E"/>
    <w:pPr>
      <w:spacing w:before="0"/>
    </w:pPr>
    <w:rPr>
      <w:sz w:val="16"/>
      <w:szCs w:val="20"/>
    </w:rPr>
  </w:style>
  <w:style w:type="character" w:customStyle="1" w:styleId="FootnoteTextChar">
    <w:name w:val="Footnote Text Char"/>
    <w:basedOn w:val="DefaultParagraphFont"/>
    <w:link w:val="FootnoteText"/>
    <w:rsid w:val="0019389E"/>
    <w:rPr>
      <w:rFonts w:ascii="Verdana" w:hAnsi="Verdana"/>
      <w:sz w:val="16"/>
    </w:rPr>
  </w:style>
  <w:style w:type="paragraph" w:styleId="ListParagraph">
    <w:name w:val="List Paragraph"/>
    <w:basedOn w:val="Normal"/>
    <w:uiPriority w:val="34"/>
    <w:qFormat/>
    <w:rsid w:val="005678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89E"/>
    <w:pPr>
      <w:spacing w:before="240"/>
    </w:pPr>
    <w:rPr>
      <w:rFonts w:ascii="Verdana" w:hAnsi="Verdana"/>
      <w:szCs w:val="24"/>
    </w:rPr>
  </w:style>
  <w:style w:type="paragraph" w:styleId="Heading1">
    <w:name w:val="heading 1"/>
    <w:basedOn w:val="Normal"/>
    <w:next w:val="Normal"/>
    <w:qFormat/>
    <w:rsid w:val="0019389E"/>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19389E"/>
    <w:pPr>
      <w:keepNext/>
      <w:spacing w:after="60"/>
      <w:outlineLvl w:val="1"/>
    </w:pPr>
    <w:rPr>
      <w:rFonts w:cs="Arial"/>
      <w:b/>
      <w:bCs/>
      <w:iCs/>
      <w:sz w:val="28"/>
      <w:szCs w:val="28"/>
    </w:rPr>
  </w:style>
  <w:style w:type="paragraph" w:styleId="Heading3">
    <w:name w:val="heading 3"/>
    <w:basedOn w:val="Heading2"/>
    <w:next w:val="Normal"/>
    <w:qFormat/>
    <w:rsid w:val="0019389E"/>
    <w:pPr>
      <w:outlineLvl w:val="2"/>
    </w:pPr>
    <w:rPr>
      <w:bCs w:val="0"/>
      <w:sz w:val="24"/>
      <w:szCs w:val="26"/>
    </w:rPr>
  </w:style>
  <w:style w:type="paragraph" w:styleId="Heading4">
    <w:name w:val="heading 4"/>
    <w:basedOn w:val="Normal"/>
    <w:next w:val="Normal"/>
    <w:qFormat/>
    <w:rsid w:val="0019389E"/>
    <w:pPr>
      <w:keepNext/>
      <w:numPr>
        <w:ilvl w:val="3"/>
        <w:numId w:val="11"/>
      </w:numPr>
      <w:spacing w:after="60"/>
      <w:outlineLvl w:val="3"/>
    </w:pPr>
    <w:rPr>
      <w:b/>
      <w:bCs/>
      <w:sz w:val="22"/>
    </w:rPr>
  </w:style>
  <w:style w:type="paragraph" w:styleId="Heading5">
    <w:name w:val="heading 5"/>
    <w:basedOn w:val="Normal"/>
    <w:next w:val="Normal"/>
    <w:qFormat/>
    <w:rsid w:val="0019389E"/>
    <w:pPr>
      <w:spacing w:after="60"/>
      <w:outlineLvl w:val="4"/>
    </w:pPr>
    <w:rPr>
      <w:b/>
      <w:bCs/>
      <w:iCs/>
      <w:szCs w:val="20"/>
    </w:rPr>
  </w:style>
  <w:style w:type="paragraph" w:styleId="Heading6">
    <w:name w:val="heading 6"/>
    <w:basedOn w:val="Normal"/>
    <w:next w:val="Normal"/>
    <w:qFormat/>
    <w:rsid w:val="0019389E"/>
    <w:pPr>
      <w:numPr>
        <w:ilvl w:val="5"/>
        <w:numId w:val="20"/>
      </w:numPr>
      <w:spacing w:after="60"/>
      <w:outlineLvl w:val="5"/>
    </w:pPr>
    <w:rPr>
      <w:b/>
      <w:bCs/>
      <w:sz w:val="22"/>
      <w:szCs w:val="22"/>
    </w:rPr>
  </w:style>
  <w:style w:type="paragraph" w:styleId="Heading7">
    <w:name w:val="heading 7"/>
    <w:basedOn w:val="Normal"/>
    <w:next w:val="Normal"/>
    <w:qFormat/>
    <w:rsid w:val="0019389E"/>
    <w:pPr>
      <w:numPr>
        <w:ilvl w:val="6"/>
        <w:numId w:val="20"/>
      </w:numPr>
      <w:spacing w:after="60"/>
      <w:outlineLvl w:val="6"/>
    </w:pPr>
  </w:style>
  <w:style w:type="paragraph" w:styleId="Heading8">
    <w:name w:val="heading 8"/>
    <w:basedOn w:val="Normal"/>
    <w:next w:val="Normal"/>
    <w:qFormat/>
    <w:rsid w:val="0019389E"/>
    <w:pPr>
      <w:numPr>
        <w:ilvl w:val="7"/>
        <w:numId w:val="20"/>
      </w:numPr>
      <w:spacing w:after="60"/>
      <w:outlineLvl w:val="7"/>
    </w:pPr>
    <w:rPr>
      <w:i/>
      <w:iCs/>
    </w:rPr>
  </w:style>
  <w:style w:type="paragraph" w:styleId="Heading9">
    <w:name w:val="heading 9"/>
    <w:basedOn w:val="Normal"/>
    <w:next w:val="Normal"/>
    <w:qFormat/>
    <w:rsid w:val="0019389E"/>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1938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389E"/>
  </w:style>
  <w:style w:type="paragraph" w:styleId="ListBullet3">
    <w:name w:val="List Bullet 3"/>
    <w:basedOn w:val="Normal"/>
    <w:rsid w:val="0019389E"/>
    <w:pPr>
      <w:numPr>
        <w:numId w:val="3"/>
      </w:numPr>
      <w:tabs>
        <w:tab w:val="clear" w:pos="1699"/>
        <w:tab w:val="left" w:pos="720"/>
        <w:tab w:val="left" w:pos="1440"/>
        <w:tab w:val="left" w:pos="2160"/>
      </w:tabs>
      <w:ind w:left="2160" w:hanging="720"/>
    </w:pPr>
  </w:style>
  <w:style w:type="character" w:customStyle="1" w:styleId="Hints">
    <w:name w:val="Hints"/>
    <w:semiHidden/>
    <w:rsid w:val="0019389E"/>
    <w:rPr>
      <w:noProof/>
      <w:color w:val="FF0000"/>
    </w:rPr>
  </w:style>
  <w:style w:type="paragraph" w:styleId="Header">
    <w:name w:val="header"/>
    <w:basedOn w:val="Normal"/>
    <w:semiHidden/>
    <w:rsid w:val="0019389E"/>
    <w:pPr>
      <w:tabs>
        <w:tab w:val="center" w:pos="4153"/>
        <w:tab w:val="right" w:pos="8306"/>
      </w:tabs>
      <w:spacing w:before="0"/>
    </w:pPr>
    <w:rPr>
      <w:i/>
      <w:sz w:val="16"/>
    </w:rPr>
  </w:style>
  <w:style w:type="table" w:styleId="TableGrid">
    <w:name w:val="Table Grid"/>
    <w:basedOn w:val="TableNormal"/>
    <w:semiHidden/>
    <w:rsid w:val="00193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19389E"/>
    <w:pPr>
      <w:tabs>
        <w:tab w:val="right" w:leader="dot" w:pos="9061"/>
      </w:tabs>
    </w:pPr>
    <w:rPr>
      <w:b/>
    </w:rPr>
  </w:style>
  <w:style w:type="paragraph" w:styleId="TOC2">
    <w:name w:val="toc 2"/>
    <w:basedOn w:val="Normal"/>
    <w:autoRedefine/>
    <w:semiHidden/>
    <w:rsid w:val="0019389E"/>
    <w:pPr>
      <w:tabs>
        <w:tab w:val="right" w:leader="dot" w:pos="9061"/>
      </w:tabs>
      <w:spacing w:before="0"/>
      <w:ind w:left="567"/>
    </w:pPr>
  </w:style>
  <w:style w:type="paragraph" w:styleId="ListNumber3">
    <w:name w:val="List Number 3"/>
    <w:basedOn w:val="Normal"/>
    <w:rsid w:val="0019389E"/>
    <w:pPr>
      <w:numPr>
        <w:numId w:val="37"/>
      </w:numPr>
    </w:pPr>
  </w:style>
  <w:style w:type="paragraph" w:customStyle="1" w:styleId="Sub-subtitle">
    <w:name w:val="Sub-subtitle"/>
    <w:basedOn w:val="Subtitle"/>
    <w:next w:val="Normal"/>
    <w:rsid w:val="0019389E"/>
    <w:rPr>
      <w:sz w:val="24"/>
    </w:rPr>
  </w:style>
  <w:style w:type="paragraph" w:styleId="Subtitle">
    <w:name w:val="Subtitle"/>
    <w:basedOn w:val="Normal"/>
    <w:next w:val="Sub-subtitle"/>
    <w:qFormat/>
    <w:rsid w:val="0019389E"/>
    <w:pPr>
      <w:spacing w:before="2400"/>
      <w:jc w:val="center"/>
      <w:outlineLvl w:val="1"/>
    </w:pPr>
    <w:rPr>
      <w:rFonts w:cs="Arial"/>
      <w:b/>
      <w:caps/>
      <w:sz w:val="28"/>
      <w:szCs w:val="28"/>
    </w:rPr>
  </w:style>
  <w:style w:type="paragraph" w:customStyle="1" w:styleId="Contents">
    <w:name w:val="Contents"/>
    <w:basedOn w:val="Heading2"/>
    <w:next w:val="Normal"/>
    <w:rsid w:val="0019389E"/>
  </w:style>
  <w:style w:type="paragraph" w:customStyle="1" w:styleId="TableText">
    <w:name w:val="Table Text"/>
    <w:basedOn w:val="Normal"/>
    <w:rsid w:val="0019389E"/>
    <w:pPr>
      <w:spacing w:before="80" w:after="80"/>
    </w:pPr>
  </w:style>
  <w:style w:type="paragraph" w:customStyle="1" w:styleId="TableHeading">
    <w:name w:val="Table Heading"/>
    <w:basedOn w:val="TableText"/>
    <w:rsid w:val="0019389E"/>
    <w:pPr>
      <w:keepNext/>
    </w:pPr>
    <w:rPr>
      <w:b/>
    </w:rPr>
  </w:style>
  <w:style w:type="paragraph" w:customStyle="1" w:styleId="TableCaption">
    <w:name w:val="Table Caption"/>
    <w:basedOn w:val="Normal"/>
    <w:next w:val="Normal"/>
    <w:rsid w:val="0019389E"/>
    <w:pPr>
      <w:keepNext/>
      <w:spacing w:after="240"/>
    </w:pPr>
    <w:rPr>
      <w:b/>
    </w:rPr>
  </w:style>
  <w:style w:type="paragraph" w:customStyle="1" w:styleId="Figure">
    <w:name w:val="Figure"/>
    <w:basedOn w:val="Normal"/>
    <w:next w:val="ListBullet3"/>
    <w:rsid w:val="0019389E"/>
  </w:style>
  <w:style w:type="paragraph" w:customStyle="1" w:styleId="FigureCaption">
    <w:name w:val="Figure Caption"/>
    <w:basedOn w:val="Normal"/>
    <w:next w:val="Figure"/>
    <w:rsid w:val="0019389E"/>
    <w:pPr>
      <w:keepNext/>
      <w:spacing w:after="240"/>
    </w:pPr>
    <w:rPr>
      <w:b/>
    </w:rPr>
  </w:style>
  <w:style w:type="paragraph" w:customStyle="1" w:styleId="SectionHeading">
    <w:name w:val="Section Heading"/>
    <w:basedOn w:val="Normal"/>
    <w:next w:val="Heading2"/>
    <w:semiHidden/>
    <w:rsid w:val="0019389E"/>
    <w:rPr>
      <w:b/>
      <w:sz w:val="24"/>
    </w:rPr>
  </w:style>
  <w:style w:type="paragraph" w:styleId="Footer">
    <w:name w:val="footer"/>
    <w:basedOn w:val="Normal"/>
    <w:semiHidden/>
    <w:rsid w:val="0019389E"/>
    <w:pPr>
      <w:tabs>
        <w:tab w:val="center" w:pos="4153"/>
        <w:tab w:val="right" w:pos="8306"/>
      </w:tabs>
    </w:pPr>
    <w:rPr>
      <w:sz w:val="16"/>
    </w:rPr>
  </w:style>
  <w:style w:type="paragraph" w:styleId="ListBullet">
    <w:name w:val="List Bullet"/>
    <w:basedOn w:val="Normal"/>
    <w:rsid w:val="0019389E"/>
    <w:pPr>
      <w:numPr>
        <w:numId w:val="1"/>
      </w:numPr>
      <w:tabs>
        <w:tab w:val="clear" w:pos="567"/>
        <w:tab w:val="left" w:pos="720"/>
      </w:tabs>
      <w:ind w:left="720" w:hanging="720"/>
    </w:pPr>
  </w:style>
  <w:style w:type="paragraph" w:styleId="ListBullet2">
    <w:name w:val="List Bullet 2"/>
    <w:basedOn w:val="ListBullet"/>
    <w:rsid w:val="0019389E"/>
    <w:pPr>
      <w:numPr>
        <w:numId w:val="2"/>
      </w:numPr>
      <w:tabs>
        <w:tab w:val="clear" w:pos="567"/>
        <w:tab w:val="left" w:pos="1440"/>
      </w:tabs>
      <w:ind w:left="1440" w:hanging="720"/>
    </w:pPr>
  </w:style>
  <w:style w:type="paragraph" w:styleId="ListNumber">
    <w:name w:val="List Number"/>
    <w:basedOn w:val="Normal"/>
    <w:rsid w:val="0019389E"/>
    <w:pPr>
      <w:numPr>
        <w:numId w:val="39"/>
      </w:numPr>
    </w:pPr>
  </w:style>
  <w:style w:type="paragraph" w:styleId="ListNumber2">
    <w:name w:val="List Number 2"/>
    <w:basedOn w:val="Normal"/>
    <w:rsid w:val="0019389E"/>
    <w:pPr>
      <w:numPr>
        <w:numId w:val="40"/>
      </w:numPr>
    </w:pPr>
  </w:style>
  <w:style w:type="paragraph" w:styleId="TableofFigures">
    <w:name w:val="table of figures"/>
    <w:basedOn w:val="TOC2"/>
    <w:next w:val="Normal"/>
    <w:semiHidden/>
    <w:rsid w:val="0019389E"/>
    <w:pPr>
      <w:ind w:left="0"/>
    </w:pPr>
  </w:style>
  <w:style w:type="paragraph" w:customStyle="1" w:styleId="Heading1-nonumbering">
    <w:name w:val="Heading 1 - no numbering"/>
    <w:basedOn w:val="Heading1"/>
    <w:next w:val="Normal"/>
    <w:semiHidden/>
    <w:rsid w:val="0019389E"/>
  </w:style>
  <w:style w:type="paragraph" w:styleId="TOC3">
    <w:name w:val="toc 3"/>
    <w:basedOn w:val="TOC2"/>
    <w:next w:val="Normal"/>
    <w:autoRedefine/>
    <w:semiHidden/>
    <w:rsid w:val="0019389E"/>
    <w:pPr>
      <w:tabs>
        <w:tab w:val="clear" w:pos="9061"/>
        <w:tab w:val="right" w:leader="dot" w:pos="9060"/>
      </w:tabs>
      <w:ind w:left="1134"/>
    </w:pPr>
  </w:style>
  <w:style w:type="paragraph" w:customStyle="1" w:styleId="Footnote">
    <w:name w:val="Footnote"/>
    <w:next w:val="Normal"/>
    <w:rsid w:val="0019389E"/>
    <w:pPr>
      <w:spacing w:before="60" w:after="60"/>
    </w:pPr>
    <w:rPr>
      <w:rFonts w:ascii="Verdana" w:hAnsi="Verdana" w:cs="Arial"/>
      <w:bCs/>
      <w:kern w:val="28"/>
      <w:sz w:val="16"/>
      <w:szCs w:val="16"/>
    </w:rPr>
  </w:style>
  <w:style w:type="paragraph" w:styleId="FootnoteText">
    <w:name w:val="footnote text"/>
    <w:basedOn w:val="Normal"/>
    <w:link w:val="FootnoteTextChar"/>
    <w:rsid w:val="0019389E"/>
    <w:pPr>
      <w:spacing w:before="0"/>
    </w:pPr>
    <w:rPr>
      <w:sz w:val="16"/>
      <w:szCs w:val="20"/>
    </w:rPr>
  </w:style>
  <w:style w:type="character" w:customStyle="1" w:styleId="FootnoteTextChar">
    <w:name w:val="Footnote Text Char"/>
    <w:basedOn w:val="DefaultParagraphFont"/>
    <w:link w:val="FootnoteText"/>
    <w:rsid w:val="0019389E"/>
    <w:rPr>
      <w:rFonts w:ascii="Verdana" w:hAnsi="Verdana"/>
      <w:sz w:val="16"/>
    </w:rPr>
  </w:style>
  <w:style w:type="paragraph" w:styleId="ListParagraph">
    <w:name w:val="List Paragraph"/>
    <w:basedOn w:val="Normal"/>
    <w:uiPriority w:val="34"/>
    <w:qFormat/>
    <w:rsid w:val="00567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1\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5BCD5-BA84-4827-B664-69D58A60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22</TotalTime>
  <Pages>9</Pages>
  <Words>2140</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(Acceptance of Undertaking about Structural Separation—Matters) Instrument 2011</dc:title>
  <dc:creator>Systemik</dc:creator>
  <cp:lastModifiedBy>na</cp:lastModifiedBy>
  <cp:revision>21</cp:revision>
  <dcterms:created xsi:type="dcterms:W3CDTF">2015-03-13T00:24:00Z</dcterms:created>
  <dcterms:modified xsi:type="dcterms:W3CDTF">2015-03-31T01:49:00Z</dcterms:modified>
</cp:coreProperties>
</file>