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801" w:rsidRPr="00866A71" w:rsidRDefault="00C61801" w:rsidP="00665016">
      <w:pPr>
        <w:pStyle w:val="DBCDElogo"/>
      </w:pPr>
      <w:bookmarkStart w:id="0" w:name="_GoBack"/>
      <w:bookmarkEnd w:id="0"/>
    </w:p>
    <w:p w:rsidR="00583203" w:rsidRDefault="00583203" w:rsidP="009B3DEC">
      <w:pPr>
        <w:pStyle w:val="Titleheading"/>
        <w:contextualSpacing/>
      </w:pPr>
    </w:p>
    <w:p w:rsidR="00E5068E" w:rsidRPr="00E5068E" w:rsidRDefault="00E5068E" w:rsidP="00E5068E">
      <w:pPr>
        <w:pStyle w:val="BodyText"/>
      </w:pPr>
    </w:p>
    <w:p w:rsidR="009B3DEC" w:rsidRPr="0029123C" w:rsidRDefault="007945C1" w:rsidP="0029123C">
      <w:pPr>
        <w:pStyle w:val="Titleheading"/>
        <w:contextualSpacing/>
        <w:rPr>
          <w:color w:val="6E6E6E"/>
        </w:rPr>
      </w:pPr>
      <w:r w:rsidRPr="0029123C">
        <w:rPr>
          <w:color w:val="6E6E6E"/>
        </w:rPr>
        <w:t xml:space="preserve">Telecommunications Regulatory </w:t>
      </w:r>
      <w:r w:rsidR="0029123C">
        <w:rPr>
          <w:color w:val="6E6E6E"/>
        </w:rPr>
        <w:br/>
      </w:r>
      <w:r w:rsidRPr="0029123C">
        <w:rPr>
          <w:color w:val="6E6E6E"/>
        </w:rPr>
        <w:t>and Structural Reform</w:t>
      </w:r>
    </w:p>
    <w:p w:rsidR="009B3DEC" w:rsidRPr="0029123C" w:rsidRDefault="007945C1" w:rsidP="00E5068E">
      <w:pPr>
        <w:pStyle w:val="Titledate"/>
        <w:ind w:left="1440"/>
        <w:rPr>
          <w:color w:val="6E6E6E"/>
        </w:rPr>
      </w:pPr>
      <w:r w:rsidRPr="0029123C">
        <w:rPr>
          <w:color w:val="6E6E6E"/>
        </w:rPr>
        <w:t>December</w:t>
      </w:r>
      <w:r w:rsidR="009B3DEC" w:rsidRPr="0029123C">
        <w:rPr>
          <w:color w:val="6E6E6E"/>
        </w:rPr>
        <w:t xml:space="preserve"> </w:t>
      </w:r>
      <w:r w:rsidR="006917CB" w:rsidRPr="0029123C">
        <w:rPr>
          <w:color w:val="6E6E6E"/>
        </w:rPr>
        <w:t>2014</w:t>
      </w:r>
    </w:p>
    <w:p w:rsidR="009C1549" w:rsidRPr="00866A71" w:rsidRDefault="009C1549" w:rsidP="00E5068E">
      <w:pPr>
        <w:pStyle w:val="BodyText"/>
        <w:ind w:left="1440"/>
      </w:pPr>
    </w:p>
    <w:p w:rsidR="002F3D38" w:rsidRDefault="00C61801" w:rsidP="008A135A">
      <w:r>
        <w:br w:type="page"/>
      </w:r>
    </w:p>
    <w:p w:rsidR="00F41987" w:rsidRDefault="00F41987" w:rsidP="006241BB">
      <w:pPr>
        <w:pStyle w:val="copyrightHeading2Styles"/>
        <w:rPr>
          <w:lang w:eastAsia="en-AU"/>
        </w:rPr>
      </w:pPr>
      <w:r>
        <w:rPr>
          <w:lang w:eastAsia="en-AU"/>
        </w:rPr>
        <w:lastRenderedPageBreak/>
        <w:t>Copyright</w:t>
      </w:r>
    </w:p>
    <w:p w:rsidR="00F41987" w:rsidRDefault="00F41987" w:rsidP="006241BB">
      <w:pPr>
        <w:pStyle w:val="copyrighttextStyles"/>
        <w:rPr>
          <w:rFonts w:ascii="Calibri" w:hAnsi="Calibri" w:cs="Calibri"/>
          <w:color w:val="auto"/>
          <w:lang w:eastAsia="en-AU"/>
        </w:rPr>
      </w:pPr>
      <w:bookmarkStart w:id="1" w:name="_Toc356292516"/>
      <w:r>
        <w:rPr>
          <w:lang w:eastAsia="en-AU"/>
        </w:rPr>
        <w:t>© Commonwealth of Australia 201</w:t>
      </w:r>
      <w:bookmarkEnd w:id="1"/>
      <w:r>
        <w:rPr>
          <w:lang w:eastAsia="en-AU"/>
        </w:rPr>
        <w:t xml:space="preserve">4 </w:t>
      </w:r>
    </w:p>
    <w:p w:rsidR="00F41987" w:rsidRDefault="00F41987" w:rsidP="006241BB">
      <w:pPr>
        <w:pStyle w:val="copyrighttextStyles"/>
        <w:rPr>
          <w:lang w:eastAsia="en-AU"/>
        </w:rPr>
      </w:pPr>
      <w:bookmarkStart w:id="2" w:name="_Toc356292517"/>
      <w:r>
        <w:rPr>
          <w:noProof/>
          <w:lang w:eastAsia="en-AU"/>
        </w:rPr>
        <w:drawing>
          <wp:inline distT="0" distB="0" distL="0" distR="0" wp14:anchorId="55EA9C52" wp14:editId="247BE0F0">
            <wp:extent cx="836930" cy="293370"/>
            <wp:effectExtent l="0" t="0" r="0" b="0"/>
            <wp:docPr id="1" name="Picture 1" descr="cid:image001.jpg@01CF4DB8.C9F87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2"/>
      <w:r>
        <w:rPr>
          <w:lang w:eastAsia="en-AU"/>
        </w:rPr>
        <w:t>  The material in this discussion paper is licensed under a Creative Commons Attribution—3.0 Australia license, with the exception of:</w:t>
      </w:r>
    </w:p>
    <w:p w:rsidR="00F41987" w:rsidRDefault="00F41987" w:rsidP="007945C1">
      <w:pPr>
        <w:pStyle w:val="copyrighttextStyles"/>
        <w:numPr>
          <w:ilvl w:val="0"/>
          <w:numId w:val="24"/>
        </w:numPr>
        <w:rPr>
          <w:lang w:eastAsia="en-AU"/>
        </w:rPr>
      </w:pPr>
      <w:bookmarkStart w:id="3" w:name="_Toc356292518"/>
      <w:r>
        <w:rPr>
          <w:lang w:eastAsia="en-AU"/>
        </w:rPr>
        <w:t>the Commonwealth Coat of Arms</w:t>
      </w:r>
      <w:bookmarkEnd w:id="3"/>
      <w:r>
        <w:rPr>
          <w:lang w:eastAsia="en-AU"/>
        </w:rPr>
        <w:t>;</w:t>
      </w:r>
    </w:p>
    <w:p w:rsidR="00F41987" w:rsidRDefault="00F41987" w:rsidP="007945C1">
      <w:pPr>
        <w:pStyle w:val="copyrighttextStyles"/>
        <w:numPr>
          <w:ilvl w:val="0"/>
          <w:numId w:val="24"/>
        </w:numPr>
        <w:rPr>
          <w:lang w:eastAsia="en-AU"/>
        </w:rPr>
      </w:pPr>
      <w:bookmarkStart w:id="4" w:name="_Toc356292519"/>
      <w:r>
        <w:rPr>
          <w:lang w:eastAsia="en-AU"/>
        </w:rPr>
        <w:t>this Department’s logo</w:t>
      </w:r>
      <w:bookmarkEnd w:id="4"/>
      <w:r>
        <w:rPr>
          <w:lang w:eastAsia="en-AU"/>
        </w:rPr>
        <w:t>;</w:t>
      </w:r>
    </w:p>
    <w:p w:rsidR="00F41987" w:rsidRDefault="00F41987" w:rsidP="007945C1">
      <w:pPr>
        <w:pStyle w:val="copyrighttextStyles"/>
        <w:numPr>
          <w:ilvl w:val="0"/>
          <w:numId w:val="24"/>
        </w:numPr>
        <w:rPr>
          <w:lang w:eastAsia="en-AU"/>
        </w:rPr>
      </w:pPr>
      <w:r>
        <w:rPr>
          <w:lang w:eastAsia="en-AU"/>
        </w:rPr>
        <w:t>any third party material;</w:t>
      </w:r>
    </w:p>
    <w:p w:rsidR="00F41987" w:rsidRDefault="00F41987" w:rsidP="007945C1">
      <w:pPr>
        <w:pStyle w:val="copyrighttextStyles"/>
        <w:numPr>
          <w:ilvl w:val="0"/>
          <w:numId w:val="24"/>
        </w:numPr>
        <w:rPr>
          <w:lang w:eastAsia="en-AU"/>
        </w:rPr>
      </w:pPr>
      <w:r>
        <w:rPr>
          <w:lang w:eastAsia="en-AU"/>
        </w:rPr>
        <w:t>any material protected by a trademark; and</w:t>
      </w:r>
    </w:p>
    <w:p w:rsidR="00F41987" w:rsidRDefault="00F41987" w:rsidP="007945C1">
      <w:pPr>
        <w:pStyle w:val="copyrighttextStyles"/>
        <w:numPr>
          <w:ilvl w:val="0"/>
          <w:numId w:val="24"/>
        </w:numPr>
        <w:rPr>
          <w:lang w:eastAsia="en-AU"/>
        </w:rPr>
      </w:pPr>
      <w:r>
        <w:rPr>
          <w:lang w:eastAsia="en-AU"/>
        </w:rPr>
        <w:t>any images and/or photographs.</w:t>
      </w:r>
    </w:p>
    <w:p w:rsidR="00F41987" w:rsidRPr="006241BB" w:rsidRDefault="00F41987" w:rsidP="006241BB">
      <w:pPr>
        <w:pStyle w:val="copyrighttextStyles"/>
      </w:pPr>
      <w:bookmarkStart w:id="5" w:name="_Toc356292520"/>
      <w:r w:rsidRPr="006241BB">
        <w:t>More information on this CC BY license is set out at</w:t>
      </w:r>
      <w:r w:rsidR="00533634">
        <w:t xml:space="preserve"> the creative commons website:</w:t>
      </w:r>
      <w:r w:rsidRPr="006241BB">
        <w:t xml:space="preserve"> </w:t>
      </w:r>
      <w:bookmarkEnd w:id="5"/>
      <w:r w:rsidR="00235F66">
        <w:fldChar w:fldCharType="begin"/>
      </w:r>
      <w:r w:rsidR="00235F66">
        <w:instrText xml:space="preserve"> HYPERLINK "http://www.creativecommons.org/licenses/by/3.0/au/" </w:instrText>
      </w:r>
      <w:r w:rsidR="00235F66">
        <w:fldChar w:fldCharType="separate"/>
      </w:r>
      <w:r w:rsidRPr="006241BB">
        <w:rPr>
          <w:rStyle w:val="Hyperlink"/>
        </w:rPr>
        <w:t>www.creativecommons.org/licenses/by/3.0/au/</w:t>
      </w:r>
      <w:r w:rsidR="00235F66">
        <w:fldChar w:fldCharType="end"/>
      </w:r>
      <w:r w:rsidR="00533634">
        <w:t>.</w:t>
      </w:r>
      <w:r w:rsidR="00235F66">
        <w:t xml:space="preserve"> </w:t>
      </w:r>
      <w:r w:rsidRPr="006241BB">
        <w:t xml:space="preserve">Enquiries about this license and any use of this discussion paper can be sent to: </w:t>
      </w:r>
      <w:r w:rsidR="006241BB">
        <w:t>National Security and International Branch</w:t>
      </w:r>
      <w:r w:rsidRPr="006241BB">
        <w:t>, Department of Communications, GPO Box 2154, Canberra, ACT, 2601.</w:t>
      </w:r>
    </w:p>
    <w:p w:rsidR="00F41987" w:rsidRDefault="00F41987" w:rsidP="006241BB">
      <w:pPr>
        <w:pStyle w:val="copyrighttextStyles"/>
        <w:rPr>
          <w:b/>
          <w:bCs/>
          <w:lang w:eastAsia="en-AU"/>
        </w:rPr>
      </w:pPr>
      <w:bookmarkStart w:id="6" w:name="_Toc356292521"/>
      <w:r>
        <w:rPr>
          <w:b/>
          <w:bCs/>
          <w:lang w:eastAsia="en-AU"/>
        </w:rPr>
        <w:t>Attribution</w:t>
      </w:r>
      <w:bookmarkEnd w:id="6"/>
    </w:p>
    <w:p w:rsidR="00F41987" w:rsidRDefault="00F41987" w:rsidP="006241BB">
      <w:pPr>
        <w:pStyle w:val="copyrighttextStyles"/>
        <w:rPr>
          <w:lang w:eastAsia="en-AU"/>
        </w:rPr>
      </w:pPr>
      <w:bookmarkStart w:id="7" w:name="_Toc356292522"/>
      <w:r>
        <w:rPr>
          <w:lang w:eastAsia="en-AU"/>
        </w:rPr>
        <w:t>Use of all or part of this discussion paper must include the following attribution:</w:t>
      </w:r>
      <w:bookmarkEnd w:id="7"/>
    </w:p>
    <w:p w:rsidR="00F41987" w:rsidRDefault="00F41987" w:rsidP="00F818F8">
      <w:pPr>
        <w:pStyle w:val="copyrighttextStyles"/>
        <w:ind w:left="720"/>
        <w:rPr>
          <w:lang w:eastAsia="en-AU"/>
        </w:rPr>
      </w:pPr>
      <w:bookmarkStart w:id="8" w:name="_Toc356292523"/>
      <w:r>
        <w:rPr>
          <w:lang w:eastAsia="en-AU"/>
        </w:rPr>
        <w:t>© Commonwealth of Australia 201</w:t>
      </w:r>
      <w:bookmarkEnd w:id="8"/>
      <w:r>
        <w:rPr>
          <w:lang w:eastAsia="en-AU"/>
        </w:rPr>
        <w:t>4</w:t>
      </w:r>
    </w:p>
    <w:p w:rsidR="00F41987" w:rsidRDefault="00F41987" w:rsidP="006241BB">
      <w:pPr>
        <w:pStyle w:val="copyrighttextStyles"/>
        <w:rPr>
          <w:b/>
          <w:bCs/>
          <w:lang w:eastAsia="en-AU"/>
        </w:rPr>
      </w:pPr>
      <w:bookmarkStart w:id="9" w:name="_Toc356292524"/>
      <w:r>
        <w:rPr>
          <w:b/>
          <w:bCs/>
          <w:lang w:eastAsia="en-AU"/>
        </w:rPr>
        <w:t>Using the Commonwealth Coat of Arms</w:t>
      </w:r>
      <w:bookmarkEnd w:id="9"/>
    </w:p>
    <w:p w:rsidR="006241BB" w:rsidRPr="006241BB" w:rsidRDefault="00F41987" w:rsidP="006241BB">
      <w:pPr>
        <w:pStyle w:val="copyrighttextStyles"/>
      </w:pPr>
      <w:bookmarkStart w:id="10" w:name="_Toc356292525"/>
      <w:r w:rsidRPr="006241BB">
        <w:t xml:space="preserve">The terms of use for the Coat of Arms are available from the </w:t>
      </w:r>
      <w:r w:rsidRPr="006241BB">
        <w:rPr>
          <w:i/>
        </w:rPr>
        <w:t xml:space="preserve">It’s an Honour </w:t>
      </w:r>
      <w:r w:rsidRPr="006241BB">
        <w:t xml:space="preserve">website </w:t>
      </w:r>
      <w:r w:rsidRPr="006241BB">
        <w:br/>
        <w:t xml:space="preserve">(see </w:t>
      </w:r>
      <w:bookmarkEnd w:id="10"/>
      <w:r w:rsidR="00235F66">
        <w:fldChar w:fldCharType="begin"/>
      </w:r>
      <w:r w:rsidR="00235F66">
        <w:instrText xml:space="preserve"> HYPERLINK "http://www.itsanhonour.gov.au/" </w:instrText>
      </w:r>
      <w:r w:rsidR="00235F66">
        <w:fldChar w:fldCharType="separate"/>
      </w:r>
      <w:r w:rsidRPr="006241BB">
        <w:rPr>
          <w:rStyle w:val="Hyperlink"/>
        </w:rPr>
        <w:t>www.itsanhonour.gov.au</w:t>
      </w:r>
      <w:r w:rsidR="00235F66">
        <w:fldChar w:fldCharType="end"/>
      </w:r>
      <w:r w:rsidRPr="006241BB">
        <w:t xml:space="preserve"> and click ‘Commonwealth Coat of Arms’).</w:t>
      </w:r>
    </w:p>
    <w:p w:rsidR="002F3D38" w:rsidRPr="008828C2" w:rsidRDefault="002F3D38" w:rsidP="006241BB">
      <w:pPr>
        <w:pStyle w:val="copyrighttextStyles"/>
        <w:rPr>
          <w:rFonts w:eastAsia="Arial"/>
        </w:rPr>
      </w:pPr>
      <w:r>
        <w:br w:type="page"/>
      </w:r>
    </w:p>
    <w:p w:rsidR="00C61801" w:rsidRDefault="00C61801" w:rsidP="001B0C5C">
      <w:pPr>
        <w:pStyle w:val="TOCHeading"/>
        <w:rPr>
          <w:rFonts w:eastAsiaTheme="minorHAnsi"/>
        </w:rPr>
      </w:pPr>
      <w:r w:rsidRPr="00D153EC">
        <w:lastRenderedPageBreak/>
        <w:t>Contents</w:t>
      </w:r>
    </w:p>
    <w:p w:rsidR="001B0C5C" w:rsidRDefault="00AB0EF0" w:rsidP="001B0C5C">
      <w:pPr>
        <w:pStyle w:val="TOC1"/>
        <w:ind w:right="0"/>
        <w:rPr>
          <w:rFonts w:asciiTheme="minorHAnsi" w:eastAsiaTheme="minorEastAsia" w:hAnsiTheme="minorHAnsi"/>
          <w:color w:val="auto"/>
          <w:sz w:val="22"/>
          <w:lang w:eastAsia="en-AU"/>
        </w:rPr>
      </w:pPr>
      <w:r>
        <w:fldChar w:fldCharType="begin"/>
      </w:r>
      <w:r w:rsidR="00A52637">
        <w:instrText xml:space="preserve"> TOC \o "1-1" \h \z \t "Heading 2,2,Heading 3,3" </w:instrText>
      </w:r>
      <w:r>
        <w:fldChar w:fldCharType="separate"/>
      </w:r>
      <w:hyperlink w:anchor="_Toc405993863" w:history="1">
        <w:r w:rsidR="001B0C5C" w:rsidRPr="004C1EE3">
          <w:rPr>
            <w:rStyle w:val="Hyperlink"/>
          </w:rPr>
          <w:t>1.</w:t>
        </w:r>
        <w:r w:rsidR="001B0C5C">
          <w:rPr>
            <w:rFonts w:asciiTheme="minorHAnsi" w:eastAsiaTheme="minorEastAsia" w:hAnsiTheme="minorHAnsi"/>
            <w:color w:val="auto"/>
            <w:sz w:val="22"/>
            <w:lang w:eastAsia="en-AU"/>
          </w:rPr>
          <w:tab/>
        </w:r>
        <w:r w:rsidR="001B0C5C" w:rsidRPr="004C1EE3">
          <w:rPr>
            <w:rStyle w:val="Hyperlink"/>
          </w:rPr>
          <w:t>Overview</w:t>
        </w:r>
        <w:r w:rsidR="001B0C5C">
          <w:rPr>
            <w:webHidden/>
          </w:rPr>
          <w:tab/>
        </w:r>
        <w:r w:rsidR="001B0C5C">
          <w:rPr>
            <w:webHidden/>
          </w:rPr>
          <w:fldChar w:fldCharType="begin"/>
        </w:r>
        <w:r w:rsidR="001B0C5C">
          <w:rPr>
            <w:webHidden/>
          </w:rPr>
          <w:instrText xml:space="preserve"> PAGEREF _Toc405993863 \h </w:instrText>
        </w:r>
        <w:r w:rsidR="001B0C5C">
          <w:rPr>
            <w:webHidden/>
          </w:rPr>
        </w:r>
        <w:r w:rsidR="001B0C5C">
          <w:rPr>
            <w:webHidden/>
          </w:rPr>
          <w:fldChar w:fldCharType="separate"/>
        </w:r>
        <w:r w:rsidR="001B0C5C">
          <w:rPr>
            <w:webHidden/>
          </w:rPr>
          <w:t>4</w:t>
        </w:r>
        <w:r w:rsidR="001B0C5C">
          <w:rPr>
            <w:webHidden/>
          </w:rPr>
          <w:fldChar w:fldCharType="end"/>
        </w:r>
      </w:hyperlink>
    </w:p>
    <w:p w:rsidR="001B0C5C" w:rsidRDefault="00336F93" w:rsidP="001B0C5C">
      <w:pPr>
        <w:pStyle w:val="TOC1"/>
        <w:ind w:right="0"/>
        <w:rPr>
          <w:rFonts w:asciiTheme="minorHAnsi" w:eastAsiaTheme="minorEastAsia" w:hAnsiTheme="minorHAnsi"/>
          <w:color w:val="auto"/>
          <w:sz w:val="22"/>
          <w:lang w:eastAsia="en-AU"/>
        </w:rPr>
      </w:pPr>
      <w:hyperlink w:anchor="_Toc405993864" w:history="1">
        <w:r w:rsidR="001B0C5C" w:rsidRPr="004C1EE3">
          <w:rPr>
            <w:rStyle w:val="Hyperlink"/>
          </w:rPr>
          <w:t>2.</w:t>
        </w:r>
        <w:r w:rsidR="001B0C5C">
          <w:rPr>
            <w:rFonts w:asciiTheme="minorHAnsi" w:eastAsiaTheme="minorEastAsia" w:hAnsiTheme="minorHAnsi"/>
            <w:color w:val="auto"/>
            <w:sz w:val="22"/>
            <w:lang w:eastAsia="en-AU"/>
          </w:rPr>
          <w:tab/>
        </w:r>
        <w:r w:rsidR="001B0C5C" w:rsidRPr="004C1EE3">
          <w:rPr>
            <w:rStyle w:val="Hyperlink"/>
          </w:rPr>
          <w:t>Transition Period – 2015-2016</w:t>
        </w:r>
        <w:r w:rsidR="001B0C5C">
          <w:rPr>
            <w:webHidden/>
          </w:rPr>
          <w:tab/>
        </w:r>
        <w:r w:rsidR="001B0C5C">
          <w:rPr>
            <w:webHidden/>
          </w:rPr>
          <w:fldChar w:fldCharType="begin"/>
        </w:r>
        <w:r w:rsidR="001B0C5C">
          <w:rPr>
            <w:webHidden/>
          </w:rPr>
          <w:instrText xml:space="preserve"> PAGEREF _Toc405993864 \h </w:instrText>
        </w:r>
        <w:r w:rsidR="001B0C5C">
          <w:rPr>
            <w:webHidden/>
          </w:rPr>
        </w:r>
        <w:r w:rsidR="001B0C5C">
          <w:rPr>
            <w:webHidden/>
          </w:rPr>
          <w:fldChar w:fldCharType="separate"/>
        </w:r>
        <w:r w:rsidR="001B0C5C">
          <w:rPr>
            <w:webHidden/>
          </w:rPr>
          <w:t>5</w:t>
        </w:r>
        <w:r w:rsidR="001B0C5C">
          <w:rPr>
            <w:webHidden/>
          </w:rPr>
          <w:fldChar w:fldCharType="end"/>
        </w:r>
      </w:hyperlink>
    </w:p>
    <w:p w:rsidR="001B0C5C" w:rsidRDefault="00336F93" w:rsidP="001B0C5C">
      <w:pPr>
        <w:pStyle w:val="TOC2"/>
        <w:ind w:right="0"/>
        <w:rPr>
          <w:rFonts w:asciiTheme="minorHAnsi" w:eastAsiaTheme="minorEastAsia" w:hAnsiTheme="minorHAnsi"/>
          <w:noProof/>
          <w:lang w:eastAsia="en-AU"/>
        </w:rPr>
      </w:pPr>
      <w:hyperlink w:anchor="_Toc405993865" w:history="1">
        <w:r w:rsidR="001B0C5C" w:rsidRPr="004C1EE3">
          <w:rPr>
            <w:rStyle w:val="Hyperlink"/>
            <w:noProof/>
          </w:rPr>
          <w:t>2.1.</w:t>
        </w:r>
        <w:r w:rsidR="001B0C5C">
          <w:rPr>
            <w:rFonts w:asciiTheme="minorHAnsi" w:eastAsiaTheme="minorEastAsia" w:hAnsiTheme="minorHAnsi"/>
            <w:noProof/>
            <w:lang w:eastAsia="en-AU"/>
          </w:rPr>
          <w:tab/>
        </w:r>
        <w:r w:rsidR="001B0C5C" w:rsidRPr="004C1EE3">
          <w:rPr>
            <w:rStyle w:val="Hyperlink"/>
            <w:noProof/>
          </w:rPr>
          <w:t>New developments</w:t>
        </w:r>
        <w:r w:rsidR="001B0C5C">
          <w:rPr>
            <w:noProof/>
            <w:webHidden/>
          </w:rPr>
          <w:tab/>
        </w:r>
        <w:r w:rsidR="001B0C5C">
          <w:rPr>
            <w:noProof/>
            <w:webHidden/>
          </w:rPr>
          <w:fldChar w:fldCharType="begin"/>
        </w:r>
        <w:r w:rsidR="001B0C5C">
          <w:rPr>
            <w:noProof/>
            <w:webHidden/>
          </w:rPr>
          <w:instrText xml:space="preserve"> PAGEREF _Toc405993865 \h </w:instrText>
        </w:r>
        <w:r w:rsidR="001B0C5C">
          <w:rPr>
            <w:noProof/>
            <w:webHidden/>
          </w:rPr>
        </w:r>
        <w:r w:rsidR="001B0C5C">
          <w:rPr>
            <w:noProof/>
            <w:webHidden/>
          </w:rPr>
          <w:fldChar w:fldCharType="separate"/>
        </w:r>
        <w:r w:rsidR="001B0C5C">
          <w:rPr>
            <w:noProof/>
            <w:webHidden/>
          </w:rPr>
          <w:t>5</w:t>
        </w:r>
        <w:r w:rsidR="001B0C5C">
          <w:rPr>
            <w:noProof/>
            <w:webHidden/>
          </w:rPr>
          <w:fldChar w:fldCharType="end"/>
        </w:r>
      </w:hyperlink>
    </w:p>
    <w:p w:rsidR="001B0C5C" w:rsidRDefault="00336F93" w:rsidP="001B0C5C">
      <w:pPr>
        <w:pStyle w:val="TOC2"/>
        <w:ind w:right="0"/>
        <w:rPr>
          <w:rFonts w:asciiTheme="minorHAnsi" w:eastAsiaTheme="minorEastAsia" w:hAnsiTheme="minorHAnsi"/>
          <w:noProof/>
          <w:lang w:eastAsia="en-AU"/>
        </w:rPr>
      </w:pPr>
      <w:hyperlink w:anchor="_Toc405993866" w:history="1">
        <w:r w:rsidR="001B0C5C" w:rsidRPr="004C1EE3">
          <w:rPr>
            <w:rStyle w:val="Hyperlink"/>
            <w:noProof/>
          </w:rPr>
          <w:t>2.2.</w:t>
        </w:r>
        <w:r w:rsidR="001B0C5C">
          <w:rPr>
            <w:rFonts w:asciiTheme="minorHAnsi" w:eastAsiaTheme="minorEastAsia" w:hAnsiTheme="minorHAnsi"/>
            <w:noProof/>
            <w:lang w:eastAsia="en-AU"/>
          </w:rPr>
          <w:tab/>
        </w:r>
        <w:r w:rsidR="001B0C5C" w:rsidRPr="004C1EE3">
          <w:rPr>
            <w:rStyle w:val="Hyperlink"/>
            <w:noProof/>
          </w:rPr>
          <w:t>Carrier licence condition</w:t>
        </w:r>
        <w:r w:rsidR="001B0C5C">
          <w:rPr>
            <w:noProof/>
            <w:webHidden/>
          </w:rPr>
          <w:tab/>
        </w:r>
        <w:r w:rsidR="001B0C5C">
          <w:rPr>
            <w:noProof/>
            <w:webHidden/>
          </w:rPr>
          <w:fldChar w:fldCharType="begin"/>
        </w:r>
        <w:r w:rsidR="001B0C5C">
          <w:rPr>
            <w:noProof/>
            <w:webHidden/>
          </w:rPr>
          <w:instrText xml:space="preserve"> PAGEREF _Toc405993866 \h </w:instrText>
        </w:r>
        <w:r w:rsidR="001B0C5C">
          <w:rPr>
            <w:noProof/>
            <w:webHidden/>
          </w:rPr>
        </w:r>
        <w:r w:rsidR="001B0C5C">
          <w:rPr>
            <w:noProof/>
            <w:webHidden/>
          </w:rPr>
          <w:fldChar w:fldCharType="separate"/>
        </w:r>
        <w:r w:rsidR="001B0C5C">
          <w:rPr>
            <w:noProof/>
            <w:webHidden/>
          </w:rPr>
          <w:t>5</w:t>
        </w:r>
        <w:r w:rsidR="001B0C5C">
          <w:rPr>
            <w:noProof/>
            <w:webHidden/>
          </w:rPr>
          <w:fldChar w:fldCharType="end"/>
        </w:r>
      </w:hyperlink>
    </w:p>
    <w:p w:rsidR="001B0C5C" w:rsidRDefault="00336F93" w:rsidP="001B0C5C">
      <w:pPr>
        <w:pStyle w:val="TOC2"/>
        <w:ind w:right="0"/>
        <w:rPr>
          <w:rFonts w:asciiTheme="minorHAnsi" w:eastAsiaTheme="minorEastAsia" w:hAnsiTheme="minorHAnsi"/>
          <w:noProof/>
          <w:lang w:eastAsia="en-AU"/>
        </w:rPr>
      </w:pPr>
      <w:hyperlink w:anchor="_Toc405993867" w:history="1">
        <w:r w:rsidR="001B0C5C" w:rsidRPr="004C1EE3">
          <w:rPr>
            <w:rStyle w:val="Hyperlink"/>
            <w:noProof/>
          </w:rPr>
          <w:t>2.3.</w:t>
        </w:r>
        <w:r w:rsidR="001B0C5C">
          <w:rPr>
            <w:rFonts w:asciiTheme="minorHAnsi" w:eastAsiaTheme="minorEastAsia" w:hAnsiTheme="minorHAnsi"/>
            <w:noProof/>
            <w:lang w:eastAsia="en-AU"/>
          </w:rPr>
          <w:tab/>
        </w:r>
        <w:r w:rsidR="001B0C5C" w:rsidRPr="004C1EE3">
          <w:rPr>
            <w:rStyle w:val="Hyperlink"/>
            <w:noProof/>
          </w:rPr>
          <w:t>VDSL2 measures</w:t>
        </w:r>
        <w:r w:rsidR="001B0C5C">
          <w:rPr>
            <w:noProof/>
            <w:webHidden/>
          </w:rPr>
          <w:tab/>
        </w:r>
        <w:r w:rsidR="001B0C5C">
          <w:rPr>
            <w:noProof/>
            <w:webHidden/>
          </w:rPr>
          <w:fldChar w:fldCharType="begin"/>
        </w:r>
        <w:r w:rsidR="001B0C5C">
          <w:rPr>
            <w:noProof/>
            <w:webHidden/>
          </w:rPr>
          <w:instrText xml:space="preserve"> PAGEREF _Toc405993867 \h </w:instrText>
        </w:r>
        <w:r w:rsidR="001B0C5C">
          <w:rPr>
            <w:noProof/>
            <w:webHidden/>
          </w:rPr>
        </w:r>
        <w:r w:rsidR="001B0C5C">
          <w:rPr>
            <w:noProof/>
            <w:webHidden/>
          </w:rPr>
          <w:fldChar w:fldCharType="separate"/>
        </w:r>
        <w:r w:rsidR="001B0C5C">
          <w:rPr>
            <w:noProof/>
            <w:webHidden/>
          </w:rPr>
          <w:t>5</w:t>
        </w:r>
        <w:r w:rsidR="001B0C5C">
          <w:rPr>
            <w:noProof/>
            <w:webHidden/>
          </w:rPr>
          <w:fldChar w:fldCharType="end"/>
        </w:r>
      </w:hyperlink>
    </w:p>
    <w:p w:rsidR="001B0C5C" w:rsidRDefault="00336F93" w:rsidP="001B0C5C">
      <w:pPr>
        <w:pStyle w:val="TOC2"/>
        <w:ind w:right="0"/>
        <w:rPr>
          <w:rFonts w:asciiTheme="minorHAnsi" w:eastAsiaTheme="minorEastAsia" w:hAnsiTheme="minorHAnsi"/>
          <w:noProof/>
          <w:lang w:eastAsia="en-AU"/>
        </w:rPr>
      </w:pPr>
      <w:hyperlink w:anchor="_Toc405993868" w:history="1">
        <w:r w:rsidR="001B0C5C" w:rsidRPr="004C1EE3">
          <w:rPr>
            <w:rStyle w:val="Hyperlink"/>
            <w:noProof/>
          </w:rPr>
          <w:t>2.4.</w:t>
        </w:r>
        <w:r w:rsidR="001B0C5C">
          <w:rPr>
            <w:rFonts w:asciiTheme="minorHAnsi" w:eastAsiaTheme="minorEastAsia" w:hAnsiTheme="minorHAnsi"/>
            <w:noProof/>
            <w:lang w:eastAsia="en-AU"/>
          </w:rPr>
          <w:tab/>
        </w:r>
        <w:r w:rsidR="001B0C5C" w:rsidRPr="004C1EE3">
          <w:rPr>
            <w:rStyle w:val="Hyperlink"/>
            <w:noProof/>
          </w:rPr>
          <w:t>NBN Co’s wholesale pricing</w:t>
        </w:r>
        <w:r w:rsidR="001B0C5C">
          <w:rPr>
            <w:noProof/>
            <w:webHidden/>
          </w:rPr>
          <w:tab/>
        </w:r>
        <w:r w:rsidR="001B0C5C">
          <w:rPr>
            <w:noProof/>
            <w:webHidden/>
          </w:rPr>
          <w:fldChar w:fldCharType="begin"/>
        </w:r>
        <w:r w:rsidR="001B0C5C">
          <w:rPr>
            <w:noProof/>
            <w:webHidden/>
          </w:rPr>
          <w:instrText xml:space="preserve"> PAGEREF _Toc405993868 \h </w:instrText>
        </w:r>
        <w:r w:rsidR="001B0C5C">
          <w:rPr>
            <w:noProof/>
            <w:webHidden/>
          </w:rPr>
        </w:r>
        <w:r w:rsidR="001B0C5C">
          <w:rPr>
            <w:noProof/>
            <w:webHidden/>
          </w:rPr>
          <w:fldChar w:fldCharType="separate"/>
        </w:r>
        <w:r w:rsidR="001B0C5C">
          <w:rPr>
            <w:noProof/>
            <w:webHidden/>
          </w:rPr>
          <w:t>5</w:t>
        </w:r>
        <w:r w:rsidR="001B0C5C">
          <w:rPr>
            <w:noProof/>
            <w:webHidden/>
          </w:rPr>
          <w:fldChar w:fldCharType="end"/>
        </w:r>
      </w:hyperlink>
    </w:p>
    <w:p w:rsidR="001B0C5C" w:rsidRDefault="00336F93" w:rsidP="001B0C5C">
      <w:pPr>
        <w:pStyle w:val="TOC2"/>
        <w:ind w:right="0"/>
        <w:rPr>
          <w:rFonts w:asciiTheme="minorHAnsi" w:eastAsiaTheme="minorEastAsia" w:hAnsiTheme="minorHAnsi"/>
          <w:noProof/>
          <w:lang w:eastAsia="en-AU"/>
        </w:rPr>
      </w:pPr>
      <w:hyperlink w:anchor="_Toc405993869" w:history="1">
        <w:r w:rsidR="001B0C5C" w:rsidRPr="004C1EE3">
          <w:rPr>
            <w:rStyle w:val="Hyperlink"/>
            <w:noProof/>
          </w:rPr>
          <w:t>2.5.</w:t>
        </w:r>
        <w:r w:rsidR="001B0C5C">
          <w:rPr>
            <w:rFonts w:asciiTheme="minorHAnsi" w:eastAsiaTheme="minorEastAsia" w:hAnsiTheme="minorHAnsi"/>
            <w:noProof/>
            <w:lang w:eastAsia="en-AU"/>
          </w:rPr>
          <w:tab/>
        </w:r>
        <w:r w:rsidR="001B0C5C" w:rsidRPr="004C1EE3">
          <w:rPr>
            <w:rStyle w:val="Hyperlink"/>
            <w:noProof/>
          </w:rPr>
          <w:t>Competition regulation</w:t>
        </w:r>
        <w:r w:rsidR="001B0C5C">
          <w:rPr>
            <w:noProof/>
            <w:webHidden/>
          </w:rPr>
          <w:tab/>
        </w:r>
        <w:r w:rsidR="001B0C5C">
          <w:rPr>
            <w:noProof/>
            <w:webHidden/>
          </w:rPr>
          <w:fldChar w:fldCharType="begin"/>
        </w:r>
        <w:r w:rsidR="001B0C5C">
          <w:rPr>
            <w:noProof/>
            <w:webHidden/>
          </w:rPr>
          <w:instrText xml:space="preserve"> PAGEREF _Toc405993869 \h </w:instrText>
        </w:r>
        <w:r w:rsidR="001B0C5C">
          <w:rPr>
            <w:noProof/>
            <w:webHidden/>
          </w:rPr>
        </w:r>
        <w:r w:rsidR="001B0C5C">
          <w:rPr>
            <w:noProof/>
            <w:webHidden/>
          </w:rPr>
          <w:fldChar w:fldCharType="separate"/>
        </w:r>
        <w:r w:rsidR="001B0C5C">
          <w:rPr>
            <w:noProof/>
            <w:webHidden/>
          </w:rPr>
          <w:t>6</w:t>
        </w:r>
        <w:r w:rsidR="001B0C5C">
          <w:rPr>
            <w:noProof/>
            <w:webHidden/>
          </w:rPr>
          <w:fldChar w:fldCharType="end"/>
        </w:r>
      </w:hyperlink>
    </w:p>
    <w:p w:rsidR="001B0C5C" w:rsidRDefault="00336F93" w:rsidP="001B0C5C">
      <w:pPr>
        <w:pStyle w:val="TOC2"/>
        <w:ind w:right="0"/>
        <w:rPr>
          <w:rFonts w:asciiTheme="minorHAnsi" w:eastAsiaTheme="minorEastAsia" w:hAnsiTheme="minorHAnsi"/>
          <w:noProof/>
          <w:lang w:eastAsia="en-AU"/>
        </w:rPr>
      </w:pPr>
      <w:hyperlink w:anchor="_Toc405993870" w:history="1">
        <w:r w:rsidR="001B0C5C" w:rsidRPr="004C1EE3">
          <w:rPr>
            <w:rStyle w:val="Hyperlink"/>
            <w:noProof/>
          </w:rPr>
          <w:t>2.6.</w:t>
        </w:r>
        <w:r w:rsidR="001B0C5C">
          <w:rPr>
            <w:rFonts w:asciiTheme="minorHAnsi" w:eastAsiaTheme="minorEastAsia" w:hAnsiTheme="minorHAnsi"/>
            <w:noProof/>
            <w:lang w:eastAsia="en-AU"/>
          </w:rPr>
          <w:tab/>
        </w:r>
        <w:r w:rsidR="001B0C5C" w:rsidRPr="004C1EE3">
          <w:rPr>
            <w:rStyle w:val="Hyperlink"/>
            <w:noProof/>
          </w:rPr>
          <w:t>Funding for non-commercial services</w:t>
        </w:r>
        <w:r w:rsidR="001B0C5C">
          <w:rPr>
            <w:noProof/>
            <w:webHidden/>
          </w:rPr>
          <w:tab/>
        </w:r>
        <w:r w:rsidR="001B0C5C">
          <w:rPr>
            <w:noProof/>
            <w:webHidden/>
          </w:rPr>
          <w:fldChar w:fldCharType="begin"/>
        </w:r>
        <w:r w:rsidR="001B0C5C">
          <w:rPr>
            <w:noProof/>
            <w:webHidden/>
          </w:rPr>
          <w:instrText xml:space="preserve"> PAGEREF _Toc405993870 \h </w:instrText>
        </w:r>
        <w:r w:rsidR="001B0C5C">
          <w:rPr>
            <w:noProof/>
            <w:webHidden/>
          </w:rPr>
        </w:r>
        <w:r w:rsidR="001B0C5C">
          <w:rPr>
            <w:noProof/>
            <w:webHidden/>
          </w:rPr>
          <w:fldChar w:fldCharType="separate"/>
        </w:r>
        <w:r w:rsidR="001B0C5C">
          <w:rPr>
            <w:noProof/>
            <w:webHidden/>
          </w:rPr>
          <w:t>6</w:t>
        </w:r>
        <w:r w:rsidR="001B0C5C">
          <w:rPr>
            <w:noProof/>
            <w:webHidden/>
          </w:rPr>
          <w:fldChar w:fldCharType="end"/>
        </w:r>
      </w:hyperlink>
    </w:p>
    <w:p w:rsidR="001B0C5C" w:rsidRDefault="00336F93" w:rsidP="001B0C5C">
      <w:pPr>
        <w:pStyle w:val="TOC2"/>
        <w:ind w:right="0"/>
        <w:rPr>
          <w:rFonts w:asciiTheme="minorHAnsi" w:eastAsiaTheme="minorEastAsia" w:hAnsiTheme="minorHAnsi"/>
          <w:noProof/>
          <w:lang w:eastAsia="en-AU"/>
        </w:rPr>
      </w:pPr>
      <w:hyperlink w:anchor="_Toc405993871" w:history="1">
        <w:r w:rsidR="001B0C5C" w:rsidRPr="004C1EE3">
          <w:rPr>
            <w:rStyle w:val="Hyperlink"/>
            <w:noProof/>
          </w:rPr>
          <w:t>2.7.</w:t>
        </w:r>
        <w:r w:rsidR="001B0C5C">
          <w:rPr>
            <w:rFonts w:asciiTheme="minorHAnsi" w:eastAsiaTheme="minorEastAsia" w:hAnsiTheme="minorHAnsi"/>
            <w:noProof/>
            <w:lang w:eastAsia="en-AU"/>
          </w:rPr>
          <w:tab/>
        </w:r>
        <w:r w:rsidR="001B0C5C" w:rsidRPr="004C1EE3">
          <w:rPr>
            <w:rStyle w:val="Hyperlink"/>
            <w:noProof/>
          </w:rPr>
          <w:t>NBN Co structural options</w:t>
        </w:r>
        <w:r w:rsidR="001B0C5C">
          <w:rPr>
            <w:noProof/>
            <w:webHidden/>
          </w:rPr>
          <w:tab/>
        </w:r>
        <w:r w:rsidR="001B0C5C">
          <w:rPr>
            <w:noProof/>
            <w:webHidden/>
          </w:rPr>
          <w:fldChar w:fldCharType="begin"/>
        </w:r>
        <w:r w:rsidR="001B0C5C">
          <w:rPr>
            <w:noProof/>
            <w:webHidden/>
          </w:rPr>
          <w:instrText xml:space="preserve"> PAGEREF _Toc405993871 \h </w:instrText>
        </w:r>
        <w:r w:rsidR="001B0C5C">
          <w:rPr>
            <w:noProof/>
            <w:webHidden/>
          </w:rPr>
        </w:r>
        <w:r w:rsidR="001B0C5C">
          <w:rPr>
            <w:noProof/>
            <w:webHidden/>
          </w:rPr>
          <w:fldChar w:fldCharType="separate"/>
        </w:r>
        <w:r w:rsidR="001B0C5C">
          <w:rPr>
            <w:noProof/>
            <w:webHidden/>
          </w:rPr>
          <w:t>6</w:t>
        </w:r>
        <w:r w:rsidR="001B0C5C">
          <w:rPr>
            <w:noProof/>
            <w:webHidden/>
          </w:rPr>
          <w:fldChar w:fldCharType="end"/>
        </w:r>
      </w:hyperlink>
    </w:p>
    <w:p w:rsidR="001B0C5C" w:rsidRDefault="00336F93" w:rsidP="001B0C5C">
      <w:pPr>
        <w:pStyle w:val="TOC1"/>
        <w:ind w:right="0"/>
        <w:rPr>
          <w:rFonts w:asciiTheme="minorHAnsi" w:eastAsiaTheme="minorEastAsia" w:hAnsiTheme="minorHAnsi"/>
          <w:color w:val="auto"/>
          <w:sz w:val="22"/>
          <w:lang w:eastAsia="en-AU"/>
        </w:rPr>
      </w:pPr>
      <w:hyperlink w:anchor="_Toc405993872" w:history="1">
        <w:r w:rsidR="001B0C5C" w:rsidRPr="004C1EE3">
          <w:rPr>
            <w:rStyle w:val="Hyperlink"/>
          </w:rPr>
          <w:t>3.</w:t>
        </w:r>
        <w:r w:rsidR="001B0C5C">
          <w:rPr>
            <w:rFonts w:asciiTheme="minorHAnsi" w:eastAsiaTheme="minorEastAsia" w:hAnsiTheme="minorHAnsi"/>
            <w:color w:val="auto"/>
            <w:sz w:val="22"/>
            <w:lang w:eastAsia="en-AU"/>
          </w:rPr>
          <w:tab/>
        </w:r>
        <w:r w:rsidR="001B0C5C" w:rsidRPr="004C1EE3">
          <w:rPr>
            <w:rStyle w:val="Hyperlink"/>
          </w:rPr>
          <w:t>New Regulatory Framework</w:t>
        </w:r>
        <w:r w:rsidR="001B0C5C">
          <w:rPr>
            <w:webHidden/>
          </w:rPr>
          <w:tab/>
        </w:r>
        <w:r w:rsidR="001B0C5C">
          <w:rPr>
            <w:webHidden/>
          </w:rPr>
          <w:fldChar w:fldCharType="begin"/>
        </w:r>
        <w:r w:rsidR="001B0C5C">
          <w:rPr>
            <w:webHidden/>
          </w:rPr>
          <w:instrText xml:space="preserve"> PAGEREF _Toc405993872 \h </w:instrText>
        </w:r>
        <w:r w:rsidR="001B0C5C">
          <w:rPr>
            <w:webHidden/>
          </w:rPr>
        </w:r>
        <w:r w:rsidR="001B0C5C">
          <w:rPr>
            <w:webHidden/>
          </w:rPr>
          <w:fldChar w:fldCharType="separate"/>
        </w:r>
        <w:r w:rsidR="001B0C5C">
          <w:rPr>
            <w:webHidden/>
          </w:rPr>
          <w:t>7</w:t>
        </w:r>
        <w:r w:rsidR="001B0C5C">
          <w:rPr>
            <w:webHidden/>
          </w:rPr>
          <w:fldChar w:fldCharType="end"/>
        </w:r>
      </w:hyperlink>
    </w:p>
    <w:p w:rsidR="001B0C5C" w:rsidRDefault="00336F93" w:rsidP="001B0C5C">
      <w:pPr>
        <w:pStyle w:val="TOC1"/>
        <w:ind w:right="0"/>
        <w:rPr>
          <w:rFonts w:asciiTheme="minorHAnsi" w:eastAsiaTheme="minorEastAsia" w:hAnsiTheme="minorHAnsi"/>
          <w:color w:val="auto"/>
          <w:sz w:val="22"/>
          <w:lang w:eastAsia="en-AU"/>
        </w:rPr>
      </w:pPr>
      <w:hyperlink w:anchor="_Toc405993873" w:history="1">
        <w:r w:rsidR="001B0C5C" w:rsidRPr="004C1EE3">
          <w:rPr>
            <w:rStyle w:val="Hyperlink"/>
          </w:rPr>
          <w:t>4.</w:t>
        </w:r>
        <w:r w:rsidR="001B0C5C">
          <w:rPr>
            <w:rFonts w:asciiTheme="minorHAnsi" w:eastAsiaTheme="minorEastAsia" w:hAnsiTheme="minorHAnsi"/>
            <w:color w:val="auto"/>
            <w:sz w:val="22"/>
            <w:lang w:eastAsia="en-AU"/>
          </w:rPr>
          <w:tab/>
        </w:r>
        <w:r w:rsidR="001B0C5C" w:rsidRPr="004C1EE3">
          <w:rPr>
            <w:rStyle w:val="Hyperlink"/>
          </w:rPr>
          <w:t>Pre-NBN Co Privatisation</w:t>
        </w:r>
        <w:r w:rsidR="001B0C5C">
          <w:rPr>
            <w:webHidden/>
          </w:rPr>
          <w:tab/>
        </w:r>
        <w:r w:rsidR="001B0C5C">
          <w:rPr>
            <w:webHidden/>
          </w:rPr>
          <w:fldChar w:fldCharType="begin"/>
        </w:r>
        <w:r w:rsidR="001B0C5C">
          <w:rPr>
            <w:webHidden/>
          </w:rPr>
          <w:instrText xml:space="preserve"> PAGEREF _Toc405993873 \h </w:instrText>
        </w:r>
        <w:r w:rsidR="001B0C5C">
          <w:rPr>
            <w:webHidden/>
          </w:rPr>
        </w:r>
        <w:r w:rsidR="001B0C5C">
          <w:rPr>
            <w:webHidden/>
          </w:rPr>
          <w:fldChar w:fldCharType="separate"/>
        </w:r>
        <w:r w:rsidR="001B0C5C">
          <w:rPr>
            <w:webHidden/>
          </w:rPr>
          <w:t>7</w:t>
        </w:r>
        <w:r w:rsidR="001B0C5C">
          <w:rPr>
            <w:webHidden/>
          </w:rPr>
          <w:fldChar w:fldCharType="end"/>
        </w:r>
      </w:hyperlink>
    </w:p>
    <w:p w:rsidR="001B0C5C" w:rsidRDefault="00336F93" w:rsidP="001B0C5C">
      <w:pPr>
        <w:pStyle w:val="TOC1"/>
        <w:ind w:right="0"/>
        <w:rPr>
          <w:rFonts w:asciiTheme="minorHAnsi" w:eastAsiaTheme="minorEastAsia" w:hAnsiTheme="minorHAnsi"/>
          <w:color w:val="auto"/>
          <w:sz w:val="22"/>
          <w:lang w:eastAsia="en-AU"/>
        </w:rPr>
      </w:pPr>
      <w:hyperlink w:anchor="_Toc405993874" w:history="1">
        <w:r w:rsidR="001B0C5C" w:rsidRPr="004C1EE3">
          <w:rPr>
            <w:rStyle w:val="Hyperlink"/>
          </w:rPr>
          <w:t>Attachment A – Diagram of stages of reforms</w:t>
        </w:r>
        <w:r w:rsidR="001B0C5C">
          <w:rPr>
            <w:webHidden/>
          </w:rPr>
          <w:tab/>
        </w:r>
        <w:r w:rsidR="001B0C5C">
          <w:rPr>
            <w:webHidden/>
          </w:rPr>
          <w:fldChar w:fldCharType="begin"/>
        </w:r>
        <w:r w:rsidR="001B0C5C">
          <w:rPr>
            <w:webHidden/>
          </w:rPr>
          <w:instrText xml:space="preserve"> PAGEREF _Toc405993874 \h </w:instrText>
        </w:r>
        <w:r w:rsidR="001B0C5C">
          <w:rPr>
            <w:webHidden/>
          </w:rPr>
        </w:r>
        <w:r w:rsidR="001B0C5C">
          <w:rPr>
            <w:webHidden/>
          </w:rPr>
          <w:fldChar w:fldCharType="separate"/>
        </w:r>
        <w:r w:rsidR="001B0C5C">
          <w:rPr>
            <w:webHidden/>
          </w:rPr>
          <w:t>8</w:t>
        </w:r>
        <w:r w:rsidR="001B0C5C">
          <w:rPr>
            <w:webHidden/>
          </w:rPr>
          <w:fldChar w:fldCharType="end"/>
        </w:r>
      </w:hyperlink>
    </w:p>
    <w:p w:rsidR="001B0C5C" w:rsidRDefault="00336F93" w:rsidP="001B0C5C">
      <w:pPr>
        <w:pStyle w:val="TOC1"/>
        <w:ind w:right="0"/>
        <w:rPr>
          <w:rFonts w:asciiTheme="minorHAnsi" w:eastAsiaTheme="minorEastAsia" w:hAnsiTheme="minorHAnsi"/>
          <w:color w:val="auto"/>
          <w:sz w:val="22"/>
          <w:lang w:eastAsia="en-AU"/>
        </w:rPr>
      </w:pPr>
      <w:hyperlink w:anchor="_Toc405993875" w:history="1">
        <w:r w:rsidR="001B0C5C" w:rsidRPr="004C1EE3">
          <w:rPr>
            <w:rStyle w:val="Hyperlink"/>
          </w:rPr>
          <w:t>Attachment B – Government Response to Vertigan Review</w:t>
        </w:r>
        <w:r w:rsidR="001B0C5C">
          <w:rPr>
            <w:webHidden/>
          </w:rPr>
          <w:tab/>
        </w:r>
        <w:r w:rsidR="001B0C5C">
          <w:rPr>
            <w:webHidden/>
          </w:rPr>
          <w:fldChar w:fldCharType="begin"/>
        </w:r>
        <w:r w:rsidR="001B0C5C">
          <w:rPr>
            <w:webHidden/>
          </w:rPr>
          <w:instrText xml:space="preserve"> PAGEREF _Toc405993875 \h </w:instrText>
        </w:r>
        <w:r w:rsidR="001B0C5C">
          <w:rPr>
            <w:webHidden/>
          </w:rPr>
        </w:r>
        <w:r w:rsidR="001B0C5C">
          <w:rPr>
            <w:webHidden/>
          </w:rPr>
          <w:fldChar w:fldCharType="separate"/>
        </w:r>
        <w:r w:rsidR="001B0C5C">
          <w:rPr>
            <w:webHidden/>
          </w:rPr>
          <w:t>9</w:t>
        </w:r>
        <w:r w:rsidR="001B0C5C">
          <w:rPr>
            <w:webHidden/>
          </w:rPr>
          <w:fldChar w:fldCharType="end"/>
        </w:r>
      </w:hyperlink>
    </w:p>
    <w:p w:rsidR="00B46E1B" w:rsidRPr="00B46E1B" w:rsidRDefault="00AB0EF0" w:rsidP="001B0C5C">
      <w:pPr>
        <w:tabs>
          <w:tab w:val="left" w:pos="8364"/>
        </w:tabs>
      </w:pPr>
      <w:r>
        <w:rPr>
          <w:noProof/>
          <w:color w:val="00728F"/>
          <w:sz w:val="24"/>
        </w:rPr>
        <w:fldChar w:fldCharType="end"/>
      </w:r>
      <w:r w:rsidR="00C61801">
        <w:br w:type="page"/>
      </w:r>
      <w:bookmarkStart w:id="11" w:name="_Toc382493210"/>
      <w:bookmarkStart w:id="12" w:name="_Toc382580071"/>
    </w:p>
    <w:p w:rsidR="00CA552F" w:rsidRPr="00CA552F" w:rsidRDefault="00CA552F" w:rsidP="00D4017E">
      <w:pPr>
        <w:pStyle w:val="Heading1"/>
        <w:numPr>
          <w:ilvl w:val="0"/>
          <w:numId w:val="21"/>
        </w:numPr>
      </w:pPr>
      <w:bookmarkStart w:id="13" w:name="_Toc405481704"/>
      <w:bookmarkStart w:id="14" w:name="_Toc405993863"/>
      <w:bookmarkEnd w:id="11"/>
      <w:bookmarkEnd w:id="12"/>
      <w:r w:rsidRPr="00CA552F">
        <w:lastRenderedPageBreak/>
        <w:t>Overview</w:t>
      </w:r>
      <w:bookmarkEnd w:id="13"/>
      <w:bookmarkEnd w:id="14"/>
    </w:p>
    <w:p w:rsidR="00CA552F" w:rsidRPr="00CA552F" w:rsidRDefault="00CA552F" w:rsidP="00CA552F">
      <w:bookmarkStart w:id="15" w:name="_Toc405481705"/>
      <w:r w:rsidRPr="00CA552F">
        <w:t>This policy paper sets out the Government’s framework for regulatory reform in the telecommunications sector, including its response to the 53 recommendations made by the Vertigan panel’s Independent Cost-Benefit Analysis and Review of Regulation.</w:t>
      </w:r>
      <w:r w:rsidRPr="00CA552F">
        <w:rPr>
          <w:vertAlign w:val="superscript"/>
        </w:rPr>
        <w:footnoteReference w:id="2"/>
      </w:r>
      <w:r w:rsidRPr="00CA552F">
        <w:t xml:space="preserve"> </w:t>
      </w:r>
    </w:p>
    <w:p w:rsidR="00CA552F" w:rsidRPr="00CA552F" w:rsidRDefault="00CA552F" w:rsidP="00CA552F">
      <w:r w:rsidRPr="00CA552F">
        <w:t>The Government believes that its approach to regulation in the telecommunications market should not unnecessarily restrict competition and, to this end, will adopt the following overarching regulatory policy principles:</w:t>
      </w:r>
    </w:p>
    <w:p w:rsidR="00CA552F" w:rsidRPr="00CA552F" w:rsidRDefault="00CA552F" w:rsidP="00CA552F">
      <w:pPr>
        <w:numPr>
          <w:ilvl w:val="0"/>
          <w:numId w:val="25"/>
        </w:numPr>
        <w:spacing w:before="0" w:after="160" w:line="259" w:lineRule="auto"/>
        <w:contextualSpacing/>
      </w:pPr>
      <w:r w:rsidRPr="00CA552F">
        <w:t>Regulation should allow competition at both the retail and wholesale/infrastructure levels.</w:t>
      </w:r>
    </w:p>
    <w:p w:rsidR="00CA552F" w:rsidRPr="00CA552F" w:rsidRDefault="00CA552F" w:rsidP="00CA552F">
      <w:pPr>
        <w:numPr>
          <w:ilvl w:val="0"/>
          <w:numId w:val="25"/>
        </w:numPr>
        <w:spacing w:before="0" w:after="160" w:line="259" w:lineRule="auto"/>
        <w:contextualSpacing/>
      </w:pPr>
      <w:r w:rsidRPr="00CA552F">
        <w:t>To the greatest extent possible industry players should be treated consistently under the regulatory framework.</w:t>
      </w:r>
    </w:p>
    <w:p w:rsidR="00CA552F" w:rsidRPr="00CA552F" w:rsidRDefault="00CA552F" w:rsidP="00CA552F">
      <w:pPr>
        <w:numPr>
          <w:ilvl w:val="0"/>
          <w:numId w:val="25"/>
        </w:numPr>
        <w:spacing w:before="0" w:after="160" w:line="259" w:lineRule="auto"/>
        <w:contextualSpacing/>
      </w:pPr>
      <w:r w:rsidRPr="00CA552F">
        <w:t>New high-speed broadband access networks (which control ‘last mile’ connections to consumers) should be vertically separated.</w:t>
      </w:r>
    </w:p>
    <w:p w:rsidR="00CA552F" w:rsidRPr="00CA552F" w:rsidRDefault="00CA552F" w:rsidP="00CA552F">
      <w:r w:rsidRPr="00CA552F">
        <w:t xml:space="preserve">To put in place market arrangements that are consistent with these principles entails a very significant shift from the current model.  A competitively neutral telecommunications regulatory regime was compromised by legislative and regulatory reforms undertaken between 2009 and 2011 to enable the implementation of the National Broadband Network (NBN).  Elements of the NBN policy adopted by the then-government required NBN Co to provide very substantial non-commercial services and sought to provide competitive protections to NBN Co in commercially attractive areas so that it could fund non-commercial services with an internal cross-subsidy </w:t>
      </w:r>
    </w:p>
    <w:p w:rsidR="00CA552F" w:rsidRPr="00CA552F" w:rsidRDefault="00CA552F" w:rsidP="00CA552F">
      <w:r w:rsidRPr="00CA552F">
        <w:t xml:space="preserve">This model is unsustainable in the long term and not in the interests of the consumers who ultimately fund the cost of the services under any model, and typically face higher costs where competition is reduced. </w:t>
      </w:r>
    </w:p>
    <w:p w:rsidR="00CA552F" w:rsidRPr="00CA552F" w:rsidRDefault="00CA552F" w:rsidP="00CA552F">
      <w:r w:rsidRPr="00CA552F">
        <w:t xml:space="preserve">Against this backdrop the Government is seeking to establish a more competitive regulatory framework, and as it continues to roll out the NBN, to make NBN Co more ‘competition ready’.  The proposed arrangements will provide clear and consistent rules for carriers looking to invest in new high-speed broadband access networks, ensure access for retail service providers on a structurally separated basis, and deliver competitive neutrality for NBN Co and other industry players. </w:t>
      </w:r>
    </w:p>
    <w:p w:rsidR="00CA552F" w:rsidRPr="00CA552F" w:rsidRDefault="00CA552F" w:rsidP="00CA552F">
      <w:r w:rsidRPr="00CA552F">
        <w:lastRenderedPageBreak/>
        <w:t>Reform of the existing arrangements needs to be implemented gradually, through a transition plan that balances the benefits of the regulatory changes with the potentially adverse impact of some changes on the rollout of the NBN.  Implementation of the Government’s policy framework will therefore be achieved through a staged approach whereby:</w:t>
      </w:r>
    </w:p>
    <w:p w:rsidR="00CA552F" w:rsidRPr="00CA552F" w:rsidRDefault="00CA552F" w:rsidP="00CA552F">
      <w:pPr>
        <w:numPr>
          <w:ilvl w:val="0"/>
          <w:numId w:val="26"/>
        </w:numPr>
        <w:spacing w:before="0" w:after="160" w:line="259" w:lineRule="auto"/>
        <w:contextualSpacing/>
      </w:pPr>
      <w:r w:rsidRPr="00CA552F">
        <w:t>Some changes will be introduced on an interim basis as transitional measures.</w:t>
      </w:r>
    </w:p>
    <w:p w:rsidR="00CA552F" w:rsidRPr="00CA552F" w:rsidRDefault="00CA552F" w:rsidP="00CA552F">
      <w:pPr>
        <w:numPr>
          <w:ilvl w:val="0"/>
          <w:numId w:val="26"/>
        </w:numPr>
        <w:spacing w:before="0" w:after="160" w:line="259" w:lineRule="auto"/>
        <w:contextualSpacing/>
      </w:pPr>
      <w:r w:rsidRPr="00CA552F">
        <w:t>Others elements will be implemented following the transitional stage, and establish the basis of the longer-term market model.</w:t>
      </w:r>
    </w:p>
    <w:p w:rsidR="00CA552F" w:rsidRPr="00CA552F" w:rsidRDefault="00CA552F" w:rsidP="00CA552F">
      <w:pPr>
        <w:numPr>
          <w:ilvl w:val="0"/>
          <w:numId w:val="26"/>
        </w:numPr>
        <w:spacing w:before="0" w:after="160" w:line="259" w:lineRule="auto"/>
        <w:contextualSpacing/>
      </w:pPr>
      <w:r w:rsidRPr="00CA552F">
        <w:t>And a number of remaining issues will be considered around the time that the NBN rollout is completed and privatisation of NBN Co is under consideration.</w:t>
      </w:r>
    </w:p>
    <w:p w:rsidR="00CA552F" w:rsidRPr="00CA552F" w:rsidRDefault="00CA552F" w:rsidP="00CA552F">
      <w:r w:rsidRPr="00CA552F">
        <w:t xml:space="preserve">The implementation arrangements are further discussed below, and summarised in the attached diagram.  A detailed Government response to each of the Vertigan panel’s 53 recommendations is set out in the attached schedule. </w:t>
      </w:r>
    </w:p>
    <w:p w:rsidR="00CA552F" w:rsidRPr="00CA552F" w:rsidRDefault="00CA552F" w:rsidP="00D4017E">
      <w:pPr>
        <w:pStyle w:val="Heading1"/>
        <w:numPr>
          <w:ilvl w:val="0"/>
          <w:numId w:val="21"/>
        </w:numPr>
      </w:pPr>
      <w:bookmarkStart w:id="16" w:name="_Toc405993864"/>
      <w:r w:rsidRPr="00CA552F">
        <w:t>Transition Period – 2015-2016</w:t>
      </w:r>
      <w:bookmarkEnd w:id="15"/>
      <w:bookmarkEnd w:id="16"/>
    </w:p>
    <w:p w:rsidR="00CA552F" w:rsidRPr="00CA552F" w:rsidRDefault="00CA552F" w:rsidP="00CA552F">
      <w:bookmarkStart w:id="17" w:name="_Toc405481706"/>
      <w:r w:rsidRPr="00CA552F">
        <w:t>There are a number of measures that will be implemented in the initial stage of the reform process, several of which are transitional.  These measures will progressively take effect over the period between now and the end of 2016.</w:t>
      </w:r>
    </w:p>
    <w:p w:rsidR="00CA552F" w:rsidRPr="00CA552F" w:rsidRDefault="00CA552F" w:rsidP="00D4017E">
      <w:pPr>
        <w:pStyle w:val="Heading2"/>
        <w:numPr>
          <w:ilvl w:val="1"/>
          <w:numId w:val="21"/>
        </w:numPr>
      </w:pPr>
      <w:bookmarkStart w:id="18" w:name="_Toc405993865"/>
      <w:r w:rsidRPr="00CA552F">
        <w:t>New developments</w:t>
      </w:r>
      <w:bookmarkEnd w:id="17"/>
      <w:bookmarkEnd w:id="18"/>
    </w:p>
    <w:p w:rsidR="00CA552F" w:rsidRPr="00CA552F" w:rsidRDefault="00CA552F" w:rsidP="00CA552F">
      <w:bookmarkStart w:id="19" w:name="_Toc405481707"/>
      <w:r w:rsidRPr="00CA552F">
        <w:t xml:space="preserve">The Government has released a paper on its proposed policy for telecommunications infrastructure in new housing developments.  </w:t>
      </w:r>
      <w:r w:rsidRPr="00592510">
        <w:t xml:space="preserve">Comments are sought by </w:t>
      </w:r>
      <w:r w:rsidR="0014096D">
        <w:t>15 January 2015</w:t>
      </w:r>
      <w:r w:rsidRPr="00CA552F">
        <w:t xml:space="preserve">.  The new policy will take effect from 1 March 2015.  Under the proposed approach, developers and home-owners served by NBN Co in new developments will meet some of the costs of this infrastructure upfront to ensure fairer competition in the market, although cost recovery will be capped to ensure these charges do not have a material impact on housing affordability.  Consistent with the Government’s 2013 election commitments, NBN Co will also trial processes whereby developers can contract with the company to build and then transfer network infrastructure at a pre-determined price.  NBN Co will also be encouraged to trial alternative network rollout models, including co-investment and public-private partnerships. </w:t>
      </w:r>
    </w:p>
    <w:p w:rsidR="00CA552F" w:rsidRPr="00CA552F" w:rsidRDefault="00CA552F" w:rsidP="00D4017E">
      <w:pPr>
        <w:pStyle w:val="Heading2"/>
        <w:numPr>
          <w:ilvl w:val="1"/>
          <w:numId w:val="21"/>
        </w:numPr>
      </w:pPr>
      <w:bookmarkStart w:id="20" w:name="_Toc405993866"/>
      <w:r w:rsidRPr="00CA552F">
        <w:t>Carrier licence condition</w:t>
      </w:r>
      <w:bookmarkEnd w:id="19"/>
      <w:bookmarkEnd w:id="20"/>
    </w:p>
    <w:p w:rsidR="00CA552F" w:rsidRPr="00CA552F" w:rsidRDefault="00CA552F" w:rsidP="00CA552F">
      <w:r w:rsidRPr="00CA552F">
        <w:t xml:space="preserve">A new carrier licence condition will come into effect on 1 January 2015 requiring providers of superfast broadband networks providing services to residential customers to be functionally separated </w:t>
      </w:r>
      <w:r w:rsidRPr="00CA552F">
        <w:lastRenderedPageBreak/>
        <w:t>(that is, operate their networks and retail operations at arm’s length) and offer a 25/5 Mbps wholesale bitstream service at no more than $27 per month.  The carrier licence condition will remain in place for two years as a transitional measure.</w:t>
      </w:r>
    </w:p>
    <w:p w:rsidR="00CA552F" w:rsidRPr="00CA552F" w:rsidRDefault="00CA552F" w:rsidP="00D4017E">
      <w:pPr>
        <w:pStyle w:val="Heading2"/>
        <w:numPr>
          <w:ilvl w:val="1"/>
          <w:numId w:val="21"/>
        </w:numPr>
      </w:pPr>
      <w:bookmarkStart w:id="21" w:name="_Toc405481708"/>
      <w:bookmarkStart w:id="22" w:name="_Toc405993867"/>
      <w:r w:rsidRPr="00CA552F">
        <w:t>VDSL2 measures</w:t>
      </w:r>
      <w:bookmarkEnd w:id="21"/>
      <w:bookmarkEnd w:id="22"/>
    </w:p>
    <w:p w:rsidR="00CA552F" w:rsidRPr="00CA552F" w:rsidRDefault="00CA552F" w:rsidP="00CA552F">
      <w:bookmarkStart w:id="23" w:name="_Toc405481709"/>
      <w:r w:rsidRPr="00CA552F">
        <w:t xml:space="preserve">The Australian Competition and Consumer Commission (ACCC) has announced a declaration inquiry in relation to the next generation of broadband access technology over copper lines (VDSL2 - very high speed digital subscriber line).  The Communications Alliance is currently considering the technical issues posed where there are competing providers of this technology in a single multi-tenant building.  The Government will consider additional rules as needed for managing interference and co-existence between competing VDSL2 networks. </w:t>
      </w:r>
    </w:p>
    <w:p w:rsidR="00CA552F" w:rsidRPr="00CA552F" w:rsidRDefault="00CA552F" w:rsidP="00D4017E">
      <w:pPr>
        <w:pStyle w:val="Heading2"/>
        <w:numPr>
          <w:ilvl w:val="1"/>
          <w:numId w:val="21"/>
        </w:numPr>
      </w:pPr>
      <w:bookmarkStart w:id="24" w:name="_Toc405993868"/>
      <w:r w:rsidRPr="00CA552F">
        <w:t>NBN Co’s wholesale pricing</w:t>
      </w:r>
      <w:bookmarkEnd w:id="23"/>
      <w:bookmarkEnd w:id="24"/>
    </w:p>
    <w:p w:rsidR="00CA552F" w:rsidRPr="00CA552F" w:rsidRDefault="00CA552F" w:rsidP="00CA552F">
      <w:bookmarkStart w:id="25" w:name="_Toc405481710"/>
      <w:r w:rsidRPr="00CA552F">
        <w:t xml:space="preserve">The Government will request that NBN Co implement a wholesale price cap model.  </w:t>
      </w:r>
      <w:r w:rsidR="00767BF7">
        <w:t xml:space="preserve">During the transition period, </w:t>
      </w:r>
      <w:r w:rsidRPr="00CA552F">
        <w:t xml:space="preserve">NBN Co will advise industry of implementation arrangements including any necessary changes to its Special Access Undertaking </w:t>
      </w:r>
      <w:r w:rsidR="00767BF7">
        <w:t>(SAU) approved by</w:t>
      </w:r>
      <w:r w:rsidRPr="00CA552F">
        <w:t xml:space="preserve"> the ACCC in December 2013, noting that changes to the SAU require consideration by the ACCC.  This change is consistent with the Government’s 2013 election commitments and the Vertigan panel’s recommendations, and will provide NBN Co with increased flexibility and assist it to compete under the new more competitive market arrangements.  Price caps will not increase NBN wholesale prices in either urban or regional areas above the current levels approved by the ACCC in the SAU.  There will be scope for reduced wholesale prices in some markets, where this is necessary for NBN Co to respond to more competitive arrangements.</w:t>
      </w:r>
    </w:p>
    <w:p w:rsidR="00CA552F" w:rsidRPr="00CA552F" w:rsidRDefault="00CA552F" w:rsidP="00D4017E">
      <w:pPr>
        <w:pStyle w:val="Heading2"/>
        <w:numPr>
          <w:ilvl w:val="1"/>
          <w:numId w:val="21"/>
        </w:numPr>
      </w:pPr>
      <w:bookmarkStart w:id="26" w:name="_Toc405993869"/>
      <w:r w:rsidRPr="00CA552F">
        <w:t>Competition regulation</w:t>
      </w:r>
      <w:bookmarkEnd w:id="25"/>
      <w:bookmarkEnd w:id="26"/>
    </w:p>
    <w:p w:rsidR="00CA552F" w:rsidRPr="00CA552F" w:rsidRDefault="00CA552F" w:rsidP="00CA552F">
      <w:bookmarkStart w:id="27" w:name="_Toc405481711"/>
      <w:r w:rsidRPr="00CA552F">
        <w:t xml:space="preserve">The Government will initiate a review of the telecommunications-specific anticompetitive conduct regime set out in Part XIB of the </w:t>
      </w:r>
      <w:r w:rsidRPr="00CA552F">
        <w:rPr>
          <w:i/>
        </w:rPr>
        <w:t>Competition and Consumer Act 2010</w:t>
      </w:r>
      <w:r w:rsidRPr="00CA552F">
        <w:t xml:space="preserve"> (CCA) in the second half of 2015.  The Government will also bring forward legislation in 2015 to clarify the ACCC’s ability to regulate facilities through Part XIC of the CCA and improve the operation of provisions relating to special access undertakings and fixed principles.  To encourage greater service innovation on the NBN, NBN Co will be given flexibility to support trials and pilots of new services.</w:t>
      </w:r>
    </w:p>
    <w:p w:rsidR="00CA552F" w:rsidRPr="00CA552F" w:rsidRDefault="00CA552F" w:rsidP="00D4017E">
      <w:pPr>
        <w:pStyle w:val="Heading2"/>
        <w:numPr>
          <w:ilvl w:val="1"/>
          <w:numId w:val="21"/>
        </w:numPr>
      </w:pPr>
      <w:bookmarkStart w:id="28" w:name="_Toc405993870"/>
      <w:r w:rsidRPr="00CA552F">
        <w:t>Funding for non-commercial services</w:t>
      </w:r>
      <w:bookmarkEnd w:id="27"/>
      <w:bookmarkEnd w:id="28"/>
    </w:p>
    <w:p w:rsidR="00CA552F" w:rsidRPr="00CA552F" w:rsidRDefault="00CA552F" w:rsidP="00CA552F">
      <w:bookmarkStart w:id="29" w:name="_Toc405481712"/>
      <w:r w:rsidRPr="00CA552F">
        <w:t xml:space="preserve">The Bureau of Communications Research (the policy research arm of the Department of Communications) will undertake an assessment of the costs of NBN Co’s fixed wireless and satellite services, </w:t>
      </w:r>
      <w:r w:rsidRPr="00CA552F">
        <w:lastRenderedPageBreak/>
        <w:t xml:space="preserve">which serve many non-commercial parts of Australia, and provide options to Government for replacing the current opaque NBN Co cross-subsidy embedded in its wholesale access prices with more transparent funding arrangements.  Terms of reference for this assessment will be released early in 2015 with a view to having more transparent funding arrangements in place when the new regulatory framework set out in this paper commences (1 January 2017). </w:t>
      </w:r>
    </w:p>
    <w:p w:rsidR="00CA552F" w:rsidRPr="00CA552F" w:rsidRDefault="00CA552F" w:rsidP="00CA552F">
      <w:r w:rsidRPr="00CA552F">
        <w:t xml:space="preserve">The intention of this reform is to ensure that the </w:t>
      </w:r>
      <w:r w:rsidR="00767BF7">
        <w:t>funding</w:t>
      </w:r>
      <w:r w:rsidR="00767BF7" w:rsidRPr="00CA552F">
        <w:t xml:space="preserve"> </w:t>
      </w:r>
      <w:r w:rsidRPr="00CA552F">
        <w:t xml:space="preserve">required to support non-commercial services </w:t>
      </w:r>
      <w:r w:rsidR="00767BF7">
        <w:t>is</w:t>
      </w:r>
      <w:r w:rsidR="00767BF7" w:rsidRPr="00CA552F">
        <w:t xml:space="preserve"> </w:t>
      </w:r>
      <w:r w:rsidRPr="00CA552F">
        <w:t>transparent and contributions are made to these costs in a competitively neutral manner.  At present NBN Co is required to fund non-commercial areas from cross-subsidies that disadvantage it in commercially attractive areas relative to other carriers.  This is neither sustainable nor fair.  Making the extent of the cross-subsidy and level of contribution in commercial areas transparent will enable the introduction of increased competition without undermining access to affordable high-speed broadband in urban fringe, regional and remote parts of Australia</w:t>
      </w:r>
    </w:p>
    <w:p w:rsidR="00CA552F" w:rsidRPr="00CA552F" w:rsidRDefault="00CA552F" w:rsidP="00CA552F">
      <w:r w:rsidRPr="00CA552F">
        <w:t xml:space="preserve">The cross-subsidies which are currently embedded in NBN Co’s wholesale prices will be replaced by </w:t>
      </w:r>
      <w:r w:rsidR="00767BF7">
        <w:t>transparent</w:t>
      </w:r>
      <w:r w:rsidR="00767BF7" w:rsidRPr="00CA552F">
        <w:t xml:space="preserve"> </w:t>
      </w:r>
      <w:r w:rsidRPr="00CA552F">
        <w:t xml:space="preserve">funding provided via contributions sourced from owners of high-speed broadband access networks that target residential and small business customers – i.e. the NBN and networks in commercially viable areas that are comparable to the NBN.  There will be no additional costs to consumers relative to current NBN pricing – an opaque part of the cost of the NBN will be made explicit.  The Government will provide the ACCC with sufficient powers to monitor the introduction of these arrangements. </w:t>
      </w:r>
    </w:p>
    <w:p w:rsidR="00CA552F" w:rsidRPr="00CA552F" w:rsidRDefault="00CA552F" w:rsidP="00D4017E">
      <w:pPr>
        <w:pStyle w:val="Heading2"/>
        <w:numPr>
          <w:ilvl w:val="1"/>
          <w:numId w:val="21"/>
        </w:numPr>
      </w:pPr>
      <w:bookmarkStart w:id="30" w:name="_Toc405993871"/>
      <w:r w:rsidRPr="00CA552F">
        <w:t>NBN Co structural options</w:t>
      </w:r>
      <w:bookmarkEnd w:id="29"/>
      <w:bookmarkEnd w:id="30"/>
    </w:p>
    <w:p w:rsidR="00CA552F" w:rsidRPr="00CA552F" w:rsidRDefault="00CA552F" w:rsidP="00CA552F">
      <w:bookmarkStart w:id="31" w:name="_Toc405481713"/>
      <w:r w:rsidRPr="00CA552F">
        <w:t>As previously indicated the Government does not support near-term disaggregation of NBN Co into business units based on access technologies because of high estimated costs, the likelihood this would delay the rollout of the network, and the distraction it would indisputably create for NBN Co’s management.  However, optionality for future restructuring or disaggregation should be retained, to provide future governments with greater policy and financial flexibility.</w:t>
      </w:r>
    </w:p>
    <w:p w:rsidR="00CA552F" w:rsidRPr="00CA552F" w:rsidRDefault="00CA552F" w:rsidP="00CA552F">
      <w:r w:rsidRPr="00CA552F">
        <w:t xml:space="preserve">To this end, NBN Co will be required to maintain separate accounts for its satellite, fixed wireless, FTTx, HFC and transit networks. </w:t>
      </w:r>
    </w:p>
    <w:p w:rsidR="00CA552F" w:rsidRPr="00CA552F" w:rsidRDefault="00CA552F" w:rsidP="00CA552F">
      <w:r w:rsidRPr="00CA552F">
        <w:t xml:space="preserve">It is the Government’s preference that NBN Co develop operational and business support (OSS/BSS) IT systems that are readily separable by business unit so that these systems do not become a barrier to any future disaggregation.  This may involve high costs, however, and so the costs of implementing separable OSS and BSS systems will be investigated by an independent party.  This work will commence promptly with a view to it reaching a conclusion no later than 1 July 2015. </w:t>
      </w:r>
    </w:p>
    <w:p w:rsidR="00CA552F" w:rsidRPr="00CA552F" w:rsidRDefault="00CA552F" w:rsidP="00CA552F">
      <w:r w:rsidRPr="00CA552F">
        <w:t>These initiatives are intended to keep open future options for alternative NBN structures.</w:t>
      </w:r>
    </w:p>
    <w:p w:rsidR="00CA552F" w:rsidRPr="00CA552F" w:rsidRDefault="00CA552F" w:rsidP="00D4017E">
      <w:pPr>
        <w:pStyle w:val="Heading1"/>
        <w:numPr>
          <w:ilvl w:val="0"/>
          <w:numId w:val="21"/>
        </w:numPr>
      </w:pPr>
      <w:bookmarkStart w:id="32" w:name="_Toc405993872"/>
      <w:r w:rsidRPr="00CA552F">
        <w:lastRenderedPageBreak/>
        <w:t>New Regulatory Framework</w:t>
      </w:r>
      <w:bookmarkEnd w:id="31"/>
      <w:bookmarkEnd w:id="32"/>
      <w:r w:rsidRPr="00CA552F">
        <w:t xml:space="preserve"> </w:t>
      </w:r>
    </w:p>
    <w:p w:rsidR="00CA552F" w:rsidRPr="00CA552F" w:rsidRDefault="00CA552F" w:rsidP="00CA552F">
      <w:bookmarkStart w:id="33" w:name="_Toc405481714"/>
      <w:r w:rsidRPr="00CA552F">
        <w:t>Subject to these transitional steps being successfully undertaken, the Government intends that the new telecommunications sector regulatory framework will commence on 1 January 2017.</w:t>
      </w:r>
    </w:p>
    <w:p w:rsidR="00CA552F" w:rsidRPr="00CA552F" w:rsidRDefault="00CA552F" w:rsidP="00CA552F">
      <w:r w:rsidRPr="00CA552F">
        <w:t>Under the new framework:</w:t>
      </w:r>
    </w:p>
    <w:p w:rsidR="00CA552F" w:rsidRPr="00CA552F" w:rsidRDefault="00CA552F" w:rsidP="00CA552F">
      <w:pPr>
        <w:numPr>
          <w:ilvl w:val="0"/>
          <w:numId w:val="27"/>
        </w:numPr>
        <w:spacing w:before="0" w:after="160" w:line="259" w:lineRule="auto"/>
        <w:contextualSpacing/>
      </w:pPr>
      <w:r w:rsidRPr="00CA552F">
        <w:t>Structural separation will remain the default requirement for new high-speed fixed line broadband networks.  But the ACCC will be given the power to authorise functional separation of such networks, and impose conditions as part of that authorisation, where it judges this to be in the long-term interests of consumers.</w:t>
      </w:r>
    </w:p>
    <w:p w:rsidR="00CA552F" w:rsidRPr="00CA552F" w:rsidRDefault="00CA552F" w:rsidP="00CA552F">
      <w:pPr>
        <w:numPr>
          <w:ilvl w:val="1"/>
          <w:numId w:val="27"/>
        </w:numPr>
        <w:spacing w:before="0" w:after="160" w:line="259" w:lineRule="auto"/>
        <w:contextualSpacing/>
      </w:pPr>
      <w:r w:rsidRPr="00CA552F">
        <w:t>‘Grandfathering’ arrangements will apply to networks that were in place prior to 2011 and any networks rolled out under the interim carrier licence condition, but not to future extensions of those networks.</w:t>
      </w:r>
    </w:p>
    <w:p w:rsidR="00CA552F" w:rsidRPr="00CA552F" w:rsidRDefault="00CA552F" w:rsidP="00CA552F">
      <w:pPr>
        <w:numPr>
          <w:ilvl w:val="0"/>
          <w:numId w:val="27"/>
        </w:numPr>
        <w:spacing w:before="0" w:after="160" w:line="259" w:lineRule="auto"/>
        <w:contextualSpacing/>
      </w:pPr>
      <w:r w:rsidRPr="00CA552F">
        <w:t xml:space="preserve">Competitively neutral arrangements will be put in place for the funding of the NBN’s non-commercial fixed wireless and satellite services. </w:t>
      </w:r>
    </w:p>
    <w:p w:rsidR="00CA552F" w:rsidRPr="00CA552F" w:rsidRDefault="00CA552F" w:rsidP="00CA552F">
      <w:pPr>
        <w:numPr>
          <w:ilvl w:val="0"/>
          <w:numId w:val="27"/>
        </w:numPr>
        <w:spacing w:before="0" w:after="160" w:line="259" w:lineRule="auto"/>
        <w:contextualSpacing/>
      </w:pPr>
      <w:r w:rsidRPr="00CA552F">
        <w:t>Legislation will be introduced requiring NBN Co to operate as the</w:t>
      </w:r>
      <w:r w:rsidR="00767BF7">
        <w:t xml:space="preserve"> broadband</w:t>
      </w:r>
      <w:r w:rsidRPr="00CA552F">
        <w:t xml:space="preserve"> infrastructure provider of last resort.  The legislation will provide scope for non-NBN carriers to be so designated in circumstances where they take on or are better able to fulfil this role.</w:t>
      </w:r>
    </w:p>
    <w:p w:rsidR="00CA552F" w:rsidRPr="00CA552F" w:rsidRDefault="00CA552F" w:rsidP="00D4017E">
      <w:pPr>
        <w:pStyle w:val="Heading1"/>
        <w:numPr>
          <w:ilvl w:val="0"/>
          <w:numId w:val="21"/>
        </w:numPr>
      </w:pPr>
      <w:bookmarkStart w:id="34" w:name="_Toc405993873"/>
      <w:r w:rsidRPr="00CA552F">
        <w:t>Pre-NBN Co Privatisation</w:t>
      </w:r>
      <w:bookmarkEnd w:id="33"/>
      <w:bookmarkEnd w:id="34"/>
    </w:p>
    <w:p w:rsidR="00CA552F" w:rsidRPr="00CA552F" w:rsidRDefault="00CA552F" w:rsidP="00CA552F">
      <w:r w:rsidRPr="00CA552F">
        <w:t xml:space="preserve">Current legislation governing NBN Co allows for the privatisation of the company once the NBN has been completed and is operational.  The legislation sets out a number of events that must take place before privatisation, including a Productivity Commission review. </w:t>
      </w:r>
    </w:p>
    <w:p w:rsidR="00CA552F" w:rsidRPr="00CA552F" w:rsidRDefault="00CA552F" w:rsidP="00CA552F">
      <w:r w:rsidRPr="00CA552F">
        <w:t>The Government considers that this review is the appropriate vehicle to revisit a number of the Vertigan panel’s recommendations regarding the structure, operation and regulation of NBN Co, as well as several other regulatory recommendations.  The recommendations where this is the Government’s position are outlined in the attached schedule.  Options will exist at the time privatisation is under consideration for NBN Co to potentially be restructured to promote greater facilities-level competition.  This would also be an appropriate time to reconsider key regulatory issues such as the re-introduction of merits review, relaxation of NBN Co’s non-discrimination obligations in cases where such discrimination is not anti-competitive, and offering access seekers increased recourse to the ACCC on NBN Co access agreements.</w:t>
      </w:r>
    </w:p>
    <w:p w:rsidR="00CA552F" w:rsidRPr="00CA552F" w:rsidRDefault="00CA552F" w:rsidP="00CA552F">
      <w:r w:rsidRPr="00CA552F">
        <w:t xml:space="preserve">A diagram summarising the phased introduction of these reforms is at </w:t>
      </w:r>
      <w:r w:rsidRPr="00CA552F">
        <w:rPr>
          <w:b/>
        </w:rPr>
        <w:t>Attachment A</w:t>
      </w:r>
      <w:r w:rsidRPr="00CA552F">
        <w:t>.</w:t>
      </w:r>
    </w:p>
    <w:p w:rsidR="00CA552F" w:rsidRPr="00CA552F" w:rsidRDefault="00CA552F" w:rsidP="00CA552F">
      <w:r w:rsidRPr="00CA552F">
        <w:lastRenderedPageBreak/>
        <w:t xml:space="preserve">A table outlining the 53 Vertigan recommendations and the Government’s response to each of them is provided at </w:t>
      </w:r>
      <w:r w:rsidRPr="00CA552F">
        <w:rPr>
          <w:b/>
        </w:rPr>
        <w:t>Attachment B</w:t>
      </w:r>
      <w:r w:rsidRPr="00CA552F">
        <w:t>.</w:t>
      </w:r>
    </w:p>
    <w:p w:rsidR="00CA552F" w:rsidRPr="00CA552F" w:rsidRDefault="00CA552F" w:rsidP="00CA552F">
      <w:pPr>
        <w:sectPr w:rsidR="00CA552F" w:rsidRPr="00CA552F" w:rsidSect="00A930C3">
          <w:headerReference w:type="default" r:id="rId13"/>
          <w:footerReference w:type="even" r:id="rId14"/>
          <w:footerReference w:type="default" r:id="rId15"/>
          <w:headerReference w:type="first" r:id="rId16"/>
          <w:footerReference w:type="first" r:id="rId17"/>
          <w:pgSz w:w="11906" w:h="16838" w:code="9"/>
          <w:pgMar w:top="1701" w:right="1440" w:bottom="1276" w:left="1440" w:header="510" w:footer="481" w:gutter="0"/>
          <w:pgNumType w:start="1"/>
          <w:cols w:space="708"/>
          <w:titlePg/>
          <w:docGrid w:linePitch="360"/>
        </w:sectPr>
      </w:pPr>
    </w:p>
    <w:p w:rsidR="00064CB9" w:rsidRPr="00064CB9" w:rsidRDefault="00064CB9" w:rsidP="00064CB9">
      <w:pPr>
        <w:pStyle w:val="Heading1"/>
        <w:ind w:left="907" w:hanging="907"/>
        <w:jc w:val="center"/>
      </w:pPr>
      <w:bookmarkStart w:id="35" w:name="_Toc405993874"/>
      <w:r>
        <w:rPr>
          <w:noProof/>
          <w:lang w:eastAsia="en-AU"/>
        </w:rPr>
        <w:lastRenderedPageBreak/>
        <w:drawing>
          <wp:anchor distT="0" distB="0" distL="114300" distR="114300" simplePos="0" relativeHeight="251658240" behindDoc="1" locked="0" layoutInCell="1" allowOverlap="1" wp14:anchorId="38811BA4" wp14:editId="4C0E3779">
            <wp:simplePos x="0" y="0"/>
            <wp:positionH relativeFrom="column">
              <wp:posOffset>239918</wp:posOffset>
            </wp:positionH>
            <wp:positionV relativeFrom="paragraph">
              <wp:posOffset>416560</wp:posOffset>
            </wp:positionV>
            <wp:extent cx="8801735" cy="5283835"/>
            <wp:effectExtent l="0" t="0" r="1206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ommunications Regulatory and Structural Reform DIAGRAM.jpg"/>
                    <pic:cNvPicPr/>
                  </pic:nvPicPr>
                  <pic:blipFill>
                    <a:blip r:embed="rId18">
                      <a:extLst>
                        <a:ext uri="{28A0092B-C50C-407E-A947-70E740481C1C}">
                          <a14:useLocalDpi xmlns:a14="http://schemas.microsoft.com/office/drawing/2010/main" val="0"/>
                        </a:ext>
                      </a:extLst>
                    </a:blip>
                    <a:stretch>
                      <a:fillRect/>
                    </a:stretch>
                  </pic:blipFill>
                  <pic:spPr>
                    <a:xfrm>
                      <a:off x="0" y="0"/>
                      <a:ext cx="8801735" cy="5283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B41C2">
        <w:t>Attachment A</w:t>
      </w:r>
      <w:bookmarkEnd w:id="35"/>
    </w:p>
    <w:p w:rsidR="00F107AE" w:rsidRDefault="001C0620">
      <w:pPr>
        <w:spacing w:after="120"/>
        <w:ind w:left="1021" w:hanging="1021"/>
        <w:sectPr w:rsidR="00F107AE" w:rsidSect="00D70BC7">
          <w:footerReference w:type="default" r:id="rId19"/>
          <w:headerReference w:type="first" r:id="rId20"/>
          <w:footerReference w:type="first" r:id="rId21"/>
          <w:pgSz w:w="16838" w:h="11906" w:orient="landscape" w:code="9"/>
          <w:pgMar w:top="1440" w:right="1701" w:bottom="1440" w:left="1276" w:header="510" w:footer="481" w:gutter="0"/>
          <w:cols w:space="708"/>
          <w:titlePg/>
          <w:docGrid w:linePitch="360"/>
        </w:sectPr>
      </w:pPr>
      <w:bookmarkStart w:id="36" w:name="_Toc382493212"/>
      <w:bookmarkEnd w:id="36"/>
      <w:r>
        <w:br w:type="page"/>
      </w:r>
    </w:p>
    <w:p w:rsidR="001C0620" w:rsidRDefault="001C0620">
      <w:pPr>
        <w:spacing w:after="120"/>
        <w:ind w:left="1021" w:hanging="1021"/>
        <w:rPr>
          <w:rFonts w:ascii="Cambria" w:eastAsiaTheme="majorEastAsia" w:hAnsi="Cambria" w:cstheme="majorBidi"/>
          <w:bCs/>
          <w:color w:val="0072B9"/>
          <w:sz w:val="36"/>
          <w:szCs w:val="28"/>
        </w:rPr>
      </w:pPr>
    </w:p>
    <w:p w:rsidR="000D3102" w:rsidRDefault="00706E19" w:rsidP="00010DEE">
      <w:pPr>
        <w:pStyle w:val="Heading1"/>
        <w:ind w:left="907" w:hanging="907"/>
        <w:jc w:val="center"/>
      </w:pPr>
      <w:bookmarkStart w:id="37" w:name="_Toc405993875"/>
      <w:r w:rsidRPr="000D3102">
        <w:t xml:space="preserve">Attachment B – </w:t>
      </w:r>
      <w:r w:rsidRPr="00706E19">
        <w:t>Government</w:t>
      </w:r>
      <w:r w:rsidR="001C0620">
        <w:t xml:space="preserve"> </w:t>
      </w:r>
      <w:r w:rsidRPr="00706E19">
        <w:t>Response</w:t>
      </w:r>
      <w:r w:rsidR="001C0620">
        <w:t xml:space="preserve"> to Vertigan Review</w:t>
      </w:r>
      <w:bookmarkEnd w:id="37"/>
    </w:p>
    <w:p w:rsidR="00D00261" w:rsidRPr="00010DEE" w:rsidRDefault="00D00261" w:rsidP="00010DEE">
      <w:pPr>
        <w:spacing w:after="120"/>
        <w:ind w:left="1021" w:hanging="1021"/>
        <w:jc w:val="center"/>
        <w:rPr>
          <w:sz w:val="24"/>
          <w:szCs w:val="24"/>
        </w:rPr>
      </w:pPr>
      <w:r w:rsidRPr="00010DEE">
        <w:rPr>
          <w:rFonts w:ascii="Cambria" w:eastAsiaTheme="majorEastAsia" w:hAnsi="Cambria" w:cstheme="majorBidi"/>
          <w:bCs/>
          <w:color w:val="0072B9"/>
          <w:sz w:val="24"/>
          <w:szCs w:val="24"/>
        </w:rPr>
        <w:t xml:space="preserve">(Note: For convenience the following tables summarise the panel’s recommendations.  </w:t>
      </w:r>
      <w:r>
        <w:rPr>
          <w:rFonts w:ascii="Cambria" w:eastAsiaTheme="majorEastAsia" w:hAnsi="Cambria" w:cstheme="majorBidi"/>
          <w:bCs/>
          <w:color w:val="0072B9"/>
          <w:sz w:val="24"/>
          <w:szCs w:val="24"/>
        </w:rPr>
        <w:br/>
      </w:r>
      <w:r w:rsidRPr="00010DEE">
        <w:rPr>
          <w:rFonts w:ascii="Cambria" w:eastAsiaTheme="majorEastAsia" w:hAnsi="Cambria" w:cstheme="majorBidi"/>
          <w:bCs/>
          <w:color w:val="0072B9"/>
          <w:sz w:val="24"/>
          <w:szCs w:val="24"/>
        </w:rPr>
        <w:t>The full text of the recommendations will be found in</w:t>
      </w:r>
      <w:r>
        <w:rPr>
          <w:rFonts w:ascii="Cambria" w:eastAsiaTheme="majorEastAsia" w:hAnsi="Cambria" w:cstheme="majorBidi"/>
          <w:bCs/>
          <w:color w:val="0072B9"/>
          <w:sz w:val="24"/>
          <w:szCs w:val="24"/>
        </w:rPr>
        <w:t xml:space="preserve"> the</w:t>
      </w:r>
      <w:r w:rsidRPr="00010DEE">
        <w:rPr>
          <w:rFonts w:ascii="Cambria" w:eastAsiaTheme="majorEastAsia" w:hAnsi="Cambria" w:cstheme="majorBidi"/>
          <w:bCs/>
          <w:color w:val="0072B9"/>
          <w:sz w:val="24"/>
          <w:szCs w:val="24"/>
        </w:rPr>
        <w:t xml:space="preserve"> rel</w:t>
      </w:r>
      <w:r>
        <w:rPr>
          <w:rFonts w:ascii="Cambria" w:eastAsiaTheme="majorEastAsia" w:hAnsi="Cambria" w:cstheme="majorBidi"/>
          <w:bCs/>
          <w:color w:val="0072B9"/>
          <w:sz w:val="24"/>
          <w:szCs w:val="24"/>
        </w:rPr>
        <w:t>e</w:t>
      </w:r>
      <w:r w:rsidRPr="00010DEE">
        <w:rPr>
          <w:rFonts w:ascii="Cambria" w:eastAsiaTheme="majorEastAsia" w:hAnsi="Cambria" w:cstheme="majorBidi"/>
          <w:bCs/>
          <w:color w:val="0072B9"/>
          <w:sz w:val="24"/>
          <w:szCs w:val="24"/>
        </w:rPr>
        <w:t>v</w:t>
      </w:r>
      <w:r>
        <w:rPr>
          <w:rFonts w:ascii="Cambria" w:eastAsiaTheme="majorEastAsia" w:hAnsi="Cambria" w:cstheme="majorBidi"/>
          <w:bCs/>
          <w:color w:val="0072B9"/>
          <w:sz w:val="24"/>
          <w:szCs w:val="24"/>
        </w:rPr>
        <w:t>ant</w:t>
      </w:r>
      <w:r w:rsidRPr="00010DEE">
        <w:rPr>
          <w:rFonts w:ascii="Cambria" w:eastAsiaTheme="majorEastAsia" w:hAnsi="Cambria" w:cstheme="majorBidi"/>
          <w:bCs/>
          <w:color w:val="0072B9"/>
          <w:sz w:val="24"/>
          <w:szCs w:val="24"/>
        </w:rPr>
        <w:t xml:space="preserve"> repor</w:t>
      </w:r>
      <w:r>
        <w:rPr>
          <w:rFonts w:ascii="Cambria" w:eastAsiaTheme="majorEastAsia" w:hAnsi="Cambria" w:cstheme="majorBidi"/>
          <w:bCs/>
          <w:color w:val="0072B9"/>
          <w:sz w:val="24"/>
          <w:szCs w:val="24"/>
        </w:rPr>
        <w:t>ts</w:t>
      </w:r>
      <w:r w:rsidRPr="00010DEE">
        <w:rPr>
          <w:rFonts w:ascii="Cambria" w:eastAsiaTheme="majorEastAsia" w:hAnsi="Cambria" w:cstheme="majorBidi"/>
          <w:bCs/>
          <w:color w:val="0072B9"/>
          <w:sz w:val="24"/>
          <w:szCs w:val="24"/>
        </w:rPr>
        <w:t>.)</w:t>
      </w:r>
    </w:p>
    <w:p w:rsidR="004E20C8" w:rsidRDefault="00706E19" w:rsidP="000D3102">
      <w:pPr>
        <w:spacing w:after="120"/>
        <w:ind w:left="1021" w:hanging="1021"/>
        <w:jc w:val="center"/>
        <w:rPr>
          <w:rFonts w:ascii="Cambria" w:eastAsiaTheme="majorEastAsia" w:hAnsi="Cambria" w:cstheme="majorBidi"/>
          <w:bCs/>
          <w:color w:val="0072B9"/>
          <w:sz w:val="36"/>
          <w:szCs w:val="28"/>
        </w:rPr>
      </w:pPr>
      <w:r w:rsidRPr="00706E19">
        <w:rPr>
          <w:rFonts w:ascii="Cambria" w:eastAsiaTheme="majorEastAsia" w:hAnsi="Cambria" w:cstheme="majorBidi"/>
          <w:bCs/>
          <w:color w:val="0072B9"/>
          <w:sz w:val="36"/>
          <w:szCs w:val="28"/>
        </w:rPr>
        <w:t>NBN Market and Regulatory Report (Volume 1)</w:t>
      </w:r>
    </w:p>
    <w:p w:rsidR="00D00261" w:rsidRPr="004E20C8" w:rsidRDefault="00D00261" w:rsidP="000D3102">
      <w:pPr>
        <w:spacing w:after="120"/>
        <w:ind w:left="1021" w:hanging="1021"/>
        <w:jc w:val="center"/>
        <w:rPr>
          <w:rFonts w:ascii="Cambria" w:eastAsiaTheme="majorEastAsia" w:hAnsi="Cambria" w:cstheme="majorBidi"/>
          <w:b/>
          <w:bCs/>
          <w:color w:val="00728F"/>
          <w:sz w:val="26"/>
          <w:szCs w:val="26"/>
        </w:rPr>
      </w:pPr>
    </w:p>
    <w:tbl>
      <w:tblPr>
        <w:tblW w:w="142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423"/>
        <w:gridCol w:w="9072"/>
      </w:tblGrid>
      <w:tr w:rsidR="004E20C8" w:rsidRPr="004E20C8" w:rsidTr="00176A74">
        <w:trPr>
          <w:tblHeader/>
        </w:trPr>
        <w:tc>
          <w:tcPr>
            <w:tcW w:w="710" w:type="dxa"/>
          </w:tcPr>
          <w:p w:rsidR="004E20C8" w:rsidRPr="004E20C8" w:rsidRDefault="004E20C8" w:rsidP="004E20C8">
            <w:pPr>
              <w:spacing w:after="120"/>
              <w:rPr>
                <w:rFonts w:ascii="Cambria" w:eastAsiaTheme="majorEastAsia" w:hAnsi="Cambria" w:cstheme="majorBidi"/>
                <w:b/>
                <w:bCs/>
                <w:color w:val="00728F"/>
                <w:sz w:val="26"/>
                <w:szCs w:val="26"/>
              </w:rPr>
            </w:pPr>
            <w:r w:rsidRPr="004E20C8">
              <w:rPr>
                <w:rFonts w:ascii="Cambria" w:eastAsiaTheme="majorEastAsia" w:hAnsi="Cambria" w:cstheme="majorBidi"/>
                <w:b/>
                <w:bCs/>
                <w:color w:val="00728F"/>
                <w:sz w:val="26"/>
                <w:szCs w:val="26"/>
              </w:rPr>
              <w:t>No.</w:t>
            </w:r>
          </w:p>
        </w:tc>
        <w:tc>
          <w:tcPr>
            <w:tcW w:w="4423" w:type="dxa"/>
          </w:tcPr>
          <w:p w:rsidR="004E20C8" w:rsidRPr="004E20C8" w:rsidRDefault="004E20C8" w:rsidP="004E20C8">
            <w:pPr>
              <w:spacing w:after="120"/>
              <w:rPr>
                <w:rFonts w:ascii="Cambria" w:eastAsiaTheme="majorEastAsia" w:hAnsi="Cambria" w:cstheme="majorBidi"/>
                <w:b/>
                <w:bCs/>
                <w:color w:val="00728F"/>
                <w:sz w:val="26"/>
                <w:szCs w:val="26"/>
              </w:rPr>
            </w:pPr>
            <w:r w:rsidRPr="004E20C8">
              <w:rPr>
                <w:rFonts w:ascii="Cambria" w:eastAsiaTheme="majorEastAsia" w:hAnsi="Cambria" w:cstheme="majorBidi"/>
                <w:b/>
                <w:bCs/>
                <w:color w:val="00728F"/>
                <w:sz w:val="26"/>
                <w:szCs w:val="26"/>
              </w:rPr>
              <w:t>Recommendation</w:t>
            </w:r>
          </w:p>
        </w:tc>
        <w:tc>
          <w:tcPr>
            <w:tcW w:w="9072" w:type="dxa"/>
          </w:tcPr>
          <w:p w:rsidR="004E20C8" w:rsidRPr="004E20C8" w:rsidRDefault="004E20C8" w:rsidP="004E20C8">
            <w:pPr>
              <w:spacing w:after="120"/>
              <w:rPr>
                <w:rFonts w:ascii="Cambria" w:eastAsiaTheme="majorEastAsia" w:hAnsi="Cambria" w:cstheme="majorBidi"/>
                <w:b/>
                <w:bCs/>
                <w:color w:val="00728F"/>
                <w:sz w:val="26"/>
                <w:szCs w:val="26"/>
              </w:rPr>
            </w:pPr>
            <w:r w:rsidRPr="004E20C8">
              <w:rPr>
                <w:rFonts w:ascii="Cambria" w:eastAsiaTheme="majorEastAsia" w:hAnsi="Cambria" w:cstheme="majorBidi"/>
                <w:b/>
                <w:bCs/>
                <w:color w:val="00728F"/>
                <w:sz w:val="26"/>
                <w:szCs w:val="26"/>
              </w:rPr>
              <w:t>Government Response</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Infrastructure Competition</w:t>
            </w:r>
          </w:p>
        </w:tc>
        <w:tc>
          <w:tcPr>
            <w:tcW w:w="9072"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agrees that arrangements for infrastructure competition need to be reformed. A transition plan will be implemented with the objective of new arrangements coming into effect on 1 January 2017. </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2</w:t>
            </w:r>
          </w:p>
        </w:tc>
        <w:tc>
          <w:tcPr>
            <w:tcW w:w="4423" w:type="dxa"/>
          </w:tcPr>
          <w:p w:rsidR="004E20C8" w:rsidRPr="006647B7" w:rsidRDefault="004E20C8" w:rsidP="000058D3">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Disaggregation of NBN Co</w:t>
            </w:r>
          </w:p>
        </w:tc>
        <w:tc>
          <w:tcPr>
            <w:tcW w:w="9072"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considers that priority must be given to the rollout of the NBN given the long delays to date. </w:t>
            </w:r>
          </w:p>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Arrangements will be put in place to provide options for future NBN Co disaggregation if that is considered appropriate. The Government will require NBN Co to establish separate accounts for its FTTx, HFC, fixed wireless, satellite and transit businesses. </w:t>
            </w:r>
          </w:p>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considers it is preferable for NBN Co to have operational and business support systems (OSS/BSS) that can be readily separable</w:t>
            </w:r>
            <w:r w:rsidR="002D2D0B">
              <w:rPr>
                <w:rFonts w:asciiTheme="minorHAnsi" w:eastAsiaTheme="majorEastAsia" w:hAnsiTheme="minorHAnsi" w:cstheme="majorBidi"/>
                <w:bCs/>
                <w:color w:val="00728F"/>
              </w:rPr>
              <w:t xml:space="preserve">. </w:t>
            </w:r>
            <w:r w:rsidRPr="006647B7">
              <w:rPr>
                <w:rFonts w:asciiTheme="minorHAnsi" w:eastAsiaTheme="majorEastAsia" w:hAnsiTheme="minorHAnsi" w:cstheme="majorBidi"/>
                <w:bCs/>
                <w:color w:val="00728F"/>
              </w:rPr>
              <w:t>The costs of implementing separable OSS and BSS systems will be investigated by an independent party.</w:t>
            </w:r>
          </w:p>
          <w:p w:rsidR="004E20C8" w:rsidRPr="006647B7" w:rsidRDefault="004E20C8" w:rsidP="004E20C8">
            <w:pPr>
              <w:spacing w:after="120"/>
              <w:rPr>
                <w:rFonts w:asciiTheme="minorHAnsi" w:eastAsiaTheme="majorEastAsia" w:hAnsiTheme="minorHAnsi" w:cstheme="majorBidi"/>
                <w:b/>
                <w:bCs/>
                <w:i/>
                <w:color w:val="00728F"/>
              </w:rPr>
            </w:pPr>
            <w:r w:rsidRPr="006647B7">
              <w:rPr>
                <w:rFonts w:asciiTheme="minorHAnsi" w:eastAsiaTheme="majorEastAsia" w:hAnsiTheme="minorHAnsi" w:cstheme="majorBidi"/>
                <w:bCs/>
                <w:color w:val="00728F"/>
              </w:rPr>
              <w:t>Longer term arrangements will be considered by the Productivity Commission as part of the legislated review required prior to NBN Co privatisation.</w:t>
            </w:r>
          </w:p>
        </w:tc>
      </w:tr>
      <w:tr w:rsidR="004E20C8" w:rsidRPr="006647B7" w:rsidTr="00176A74">
        <w:tc>
          <w:tcPr>
            <w:tcW w:w="710" w:type="dxa"/>
            <w:shd w:val="clear" w:color="auto" w:fill="auto"/>
          </w:tcPr>
          <w:p w:rsidR="004E20C8" w:rsidRPr="006647B7" w:rsidRDefault="004E20C8" w:rsidP="004E20C8">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3</w:t>
            </w:r>
          </w:p>
        </w:tc>
        <w:tc>
          <w:tcPr>
            <w:tcW w:w="4423" w:type="dxa"/>
            <w:shd w:val="clear" w:color="auto" w:fill="auto"/>
          </w:tcPr>
          <w:p w:rsidR="004E20C8" w:rsidRPr="006647B7" w:rsidRDefault="004E20C8" w:rsidP="004E20C8">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Repeal </w:t>
            </w:r>
            <w:r w:rsidR="00801780">
              <w:rPr>
                <w:rFonts w:asciiTheme="minorHAnsi" w:eastAsiaTheme="majorEastAsia" w:hAnsiTheme="minorHAnsi" w:cstheme="majorBidi"/>
                <w:bCs/>
                <w:color w:val="00728F"/>
              </w:rPr>
              <w:t xml:space="preserve">of </w:t>
            </w:r>
            <w:r w:rsidRPr="006647B7">
              <w:rPr>
                <w:rFonts w:asciiTheme="minorHAnsi" w:eastAsiaTheme="majorEastAsia" w:hAnsiTheme="minorHAnsi" w:cstheme="majorBidi"/>
                <w:bCs/>
                <w:color w:val="00728F"/>
              </w:rPr>
              <w:t xml:space="preserve">Part 7 of the </w:t>
            </w:r>
            <w:r w:rsidRPr="006647B7">
              <w:rPr>
                <w:rFonts w:asciiTheme="minorHAnsi" w:eastAsiaTheme="majorEastAsia" w:hAnsiTheme="minorHAnsi" w:cstheme="majorBidi"/>
                <w:bCs/>
                <w:i/>
                <w:color w:val="00728F"/>
              </w:rPr>
              <w:t>Telecommunications Act 1997</w:t>
            </w:r>
            <w:r w:rsidRPr="006647B7">
              <w:rPr>
                <w:rFonts w:asciiTheme="minorHAnsi" w:eastAsiaTheme="majorEastAsia" w:hAnsiTheme="minorHAnsi" w:cstheme="majorBidi"/>
                <w:bCs/>
                <w:color w:val="00728F"/>
              </w:rPr>
              <w:t xml:space="preserve"> </w:t>
            </w:r>
          </w:p>
        </w:tc>
        <w:tc>
          <w:tcPr>
            <w:tcW w:w="9072" w:type="dxa"/>
            <w:shd w:val="clear" w:color="auto" w:fill="auto"/>
          </w:tcPr>
          <w:p w:rsidR="004E20C8" w:rsidRPr="006647B7" w:rsidRDefault="004E20C8" w:rsidP="004E20C8">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As part of the transition to a more competitively neutral structure the Government </w:t>
            </w:r>
            <w:r w:rsidR="001C0620">
              <w:rPr>
                <w:rFonts w:asciiTheme="minorHAnsi" w:eastAsiaTheme="majorEastAsia" w:hAnsiTheme="minorHAnsi" w:cstheme="majorBidi"/>
                <w:bCs/>
                <w:color w:val="00728F"/>
              </w:rPr>
              <w:t>is</w:t>
            </w:r>
            <w:r w:rsidRPr="006647B7">
              <w:rPr>
                <w:rFonts w:asciiTheme="minorHAnsi" w:eastAsiaTheme="majorEastAsia" w:hAnsiTheme="minorHAnsi" w:cstheme="majorBidi"/>
                <w:bCs/>
                <w:color w:val="00728F"/>
              </w:rPr>
              <w:t xml:space="preserve"> put</w:t>
            </w:r>
            <w:r w:rsidR="001C0620">
              <w:rPr>
                <w:rFonts w:asciiTheme="minorHAnsi" w:eastAsiaTheme="majorEastAsia" w:hAnsiTheme="minorHAnsi" w:cstheme="majorBidi"/>
                <w:bCs/>
                <w:color w:val="00728F"/>
              </w:rPr>
              <w:t>ting</w:t>
            </w:r>
            <w:r w:rsidRPr="006647B7">
              <w:rPr>
                <w:rFonts w:asciiTheme="minorHAnsi" w:eastAsiaTheme="majorEastAsia" w:hAnsiTheme="minorHAnsi" w:cstheme="majorBidi"/>
                <w:bCs/>
                <w:color w:val="00728F"/>
              </w:rPr>
              <w:t xml:space="preserve"> in place a two-year carrier licence condition requiring functional separation and supply of a wholesale service to access seekers on a non-discriminatory basis. </w:t>
            </w:r>
          </w:p>
          <w:p w:rsidR="004E20C8" w:rsidRPr="006647B7" w:rsidRDefault="004E20C8" w:rsidP="001C0620">
            <w:pPr>
              <w:keepNext/>
              <w:keepLines/>
              <w:spacing w:after="120"/>
              <w:rPr>
                <w:rFonts w:asciiTheme="minorHAnsi" w:eastAsiaTheme="majorEastAsia" w:hAnsiTheme="minorHAnsi" w:cstheme="majorBidi"/>
                <w:bCs/>
                <w:i/>
                <w:color w:val="00728F"/>
              </w:rPr>
            </w:pPr>
            <w:r w:rsidRPr="006647B7">
              <w:rPr>
                <w:rFonts w:asciiTheme="minorHAnsi" w:eastAsiaTheme="majorEastAsia" w:hAnsiTheme="minorHAnsi" w:cstheme="majorBidi"/>
                <w:bCs/>
                <w:color w:val="00728F"/>
              </w:rPr>
              <w:t>The Government will introduce legislation to repeal Part 7 with intended effect from 1 January 2017. Access to services will be dealt with under Part XIC of the Competition and Consumer Act</w:t>
            </w:r>
            <w:r w:rsidR="002D2D0B">
              <w:rPr>
                <w:rFonts w:asciiTheme="minorHAnsi" w:eastAsiaTheme="majorEastAsia" w:hAnsiTheme="minorHAnsi" w:cstheme="majorBidi"/>
                <w:bCs/>
                <w:color w:val="00728F"/>
              </w:rPr>
              <w:t xml:space="preserve">. </w:t>
            </w:r>
            <w:r w:rsidRPr="006647B7">
              <w:rPr>
                <w:rFonts w:asciiTheme="minorHAnsi" w:eastAsiaTheme="majorEastAsia" w:hAnsiTheme="minorHAnsi" w:cstheme="majorBidi"/>
                <w:bCs/>
                <w:color w:val="00728F"/>
              </w:rPr>
              <w:t>The ACCC has announced it will undertake a Part XIC declaration inquiry into services on next-generation networks.</w:t>
            </w:r>
          </w:p>
        </w:tc>
      </w:tr>
      <w:tr w:rsidR="004E20C8" w:rsidRPr="006647B7" w:rsidTr="00176A74">
        <w:tc>
          <w:tcPr>
            <w:tcW w:w="710"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4</w:t>
            </w:r>
          </w:p>
        </w:tc>
        <w:tc>
          <w:tcPr>
            <w:tcW w:w="4423"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Amend</w:t>
            </w:r>
            <w:r w:rsidR="00801780">
              <w:rPr>
                <w:rFonts w:asciiTheme="minorHAnsi" w:eastAsiaTheme="majorEastAsia" w:hAnsiTheme="minorHAnsi" w:cstheme="majorBidi"/>
                <w:bCs/>
                <w:color w:val="00728F"/>
              </w:rPr>
              <w:t>ment of</w:t>
            </w:r>
            <w:r w:rsidRPr="006647B7">
              <w:rPr>
                <w:rFonts w:asciiTheme="minorHAnsi" w:eastAsiaTheme="majorEastAsia" w:hAnsiTheme="minorHAnsi" w:cstheme="majorBidi"/>
                <w:bCs/>
                <w:color w:val="00728F"/>
              </w:rPr>
              <w:t xml:space="preserve"> Part 8 of the </w:t>
            </w:r>
            <w:r w:rsidRPr="006647B7">
              <w:rPr>
                <w:rFonts w:asciiTheme="minorHAnsi" w:eastAsiaTheme="majorEastAsia" w:hAnsiTheme="minorHAnsi" w:cstheme="majorBidi"/>
                <w:bCs/>
                <w:i/>
                <w:color w:val="00728F"/>
              </w:rPr>
              <w:t>Telecommunications Act 1997</w:t>
            </w:r>
          </w:p>
        </w:tc>
        <w:tc>
          <w:tcPr>
            <w:tcW w:w="9072"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As part of the transition to a more sustainable competitively neutral structure the Government </w:t>
            </w:r>
            <w:r w:rsidR="001C0620">
              <w:rPr>
                <w:rFonts w:asciiTheme="minorHAnsi" w:eastAsiaTheme="majorEastAsia" w:hAnsiTheme="minorHAnsi" w:cstheme="majorBidi"/>
                <w:bCs/>
                <w:color w:val="00728F"/>
              </w:rPr>
              <w:t>is putting</w:t>
            </w:r>
            <w:r w:rsidRPr="006647B7">
              <w:rPr>
                <w:rFonts w:asciiTheme="minorHAnsi" w:eastAsiaTheme="majorEastAsia" w:hAnsiTheme="minorHAnsi" w:cstheme="majorBidi"/>
                <w:bCs/>
                <w:color w:val="00728F"/>
              </w:rPr>
              <w:t xml:space="preserve"> in place a two-year carrier licence condition requiring functional separation and supply of a wholesale service to access seekers on a non-discriminatory basis</w:t>
            </w:r>
            <w:r w:rsidR="002D2D0B">
              <w:rPr>
                <w:rFonts w:asciiTheme="minorHAnsi" w:eastAsiaTheme="majorEastAsia" w:hAnsiTheme="minorHAnsi" w:cstheme="majorBidi"/>
                <w:bCs/>
                <w:color w:val="00728F"/>
              </w:rPr>
              <w:t xml:space="preserve">. </w:t>
            </w:r>
          </w:p>
          <w:p w:rsidR="004E20C8" w:rsidRPr="006647B7" w:rsidRDefault="004E20C8" w:rsidP="001C0620">
            <w:pPr>
              <w:spacing w:after="120"/>
              <w:rPr>
                <w:rFonts w:asciiTheme="minorHAnsi" w:eastAsiaTheme="majorEastAsia" w:hAnsiTheme="minorHAnsi" w:cstheme="majorBidi"/>
                <w:b/>
                <w:bCs/>
                <w:i/>
                <w:color w:val="00728F"/>
              </w:rPr>
            </w:pPr>
            <w:r w:rsidRPr="006647B7">
              <w:rPr>
                <w:rFonts w:asciiTheme="minorHAnsi" w:eastAsiaTheme="majorEastAsia" w:hAnsiTheme="minorHAnsi" w:cstheme="majorBidi"/>
                <w:bCs/>
                <w:color w:val="00728F"/>
              </w:rPr>
              <w:t>The Government will introduce legislation to require new networks targeting residential customers and offering high-speed broadband to be structurally separated as a default and offer non</w:t>
            </w:r>
            <w:r w:rsidR="001C0620">
              <w:rPr>
                <w:rFonts w:asciiTheme="minorHAnsi" w:eastAsiaTheme="majorEastAsia" w:hAnsiTheme="minorHAnsi" w:cstheme="majorBidi"/>
                <w:bCs/>
                <w:color w:val="00728F"/>
              </w:rPr>
              <w:noBreakHyphen/>
            </w:r>
            <w:r w:rsidRPr="006647B7">
              <w:rPr>
                <w:rFonts w:asciiTheme="minorHAnsi" w:eastAsiaTheme="majorEastAsia" w:hAnsiTheme="minorHAnsi" w:cstheme="majorBidi"/>
                <w:bCs/>
                <w:color w:val="00728F"/>
              </w:rPr>
              <w:t xml:space="preserve">discriminatory access. The legislation will remove the 1km statutory exemption. The legislation </w:t>
            </w:r>
            <w:r w:rsidRPr="006647B7">
              <w:rPr>
                <w:rFonts w:asciiTheme="minorHAnsi" w:eastAsiaTheme="majorEastAsia" w:hAnsiTheme="minorHAnsi" w:cstheme="majorBidi"/>
                <w:bCs/>
                <w:color w:val="00728F"/>
              </w:rPr>
              <w:lastRenderedPageBreak/>
              <w:t>will also provide for the ACCC to authorise functional separation arrangements (subject to undertakings from carriers detailing satisfactory arrangements for access and equivalence to minimise anti-competitive effects)</w:t>
            </w:r>
            <w:r w:rsidR="002D2D0B">
              <w:rPr>
                <w:rFonts w:asciiTheme="minorHAnsi" w:eastAsiaTheme="majorEastAsia" w:hAnsiTheme="minorHAnsi" w:cstheme="majorBidi"/>
                <w:bCs/>
                <w:color w:val="00728F"/>
              </w:rPr>
              <w:t xml:space="preserve">. </w:t>
            </w:r>
            <w:r w:rsidRPr="006647B7">
              <w:rPr>
                <w:rFonts w:asciiTheme="minorHAnsi" w:eastAsiaTheme="majorEastAsia" w:hAnsiTheme="minorHAnsi" w:cstheme="majorBidi"/>
                <w:bCs/>
                <w:color w:val="00728F"/>
              </w:rPr>
              <w:t>The arrangements will include appropriate grandfathering measures for pre-existing high-speed broadband networks</w:t>
            </w:r>
            <w:r w:rsidR="002D2D0B">
              <w:rPr>
                <w:rFonts w:asciiTheme="minorHAnsi" w:eastAsiaTheme="majorEastAsia" w:hAnsiTheme="minorHAnsi" w:cstheme="majorBidi"/>
                <w:bCs/>
                <w:color w:val="00728F"/>
              </w:rPr>
              <w:t xml:space="preserve">. </w:t>
            </w:r>
            <w:r w:rsidRPr="006647B7">
              <w:rPr>
                <w:rFonts w:asciiTheme="minorHAnsi" w:eastAsiaTheme="majorEastAsia" w:hAnsiTheme="minorHAnsi" w:cstheme="majorBidi"/>
                <w:bCs/>
                <w:color w:val="00728F"/>
              </w:rPr>
              <w:t>In line with the proposed arrangements for NBN Co</w:t>
            </w:r>
            <w:r w:rsidR="001C0620">
              <w:rPr>
                <w:rFonts w:asciiTheme="minorHAnsi" w:eastAsiaTheme="majorEastAsia" w:hAnsiTheme="minorHAnsi" w:cstheme="majorBidi"/>
                <w:bCs/>
                <w:color w:val="00728F"/>
              </w:rPr>
              <w:t>,</w:t>
            </w:r>
            <w:r w:rsidRPr="006647B7">
              <w:rPr>
                <w:rFonts w:asciiTheme="minorHAnsi" w:eastAsiaTheme="majorEastAsia" w:hAnsiTheme="minorHAnsi" w:cstheme="majorBidi"/>
                <w:bCs/>
                <w:color w:val="00728F"/>
              </w:rPr>
              <w:t xml:space="preserve"> the non-discrimination arrangements for other providers will be reviewed at the same time.</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lastRenderedPageBreak/>
              <w:t>5</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Infrastructure Provider of Last Resort (IPOLR)</w:t>
            </w:r>
          </w:p>
        </w:tc>
        <w:tc>
          <w:tcPr>
            <w:tcW w:w="9072" w:type="dxa"/>
          </w:tcPr>
          <w:p w:rsidR="004E20C8" w:rsidRPr="006647B7" w:rsidRDefault="004E20C8" w:rsidP="001C0620">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will legislate IPOLR obligations for NBN Co on an area basis once it has a well</w:t>
            </w:r>
            <w:r w:rsidR="001C0620">
              <w:rPr>
                <w:rFonts w:asciiTheme="minorHAnsi" w:eastAsiaTheme="majorEastAsia" w:hAnsiTheme="minorHAnsi" w:cstheme="majorBidi"/>
                <w:bCs/>
                <w:color w:val="00728F"/>
              </w:rPr>
              <w:noBreakHyphen/>
            </w:r>
            <w:r w:rsidRPr="006647B7">
              <w:rPr>
                <w:rFonts w:asciiTheme="minorHAnsi" w:eastAsiaTheme="majorEastAsia" w:hAnsiTheme="minorHAnsi" w:cstheme="majorBidi"/>
                <w:bCs/>
                <w:color w:val="00728F"/>
              </w:rPr>
              <w:t>established presence in that area. The arrangements will also allow for the IPOLR obligation to be applied to other carriers on an area basis where appropriate.</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6</w:t>
            </w:r>
          </w:p>
        </w:tc>
        <w:tc>
          <w:tcPr>
            <w:tcW w:w="4423" w:type="dxa"/>
          </w:tcPr>
          <w:p w:rsidR="004E20C8" w:rsidRPr="006647B7" w:rsidRDefault="004E20C8" w:rsidP="000058D3">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New Developments</w:t>
            </w:r>
          </w:p>
        </w:tc>
        <w:tc>
          <w:tcPr>
            <w:tcW w:w="9072"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supports competition and ready access to broadband in new developments</w:t>
            </w:r>
            <w:r w:rsidR="002D2D0B">
              <w:rPr>
                <w:rFonts w:asciiTheme="minorHAnsi" w:eastAsiaTheme="majorEastAsia" w:hAnsiTheme="minorHAnsi" w:cstheme="majorBidi"/>
                <w:bCs/>
                <w:color w:val="00728F"/>
              </w:rPr>
              <w:t xml:space="preserve">. </w:t>
            </w:r>
            <w:r w:rsidR="001C0620" w:rsidRPr="006647B7">
              <w:rPr>
                <w:rFonts w:asciiTheme="minorHAnsi" w:eastAsiaTheme="majorEastAsia" w:hAnsiTheme="minorHAnsi" w:cstheme="majorBidi"/>
                <w:bCs/>
                <w:color w:val="00728F"/>
              </w:rPr>
              <w:t>A policy</w:t>
            </w:r>
            <w:r w:rsidRPr="006647B7">
              <w:rPr>
                <w:rFonts w:asciiTheme="minorHAnsi" w:eastAsiaTheme="majorEastAsia" w:hAnsiTheme="minorHAnsi" w:cstheme="majorBidi"/>
                <w:bCs/>
                <w:color w:val="00728F"/>
              </w:rPr>
              <w:t xml:space="preserve"> paper has been issued setting out proposed new arrangements for comment</w:t>
            </w:r>
            <w:r w:rsidR="002D2D0B">
              <w:rPr>
                <w:rFonts w:asciiTheme="minorHAnsi" w:eastAsiaTheme="majorEastAsia" w:hAnsiTheme="minorHAnsi" w:cstheme="majorBidi"/>
                <w:bCs/>
                <w:color w:val="00728F"/>
              </w:rPr>
              <w:t xml:space="preserve">. </w:t>
            </w:r>
            <w:r w:rsidRPr="006647B7">
              <w:rPr>
                <w:rFonts w:asciiTheme="minorHAnsi" w:eastAsiaTheme="majorEastAsia" w:hAnsiTheme="minorHAnsi" w:cstheme="majorBidi"/>
                <w:bCs/>
                <w:color w:val="00728F"/>
              </w:rPr>
              <w:t>Amongst other things, the policy paper proposes capped charging for infrastructure in new developments and a number of other operational changes</w:t>
            </w:r>
            <w:r w:rsidR="002D2D0B">
              <w:rPr>
                <w:rFonts w:asciiTheme="minorHAnsi" w:eastAsiaTheme="majorEastAsia" w:hAnsiTheme="minorHAnsi" w:cstheme="majorBidi"/>
                <w:bCs/>
                <w:color w:val="00728F"/>
              </w:rPr>
              <w:t xml:space="preserve">. </w:t>
            </w:r>
            <w:r w:rsidRPr="006647B7">
              <w:rPr>
                <w:rFonts w:asciiTheme="minorHAnsi" w:eastAsiaTheme="majorEastAsia" w:hAnsiTheme="minorHAnsi" w:cstheme="majorBidi"/>
                <w:bCs/>
                <w:color w:val="00728F"/>
              </w:rPr>
              <w:t>Capped charging would facilitate competition by alternative providers, help NBN Co recover its capital costs faster, and be consistent with the user-pays principle, while having minimum impacts on developers and housing costs. NBN Co would also be required to trial buy-back and other schemes involving private sector providers</w:t>
            </w:r>
            <w:r w:rsidR="002D2D0B">
              <w:rPr>
                <w:rFonts w:asciiTheme="minorHAnsi" w:eastAsiaTheme="majorEastAsia" w:hAnsiTheme="minorHAnsi" w:cstheme="majorBidi"/>
                <w:bCs/>
                <w:color w:val="00728F"/>
              </w:rPr>
              <w:t xml:space="preserve">. </w:t>
            </w:r>
            <w:r w:rsidRPr="006647B7">
              <w:rPr>
                <w:rFonts w:asciiTheme="minorHAnsi" w:eastAsiaTheme="majorEastAsia" w:hAnsiTheme="minorHAnsi" w:cstheme="majorBidi"/>
                <w:bCs/>
                <w:color w:val="00728F"/>
              </w:rPr>
              <w:t>Further details are provided in the policy paper.</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7</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Transitional New Developments measures </w:t>
            </w:r>
          </w:p>
        </w:tc>
        <w:tc>
          <w:tcPr>
            <w:tcW w:w="9072" w:type="dxa"/>
          </w:tcPr>
          <w:p w:rsidR="004E20C8" w:rsidRPr="006647B7" w:rsidRDefault="004E20C8" w:rsidP="00286D3D">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See response to Recommendation 6</w:t>
            </w:r>
            <w:r w:rsidR="00D00261">
              <w:rPr>
                <w:rFonts w:asciiTheme="minorHAnsi" w:eastAsiaTheme="majorEastAsia" w:hAnsiTheme="minorHAnsi" w:cstheme="majorBidi"/>
                <w:bCs/>
                <w:color w:val="00728F"/>
              </w:rPr>
              <w:t>.</w:t>
            </w:r>
          </w:p>
        </w:tc>
      </w:tr>
      <w:tr w:rsidR="004E20C8" w:rsidRPr="006647B7" w:rsidTr="00176A74">
        <w:tc>
          <w:tcPr>
            <w:tcW w:w="710"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8</w:t>
            </w:r>
          </w:p>
        </w:tc>
        <w:tc>
          <w:tcPr>
            <w:tcW w:w="4423"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Wholesale price capping</w:t>
            </w:r>
            <w:r w:rsidRPr="006647B7" w:rsidDel="003F43B3">
              <w:rPr>
                <w:rFonts w:asciiTheme="minorHAnsi" w:eastAsiaTheme="majorEastAsia" w:hAnsiTheme="minorHAnsi" w:cstheme="majorBidi"/>
                <w:bCs/>
                <w:color w:val="00728F"/>
              </w:rPr>
              <w:t xml:space="preserve"> </w:t>
            </w:r>
          </w:p>
        </w:tc>
        <w:tc>
          <w:tcPr>
            <w:tcW w:w="9072"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will confirm with NBN Co that is has flexibility to adjust prices on a non-uniform basis, subject to price caps.    </w:t>
            </w:r>
          </w:p>
        </w:tc>
      </w:tr>
      <w:tr w:rsidR="004E20C8" w:rsidRPr="006647B7" w:rsidTr="00176A74">
        <w:tc>
          <w:tcPr>
            <w:tcW w:w="710"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9</w:t>
            </w:r>
          </w:p>
        </w:tc>
        <w:tc>
          <w:tcPr>
            <w:tcW w:w="4423"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Wholesale price capping on divested networks</w:t>
            </w:r>
          </w:p>
        </w:tc>
        <w:tc>
          <w:tcPr>
            <w:tcW w:w="9072" w:type="dxa"/>
            <w:shd w:val="clear" w:color="auto" w:fill="auto"/>
          </w:tcPr>
          <w:p w:rsidR="004E20C8" w:rsidRPr="006647B7" w:rsidRDefault="004E20C8" w:rsidP="00801780">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See response to Recommendation 2</w:t>
            </w:r>
            <w:r w:rsidR="00D00261">
              <w:rPr>
                <w:rFonts w:asciiTheme="minorHAnsi" w:eastAsiaTheme="majorEastAsia" w:hAnsiTheme="minorHAnsi" w:cstheme="majorBidi"/>
                <w:bCs/>
                <w:color w:val="00728F"/>
              </w:rPr>
              <w:t>.</w:t>
            </w:r>
            <w:r w:rsidRPr="006647B7">
              <w:rPr>
                <w:rFonts w:asciiTheme="minorHAnsi" w:eastAsiaTheme="majorEastAsia" w:hAnsiTheme="minorHAnsi" w:cstheme="majorBidi"/>
                <w:bCs/>
                <w:color w:val="00728F"/>
              </w:rPr>
              <w:t xml:space="preserve"> </w:t>
            </w:r>
          </w:p>
        </w:tc>
      </w:tr>
      <w:tr w:rsidR="004E20C8" w:rsidRPr="006647B7" w:rsidTr="00176A74">
        <w:trPr>
          <w:trHeight w:val="759"/>
        </w:trPr>
        <w:tc>
          <w:tcPr>
            <w:tcW w:w="710"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10</w:t>
            </w:r>
          </w:p>
        </w:tc>
        <w:tc>
          <w:tcPr>
            <w:tcW w:w="4423"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Repeal </w:t>
            </w:r>
            <w:r w:rsidR="00801780">
              <w:rPr>
                <w:rFonts w:asciiTheme="minorHAnsi" w:eastAsiaTheme="majorEastAsia" w:hAnsiTheme="minorHAnsi" w:cstheme="majorBidi"/>
                <w:bCs/>
                <w:color w:val="00728F"/>
              </w:rPr>
              <w:t xml:space="preserve">of </w:t>
            </w:r>
            <w:r w:rsidRPr="006647B7">
              <w:rPr>
                <w:rFonts w:asciiTheme="minorHAnsi" w:eastAsiaTheme="majorEastAsia" w:hAnsiTheme="minorHAnsi" w:cstheme="majorBidi"/>
                <w:bCs/>
                <w:color w:val="00728F"/>
              </w:rPr>
              <w:t xml:space="preserve">Division 16 of Part XIB of the </w:t>
            </w:r>
            <w:r w:rsidRPr="006647B7">
              <w:rPr>
                <w:rFonts w:asciiTheme="minorHAnsi" w:eastAsiaTheme="majorEastAsia" w:hAnsiTheme="minorHAnsi" w:cstheme="majorBidi"/>
                <w:bCs/>
                <w:i/>
                <w:color w:val="00728F"/>
              </w:rPr>
              <w:t>Competition and Consumer Act 2010</w:t>
            </w:r>
            <w:r w:rsidRPr="006647B7">
              <w:rPr>
                <w:rFonts w:asciiTheme="minorHAnsi" w:eastAsiaTheme="majorEastAsia" w:hAnsiTheme="minorHAnsi" w:cstheme="majorBidi"/>
                <w:bCs/>
                <w:color w:val="00728F"/>
              </w:rPr>
              <w:t xml:space="preserve"> </w:t>
            </w:r>
          </w:p>
        </w:tc>
        <w:tc>
          <w:tcPr>
            <w:tcW w:w="9072"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will repeal Division 16 of Part XIB in 2015, subject to considering implementation arrangements for price capping</w:t>
            </w:r>
            <w:r w:rsidR="002D2D0B">
              <w:rPr>
                <w:rFonts w:asciiTheme="minorHAnsi" w:eastAsiaTheme="majorEastAsia" w:hAnsiTheme="minorHAnsi" w:cstheme="majorBidi"/>
                <w:bCs/>
                <w:color w:val="00728F"/>
              </w:rPr>
              <w:t xml:space="preserve">. </w:t>
            </w:r>
          </w:p>
        </w:tc>
      </w:tr>
      <w:tr w:rsidR="004E20C8" w:rsidRPr="006647B7" w:rsidTr="00176A74">
        <w:tc>
          <w:tcPr>
            <w:tcW w:w="710" w:type="dxa"/>
          </w:tcPr>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11</w:t>
            </w:r>
          </w:p>
        </w:tc>
        <w:tc>
          <w:tcPr>
            <w:tcW w:w="4423" w:type="dxa"/>
          </w:tcPr>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br w:type="page"/>
              <w:t>Funding of Non-Commercial Services</w:t>
            </w:r>
          </w:p>
        </w:tc>
        <w:tc>
          <w:tcPr>
            <w:tcW w:w="9072" w:type="dxa"/>
          </w:tcPr>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will task the Bureau of Communications Research in the Department of Communications with providing advice on the amount of non-commercial service funding required to provide for NBN satellite and fixed wireless services. The intention is that new funding arrangements will be put in place that are competitively neutral across telecommunications carriers.</w:t>
            </w:r>
          </w:p>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will implement an industry contribution and explicit funding mechanism for NBN satellite and fixed wireless services (expected implementation date 1 January 2017). </w:t>
            </w:r>
          </w:p>
          <w:p w:rsidR="004E20C8" w:rsidRPr="006647B7" w:rsidRDefault="004E20C8" w:rsidP="006647B7">
            <w:pPr>
              <w:keepNext/>
              <w:keepLines/>
              <w:spacing w:after="120"/>
              <w:rPr>
                <w:rFonts w:asciiTheme="minorHAnsi" w:eastAsiaTheme="majorEastAsia" w:hAnsiTheme="minorHAnsi" w:cstheme="majorBidi"/>
                <w:b/>
                <w:bCs/>
                <w:i/>
                <w:color w:val="00728F"/>
              </w:rPr>
            </w:pPr>
            <w:r w:rsidRPr="006647B7">
              <w:rPr>
                <w:rFonts w:asciiTheme="minorHAnsi" w:eastAsiaTheme="majorEastAsia" w:hAnsiTheme="minorHAnsi" w:cstheme="majorBidi"/>
                <w:bCs/>
                <w:color w:val="00728F"/>
              </w:rPr>
              <w:t>The Government will task the Australian Competition and Consumer Commission with a price monitoring role to ensure that the introduction of a non-commercial funding arrangement does not increase total NBN end-user costs compared to current forecasts.</w:t>
            </w:r>
          </w:p>
        </w:tc>
      </w:tr>
      <w:tr w:rsidR="004E20C8" w:rsidRPr="006647B7" w:rsidTr="00176A74">
        <w:tc>
          <w:tcPr>
            <w:tcW w:w="710"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12</w:t>
            </w:r>
          </w:p>
        </w:tc>
        <w:tc>
          <w:tcPr>
            <w:tcW w:w="4423"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New Product Development</w:t>
            </w:r>
          </w:p>
        </w:tc>
        <w:tc>
          <w:tcPr>
            <w:tcW w:w="9072" w:type="dxa"/>
            <w:shd w:val="clear" w:color="auto" w:fill="auto"/>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will ask the ACCC to issue guidelines.</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13</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National Broadband Standard </w:t>
            </w:r>
          </w:p>
        </w:tc>
        <w:tc>
          <w:tcPr>
            <w:tcW w:w="9072" w:type="dxa"/>
          </w:tcPr>
          <w:p w:rsidR="004E20C8" w:rsidRPr="006647B7" w:rsidRDefault="004E20C8" w:rsidP="005C63BC">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considers that ensuring more competitive arrangements will mean that the market will drive future network upgrades. Where there is a need for any Government involvement this should occur after rigorous cost benefit analysis of options</w:t>
            </w:r>
            <w:r w:rsidR="002D2D0B">
              <w:rPr>
                <w:rFonts w:asciiTheme="minorHAnsi" w:eastAsiaTheme="majorEastAsia" w:hAnsiTheme="minorHAnsi" w:cstheme="majorBidi"/>
                <w:bCs/>
                <w:color w:val="00728F"/>
              </w:rPr>
              <w:t xml:space="preserve">. </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14</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Upgrading the National Broadband Standard</w:t>
            </w:r>
          </w:p>
        </w:tc>
        <w:tc>
          <w:tcPr>
            <w:tcW w:w="9072" w:type="dxa"/>
          </w:tcPr>
          <w:p w:rsidR="004E20C8" w:rsidRPr="006647B7" w:rsidRDefault="004E20C8" w:rsidP="00801780">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See response to Recommendation 13</w:t>
            </w:r>
            <w:r w:rsidR="002D2D0B">
              <w:rPr>
                <w:rFonts w:asciiTheme="minorHAnsi" w:eastAsiaTheme="majorEastAsia" w:hAnsiTheme="minorHAnsi" w:cstheme="majorBidi"/>
                <w:bCs/>
                <w:color w:val="00728F"/>
              </w:rPr>
              <w:t xml:space="preserve">. </w:t>
            </w:r>
          </w:p>
        </w:tc>
      </w:tr>
      <w:tr w:rsidR="004E20C8" w:rsidRPr="006647B7" w:rsidTr="00176A74">
        <w:tc>
          <w:tcPr>
            <w:tcW w:w="710" w:type="dxa"/>
            <w:shd w:val="clear" w:color="auto" w:fill="auto"/>
          </w:tcPr>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lastRenderedPageBreak/>
              <w:t>15</w:t>
            </w:r>
          </w:p>
        </w:tc>
        <w:tc>
          <w:tcPr>
            <w:tcW w:w="4423" w:type="dxa"/>
            <w:shd w:val="clear" w:color="auto" w:fill="auto"/>
          </w:tcPr>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Exemption from Declared Service Supply Obligation</w:t>
            </w:r>
          </w:p>
        </w:tc>
        <w:tc>
          <w:tcPr>
            <w:tcW w:w="9072" w:type="dxa"/>
            <w:shd w:val="clear" w:color="auto" w:fill="auto"/>
          </w:tcPr>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will bring forward legislative amendments to enable NBN Co, subject to ACCC scrutiny, to undertake trials and pilots without breaching its non-discrimination obligations.</w:t>
            </w:r>
          </w:p>
          <w:p w:rsidR="004E20C8" w:rsidRPr="006647B7" w:rsidRDefault="004E20C8" w:rsidP="006647B7">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considers that further changes to the obligation to supply only declared services should be considered by the Productivity Commission after the NBN rollout is complete. </w:t>
            </w:r>
          </w:p>
          <w:p w:rsidR="004E20C8" w:rsidRPr="006647B7" w:rsidRDefault="004E20C8" w:rsidP="005C63BC">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(See </w:t>
            </w:r>
            <w:r w:rsidR="00D00261">
              <w:rPr>
                <w:rFonts w:asciiTheme="minorHAnsi" w:eastAsiaTheme="majorEastAsia" w:hAnsiTheme="minorHAnsi" w:cstheme="majorBidi"/>
                <w:bCs/>
                <w:color w:val="00728F"/>
              </w:rPr>
              <w:t xml:space="preserve">also </w:t>
            </w:r>
            <w:r w:rsidRPr="006647B7">
              <w:rPr>
                <w:rFonts w:asciiTheme="minorHAnsi" w:eastAsiaTheme="majorEastAsia" w:hAnsiTheme="minorHAnsi" w:cstheme="majorBidi"/>
                <w:bCs/>
                <w:color w:val="00728F"/>
              </w:rPr>
              <w:t xml:space="preserve">response to </w:t>
            </w:r>
            <w:r w:rsidR="005C63BC">
              <w:rPr>
                <w:rFonts w:asciiTheme="minorHAnsi" w:eastAsiaTheme="majorEastAsia" w:hAnsiTheme="minorHAnsi" w:cstheme="majorBidi"/>
                <w:bCs/>
                <w:color w:val="00728F"/>
              </w:rPr>
              <w:t>R</w:t>
            </w:r>
            <w:r w:rsidR="005C63BC" w:rsidRPr="006647B7">
              <w:rPr>
                <w:rFonts w:asciiTheme="minorHAnsi" w:eastAsiaTheme="majorEastAsia" w:hAnsiTheme="minorHAnsi" w:cstheme="majorBidi"/>
                <w:bCs/>
                <w:color w:val="00728F"/>
              </w:rPr>
              <w:t xml:space="preserve">ecommendation </w:t>
            </w:r>
            <w:r w:rsidRPr="006647B7">
              <w:rPr>
                <w:rFonts w:asciiTheme="minorHAnsi" w:eastAsiaTheme="majorEastAsia" w:hAnsiTheme="minorHAnsi" w:cstheme="majorBidi"/>
                <w:bCs/>
                <w:color w:val="00728F"/>
              </w:rPr>
              <w:t xml:space="preserve">13 of the Statutory Review </w:t>
            </w:r>
            <w:r w:rsidR="002500C8">
              <w:rPr>
                <w:rFonts w:asciiTheme="minorHAnsi" w:eastAsiaTheme="majorEastAsia" w:hAnsiTheme="minorHAnsi" w:cstheme="majorBidi"/>
                <w:bCs/>
                <w:color w:val="00728F"/>
              </w:rPr>
              <w:t xml:space="preserve">under </w:t>
            </w:r>
            <w:r w:rsidRPr="006647B7">
              <w:rPr>
                <w:rFonts w:asciiTheme="minorHAnsi" w:eastAsiaTheme="majorEastAsia" w:hAnsiTheme="minorHAnsi" w:cstheme="majorBidi"/>
                <w:bCs/>
                <w:color w:val="00728F"/>
              </w:rPr>
              <w:t xml:space="preserve">s.152EOA </w:t>
            </w:r>
            <w:r w:rsidR="002500C8">
              <w:rPr>
                <w:rFonts w:asciiTheme="minorHAnsi" w:eastAsiaTheme="majorEastAsia" w:hAnsiTheme="minorHAnsi" w:cstheme="majorBidi"/>
                <w:bCs/>
                <w:color w:val="00728F"/>
              </w:rPr>
              <w:t xml:space="preserve">of the </w:t>
            </w:r>
            <w:r w:rsidRPr="006647B7">
              <w:rPr>
                <w:rFonts w:asciiTheme="minorHAnsi" w:eastAsiaTheme="majorEastAsia" w:hAnsiTheme="minorHAnsi" w:cstheme="majorBidi"/>
                <w:bCs/>
                <w:i/>
                <w:color w:val="00728F"/>
              </w:rPr>
              <w:t>Competition and Consumer Act 2010</w:t>
            </w:r>
            <w:r w:rsidR="00D00261" w:rsidRPr="00010DEE">
              <w:rPr>
                <w:rFonts w:asciiTheme="minorHAnsi" w:eastAsiaTheme="majorEastAsia" w:hAnsiTheme="minorHAnsi" w:cstheme="majorBidi"/>
                <w:bCs/>
                <w:color w:val="00728F"/>
              </w:rPr>
              <w:t>.</w:t>
            </w:r>
            <w:r w:rsidRPr="006647B7">
              <w:rPr>
                <w:rFonts w:asciiTheme="minorHAnsi" w:eastAsiaTheme="majorEastAsia" w:hAnsiTheme="minorHAnsi" w:cstheme="majorBidi"/>
                <w:bCs/>
                <w:color w:val="00728F"/>
              </w:rPr>
              <w:t>)</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16</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Competitive Neutrality</w:t>
            </w:r>
          </w:p>
        </w:tc>
        <w:tc>
          <w:tcPr>
            <w:tcW w:w="9072"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will consider this matter in the context of the findings of the Harper review of competition laws and policy</w:t>
            </w:r>
            <w:r w:rsidR="002D2D0B">
              <w:rPr>
                <w:rFonts w:asciiTheme="minorHAnsi" w:eastAsiaTheme="majorEastAsia" w:hAnsiTheme="minorHAnsi" w:cstheme="majorBidi"/>
                <w:bCs/>
                <w:color w:val="00728F"/>
              </w:rPr>
              <w:t xml:space="preserve">. </w:t>
            </w:r>
          </w:p>
          <w:p w:rsidR="004E20C8" w:rsidRPr="006647B7" w:rsidRDefault="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considers that NBN Co should operate consistent with the Competition Principles Agreement (CPA) and with clear guidance on the identified matters. The Government is not proposing legislation in this context because competitive neutrality requirements already apply to NBN Co by virtue of the </w:t>
            </w:r>
            <w:r w:rsidR="002500C8">
              <w:rPr>
                <w:rFonts w:asciiTheme="minorHAnsi" w:eastAsiaTheme="majorEastAsia" w:hAnsiTheme="minorHAnsi" w:cstheme="majorBidi"/>
                <w:bCs/>
                <w:color w:val="00728F"/>
              </w:rPr>
              <w:t>CPA</w:t>
            </w:r>
            <w:r w:rsidRPr="006647B7">
              <w:rPr>
                <w:rFonts w:asciiTheme="minorHAnsi" w:eastAsiaTheme="majorEastAsia" w:hAnsiTheme="minorHAnsi" w:cstheme="majorBidi"/>
                <w:bCs/>
                <w:color w:val="00728F"/>
              </w:rPr>
              <w:t xml:space="preserve">. </w:t>
            </w:r>
          </w:p>
        </w:tc>
      </w:tr>
      <w:tr w:rsidR="004E20C8" w:rsidRPr="006647B7" w:rsidTr="00176A74">
        <w:tc>
          <w:tcPr>
            <w:tcW w:w="710" w:type="dxa"/>
          </w:tcPr>
          <w:p w:rsidR="004E20C8" w:rsidRPr="006647B7" w:rsidRDefault="004E20C8" w:rsidP="004E20C8">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17</w:t>
            </w:r>
          </w:p>
        </w:tc>
        <w:tc>
          <w:tcPr>
            <w:tcW w:w="4423" w:type="dxa"/>
          </w:tcPr>
          <w:p w:rsidR="004E20C8" w:rsidRPr="006647B7" w:rsidRDefault="004E20C8" w:rsidP="00350106">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Remov</w:t>
            </w:r>
            <w:r w:rsidR="00350106">
              <w:rPr>
                <w:rFonts w:asciiTheme="minorHAnsi" w:eastAsiaTheme="majorEastAsia" w:hAnsiTheme="minorHAnsi" w:cstheme="majorBidi"/>
                <w:bCs/>
                <w:color w:val="00728F"/>
              </w:rPr>
              <w:t>al of</w:t>
            </w:r>
            <w:r w:rsidRPr="006647B7">
              <w:rPr>
                <w:rFonts w:asciiTheme="minorHAnsi" w:eastAsiaTheme="majorEastAsia" w:hAnsiTheme="minorHAnsi" w:cstheme="majorBidi"/>
                <w:bCs/>
                <w:color w:val="00728F"/>
              </w:rPr>
              <w:t xml:space="preserve"> Telstra price controls on the NBN</w:t>
            </w:r>
          </w:p>
        </w:tc>
        <w:tc>
          <w:tcPr>
            <w:tcW w:w="9072" w:type="dxa"/>
          </w:tcPr>
          <w:p w:rsidR="004E20C8" w:rsidRPr="006647B7" w:rsidRDefault="004E20C8" w:rsidP="004E20C8">
            <w:pPr>
              <w:keepNext/>
              <w:keepLines/>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notes that this is consistent with current policy. </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18</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NBN Co Privatisation</w:t>
            </w:r>
          </w:p>
        </w:tc>
        <w:tc>
          <w:tcPr>
            <w:tcW w:w="9072"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 xml:space="preserve">The Government notes that this is consistent with current policy. </w:t>
            </w:r>
          </w:p>
        </w:tc>
      </w:tr>
      <w:tr w:rsidR="004E20C8" w:rsidRPr="006647B7" w:rsidTr="00176A74">
        <w:tc>
          <w:tcPr>
            <w:tcW w:w="710"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19</w:t>
            </w:r>
          </w:p>
        </w:tc>
        <w:tc>
          <w:tcPr>
            <w:tcW w:w="4423"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Network Regulator</w:t>
            </w:r>
          </w:p>
        </w:tc>
        <w:tc>
          <w:tcPr>
            <w:tcW w:w="9072" w:type="dxa"/>
          </w:tcPr>
          <w:p w:rsidR="004E20C8" w:rsidRPr="006647B7" w:rsidRDefault="004E20C8" w:rsidP="004E20C8">
            <w:pPr>
              <w:spacing w:after="120"/>
              <w:rPr>
                <w:rFonts w:asciiTheme="minorHAnsi" w:eastAsiaTheme="majorEastAsia" w:hAnsiTheme="minorHAnsi" w:cstheme="majorBidi"/>
                <w:bCs/>
                <w:color w:val="00728F"/>
              </w:rPr>
            </w:pPr>
            <w:r w:rsidRPr="006647B7">
              <w:rPr>
                <w:rFonts w:asciiTheme="minorHAnsi" w:eastAsiaTheme="majorEastAsia" w:hAnsiTheme="minorHAnsi" w:cstheme="majorBidi"/>
                <w:bCs/>
                <w:color w:val="00728F"/>
              </w:rPr>
              <w:t>The Government notes that this recommendation is being considered by the Harper Review of competition laws and policy</w:t>
            </w:r>
            <w:r w:rsidR="002D2D0B">
              <w:rPr>
                <w:rFonts w:asciiTheme="minorHAnsi" w:eastAsiaTheme="majorEastAsia" w:hAnsiTheme="minorHAnsi" w:cstheme="majorBidi"/>
                <w:bCs/>
                <w:color w:val="00728F"/>
              </w:rPr>
              <w:t xml:space="preserve">. </w:t>
            </w:r>
          </w:p>
        </w:tc>
      </w:tr>
    </w:tbl>
    <w:p w:rsidR="004E20C8" w:rsidRPr="004E20C8" w:rsidRDefault="004E20C8" w:rsidP="004E20C8">
      <w:pPr>
        <w:spacing w:after="120"/>
        <w:ind w:left="1021" w:hanging="1021"/>
        <w:rPr>
          <w:rFonts w:ascii="Cambria" w:eastAsiaTheme="majorEastAsia" w:hAnsi="Cambria" w:cstheme="majorBidi"/>
          <w:b/>
          <w:bCs/>
          <w:color w:val="00728F"/>
          <w:sz w:val="26"/>
          <w:szCs w:val="26"/>
        </w:rPr>
      </w:pPr>
      <w:r w:rsidRPr="004E20C8">
        <w:rPr>
          <w:rFonts w:ascii="Cambria" w:eastAsiaTheme="majorEastAsia" w:hAnsi="Cambria" w:cstheme="majorBidi"/>
          <w:b/>
          <w:bCs/>
          <w:color w:val="00728F"/>
          <w:sz w:val="26"/>
          <w:szCs w:val="26"/>
        </w:rPr>
        <w:br w:type="page"/>
      </w:r>
    </w:p>
    <w:p w:rsidR="004E20C8" w:rsidRPr="00010DEE" w:rsidRDefault="004E20C8" w:rsidP="00010DEE">
      <w:pPr>
        <w:spacing w:after="120"/>
        <w:ind w:left="1021" w:hanging="1021"/>
        <w:jc w:val="center"/>
        <w:rPr>
          <w:rFonts w:ascii="Cambria" w:eastAsiaTheme="majorEastAsia" w:hAnsi="Cambria" w:cstheme="majorBidi"/>
          <w:bCs/>
          <w:color w:val="0072B9"/>
          <w:sz w:val="36"/>
          <w:szCs w:val="28"/>
        </w:rPr>
      </w:pPr>
      <w:r w:rsidRPr="00010DEE">
        <w:rPr>
          <w:rFonts w:ascii="Cambria" w:eastAsiaTheme="majorEastAsia" w:hAnsi="Cambria" w:cstheme="majorBidi"/>
          <w:bCs/>
          <w:color w:val="0072B9"/>
          <w:sz w:val="36"/>
          <w:szCs w:val="28"/>
        </w:rPr>
        <w:lastRenderedPageBreak/>
        <w:t xml:space="preserve">Statutory Review </w:t>
      </w:r>
      <w:r w:rsidR="002500C8" w:rsidRPr="00010DEE">
        <w:rPr>
          <w:rFonts w:ascii="Cambria" w:eastAsiaTheme="majorEastAsia" w:hAnsi="Cambria" w:cstheme="majorBidi"/>
          <w:bCs/>
          <w:color w:val="0072B9"/>
          <w:sz w:val="36"/>
          <w:szCs w:val="28"/>
        </w:rPr>
        <w:t xml:space="preserve">under </w:t>
      </w:r>
      <w:r w:rsidRPr="00010DEE">
        <w:rPr>
          <w:rFonts w:ascii="Cambria" w:eastAsiaTheme="majorEastAsia" w:hAnsi="Cambria" w:cstheme="majorBidi"/>
          <w:bCs/>
          <w:color w:val="0072B9"/>
          <w:sz w:val="36"/>
          <w:szCs w:val="28"/>
        </w:rPr>
        <w:t xml:space="preserve">s.152EOA </w:t>
      </w:r>
      <w:r w:rsidR="002500C8" w:rsidRPr="00010DEE">
        <w:rPr>
          <w:rFonts w:ascii="Cambria" w:eastAsiaTheme="majorEastAsia" w:hAnsi="Cambria" w:cstheme="majorBidi"/>
          <w:bCs/>
          <w:color w:val="0072B9"/>
          <w:sz w:val="36"/>
          <w:szCs w:val="28"/>
        </w:rPr>
        <w:t xml:space="preserve">of the </w:t>
      </w:r>
      <w:r w:rsidRPr="00010DEE">
        <w:rPr>
          <w:rFonts w:ascii="Cambria" w:eastAsiaTheme="majorEastAsia" w:hAnsi="Cambria" w:cstheme="majorBidi"/>
          <w:bCs/>
          <w:i/>
          <w:color w:val="0072B9"/>
          <w:sz w:val="36"/>
          <w:szCs w:val="28"/>
        </w:rPr>
        <w:t>Competition and Consumer Act 2010</w:t>
      </w:r>
    </w:p>
    <w:p w:rsidR="004E20C8" w:rsidRPr="004E20C8" w:rsidRDefault="004E20C8" w:rsidP="004E20C8">
      <w:pPr>
        <w:spacing w:after="120"/>
        <w:ind w:left="1021" w:hanging="1021"/>
        <w:rPr>
          <w:rFonts w:ascii="Cambria" w:eastAsiaTheme="majorEastAsia" w:hAnsi="Cambria" w:cstheme="majorBidi"/>
          <w:b/>
          <w:bCs/>
          <w:color w:val="00728F"/>
          <w:sz w:val="26"/>
          <w:szCs w:val="26"/>
        </w:rPr>
      </w:pPr>
    </w:p>
    <w:tbl>
      <w:tblPr>
        <w:tblStyle w:val="TableGrid"/>
        <w:tblW w:w="14205" w:type="dxa"/>
        <w:tblInd w:w="-176" w:type="dxa"/>
        <w:tblLayout w:type="fixed"/>
        <w:tblLook w:val="04A0" w:firstRow="1" w:lastRow="0" w:firstColumn="1" w:lastColumn="0" w:noHBand="0" w:noVBand="1"/>
      </w:tblPr>
      <w:tblGrid>
        <w:gridCol w:w="710"/>
        <w:gridCol w:w="4423"/>
        <w:gridCol w:w="9072"/>
      </w:tblGrid>
      <w:tr w:rsidR="004E20C8" w:rsidRPr="004E20C8" w:rsidTr="00A8390F">
        <w:trPr>
          <w:tblHeader/>
        </w:trPr>
        <w:tc>
          <w:tcPr>
            <w:tcW w:w="710" w:type="dxa"/>
            <w:shd w:val="clear" w:color="auto" w:fill="auto"/>
          </w:tcPr>
          <w:p w:rsidR="004E20C8" w:rsidRPr="004E20C8" w:rsidRDefault="004E20C8" w:rsidP="004E20C8">
            <w:pPr>
              <w:spacing w:after="120"/>
              <w:rPr>
                <w:rFonts w:ascii="Cambria" w:eastAsiaTheme="majorEastAsia" w:hAnsi="Cambria" w:cstheme="majorBidi"/>
                <w:b/>
                <w:bCs/>
                <w:color w:val="00728F"/>
                <w:sz w:val="26"/>
                <w:szCs w:val="26"/>
              </w:rPr>
            </w:pPr>
            <w:r w:rsidRPr="004E20C8">
              <w:rPr>
                <w:rFonts w:ascii="Cambria" w:eastAsiaTheme="majorEastAsia" w:hAnsi="Cambria" w:cstheme="majorBidi"/>
                <w:b/>
                <w:bCs/>
                <w:color w:val="00728F"/>
                <w:sz w:val="26"/>
                <w:szCs w:val="26"/>
              </w:rPr>
              <w:t>No.</w:t>
            </w:r>
          </w:p>
        </w:tc>
        <w:tc>
          <w:tcPr>
            <w:tcW w:w="4423" w:type="dxa"/>
            <w:shd w:val="clear" w:color="auto" w:fill="auto"/>
          </w:tcPr>
          <w:p w:rsidR="004E20C8" w:rsidRPr="004E20C8" w:rsidRDefault="004E20C8" w:rsidP="004E20C8">
            <w:pPr>
              <w:spacing w:after="120"/>
              <w:rPr>
                <w:rFonts w:ascii="Cambria" w:eastAsiaTheme="majorEastAsia" w:hAnsi="Cambria" w:cstheme="majorBidi"/>
                <w:b/>
                <w:bCs/>
                <w:color w:val="00728F"/>
                <w:sz w:val="26"/>
                <w:szCs w:val="26"/>
              </w:rPr>
            </w:pPr>
            <w:r w:rsidRPr="004E20C8">
              <w:rPr>
                <w:rFonts w:ascii="Cambria" w:eastAsiaTheme="majorEastAsia" w:hAnsi="Cambria" w:cstheme="majorBidi"/>
                <w:b/>
                <w:bCs/>
                <w:color w:val="00728F"/>
                <w:sz w:val="26"/>
                <w:szCs w:val="26"/>
              </w:rPr>
              <w:t>Recommendation</w:t>
            </w:r>
          </w:p>
        </w:tc>
        <w:tc>
          <w:tcPr>
            <w:tcW w:w="9072" w:type="dxa"/>
            <w:shd w:val="clear" w:color="auto" w:fill="auto"/>
          </w:tcPr>
          <w:p w:rsidR="004E20C8" w:rsidRPr="004E20C8" w:rsidRDefault="004E20C8" w:rsidP="004E20C8">
            <w:pPr>
              <w:spacing w:after="120"/>
              <w:rPr>
                <w:rFonts w:ascii="Cambria" w:eastAsiaTheme="majorEastAsia" w:hAnsi="Cambria" w:cstheme="majorBidi"/>
                <w:b/>
                <w:bCs/>
                <w:color w:val="00728F"/>
                <w:sz w:val="26"/>
                <w:szCs w:val="26"/>
              </w:rPr>
            </w:pPr>
            <w:r w:rsidRPr="004E20C8">
              <w:rPr>
                <w:rFonts w:ascii="Cambria" w:eastAsiaTheme="majorEastAsia" w:hAnsi="Cambria" w:cstheme="majorBidi"/>
                <w:b/>
                <w:bCs/>
                <w:color w:val="00728F"/>
                <w:sz w:val="26"/>
                <w:szCs w:val="26"/>
              </w:rPr>
              <w:t>Response</w:t>
            </w:r>
          </w:p>
        </w:tc>
      </w:tr>
      <w:tr w:rsidR="004E20C8" w:rsidRPr="000058D3" w:rsidTr="00A8390F">
        <w:tc>
          <w:tcPr>
            <w:tcW w:w="710"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1</w:t>
            </w:r>
          </w:p>
        </w:tc>
        <w:tc>
          <w:tcPr>
            <w:tcW w:w="4423"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Facilities access regulation under Part XIC of the CCA.</w:t>
            </w:r>
          </w:p>
        </w:tc>
        <w:tc>
          <w:tcPr>
            <w:tcW w:w="9072"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 xml:space="preserve">The Government will clarify the ACCC’s powers in relation to regulating access to facilities under Part XIC and the regime’s interaction with Schedule 1 of the </w:t>
            </w:r>
            <w:r w:rsidRPr="000058D3">
              <w:rPr>
                <w:rFonts w:asciiTheme="minorHAnsi" w:eastAsiaTheme="majorEastAsia" w:hAnsiTheme="minorHAnsi" w:cstheme="majorBidi"/>
                <w:bCs/>
                <w:i/>
                <w:color w:val="00728F"/>
              </w:rPr>
              <w:t>Telecommunications Act 1997</w:t>
            </w:r>
            <w:r w:rsidR="002D2D0B">
              <w:rPr>
                <w:rFonts w:asciiTheme="minorHAnsi" w:eastAsiaTheme="majorEastAsia" w:hAnsiTheme="minorHAnsi" w:cstheme="majorBidi"/>
                <w:b/>
                <w:bCs/>
                <w:color w:val="00728F"/>
              </w:rPr>
              <w:t xml:space="preserve">. </w:t>
            </w:r>
          </w:p>
        </w:tc>
      </w:tr>
      <w:tr w:rsidR="004E20C8" w:rsidRPr="000058D3" w:rsidTr="00A8390F">
        <w:tc>
          <w:tcPr>
            <w:tcW w:w="710"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2</w:t>
            </w:r>
          </w:p>
        </w:tc>
        <w:tc>
          <w:tcPr>
            <w:tcW w:w="4423"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 xml:space="preserve">Review of the telecommunications-specific anti-competitive conduct regime in Part XIB of the CCA </w:t>
            </w:r>
          </w:p>
        </w:tc>
        <w:tc>
          <w:tcPr>
            <w:tcW w:w="9072" w:type="dxa"/>
            <w:shd w:val="clear" w:color="auto" w:fill="auto"/>
          </w:tcPr>
          <w:p w:rsidR="004E20C8" w:rsidRPr="000058D3" w:rsidRDefault="004E20C8" w:rsidP="004E20C8">
            <w:pPr>
              <w:spacing w:after="120"/>
              <w:rPr>
                <w:rFonts w:asciiTheme="minorHAnsi" w:eastAsiaTheme="majorEastAsia" w:hAnsiTheme="minorHAnsi" w:cstheme="majorBidi"/>
                <w:bCs/>
                <w:i/>
                <w:color w:val="00728F"/>
              </w:rPr>
            </w:pPr>
            <w:r w:rsidRPr="000058D3">
              <w:rPr>
                <w:rFonts w:asciiTheme="minorHAnsi" w:eastAsiaTheme="majorEastAsia" w:hAnsiTheme="minorHAnsi" w:cstheme="majorBidi"/>
                <w:bCs/>
                <w:color w:val="00728F"/>
              </w:rPr>
              <w:t xml:space="preserve">The Government will commence a review of Part XIB of the CCA during the second part of 2015. </w:t>
            </w:r>
          </w:p>
        </w:tc>
      </w:tr>
      <w:tr w:rsidR="004E20C8" w:rsidRPr="000058D3" w:rsidTr="00A8390F">
        <w:tc>
          <w:tcPr>
            <w:tcW w:w="710"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3</w:t>
            </w:r>
          </w:p>
        </w:tc>
        <w:tc>
          <w:tcPr>
            <w:tcW w:w="4423"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Carrier access to in-building cabling</w:t>
            </w:r>
          </w:p>
        </w:tc>
        <w:tc>
          <w:tcPr>
            <w:tcW w:w="9072" w:type="dxa"/>
            <w:shd w:val="clear" w:color="auto" w:fill="auto"/>
          </w:tcPr>
          <w:p w:rsidR="004E20C8" w:rsidRPr="000058D3" w:rsidRDefault="004E20C8" w:rsidP="005C63BC">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 xml:space="preserve">See response to </w:t>
            </w:r>
            <w:r w:rsidR="005C63BC">
              <w:rPr>
                <w:rFonts w:asciiTheme="minorHAnsi" w:eastAsiaTheme="majorEastAsia" w:hAnsiTheme="minorHAnsi" w:cstheme="majorBidi"/>
                <w:bCs/>
                <w:color w:val="00728F"/>
              </w:rPr>
              <w:t>R</w:t>
            </w:r>
            <w:r w:rsidR="005C63BC" w:rsidRPr="000058D3">
              <w:rPr>
                <w:rFonts w:asciiTheme="minorHAnsi" w:eastAsiaTheme="majorEastAsia" w:hAnsiTheme="minorHAnsi" w:cstheme="majorBidi"/>
                <w:bCs/>
                <w:color w:val="00728F"/>
              </w:rPr>
              <w:t xml:space="preserve">ecommendations </w:t>
            </w:r>
            <w:r w:rsidRPr="000058D3">
              <w:rPr>
                <w:rFonts w:asciiTheme="minorHAnsi" w:eastAsiaTheme="majorEastAsia" w:hAnsiTheme="minorHAnsi" w:cstheme="majorBidi"/>
                <w:bCs/>
                <w:color w:val="00728F"/>
              </w:rPr>
              <w:t>3 and 4 of the NBN Market and Regulatory Report (Volume 1).</w:t>
            </w:r>
          </w:p>
        </w:tc>
      </w:tr>
      <w:tr w:rsidR="004E20C8" w:rsidRPr="000058D3" w:rsidTr="00A8390F">
        <w:tc>
          <w:tcPr>
            <w:tcW w:w="710"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4</w:t>
            </w:r>
          </w:p>
        </w:tc>
        <w:tc>
          <w:tcPr>
            <w:tcW w:w="4423"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Information on the provision of vectored VDSL and similar services in multi-unit buildings.</w:t>
            </w:r>
          </w:p>
        </w:tc>
        <w:tc>
          <w:tcPr>
            <w:tcW w:w="9072"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 xml:space="preserve">The Department of Communications will continue to undertake this role. </w:t>
            </w:r>
          </w:p>
        </w:tc>
      </w:tr>
      <w:tr w:rsidR="004E20C8" w:rsidRPr="000058D3" w:rsidTr="00A8390F">
        <w:tc>
          <w:tcPr>
            <w:tcW w:w="710" w:type="dxa"/>
            <w:shd w:val="clear" w:color="auto" w:fill="auto"/>
          </w:tcPr>
          <w:p w:rsidR="004E20C8" w:rsidRPr="000058D3" w:rsidRDefault="004E20C8" w:rsidP="004E20C8">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5</w:t>
            </w:r>
          </w:p>
        </w:tc>
        <w:tc>
          <w:tcPr>
            <w:tcW w:w="4423" w:type="dxa"/>
            <w:shd w:val="clear" w:color="auto" w:fill="auto"/>
          </w:tcPr>
          <w:p w:rsidR="004E20C8" w:rsidRPr="000058D3" w:rsidRDefault="00CD3F91" w:rsidP="00CD3F91">
            <w:pPr>
              <w:spacing w:after="120"/>
              <w:rPr>
                <w:rFonts w:asciiTheme="minorHAnsi" w:eastAsiaTheme="majorEastAsia" w:hAnsiTheme="minorHAnsi" w:cstheme="majorBidi"/>
                <w:bCs/>
                <w:color w:val="00728F"/>
              </w:rPr>
            </w:pPr>
            <w:r>
              <w:rPr>
                <w:rFonts w:asciiTheme="minorHAnsi" w:eastAsiaTheme="majorEastAsia" w:hAnsiTheme="minorHAnsi" w:cstheme="majorBidi"/>
                <w:bCs/>
                <w:color w:val="00728F"/>
              </w:rPr>
              <w:t>Amendment to</w:t>
            </w:r>
            <w:r w:rsidRPr="000058D3">
              <w:rPr>
                <w:rFonts w:asciiTheme="minorHAnsi" w:eastAsiaTheme="majorEastAsia" w:hAnsiTheme="minorHAnsi" w:cstheme="majorBidi"/>
                <w:bCs/>
                <w:color w:val="00728F"/>
              </w:rPr>
              <w:t xml:space="preserve"> </w:t>
            </w:r>
            <w:r>
              <w:rPr>
                <w:rFonts w:asciiTheme="minorHAnsi" w:eastAsiaTheme="majorEastAsia" w:hAnsiTheme="minorHAnsi" w:cstheme="majorBidi"/>
                <w:bCs/>
                <w:color w:val="00728F"/>
              </w:rPr>
              <w:t>s</w:t>
            </w:r>
            <w:r w:rsidR="004E20C8" w:rsidRPr="000058D3">
              <w:rPr>
                <w:rFonts w:asciiTheme="minorHAnsi" w:eastAsiaTheme="majorEastAsia" w:hAnsiTheme="minorHAnsi" w:cstheme="majorBidi"/>
                <w:bCs/>
                <w:color w:val="00728F"/>
              </w:rPr>
              <w:t>tandard access obligations</w:t>
            </w:r>
            <w:r w:rsidR="004E20C8" w:rsidRPr="000058D3" w:rsidDel="00D32A08">
              <w:rPr>
                <w:rFonts w:asciiTheme="minorHAnsi" w:eastAsiaTheme="majorEastAsia" w:hAnsiTheme="minorHAnsi" w:cstheme="majorBidi"/>
                <w:bCs/>
                <w:color w:val="00728F"/>
              </w:rPr>
              <w:t xml:space="preserve"> </w:t>
            </w:r>
            <w:r w:rsidR="004B15EB">
              <w:rPr>
                <w:rFonts w:asciiTheme="minorHAnsi" w:eastAsiaTheme="majorEastAsia" w:hAnsiTheme="minorHAnsi" w:cstheme="majorBidi"/>
                <w:bCs/>
                <w:color w:val="00728F"/>
              </w:rPr>
              <w:t xml:space="preserve">so that </w:t>
            </w:r>
            <w:r w:rsidR="004E20C8" w:rsidRPr="000058D3">
              <w:rPr>
                <w:rFonts w:asciiTheme="minorHAnsi" w:eastAsiaTheme="majorEastAsia" w:hAnsiTheme="minorHAnsi" w:cstheme="majorBidi"/>
                <w:bCs/>
                <w:color w:val="00728F"/>
              </w:rPr>
              <w:t>provision of access to in-building cabling is included.</w:t>
            </w:r>
          </w:p>
        </w:tc>
        <w:tc>
          <w:tcPr>
            <w:tcW w:w="9072" w:type="dxa"/>
            <w:shd w:val="clear" w:color="auto" w:fill="auto"/>
          </w:tcPr>
          <w:p w:rsidR="004E20C8" w:rsidRPr="000058D3" w:rsidRDefault="004E20C8" w:rsidP="005C63BC">
            <w:pPr>
              <w:spacing w:after="120"/>
              <w:rPr>
                <w:rFonts w:asciiTheme="minorHAnsi" w:eastAsiaTheme="majorEastAsia" w:hAnsiTheme="minorHAnsi" w:cstheme="majorBidi"/>
                <w:bCs/>
                <w:color w:val="00728F"/>
              </w:rPr>
            </w:pPr>
            <w:r w:rsidRPr="000058D3">
              <w:rPr>
                <w:rFonts w:asciiTheme="minorHAnsi" w:eastAsiaTheme="majorEastAsia" w:hAnsiTheme="minorHAnsi" w:cstheme="majorBidi"/>
                <w:bCs/>
                <w:color w:val="00728F"/>
              </w:rPr>
              <w:t xml:space="preserve">See response to </w:t>
            </w:r>
            <w:r w:rsidR="005C63BC">
              <w:rPr>
                <w:rFonts w:asciiTheme="minorHAnsi" w:eastAsiaTheme="majorEastAsia" w:hAnsiTheme="minorHAnsi" w:cstheme="majorBidi"/>
                <w:bCs/>
                <w:color w:val="00728F"/>
              </w:rPr>
              <w:t>R</w:t>
            </w:r>
            <w:r w:rsidR="005C63BC" w:rsidRPr="000058D3">
              <w:rPr>
                <w:rFonts w:asciiTheme="minorHAnsi" w:eastAsiaTheme="majorEastAsia" w:hAnsiTheme="minorHAnsi" w:cstheme="majorBidi"/>
                <w:bCs/>
                <w:color w:val="00728F"/>
              </w:rPr>
              <w:t xml:space="preserve">ecommendations </w:t>
            </w:r>
            <w:r w:rsidRPr="000058D3">
              <w:rPr>
                <w:rFonts w:asciiTheme="minorHAnsi" w:eastAsiaTheme="majorEastAsia" w:hAnsiTheme="minorHAnsi" w:cstheme="majorBidi"/>
                <w:bCs/>
                <w:color w:val="00728F"/>
              </w:rPr>
              <w:t>3 and 4 of the NBN Market and Regulatory Report (Volume 1).</w:t>
            </w:r>
          </w:p>
        </w:tc>
      </w:tr>
      <w:tr w:rsidR="004E20C8" w:rsidRPr="006647B7" w:rsidTr="00A8390F">
        <w:tc>
          <w:tcPr>
            <w:tcW w:w="710" w:type="dxa"/>
            <w:shd w:val="clear" w:color="auto" w:fill="auto"/>
          </w:tcPr>
          <w:p w:rsidR="004E20C8" w:rsidRPr="006647B7" w:rsidRDefault="004E20C8" w:rsidP="004E20C8">
            <w:pPr>
              <w:keepNext/>
              <w:keepLines/>
              <w:spacing w:after="120"/>
              <w:rPr>
                <w:rFonts w:eastAsiaTheme="majorEastAsia" w:cstheme="majorBidi"/>
                <w:bCs/>
                <w:color w:val="00728F"/>
              </w:rPr>
            </w:pPr>
            <w:r w:rsidRPr="006647B7">
              <w:rPr>
                <w:rFonts w:eastAsiaTheme="majorEastAsia" w:cstheme="majorBidi"/>
                <w:bCs/>
                <w:color w:val="00728F"/>
              </w:rPr>
              <w:t>6</w:t>
            </w:r>
          </w:p>
        </w:tc>
        <w:tc>
          <w:tcPr>
            <w:tcW w:w="4423" w:type="dxa"/>
            <w:shd w:val="clear" w:color="auto" w:fill="auto"/>
          </w:tcPr>
          <w:p w:rsidR="004E20C8" w:rsidRPr="006647B7" w:rsidRDefault="004E20C8" w:rsidP="004E20C8">
            <w:pPr>
              <w:keepNext/>
              <w:keepLines/>
              <w:spacing w:after="120"/>
              <w:rPr>
                <w:rFonts w:eastAsiaTheme="majorEastAsia" w:cstheme="majorBidi"/>
                <w:bCs/>
                <w:color w:val="00728F"/>
              </w:rPr>
            </w:pPr>
            <w:r w:rsidRPr="006647B7">
              <w:rPr>
                <w:rFonts w:eastAsiaTheme="majorEastAsia" w:cstheme="majorBidi"/>
                <w:bCs/>
                <w:color w:val="00728F"/>
              </w:rPr>
              <w:t xml:space="preserve">Public inquiry into declaring vectored VDSL services </w:t>
            </w:r>
          </w:p>
        </w:tc>
        <w:tc>
          <w:tcPr>
            <w:tcW w:w="9072" w:type="dxa"/>
            <w:shd w:val="clear" w:color="auto" w:fill="auto"/>
          </w:tcPr>
          <w:p w:rsidR="004E20C8" w:rsidRPr="006647B7" w:rsidRDefault="004E20C8" w:rsidP="004E20C8">
            <w:pPr>
              <w:keepNext/>
              <w:keepLines/>
              <w:spacing w:after="120"/>
              <w:rPr>
                <w:rFonts w:eastAsiaTheme="majorEastAsia" w:cstheme="majorBidi"/>
                <w:bCs/>
                <w:color w:val="00728F"/>
              </w:rPr>
            </w:pPr>
            <w:r w:rsidRPr="006647B7">
              <w:rPr>
                <w:rFonts w:eastAsiaTheme="majorEastAsia" w:cstheme="majorBidi"/>
                <w:bCs/>
                <w:color w:val="00728F"/>
              </w:rPr>
              <w:t>The Government notes that the ACCC has already announced such an inquiry.</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7</w:t>
            </w:r>
          </w:p>
        </w:tc>
        <w:tc>
          <w:tcPr>
            <w:tcW w:w="4423"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Necessary amendments to existing declarations required by the deployment of vectored VDSL.</w:t>
            </w:r>
            <w:r w:rsidRPr="006647B7" w:rsidDel="00D32A08">
              <w:rPr>
                <w:rFonts w:eastAsiaTheme="majorEastAsia" w:cstheme="majorBidi"/>
                <w:bCs/>
                <w:color w:val="00728F"/>
              </w:rPr>
              <w:t xml:space="preserve"> </w:t>
            </w:r>
          </w:p>
        </w:tc>
        <w:tc>
          <w:tcPr>
            <w:tcW w:w="9072" w:type="dxa"/>
            <w:shd w:val="clear" w:color="auto" w:fill="auto"/>
          </w:tcPr>
          <w:p w:rsidR="004E20C8" w:rsidRPr="006647B7" w:rsidRDefault="004E20C8" w:rsidP="005C63BC">
            <w:pPr>
              <w:spacing w:after="120"/>
              <w:rPr>
                <w:rFonts w:eastAsiaTheme="majorEastAsia" w:cstheme="majorBidi"/>
                <w:bCs/>
                <w:color w:val="00728F"/>
              </w:rPr>
            </w:pPr>
            <w:r w:rsidRPr="006647B7">
              <w:rPr>
                <w:rFonts w:eastAsiaTheme="majorEastAsia" w:cstheme="majorBidi"/>
                <w:bCs/>
                <w:color w:val="00728F"/>
              </w:rPr>
              <w:t>S</w:t>
            </w:r>
            <w:r w:rsidR="004346AB">
              <w:rPr>
                <w:rFonts w:eastAsiaTheme="majorEastAsia" w:cstheme="majorBidi"/>
                <w:bCs/>
                <w:color w:val="00728F"/>
              </w:rPr>
              <w:t xml:space="preserve">ee response to </w:t>
            </w:r>
            <w:r w:rsidR="005C63BC">
              <w:rPr>
                <w:rFonts w:eastAsiaTheme="majorEastAsia" w:cstheme="majorBidi"/>
                <w:bCs/>
                <w:color w:val="00728F"/>
              </w:rPr>
              <w:t xml:space="preserve">Recommendation </w:t>
            </w:r>
            <w:r w:rsidR="004346AB">
              <w:rPr>
                <w:rFonts w:eastAsiaTheme="majorEastAsia" w:cstheme="majorBidi"/>
                <w:bCs/>
                <w:color w:val="00728F"/>
              </w:rPr>
              <w:t>6</w:t>
            </w:r>
            <w:r w:rsidR="00D00261">
              <w:rPr>
                <w:rFonts w:eastAsiaTheme="majorEastAsia" w:cstheme="majorBidi"/>
                <w:bCs/>
                <w:color w:val="00728F"/>
              </w:rPr>
              <w:t>.</w:t>
            </w:r>
          </w:p>
        </w:tc>
      </w:tr>
      <w:tr w:rsidR="004E20C8" w:rsidRPr="006647B7" w:rsidTr="00A8390F">
        <w:tc>
          <w:tcPr>
            <w:tcW w:w="710" w:type="dxa"/>
            <w:shd w:val="clear" w:color="auto" w:fill="auto"/>
          </w:tcPr>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rPr>
              <w:t>8</w:t>
            </w:r>
          </w:p>
        </w:tc>
        <w:tc>
          <w:tcPr>
            <w:tcW w:w="4423" w:type="dxa"/>
            <w:shd w:val="clear" w:color="auto" w:fill="auto"/>
          </w:tcPr>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rPr>
              <w:t xml:space="preserve">Amendment of the legislation to facilitate declaration of vectored VDSL services if ACCC identifies legislative impediments </w:t>
            </w:r>
          </w:p>
        </w:tc>
        <w:tc>
          <w:tcPr>
            <w:tcW w:w="9072" w:type="dxa"/>
            <w:shd w:val="clear" w:color="auto" w:fill="auto"/>
          </w:tcPr>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rPr>
              <w:t>See response</w:t>
            </w:r>
            <w:r w:rsidR="004346AB">
              <w:rPr>
                <w:rFonts w:eastAsiaTheme="majorEastAsia" w:cstheme="majorBidi"/>
                <w:bCs/>
                <w:color w:val="00728F"/>
              </w:rPr>
              <w:t xml:space="preserve"> to </w:t>
            </w:r>
            <w:r w:rsidR="005C63BC">
              <w:rPr>
                <w:rFonts w:eastAsiaTheme="majorEastAsia" w:cstheme="majorBidi"/>
                <w:bCs/>
                <w:color w:val="00728F"/>
              </w:rPr>
              <w:t xml:space="preserve">Recommendation </w:t>
            </w:r>
            <w:r w:rsidR="004346AB">
              <w:rPr>
                <w:rFonts w:eastAsiaTheme="majorEastAsia" w:cstheme="majorBidi"/>
                <w:bCs/>
                <w:color w:val="00728F"/>
              </w:rPr>
              <w:t>6</w:t>
            </w:r>
            <w:r w:rsidR="00D00261">
              <w:rPr>
                <w:rFonts w:eastAsiaTheme="majorEastAsia" w:cstheme="majorBidi"/>
                <w:bCs/>
                <w:color w:val="00728F"/>
              </w:rPr>
              <w:t>.</w:t>
            </w:r>
          </w:p>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rPr>
              <w:t>The Government will keep this issue under review depending on outcome of ACCC inquiry.</w:t>
            </w:r>
          </w:p>
        </w:tc>
      </w:tr>
      <w:tr w:rsidR="004E20C8" w:rsidRPr="006647B7" w:rsidTr="00A8390F">
        <w:trPr>
          <w:trHeight w:val="2148"/>
        </w:trPr>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9</w:t>
            </w:r>
          </w:p>
        </w:tc>
        <w:tc>
          <w:tcPr>
            <w:tcW w:w="4423" w:type="dxa"/>
            <w:shd w:val="clear" w:color="auto" w:fill="auto"/>
          </w:tcPr>
          <w:p w:rsidR="004E20C8" w:rsidRPr="006647B7" w:rsidRDefault="00334DCD" w:rsidP="00334DCD">
            <w:pPr>
              <w:spacing w:after="120"/>
              <w:rPr>
                <w:rFonts w:eastAsiaTheme="majorEastAsia" w:cstheme="majorBidi"/>
                <w:bCs/>
                <w:color w:val="00728F"/>
              </w:rPr>
            </w:pPr>
            <w:r>
              <w:rPr>
                <w:rFonts w:eastAsiaTheme="majorEastAsia" w:cstheme="majorBidi"/>
                <w:bCs/>
                <w:color w:val="00728F"/>
              </w:rPr>
              <w:t>M</w:t>
            </w:r>
            <w:r w:rsidRPr="006647B7">
              <w:rPr>
                <w:rFonts w:eastAsiaTheme="majorEastAsia" w:cstheme="majorBidi"/>
                <w:bCs/>
                <w:color w:val="00728F"/>
              </w:rPr>
              <w:t>anage</w:t>
            </w:r>
            <w:r>
              <w:rPr>
                <w:rFonts w:eastAsiaTheme="majorEastAsia" w:cstheme="majorBidi"/>
                <w:bCs/>
                <w:color w:val="00728F"/>
              </w:rPr>
              <w:t>ment of</w:t>
            </w:r>
            <w:r w:rsidRPr="006647B7">
              <w:rPr>
                <w:rFonts w:eastAsiaTheme="majorEastAsia" w:cstheme="majorBidi"/>
                <w:bCs/>
                <w:color w:val="00728F"/>
              </w:rPr>
              <w:t xml:space="preserve"> interference between competing vectored VDSL systems</w:t>
            </w:r>
            <w:r>
              <w:rPr>
                <w:rFonts w:eastAsiaTheme="majorEastAsia" w:cstheme="majorBidi"/>
                <w:bCs/>
                <w:color w:val="00728F"/>
              </w:rPr>
              <w:t xml:space="preserve"> by</w:t>
            </w:r>
            <w:r w:rsidRPr="006647B7">
              <w:rPr>
                <w:rFonts w:eastAsiaTheme="majorEastAsia" w:cstheme="majorBidi"/>
                <w:bCs/>
                <w:color w:val="00728F"/>
              </w:rPr>
              <w:t xml:space="preserve"> </w:t>
            </w:r>
            <w:r w:rsidR="004E20C8" w:rsidRPr="006647B7">
              <w:rPr>
                <w:rFonts w:eastAsiaTheme="majorEastAsia" w:cstheme="majorBidi"/>
                <w:bCs/>
                <w:color w:val="00728F"/>
              </w:rPr>
              <w:t xml:space="preserve">Communications Alliance and the regulators </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The Government agrees that this issue should be dealt with through existing industry mechanisms to the greatest extent possible</w:t>
            </w:r>
            <w:r w:rsidR="002D2D0B">
              <w:rPr>
                <w:rFonts w:eastAsiaTheme="majorEastAsia" w:cstheme="majorBidi"/>
                <w:bCs/>
                <w:color w:val="00728F"/>
              </w:rPr>
              <w:t xml:space="preserve">. </w:t>
            </w:r>
            <w:r w:rsidRPr="006647B7">
              <w:rPr>
                <w:rFonts w:eastAsiaTheme="majorEastAsia" w:cstheme="majorBidi"/>
                <w:bCs/>
                <w:color w:val="00728F"/>
              </w:rPr>
              <w:t>If it is difficult for these arrangements to resolve the issue, then the Government will enable Communications Alliance to put in place appropriate mechanisms, including interim arrangements, to deal with interference</w:t>
            </w:r>
            <w:r w:rsidR="002D2D0B">
              <w:rPr>
                <w:rFonts w:eastAsiaTheme="majorEastAsia" w:cstheme="majorBidi"/>
                <w:bCs/>
                <w:color w:val="00728F"/>
              </w:rPr>
              <w:t xml:space="preserve">. </w:t>
            </w:r>
            <w:r w:rsidRPr="006647B7">
              <w:rPr>
                <w:rFonts w:eastAsiaTheme="majorEastAsia" w:cstheme="majorBidi"/>
                <w:bCs/>
                <w:color w:val="00728F"/>
              </w:rPr>
              <w:t>The Government will consider additional rules as needed for managing interference and co-existence between VDSL2 networks.</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10</w:t>
            </w:r>
          </w:p>
        </w:tc>
        <w:tc>
          <w:tcPr>
            <w:tcW w:w="4423" w:type="dxa"/>
            <w:shd w:val="clear" w:color="auto" w:fill="auto"/>
          </w:tcPr>
          <w:p w:rsidR="004E20C8" w:rsidRPr="006647B7" w:rsidRDefault="004E20C8" w:rsidP="005C63BC">
            <w:pPr>
              <w:spacing w:after="120"/>
              <w:rPr>
                <w:rFonts w:eastAsiaTheme="majorEastAsia" w:cstheme="majorBidi"/>
                <w:bCs/>
                <w:color w:val="00728F"/>
              </w:rPr>
            </w:pPr>
            <w:r w:rsidRPr="006647B7">
              <w:rPr>
                <w:rFonts w:eastAsiaTheme="majorEastAsia" w:cstheme="majorBidi"/>
                <w:bCs/>
                <w:color w:val="00728F"/>
              </w:rPr>
              <w:t>ACCC cost</w:t>
            </w:r>
            <w:r w:rsidR="005C63BC">
              <w:rPr>
                <w:rFonts w:eastAsiaTheme="majorEastAsia" w:cstheme="majorBidi"/>
                <w:bCs/>
                <w:color w:val="00728F"/>
              </w:rPr>
              <w:t>-</w:t>
            </w:r>
            <w:r w:rsidRPr="006647B7">
              <w:rPr>
                <w:rFonts w:eastAsiaTheme="majorEastAsia" w:cstheme="majorBidi"/>
                <w:bCs/>
                <w:color w:val="00728F"/>
              </w:rPr>
              <w:t>benefit analysis as part of any declaration decision</w:t>
            </w:r>
            <w:r w:rsidRPr="006647B7" w:rsidDel="0078746B">
              <w:rPr>
                <w:rFonts w:eastAsiaTheme="majorEastAsia" w:cstheme="majorBidi"/>
                <w:bCs/>
                <w:color w:val="00728F"/>
              </w:rPr>
              <w:t xml:space="preserve"> </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The Government notes that existing arrangements in effect require the ACCC to consider the costs and benefits of its declaration decisions</w:t>
            </w:r>
            <w:r w:rsidR="002D2D0B">
              <w:rPr>
                <w:rFonts w:eastAsiaTheme="majorEastAsia" w:cstheme="majorBidi"/>
                <w:bCs/>
                <w:color w:val="00728F"/>
              </w:rPr>
              <w:t xml:space="preserve">. </w:t>
            </w:r>
            <w:r w:rsidRPr="006647B7">
              <w:rPr>
                <w:rFonts w:eastAsiaTheme="majorEastAsia" w:cstheme="majorBidi"/>
                <w:bCs/>
                <w:color w:val="00728F"/>
              </w:rPr>
              <w:t>The Government will ask the ACCC to give greater prominence to these issues in documenting its declaration decisions.</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11</w:t>
            </w:r>
          </w:p>
        </w:tc>
        <w:tc>
          <w:tcPr>
            <w:tcW w:w="4423"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Recourse to ACCC on NBN Co Access Agreements</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The Government considers that this recommendation should be considered after the NBN rollout is complete.</w:t>
            </w:r>
          </w:p>
        </w:tc>
      </w:tr>
      <w:tr w:rsidR="004E20C8" w:rsidRPr="006647B7" w:rsidTr="00A8390F">
        <w:tc>
          <w:tcPr>
            <w:tcW w:w="710" w:type="dxa"/>
            <w:shd w:val="clear" w:color="auto" w:fill="auto"/>
          </w:tcPr>
          <w:p w:rsidR="004E20C8" w:rsidRPr="006647B7" w:rsidRDefault="004E20C8" w:rsidP="00373A80">
            <w:pPr>
              <w:spacing w:after="120"/>
              <w:rPr>
                <w:rFonts w:eastAsiaTheme="majorEastAsia" w:cstheme="majorBidi"/>
                <w:bCs/>
                <w:color w:val="00728F"/>
              </w:rPr>
            </w:pPr>
            <w:r w:rsidRPr="006647B7">
              <w:rPr>
                <w:rFonts w:eastAsiaTheme="majorEastAsia" w:cstheme="majorBidi"/>
                <w:bCs/>
                <w:color w:val="00728F"/>
              </w:rPr>
              <w:lastRenderedPageBreak/>
              <w:t>12</w:t>
            </w:r>
          </w:p>
        </w:tc>
        <w:tc>
          <w:tcPr>
            <w:tcW w:w="4423" w:type="dxa"/>
            <w:shd w:val="clear" w:color="auto" w:fill="auto"/>
          </w:tcPr>
          <w:p w:rsidR="004E20C8" w:rsidRPr="006647B7" w:rsidRDefault="00334DCD" w:rsidP="00334DCD">
            <w:pPr>
              <w:spacing w:after="120"/>
              <w:rPr>
                <w:rFonts w:eastAsiaTheme="majorEastAsia" w:cstheme="majorBidi"/>
                <w:bCs/>
                <w:color w:val="00728F"/>
              </w:rPr>
            </w:pPr>
            <w:r>
              <w:rPr>
                <w:rFonts w:eastAsiaTheme="majorEastAsia" w:cstheme="majorBidi"/>
                <w:bCs/>
                <w:color w:val="00728F"/>
              </w:rPr>
              <w:t>Amendments to s</w:t>
            </w:r>
            <w:r w:rsidR="004E20C8" w:rsidRPr="006647B7">
              <w:rPr>
                <w:rFonts w:eastAsiaTheme="majorEastAsia" w:cstheme="majorBidi"/>
                <w:bCs/>
                <w:color w:val="00728F"/>
              </w:rPr>
              <w:t>tan</w:t>
            </w:r>
            <w:r>
              <w:rPr>
                <w:rFonts w:eastAsiaTheme="majorEastAsia" w:cstheme="majorBidi"/>
                <w:bCs/>
                <w:color w:val="00728F"/>
              </w:rPr>
              <w:t>dard access obligations</w:t>
            </w:r>
            <w:r w:rsidR="004E20C8" w:rsidRPr="006647B7">
              <w:rPr>
                <w:rFonts w:eastAsiaTheme="majorEastAsia" w:cstheme="majorBidi"/>
                <w:bCs/>
                <w:color w:val="00728F"/>
              </w:rPr>
              <w:t xml:space="preserve"> </w:t>
            </w:r>
          </w:p>
        </w:tc>
        <w:tc>
          <w:tcPr>
            <w:tcW w:w="9072" w:type="dxa"/>
            <w:shd w:val="clear" w:color="auto" w:fill="auto"/>
          </w:tcPr>
          <w:p w:rsidR="004E20C8" w:rsidRPr="006647B7" w:rsidRDefault="004E20C8" w:rsidP="00373A80">
            <w:pPr>
              <w:spacing w:after="120"/>
              <w:rPr>
                <w:rFonts w:eastAsiaTheme="majorEastAsia" w:cstheme="majorBidi"/>
                <w:bCs/>
                <w:color w:val="00728F"/>
              </w:rPr>
            </w:pPr>
            <w:r w:rsidRPr="006647B7">
              <w:rPr>
                <w:rFonts w:eastAsiaTheme="majorEastAsia" w:cstheme="majorBidi"/>
                <w:bCs/>
                <w:color w:val="00728F"/>
              </w:rPr>
              <w:t xml:space="preserve">The Government will consider the need for short term amendments to ensure effective operation of the </w:t>
            </w:r>
            <w:r w:rsidR="005C63BC">
              <w:rPr>
                <w:rFonts w:eastAsiaTheme="majorEastAsia" w:cstheme="majorBidi"/>
                <w:bCs/>
                <w:color w:val="00728F"/>
              </w:rPr>
              <w:t>standard access obligation</w:t>
            </w:r>
            <w:r w:rsidR="005C63BC" w:rsidRPr="006647B7">
              <w:rPr>
                <w:rFonts w:eastAsiaTheme="majorEastAsia" w:cstheme="majorBidi"/>
                <w:bCs/>
                <w:color w:val="00728F"/>
              </w:rPr>
              <w:t xml:space="preserve">s </w:t>
            </w:r>
            <w:r w:rsidRPr="006647B7">
              <w:rPr>
                <w:rFonts w:eastAsiaTheme="majorEastAsia" w:cstheme="majorBidi"/>
                <w:bCs/>
                <w:color w:val="00728F"/>
              </w:rPr>
              <w:t>in the context of developing amendments to Parts 7 and 8.</w:t>
            </w:r>
          </w:p>
          <w:p w:rsidR="004E20C8" w:rsidRPr="006647B7" w:rsidRDefault="004E20C8" w:rsidP="005C63BC">
            <w:pPr>
              <w:spacing w:after="120"/>
              <w:rPr>
                <w:rFonts w:eastAsiaTheme="majorEastAsia" w:cstheme="majorBidi"/>
                <w:b/>
                <w:bCs/>
                <w:i/>
                <w:color w:val="00728F"/>
              </w:rPr>
            </w:pPr>
            <w:r w:rsidRPr="006647B7">
              <w:rPr>
                <w:rFonts w:eastAsiaTheme="majorEastAsia" w:cstheme="majorBidi"/>
                <w:bCs/>
                <w:color w:val="00728F"/>
              </w:rPr>
              <w:t xml:space="preserve">(See </w:t>
            </w:r>
            <w:r w:rsidR="00D00261">
              <w:rPr>
                <w:rFonts w:eastAsiaTheme="majorEastAsia" w:cstheme="majorBidi"/>
                <w:bCs/>
                <w:color w:val="00728F"/>
              </w:rPr>
              <w:t xml:space="preserve">also </w:t>
            </w:r>
            <w:r w:rsidRPr="006647B7">
              <w:rPr>
                <w:rFonts w:eastAsiaTheme="majorEastAsia" w:cstheme="majorBidi"/>
                <w:bCs/>
                <w:color w:val="00728F"/>
              </w:rPr>
              <w:t xml:space="preserve">response to </w:t>
            </w:r>
            <w:r w:rsidR="005C63BC">
              <w:rPr>
                <w:rFonts w:eastAsiaTheme="majorEastAsia" w:cstheme="majorBidi"/>
                <w:bCs/>
                <w:color w:val="00728F"/>
              </w:rPr>
              <w:t>R</w:t>
            </w:r>
            <w:r w:rsidR="005C63BC" w:rsidRPr="006647B7">
              <w:rPr>
                <w:rFonts w:eastAsiaTheme="majorEastAsia" w:cstheme="majorBidi"/>
                <w:bCs/>
                <w:color w:val="00728F"/>
              </w:rPr>
              <w:t xml:space="preserve">ecommendations </w:t>
            </w:r>
            <w:r w:rsidRPr="006647B7">
              <w:rPr>
                <w:rFonts w:eastAsiaTheme="majorEastAsia" w:cstheme="majorBidi"/>
                <w:bCs/>
                <w:color w:val="00728F"/>
              </w:rPr>
              <w:t xml:space="preserve">3 and 4 of the </w:t>
            </w:r>
            <w:r w:rsidR="00D00261" w:rsidRPr="00D00261">
              <w:rPr>
                <w:rFonts w:eastAsiaTheme="majorEastAsia" w:cstheme="majorBidi"/>
                <w:bCs/>
                <w:color w:val="00728F"/>
              </w:rPr>
              <w:t>NBN Market and Regulatory Report (Volume 1).</w:t>
            </w:r>
            <w:r w:rsidRPr="006647B7">
              <w:rPr>
                <w:rFonts w:eastAsiaTheme="majorEastAsia" w:cstheme="majorBidi"/>
                <w:bCs/>
                <w:color w:val="00728F"/>
              </w:rPr>
              <w:t>)</w:t>
            </w:r>
          </w:p>
        </w:tc>
      </w:tr>
      <w:tr w:rsidR="004E20C8" w:rsidRPr="006647B7" w:rsidTr="00A8390F">
        <w:tc>
          <w:tcPr>
            <w:tcW w:w="710" w:type="dxa"/>
            <w:shd w:val="clear" w:color="auto" w:fill="auto"/>
          </w:tcPr>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rPr>
              <w:t>13</w:t>
            </w:r>
          </w:p>
        </w:tc>
        <w:tc>
          <w:tcPr>
            <w:tcW w:w="4423" w:type="dxa"/>
            <w:shd w:val="clear" w:color="auto" w:fill="auto"/>
          </w:tcPr>
          <w:p w:rsidR="004E20C8" w:rsidRPr="006647B7" w:rsidRDefault="004E20C8" w:rsidP="008765C6">
            <w:pPr>
              <w:keepNext/>
              <w:keepLines/>
              <w:spacing w:after="120"/>
              <w:rPr>
                <w:rFonts w:eastAsiaTheme="majorEastAsia" w:cstheme="majorBidi"/>
                <w:bCs/>
                <w:color w:val="00728F"/>
              </w:rPr>
            </w:pPr>
            <w:r w:rsidRPr="006647B7">
              <w:rPr>
                <w:rFonts w:eastAsiaTheme="majorEastAsia" w:cstheme="majorBidi"/>
                <w:bCs/>
                <w:color w:val="00728F"/>
              </w:rPr>
              <w:t xml:space="preserve">NBN Co </w:t>
            </w:r>
            <w:r w:rsidR="008765C6">
              <w:rPr>
                <w:rFonts w:eastAsiaTheme="majorEastAsia" w:cstheme="majorBidi"/>
                <w:bCs/>
                <w:color w:val="00728F"/>
              </w:rPr>
              <w:t>ability to</w:t>
            </w:r>
            <w:r w:rsidRPr="006647B7">
              <w:rPr>
                <w:rFonts w:eastAsiaTheme="majorEastAsia" w:cstheme="majorBidi"/>
                <w:bCs/>
                <w:color w:val="00728F"/>
              </w:rPr>
              <w:t xml:space="preserve"> discriminate where it aids efficiency or is otherwise authorised by the ACCC.</w:t>
            </w:r>
          </w:p>
        </w:tc>
        <w:tc>
          <w:tcPr>
            <w:tcW w:w="9072" w:type="dxa"/>
            <w:shd w:val="clear" w:color="auto" w:fill="auto"/>
          </w:tcPr>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rPr>
              <w:t>The Government will bring forward legislative amendments to enable NBN Co, subject to ACCC scrutiny, to undertake trials and pilots without breaching its non-discrimination obligations.</w:t>
            </w:r>
          </w:p>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rPr>
              <w:t xml:space="preserve">The Government considers that further changes to NBN Co’s non-discrimination obligations and its obligation to supply only declared services should be considered by the Productivity Commission after the NBN rollout is complete. </w:t>
            </w:r>
          </w:p>
          <w:p w:rsidR="004E20C8" w:rsidRPr="006647B7" w:rsidRDefault="004E20C8" w:rsidP="00373A80">
            <w:pPr>
              <w:keepNext/>
              <w:keepLines/>
              <w:spacing w:after="120"/>
              <w:rPr>
                <w:rFonts w:eastAsiaTheme="majorEastAsia" w:cstheme="majorBidi"/>
                <w:bCs/>
                <w:color w:val="00728F"/>
              </w:rPr>
            </w:pPr>
            <w:r w:rsidRPr="006647B7">
              <w:rPr>
                <w:rFonts w:eastAsiaTheme="majorEastAsia" w:cstheme="majorBidi"/>
                <w:bCs/>
                <w:color w:val="00728F"/>
                <w:lang w:val="en-GB"/>
              </w:rPr>
              <w:t>Consistent with this, the Part XIC requirement on the ACCC to publish guidelines on discrimination will be repealed.</w:t>
            </w:r>
          </w:p>
          <w:p w:rsidR="004E20C8" w:rsidRPr="006647B7" w:rsidRDefault="004E20C8" w:rsidP="005C63BC">
            <w:pPr>
              <w:keepNext/>
              <w:keepLines/>
              <w:spacing w:after="120"/>
              <w:rPr>
                <w:rFonts w:eastAsiaTheme="majorEastAsia" w:cstheme="majorBidi"/>
                <w:bCs/>
                <w:color w:val="00728F"/>
              </w:rPr>
            </w:pPr>
            <w:r w:rsidRPr="006647B7">
              <w:rPr>
                <w:rFonts w:eastAsiaTheme="majorEastAsia" w:cstheme="majorBidi"/>
                <w:bCs/>
                <w:color w:val="00728F"/>
              </w:rPr>
              <w:t xml:space="preserve">(See also </w:t>
            </w:r>
            <w:r w:rsidR="005C63BC">
              <w:rPr>
                <w:rFonts w:eastAsiaTheme="majorEastAsia" w:cstheme="majorBidi"/>
                <w:bCs/>
                <w:color w:val="00728F"/>
              </w:rPr>
              <w:t>R</w:t>
            </w:r>
            <w:r w:rsidR="005C63BC" w:rsidRPr="006647B7">
              <w:rPr>
                <w:rFonts w:eastAsiaTheme="majorEastAsia" w:cstheme="majorBidi"/>
                <w:bCs/>
                <w:color w:val="00728F"/>
              </w:rPr>
              <w:t xml:space="preserve">ecommendation </w:t>
            </w:r>
            <w:r w:rsidRPr="006647B7">
              <w:rPr>
                <w:rFonts w:eastAsiaTheme="majorEastAsia" w:cstheme="majorBidi"/>
                <w:bCs/>
                <w:color w:val="00728F"/>
              </w:rPr>
              <w:t>15 of the NBN Market and Regulatory Report</w:t>
            </w:r>
            <w:r w:rsidR="00D00261">
              <w:t xml:space="preserve"> </w:t>
            </w:r>
            <w:r w:rsidR="00D00261" w:rsidRPr="00D00261">
              <w:rPr>
                <w:rFonts w:eastAsiaTheme="majorEastAsia" w:cstheme="majorBidi"/>
                <w:bCs/>
                <w:color w:val="00728F"/>
              </w:rPr>
              <w:t>(Volume 1).</w:t>
            </w:r>
            <w:r w:rsidRPr="006647B7">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keepNext/>
              <w:keepLines/>
              <w:spacing w:after="120"/>
              <w:rPr>
                <w:rFonts w:eastAsiaTheme="majorEastAsia" w:cstheme="majorBidi"/>
                <w:bCs/>
                <w:color w:val="00728F"/>
              </w:rPr>
            </w:pPr>
            <w:r w:rsidRPr="006647B7">
              <w:rPr>
                <w:rFonts w:eastAsiaTheme="majorEastAsia" w:cstheme="majorBidi"/>
                <w:bCs/>
                <w:color w:val="00728F"/>
              </w:rPr>
              <w:t>14</w:t>
            </w:r>
          </w:p>
        </w:tc>
        <w:tc>
          <w:tcPr>
            <w:tcW w:w="4423" w:type="dxa"/>
            <w:shd w:val="clear" w:color="auto" w:fill="auto"/>
          </w:tcPr>
          <w:p w:rsidR="004E20C8" w:rsidRPr="006647B7" w:rsidRDefault="008765C6" w:rsidP="00B35569">
            <w:pPr>
              <w:keepNext/>
              <w:keepLines/>
              <w:spacing w:after="120"/>
              <w:rPr>
                <w:rFonts w:eastAsiaTheme="majorEastAsia" w:cstheme="majorBidi"/>
                <w:bCs/>
                <w:color w:val="00728F"/>
              </w:rPr>
            </w:pPr>
            <w:r>
              <w:rPr>
                <w:rFonts w:eastAsiaTheme="majorEastAsia" w:cstheme="majorBidi"/>
                <w:bCs/>
                <w:color w:val="00728F"/>
              </w:rPr>
              <w:t xml:space="preserve">Requirement for NBN Co </w:t>
            </w:r>
            <w:r w:rsidRPr="006647B7">
              <w:rPr>
                <w:rFonts w:eastAsiaTheme="majorEastAsia" w:cstheme="majorBidi"/>
                <w:bCs/>
                <w:color w:val="00728F"/>
              </w:rPr>
              <w:t xml:space="preserve">to publish a statement of difference and lodge it with ACCC </w:t>
            </w:r>
            <w:r>
              <w:rPr>
                <w:rFonts w:eastAsiaTheme="majorEastAsia" w:cstheme="majorBidi"/>
                <w:bCs/>
                <w:color w:val="00728F"/>
              </w:rPr>
              <w:t>w</w:t>
            </w:r>
            <w:r w:rsidR="004E20C8" w:rsidRPr="006647B7">
              <w:rPr>
                <w:rFonts w:eastAsiaTheme="majorEastAsia" w:cstheme="majorBidi"/>
                <w:bCs/>
                <w:color w:val="00728F"/>
              </w:rPr>
              <w:t xml:space="preserve">here it discriminates </w:t>
            </w:r>
          </w:p>
        </w:tc>
        <w:tc>
          <w:tcPr>
            <w:tcW w:w="9072" w:type="dxa"/>
            <w:shd w:val="clear" w:color="auto" w:fill="auto"/>
          </w:tcPr>
          <w:p w:rsidR="004E20C8" w:rsidRPr="006647B7" w:rsidRDefault="004E20C8" w:rsidP="005C63BC">
            <w:pPr>
              <w:keepNext/>
              <w:keepLines/>
              <w:spacing w:after="120"/>
              <w:rPr>
                <w:rFonts w:eastAsiaTheme="majorEastAsia" w:cstheme="majorBidi"/>
                <w:bCs/>
                <w:color w:val="00728F"/>
              </w:rPr>
            </w:pPr>
            <w:r w:rsidRPr="006647B7">
              <w:rPr>
                <w:rFonts w:eastAsiaTheme="majorEastAsia" w:cstheme="majorBidi"/>
                <w:bCs/>
                <w:color w:val="00728F"/>
              </w:rPr>
              <w:t xml:space="preserve">See response to </w:t>
            </w:r>
            <w:r w:rsidR="005C63BC">
              <w:rPr>
                <w:rFonts w:eastAsiaTheme="majorEastAsia" w:cstheme="majorBidi"/>
                <w:bCs/>
                <w:color w:val="00728F"/>
              </w:rPr>
              <w:t>R</w:t>
            </w:r>
            <w:r w:rsidR="005C63BC" w:rsidRPr="006647B7">
              <w:rPr>
                <w:rFonts w:eastAsiaTheme="majorEastAsia" w:cstheme="majorBidi"/>
                <w:bCs/>
                <w:color w:val="00728F"/>
              </w:rPr>
              <w:t xml:space="preserve">ecommendation </w:t>
            </w:r>
            <w:r w:rsidRPr="006647B7">
              <w:rPr>
                <w:rFonts w:eastAsiaTheme="majorEastAsia" w:cstheme="majorBidi"/>
                <w:bCs/>
                <w:color w:val="00728F"/>
              </w:rPr>
              <w:t>13</w:t>
            </w:r>
            <w:r w:rsidR="00D00261">
              <w:rPr>
                <w:rFonts w:eastAsiaTheme="majorEastAsia" w:cstheme="majorBidi"/>
                <w:bCs/>
                <w:color w:val="00728F"/>
              </w:rPr>
              <w:t>.</w:t>
            </w:r>
            <w:r w:rsidRPr="006647B7">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15</w:t>
            </w:r>
          </w:p>
        </w:tc>
        <w:tc>
          <w:tcPr>
            <w:tcW w:w="4423"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Removal of non-discrimination provisions in the longer term if NBN Co faces effective competition</w:t>
            </w:r>
          </w:p>
        </w:tc>
        <w:tc>
          <w:tcPr>
            <w:tcW w:w="9072" w:type="dxa"/>
            <w:shd w:val="clear" w:color="auto" w:fill="auto"/>
          </w:tcPr>
          <w:p w:rsidR="004E20C8" w:rsidRPr="006647B7" w:rsidRDefault="004E20C8" w:rsidP="005C63BC">
            <w:pPr>
              <w:spacing w:after="120"/>
              <w:rPr>
                <w:rFonts w:eastAsiaTheme="majorEastAsia" w:cstheme="majorBidi"/>
                <w:bCs/>
                <w:color w:val="00728F"/>
              </w:rPr>
            </w:pPr>
            <w:r w:rsidRPr="006647B7">
              <w:rPr>
                <w:rFonts w:eastAsiaTheme="majorEastAsia" w:cstheme="majorBidi"/>
                <w:bCs/>
                <w:color w:val="00728F"/>
              </w:rPr>
              <w:t xml:space="preserve">See response to </w:t>
            </w:r>
            <w:r w:rsidR="005C63BC">
              <w:rPr>
                <w:rFonts w:eastAsiaTheme="majorEastAsia" w:cstheme="majorBidi"/>
                <w:bCs/>
                <w:color w:val="00728F"/>
              </w:rPr>
              <w:t>R</w:t>
            </w:r>
            <w:r w:rsidR="005C63BC" w:rsidRPr="006647B7">
              <w:rPr>
                <w:rFonts w:eastAsiaTheme="majorEastAsia" w:cstheme="majorBidi"/>
                <w:bCs/>
                <w:color w:val="00728F"/>
              </w:rPr>
              <w:t xml:space="preserve">ecommendation </w:t>
            </w:r>
            <w:r w:rsidRPr="006647B7">
              <w:rPr>
                <w:rFonts w:eastAsiaTheme="majorEastAsia" w:cstheme="majorBidi"/>
                <w:bCs/>
                <w:color w:val="00728F"/>
              </w:rPr>
              <w:t>13</w:t>
            </w:r>
            <w:r w:rsidR="00D00261">
              <w:rPr>
                <w:rFonts w:eastAsiaTheme="majorEastAsia" w:cstheme="majorBidi"/>
                <w:bCs/>
                <w:color w:val="00728F"/>
              </w:rPr>
              <w:t>.</w:t>
            </w:r>
            <w:r w:rsidRPr="006647B7">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6647B7">
            <w:pPr>
              <w:keepNext/>
              <w:keepLines/>
              <w:spacing w:after="120"/>
              <w:rPr>
                <w:rFonts w:eastAsiaTheme="majorEastAsia" w:cstheme="majorBidi"/>
                <w:bCs/>
                <w:color w:val="00728F"/>
              </w:rPr>
            </w:pPr>
            <w:r w:rsidRPr="006647B7">
              <w:rPr>
                <w:rFonts w:eastAsiaTheme="majorEastAsia" w:cstheme="majorBidi"/>
                <w:bCs/>
                <w:color w:val="00728F"/>
              </w:rPr>
              <w:t>16</w:t>
            </w:r>
          </w:p>
        </w:tc>
        <w:tc>
          <w:tcPr>
            <w:tcW w:w="4423" w:type="dxa"/>
            <w:shd w:val="clear" w:color="auto" w:fill="auto"/>
          </w:tcPr>
          <w:p w:rsidR="004E20C8" w:rsidRPr="006647B7" w:rsidRDefault="004E20C8" w:rsidP="006647B7">
            <w:pPr>
              <w:keepNext/>
              <w:keepLines/>
              <w:spacing w:after="120"/>
              <w:rPr>
                <w:rFonts w:eastAsiaTheme="majorEastAsia" w:cstheme="majorBidi"/>
                <w:bCs/>
                <w:color w:val="00728F"/>
              </w:rPr>
            </w:pPr>
            <w:r w:rsidRPr="006647B7">
              <w:rPr>
                <w:rFonts w:eastAsiaTheme="majorEastAsia" w:cstheme="majorBidi"/>
                <w:bCs/>
                <w:color w:val="00728F"/>
              </w:rPr>
              <w:t>Align</w:t>
            </w:r>
            <w:r w:rsidR="00B35569">
              <w:rPr>
                <w:rFonts w:eastAsiaTheme="majorEastAsia" w:cstheme="majorBidi"/>
                <w:bCs/>
                <w:color w:val="00728F"/>
              </w:rPr>
              <w:t>ment of</w:t>
            </w:r>
            <w:r w:rsidRPr="006647B7">
              <w:rPr>
                <w:rFonts w:eastAsiaTheme="majorEastAsia" w:cstheme="majorBidi"/>
                <w:bCs/>
                <w:color w:val="00728F"/>
              </w:rPr>
              <w:t xml:space="preserve"> access pricing criteria in access determinations with Part IIIA, to the degree practicable</w:t>
            </w:r>
          </w:p>
        </w:tc>
        <w:tc>
          <w:tcPr>
            <w:tcW w:w="9072" w:type="dxa"/>
            <w:shd w:val="clear" w:color="auto" w:fill="auto"/>
          </w:tcPr>
          <w:p w:rsidR="004E20C8" w:rsidRPr="006647B7" w:rsidRDefault="004E20C8">
            <w:pPr>
              <w:keepNext/>
              <w:keepLines/>
              <w:spacing w:after="120"/>
              <w:rPr>
                <w:rFonts w:eastAsiaTheme="majorEastAsia" w:cstheme="majorBidi"/>
                <w:bCs/>
                <w:color w:val="00728F"/>
              </w:rPr>
            </w:pPr>
            <w:r w:rsidRPr="006647B7">
              <w:rPr>
                <w:rFonts w:eastAsiaTheme="majorEastAsia" w:cstheme="majorBidi"/>
                <w:bCs/>
                <w:color w:val="00728F"/>
              </w:rPr>
              <w:t>The Government notes that this recommendation relates to matters being considered by the Harper Review of competition laws and policy. The Government will examine the need for further review based on the findings of the Harper Review.</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17</w:t>
            </w:r>
          </w:p>
        </w:tc>
        <w:tc>
          <w:tcPr>
            <w:tcW w:w="4423" w:type="dxa"/>
            <w:shd w:val="clear" w:color="auto" w:fill="auto"/>
          </w:tcPr>
          <w:p w:rsidR="004E20C8" w:rsidRPr="006647B7" w:rsidRDefault="003B7AF5" w:rsidP="003B7AF5">
            <w:pPr>
              <w:spacing w:after="120"/>
              <w:rPr>
                <w:rFonts w:eastAsiaTheme="majorEastAsia" w:cstheme="majorBidi"/>
                <w:bCs/>
                <w:color w:val="00728F"/>
              </w:rPr>
            </w:pPr>
            <w:r>
              <w:rPr>
                <w:rFonts w:eastAsiaTheme="majorEastAsia" w:cstheme="majorBidi"/>
                <w:bCs/>
                <w:color w:val="00728F"/>
              </w:rPr>
              <w:t>A</w:t>
            </w:r>
            <w:r w:rsidR="004E20C8" w:rsidRPr="006647B7">
              <w:rPr>
                <w:rFonts w:eastAsiaTheme="majorEastAsia" w:cstheme="majorBidi"/>
                <w:bCs/>
                <w:color w:val="00728F"/>
              </w:rPr>
              <w:t xml:space="preserve">ccess charges in an access determination </w:t>
            </w:r>
            <w:r>
              <w:rPr>
                <w:rFonts w:eastAsiaTheme="majorEastAsia" w:cstheme="majorBidi"/>
                <w:bCs/>
                <w:color w:val="00728F"/>
              </w:rPr>
              <w:t>set</w:t>
            </w:r>
            <w:r w:rsidR="004E20C8" w:rsidRPr="006647B7">
              <w:rPr>
                <w:rFonts w:eastAsiaTheme="majorEastAsia" w:cstheme="majorBidi"/>
                <w:bCs/>
                <w:color w:val="00728F"/>
              </w:rPr>
              <w:t xml:space="preserve"> tak</w:t>
            </w:r>
            <w:r>
              <w:rPr>
                <w:rFonts w:eastAsiaTheme="majorEastAsia" w:cstheme="majorBidi"/>
                <w:bCs/>
                <w:color w:val="00728F"/>
              </w:rPr>
              <w:t>ing</w:t>
            </w:r>
            <w:r w:rsidR="004E20C8" w:rsidRPr="006647B7">
              <w:rPr>
                <w:rFonts w:eastAsiaTheme="majorEastAsia" w:cstheme="majorBidi"/>
                <w:bCs/>
                <w:color w:val="00728F"/>
              </w:rPr>
              <w:t xml:space="preserve"> account of how NBN Co charges are set</w:t>
            </w:r>
          </w:p>
        </w:tc>
        <w:tc>
          <w:tcPr>
            <w:tcW w:w="9072" w:type="dxa"/>
            <w:shd w:val="clear" w:color="auto" w:fill="auto"/>
          </w:tcPr>
          <w:p w:rsidR="004E20C8" w:rsidRPr="006647B7" w:rsidRDefault="004E20C8" w:rsidP="004E20C8">
            <w:pPr>
              <w:spacing w:after="120"/>
              <w:rPr>
                <w:rFonts w:eastAsiaTheme="majorEastAsia" w:cstheme="majorBidi"/>
                <w:bCs/>
                <w:i/>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3B7AF5">
            <w:pPr>
              <w:keepNext/>
              <w:keepLines/>
              <w:spacing w:after="120"/>
              <w:rPr>
                <w:rFonts w:eastAsiaTheme="majorEastAsia" w:cstheme="majorBidi"/>
                <w:bCs/>
                <w:color w:val="00728F"/>
              </w:rPr>
            </w:pPr>
            <w:r w:rsidRPr="006647B7">
              <w:rPr>
                <w:rFonts w:eastAsiaTheme="majorEastAsia" w:cstheme="majorBidi"/>
                <w:bCs/>
                <w:color w:val="00728F"/>
              </w:rPr>
              <w:t>18</w:t>
            </w:r>
          </w:p>
        </w:tc>
        <w:tc>
          <w:tcPr>
            <w:tcW w:w="4423" w:type="dxa"/>
            <w:shd w:val="clear" w:color="auto" w:fill="auto"/>
          </w:tcPr>
          <w:p w:rsidR="004E20C8" w:rsidRPr="006647B7" w:rsidRDefault="004E20C8" w:rsidP="003B7AF5">
            <w:pPr>
              <w:keepNext/>
              <w:keepLines/>
              <w:spacing w:after="120"/>
              <w:rPr>
                <w:rFonts w:eastAsiaTheme="majorEastAsia" w:cstheme="majorBidi"/>
                <w:bCs/>
                <w:color w:val="00728F"/>
              </w:rPr>
            </w:pPr>
            <w:r w:rsidRPr="006647B7">
              <w:rPr>
                <w:rFonts w:eastAsiaTheme="majorEastAsia" w:cstheme="majorBidi"/>
                <w:bCs/>
                <w:color w:val="00728F"/>
              </w:rPr>
              <w:t>ACCC decisions subject to regulatory oversight</w:t>
            </w:r>
          </w:p>
        </w:tc>
        <w:tc>
          <w:tcPr>
            <w:tcW w:w="9072" w:type="dxa"/>
            <w:shd w:val="clear" w:color="auto" w:fill="auto"/>
          </w:tcPr>
          <w:p w:rsidR="004E20C8" w:rsidRPr="006647B7" w:rsidRDefault="004E20C8" w:rsidP="003B7AF5">
            <w:pPr>
              <w:keepNext/>
              <w:keepLines/>
              <w:spacing w:after="120"/>
              <w:rPr>
                <w:rFonts w:eastAsiaTheme="majorEastAsia" w:cstheme="majorBidi"/>
                <w:bCs/>
                <w:i/>
                <w:color w:val="00728F"/>
              </w:rPr>
            </w:pPr>
            <w:r w:rsidRPr="006647B7">
              <w:rPr>
                <w:rFonts w:eastAsiaTheme="majorEastAsia" w:cstheme="majorBidi"/>
                <w:bCs/>
                <w:color w:val="00728F"/>
              </w:rPr>
              <w:t>The Government considers that the existing arrangements should not be changed until the NBN rollout is complete. The Government, with input from industry, will consider alternative models of review in advance of this date.</w:t>
            </w:r>
          </w:p>
        </w:tc>
      </w:tr>
      <w:tr w:rsidR="004E20C8" w:rsidRPr="006647B7" w:rsidTr="00A8390F">
        <w:tc>
          <w:tcPr>
            <w:tcW w:w="710" w:type="dxa"/>
            <w:shd w:val="clear" w:color="auto" w:fill="auto"/>
          </w:tcPr>
          <w:p w:rsidR="004E20C8" w:rsidRPr="006647B7" w:rsidRDefault="004E20C8" w:rsidP="004E20C8">
            <w:pPr>
              <w:keepNext/>
              <w:keepLines/>
              <w:spacing w:after="120"/>
              <w:rPr>
                <w:rFonts w:eastAsiaTheme="majorEastAsia" w:cstheme="majorBidi"/>
                <w:bCs/>
                <w:color w:val="00728F"/>
              </w:rPr>
            </w:pPr>
            <w:r w:rsidRPr="006647B7">
              <w:rPr>
                <w:rFonts w:eastAsiaTheme="majorEastAsia" w:cstheme="majorBidi"/>
                <w:bCs/>
                <w:color w:val="00728F"/>
              </w:rPr>
              <w:t>19</w:t>
            </w:r>
          </w:p>
        </w:tc>
        <w:tc>
          <w:tcPr>
            <w:tcW w:w="4423" w:type="dxa"/>
            <w:shd w:val="clear" w:color="auto" w:fill="auto"/>
          </w:tcPr>
          <w:p w:rsidR="004E20C8" w:rsidRPr="006647B7" w:rsidRDefault="004E20C8" w:rsidP="004E20C8">
            <w:pPr>
              <w:keepNext/>
              <w:keepLines/>
              <w:spacing w:after="120"/>
              <w:rPr>
                <w:rFonts w:eastAsiaTheme="majorEastAsia" w:cstheme="majorBidi"/>
                <w:bCs/>
                <w:color w:val="00728F"/>
              </w:rPr>
            </w:pPr>
            <w:r w:rsidRPr="006647B7">
              <w:rPr>
                <w:rFonts w:eastAsiaTheme="majorEastAsia" w:cstheme="majorBidi"/>
                <w:bCs/>
                <w:color w:val="00728F"/>
              </w:rPr>
              <w:t>Alternatives to ACCC regulatory oversight</w:t>
            </w:r>
          </w:p>
          <w:p w:rsidR="004E20C8" w:rsidRPr="006647B7" w:rsidRDefault="004E20C8" w:rsidP="004E20C8">
            <w:pPr>
              <w:keepNext/>
              <w:keepLines/>
              <w:spacing w:after="120"/>
              <w:rPr>
                <w:rFonts w:eastAsiaTheme="majorEastAsia" w:cstheme="majorBidi"/>
                <w:bCs/>
                <w:color w:val="00728F"/>
              </w:rPr>
            </w:pPr>
          </w:p>
        </w:tc>
        <w:tc>
          <w:tcPr>
            <w:tcW w:w="9072" w:type="dxa"/>
            <w:shd w:val="clear" w:color="auto" w:fill="auto"/>
          </w:tcPr>
          <w:p w:rsidR="004E20C8" w:rsidRPr="006647B7" w:rsidRDefault="004E20C8" w:rsidP="004E20C8">
            <w:pPr>
              <w:keepNext/>
              <w:keepLines/>
              <w:spacing w:after="120"/>
              <w:rPr>
                <w:rFonts w:eastAsiaTheme="majorEastAsia" w:cstheme="majorBidi"/>
                <w:bCs/>
                <w:color w:val="00728F"/>
              </w:rPr>
            </w:pPr>
            <w:r w:rsidRPr="006647B7">
              <w:rPr>
                <w:rFonts w:eastAsiaTheme="majorEastAsia" w:cstheme="majorBidi"/>
                <w:bCs/>
                <w:color w:val="00728F"/>
              </w:rPr>
              <w:t>The Government does not support amending Part XIC pricing principles or reintroducing ordinary exemptions and ordinary access undertakings. In relation to the proposed Productivity Commission review, the Harper Review of competition laws and policy will consider governance and regulatory oversight and the Government will therefore consider this issue further in the context of its response to the Harper Review.</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20</w:t>
            </w:r>
          </w:p>
        </w:tc>
        <w:tc>
          <w:tcPr>
            <w:tcW w:w="4423" w:type="dxa"/>
            <w:shd w:val="clear" w:color="auto" w:fill="auto"/>
          </w:tcPr>
          <w:p w:rsidR="004E20C8" w:rsidRPr="006647B7" w:rsidRDefault="003B7AF5" w:rsidP="004E20C8">
            <w:pPr>
              <w:spacing w:after="120"/>
              <w:rPr>
                <w:rFonts w:eastAsiaTheme="majorEastAsia" w:cstheme="majorBidi"/>
                <w:bCs/>
                <w:color w:val="00728F"/>
              </w:rPr>
            </w:pPr>
            <w:r>
              <w:rPr>
                <w:rFonts w:eastAsiaTheme="majorEastAsia" w:cstheme="majorBidi"/>
                <w:bCs/>
                <w:color w:val="00728F"/>
              </w:rPr>
              <w:t>R</w:t>
            </w:r>
            <w:r w:rsidR="004E20C8" w:rsidRPr="006647B7">
              <w:rPr>
                <w:rFonts w:eastAsiaTheme="majorEastAsia" w:cstheme="majorBidi"/>
                <w:bCs/>
                <w:color w:val="00728F"/>
              </w:rPr>
              <w:t>easonable efforts to consult on interim access determinations and binding rules of conduct</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21</w:t>
            </w:r>
          </w:p>
        </w:tc>
        <w:tc>
          <w:tcPr>
            <w:tcW w:w="4423" w:type="dxa"/>
            <w:shd w:val="clear" w:color="auto" w:fill="auto"/>
          </w:tcPr>
          <w:p w:rsidR="004E20C8" w:rsidRPr="006647B7" w:rsidRDefault="004E20C8" w:rsidP="005C63BC">
            <w:pPr>
              <w:spacing w:after="120"/>
              <w:rPr>
                <w:rFonts w:eastAsiaTheme="majorEastAsia" w:cstheme="majorBidi"/>
                <w:bCs/>
                <w:color w:val="00728F"/>
              </w:rPr>
            </w:pPr>
            <w:r w:rsidRPr="006647B7">
              <w:rPr>
                <w:rFonts w:eastAsiaTheme="majorEastAsia" w:cstheme="majorBidi"/>
                <w:bCs/>
                <w:color w:val="00728F"/>
              </w:rPr>
              <w:t>Review</w:t>
            </w:r>
            <w:r w:rsidR="003B7AF5">
              <w:rPr>
                <w:rFonts w:eastAsiaTheme="majorEastAsia" w:cstheme="majorBidi"/>
                <w:bCs/>
                <w:color w:val="00728F"/>
              </w:rPr>
              <w:t xml:space="preserve"> of</w:t>
            </w:r>
            <w:r w:rsidRPr="006647B7">
              <w:rPr>
                <w:rFonts w:eastAsiaTheme="majorEastAsia" w:cstheme="majorBidi"/>
                <w:bCs/>
                <w:color w:val="00728F"/>
              </w:rPr>
              <w:t xml:space="preserve"> the role of Binding Rules of Conduct in context of review of Part XIB of the CCA (see </w:t>
            </w:r>
            <w:r w:rsidR="005C63BC">
              <w:rPr>
                <w:rFonts w:eastAsiaTheme="majorEastAsia" w:cstheme="majorBidi"/>
                <w:bCs/>
                <w:color w:val="00728F"/>
              </w:rPr>
              <w:t>R</w:t>
            </w:r>
            <w:r w:rsidR="005C63BC" w:rsidRPr="006647B7">
              <w:rPr>
                <w:rFonts w:eastAsiaTheme="majorEastAsia" w:cstheme="majorBidi"/>
                <w:bCs/>
                <w:color w:val="00728F"/>
              </w:rPr>
              <w:t xml:space="preserve">ecommendation </w:t>
            </w:r>
            <w:r w:rsidRPr="006647B7">
              <w:rPr>
                <w:rFonts w:eastAsiaTheme="majorEastAsia" w:cstheme="majorBidi"/>
                <w:bCs/>
                <w:color w:val="00728F"/>
              </w:rPr>
              <w:t>2)</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 xml:space="preserve">The Government will consider the role of </w:t>
            </w:r>
            <w:r w:rsidR="005C63BC">
              <w:rPr>
                <w:rFonts w:eastAsiaTheme="majorEastAsia" w:cstheme="majorBidi"/>
                <w:bCs/>
                <w:color w:val="00728F"/>
              </w:rPr>
              <w:t>Binding Rules of Conduct</w:t>
            </w:r>
            <w:r w:rsidR="005C63BC" w:rsidRPr="006647B7">
              <w:rPr>
                <w:rFonts w:eastAsiaTheme="majorEastAsia" w:cstheme="majorBidi"/>
                <w:bCs/>
                <w:color w:val="00728F"/>
              </w:rPr>
              <w:t xml:space="preserve"> </w:t>
            </w:r>
            <w:r w:rsidRPr="006647B7">
              <w:rPr>
                <w:rFonts w:eastAsiaTheme="majorEastAsia" w:cstheme="majorBidi"/>
                <w:bCs/>
                <w:color w:val="00728F"/>
              </w:rPr>
              <w:t>through the review of Part XIB</w:t>
            </w:r>
            <w:r w:rsidR="002D2D0B">
              <w:rPr>
                <w:rFonts w:eastAsiaTheme="majorEastAsia" w:cstheme="majorBidi"/>
                <w:bCs/>
                <w:color w:val="00728F"/>
              </w:rPr>
              <w:t xml:space="preserve">. </w:t>
            </w:r>
          </w:p>
          <w:p w:rsidR="004E20C8" w:rsidRPr="006647B7" w:rsidRDefault="004E20C8" w:rsidP="005C63BC">
            <w:pPr>
              <w:spacing w:after="120"/>
              <w:rPr>
                <w:rFonts w:eastAsiaTheme="majorEastAsia" w:cstheme="majorBidi"/>
                <w:bCs/>
                <w:i/>
                <w:color w:val="00728F"/>
              </w:rPr>
            </w:pPr>
            <w:r w:rsidRPr="006647B7">
              <w:rPr>
                <w:rFonts w:eastAsiaTheme="majorEastAsia" w:cstheme="majorBidi"/>
                <w:bCs/>
                <w:color w:val="00728F"/>
              </w:rPr>
              <w:t xml:space="preserve">(See also response to </w:t>
            </w:r>
            <w:r w:rsidR="005C63BC">
              <w:rPr>
                <w:rFonts w:eastAsiaTheme="majorEastAsia" w:cstheme="majorBidi"/>
                <w:bCs/>
                <w:color w:val="00728F"/>
              </w:rPr>
              <w:t>R</w:t>
            </w:r>
            <w:r w:rsidR="005C63BC" w:rsidRPr="006647B7">
              <w:rPr>
                <w:rFonts w:eastAsiaTheme="majorEastAsia" w:cstheme="majorBidi"/>
                <w:bCs/>
                <w:color w:val="00728F"/>
              </w:rPr>
              <w:t xml:space="preserve">ecommendation </w:t>
            </w:r>
            <w:r w:rsidRPr="006647B7">
              <w:rPr>
                <w:rFonts w:eastAsiaTheme="majorEastAsia" w:cstheme="majorBidi"/>
                <w:bCs/>
                <w:color w:val="00728F"/>
              </w:rPr>
              <w:t>2.)</w:t>
            </w:r>
          </w:p>
        </w:tc>
      </w:tr>
      <w:tr w:rsidR="004E20C8" w:rsidRPr="006647B7" w:rsidTr="00A8390F">
        <w:tc>
          <w:tcPr>
            <w:tcW w:w="710" w:type="dxa"/>
            <w:shd w:val="clear" w:color="auto" w:fill="auto"/>
          </w:tcPr>
          <w:p w:rsidR="004E20C8" w:rsidRPr="006647B7" w:rsidRDefault="004E20C8" w:rsidP="00373A80">
            <w:pPr>
              <w:spacing w:after="120"/>
              <w:rPr>
                <w:rFonts w:eastAsiaTheme="majorEastAsia" w:cstheme="majorBidi"/>
                <w:bCs/>
                <w:color w:val="00728F"/>
              </w:rPr>
            </w:pPr>
            <w:r w:rsidRPr="006647B7">
              <w:rPr>
                <w:rFonts w:eastAsiaTheme="majorEastAsia" w:cstheme="majorBidi"/>
                <w:bCs/>
                <w:color w:val="00728F"/>
              </w:rPr>
              <w:lastRenderedPageBreak/>
              <w:t>22</w:t>
            </w:r>
          </w:p>
        </w:tc>
        <w:tc>
          <w:tcPr>
            <w:tcW w:w="4423" w:type="dxa"/>
            <w:shd w:val="clear" w:color="auto" w:fill="auto"/>
          </w:tcPr>
          <w:p w:rsidR="004E20C8" w:rsidRPr="006647B7" w:rsidRDefault="004E20C8" w:rsidP="0046172F">
            <w:pPr>
              <w:spacing w:after="120"/>
              <w:rPr>
                <w:rFonts w:eastAsiaTheme="majorEastAsia" w:cstheme="majorBidi"/>
                <w:bCs/>
                <w:color w:val="00728F"/>
              </w:rPr>
            </w:pPr>
            <w:r w:rsidRPr="006647B7">
              <w:rPr>
                <w:rFonts w:eastAsiaTheme="majorEastAsia" w:cstheme="majorBidi"/>
                <w:bCs/>
                <w:color w:val="00728F"/>
              </w:rPr>
              <w:t>A notice to vary confined to matters essential to satisfy the ACCC that a special access undertaking</w:t>
            </w:r>
            <w:r w:rsidR="0046172F">
              <w:rPr>
                <w:rFonts w:eastAsiaTheme="majorEastAsia" w:cstheme="majorBidi"/>
                <w:bCs/>
                <w:color w:val="00728F"/>
              </w:rPr>
              <w:t xml:space="preserve"> will pass relevant thresholds</w:t>
            </w:r>
          </w:p>
        </w:tc>
        <w:tc>
          <w:tcPr>
            <w:tcW w:w="9072" w:type="dxa"/>
            <w:shd w:val="clear" w:color="auto" w:fill="auto"/>
          </w:tcPr>
          <w:p w:rsidR="004E20C8" w:rsidRPr="006647B7" w:rsidRDefault="004E20C8" w:rsidP="00373A80">
            <w:pPr>
              <w:spacing w:after="120"/>
              <w:rPr>
                <w:rFonts w:eastAsiaTheme="majorEastAsia" w:cstheme="majorBidi"/>
                <w:bCs/>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373A80">
            <w:pPr>
              <w:spacing w:after="120"/>
              <w:rPr>
                <w:rFonts w:eastAsiaTheme="majorEastAsia" w:cstheme="majorBidi"/>
                <w:bCs/>
                <w:color w:val="00728F"/>
              </w:rPr>
            </w:pPr>
            <w:r w:rsidRPr="006647B7">
              <w:rPr>
                <w:rFonts w:eastAsiaTheme="majorEastAsia" w:cstheme="majorBidi"/>
                <w:bCs/>
                <w:color w:val="00728F"/>
              </w:rPr>
              <w:t>23</w:t>
            </w:r>
          </w:p>
        </w:tc>
        <w:tc>
          <w:tcPr>
            <w:tcW w:w="4423" w:type="dxa"/>
            <w:shd w:val="clear" w:color="auto" w:fill="auto"/>
          </w:tcPr>
          <w:p w:rsidR="004E20C8" w:rsidRPr="006647B7" w:rsidRDefault="0046172F" w:rsidP="0046172F">
            <w:pPr>
              <w:spacing w:after="120"/>
              <w:rPr>
                <w:rFonts w:eastAsiaTheme="majorEastAsia" w:cstheme="majorBidi"/>
                <w:bCs/>
                <w:color w:val="00728F"/>
              </w:rPr>
            </w:pPr>
            <w:r>
              <w:rPr>
                <w:rFonts w:eastAsiaTheme="majorEastAsia" w:cstheme="majorBidi"/>
                <w:bCs/>
                <w:color w:val="00728F"/>
              </w:rPr>
              <w:t xml:space="preserve">Amendment to </w:t>
            </w:r>
            <w:r w:rsidR="004E20C8" w:rsidRPr="006647B7">
              <w:rPr>
                <w:rFonts w:eastAsiaTheme="majorEastAsia" w:cstheme="majorBidi"/>
                <w:bCs/>
                <w:color w:val="00728F"/>
              </w:rPr>
              <w:t xml:space="preserve">Part XIC to give flexibility in how to respond to a notice to vary a special access undertaking </w:t>
            </w:r>
          </w:p>
        </w:tc>
        <w:tc>
          <w:tcPr>
            <w:tcW w:w="9072" w:type="dxa"/>
            <w:shd w:val="clear" w:color="auto" w:fill="auto"/>
          </w:tcPr>
          <w:p w:rsidR="004E20C8" w:rsidRPr="006647B7" w:rsidRDefault="004E20C8" w:rsidP="00373A80">
            <w:pPr>
              <w:spacing w:after="120"/>
              <w:rPr>
                <w:rFonts w:eastAsiaTheme="majorEastAsia" w:cstheme="majorBidi"/>
                <w:bCs/>
                <w:i/>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6172F">
            <w:pPr>
              <w:keepNext/>
              <w:keepLines/>
              <w:spacing w:after="120"/>
              <w:rPr>
                <w:rFonts w:eastAsiaTheme="majorEastAsia" w:cstheme="majorBidi"/>
                <w:bCs/>
                <w:color w:val="00728F"/>
              </w:rPr>
            </w:pPr>
            <w:r w:rsidRPr="006647B7">
              <w:rPr>
                <w:rFonts w:eastAsiaTheme="majorEastAsia" w:cstheme="majorBidi"/>
                <w:bCs/>
                <w:color w:val="00728F"/>
              </w:rPr>
              <w:t>24</w:t>
            </w:r>
          </w:p>
        </w:tc>
        <w:tc>
          <w:tcPr>
            <w:tcW w:w="4423" w:type="dxa"/>
            <w:shd w:val="clear" w:color="auto" w:fill="auto"/>
          </w:tcPr>
          <w:p w:rsidR="004E20C8" w:rsidRPr="006647B7" w:rsidRDefault="0046172F" w:rsidP="0046172F">
            <w:pPr>
              <w:keepNext/>
              <w:keepLines/>
              <w:spacing w:after="120"/>
              <w:rPr>
                <w:rFonts w:eastAsiaTheme="majorEastAsia" w:cstheme="majorBidi"/>
                <w:bCs/>
                <w:color w:val="00728F"/>
              </w:rPr>
            </w:pPr>
            <w:r>
              <w:rPr>
                <w:rFonts w:eastAsiaTheme="majorEastAsia" w:cstheme="majorBidi"/>
                <w:bCs/>
                <w:color w:val="00728F"/>
              </w:rPr>
              <w:t>Amendment to t</w:t>
            </w:r>
            <w:r w:rsidR="004E20C8" w:rsidRPr="006647B7">
              <w:rPr>
                <w:rFonts w:eastAsiaTheme="majorEastAsia" w:cstheme="majorBidi"/>
                <w:bCs/>
                <w:color w:val="00728F"/>
              </w:rPr>
              <w:t xml:space="preserve">he statute to simplify the special access undertaking assessment process </w:t>
            </w:r>
          </w:p>
        </w:tc>
        <w:tc>
          <w:tcPr>
            <w:tcW w:w="9072" w:type="dxa"/>
            <w:shd w:val="clear" w:color="auto" w:fill="auto"/>
          </w:tcPr>
          <w:p w:rsidR="004E20C8" w:rsidRPr="006647B7" w:rsidRDefault="004E20C8" w:rsidP="0046172F">
            <w:pPr>
              <w:keepNext/>
              <w:keepLines/>
              <w:spacing w:after="120"/>
              <w:rPr>
                <w:rFonts w:eastAsiaTheme="majorEastAsia" w:cstheme="majorBidi"/>
                <w:bCs/>
                <w:i/>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25</w:t>
            </w:r>
          </w:p>
        </w:tc>
        <w:tc>
          <w:tcPr>
            <w:tcW w:w="4423" w:type="dxa"/>
            <w:shd w:val="clear" w:color="auto" w:fill="auto"/>
          </w:tcPr>
          <w:p w:rsidR="004E20C8" w:rsidRPr="006647B7" w:rsidRDefault="00FD0A57" w:rsidP="00FD0A57">
            <w:pPr>
              <w:spacing w:after="120"/>
              <w:rPr>
                <w:rFonts w:eastAsiaTheme="majorEastAsia" w:cstheme="majorBidi"/>
                <w:bCs/>
                <w:color w:val="00728F"/>
              </w:rPr>
            </w:pPr>
            <w:r>
              <w:rPr>
                <w:rFonts w:eastAsiaTheme="majorEastAsia" w:cstheme="majorBidi"/>
                <w:bCs/>
                <w:color w:val="00728F"/>
              </w:rPr>
              <w:t>Amendment to t</w:t>
            </w:r>
            <w:r w:rsidR="008765C6" w:rsidRPr="006647B7">
              <w:rPr>
                <w:rFonts w:eastAsiaTheme="majorEastAsia" w:cstheme="majorBidi"/>
                <w:bCs/>
                <w:color w:val="00728F"/>
              </w:rPr>
              <w:t xml:space="preserve">he statute to streamline the operation of fixed principles </w:t>
            </w:r>
          </w:p>
        </w:tc>
        <w:tc>
          <w:tcPr>
            <w:tcW w:w="9072" w:type="dxa"/>
            <w:shd w:val="clear" w:color="auto" w:fill="auto"/>
          </w:tcPr>
          <w:p w:rsidR="004E20C8" w:rsidRPr="006647B7" w:rsidRDefault="004E20C8" w:rsidP="004E20C8">
            <w:pPr>
              <w:spacing w:after="120"/>
              <w:rPr>
                <w:rFonts w:eastAsiaTheme="majorEastAsia" w:cstheme="majorBidi"/>
                <w:bCs/>
                <w:i/>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26</w:t>
            </w:r>
          </w:p>
        </w:tc>
        <w:tc>
          <w:tcPr>
            <w:tcW w:w="4423" w:type="dxa"/>
            <w:shd w:val="clear" w:color="auto" w:fill="auto"/>
          </w:tcPr>
          <w:p w:rsidR="004E20C8" w:rsidRPr="006647B7" w:rsidRDefault="00FD0A57" w:rsidP="00FD0A57">
            <w:pPr>
              <w:spacing w:after="120"/>
              <w:rPr>
                <w:rFonts w:eastAsiaTheme="majorEastAsia" w:cstheme="majorBidi"/>
                <w:bCs/>
                <w:color w:val="00728F"/>
              </w:rPr>
            </w:pPr>
            <w:r>
              <w:rPr>
                <w:rFonts w:eastAsiaTheme="majorEastAsia" w:cstheme="majorBidi"/>
                <w:bCs/>
                <w:color w:val="00728F"/>
              </w:rPr>
              <w:t xml:space="preserve">Government monitoring of </w:t>
            </w:r>
            <w:r w:rsidR="004E20C8" w:rsidRPr="006647B7">
              <w:rPr>
                <w:rFonts w:eastAsiaTheme="majorEastAsia" w:cstheme="majorBidi"/>
                <w:bCs/>
                <w:color w:val="00728F"/>
              </w:rPr>
              <w:t xml:space="preserve">the operation of the retail market </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The Government will monitor the operation of the retail market as proposed in this recommendation</w:t>
            </w:r>
            <w:r w:rsidR="002D2D0B">
              <w:rPr>
                <w:rFonts w:eastAsiaTheme="majorEastAsia" w:cstheme="majorBidi"/>
                <w:bCs/>
                <w:color w:val="00728F"/>
              </w:rPr>
              <w:t xml:space="preserve">. </w:t>
            </w:r>
            <w:r w:rsidRPr="006647B7">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27</w:t>
            </w:r>
          </w:p>
        </w:tc>
        <w:tc>
          <w:tcPr>
            <w:tcW w:w="4423" w:type="dxa"/>
            <w:shd w:val="clear" w:color="auto" w:fill="auto"/>
          </w:tcPr>
          <w:p w:rsidR="004E20C8" w:rsidRPr="006647B7" w:rsidRDefault="004E20C8" w:rsidP="00FD0A57">
            <w:pPr>
              <w:spacing w:after="120"/>
              <w:rPr>
                <w:rFonts w:eastAsiaTheme="majorEastAsia" w:cstheme="majorBidi"/>
                <w:bCs/>
                <w:color w:val="00728F"/>
              </w:rPr>
            </w:pPr>
            <w:r w:rsidRPr="006647B7">
              <w:rPr>
                <w:rFonts w:eastAsiaTheme="majorEastAsia" w:cstheme="majorBidi"/>
                <w:bCs/>
                <w:color w:val="00728F"/>
              </w:rPr>
              <w:t>Government monitor</w:t>
            </w:r>
            <w:r w:rsidR="00FD0A57">
              <w:rPr>
                <w:rFonts w:eastAsiaTheme="majorEastAsia" w:cstheme="majorBidi"/>
                <w:bCs/>
                <w:color w:val="00728F"/>
              </w:rPr>
              <w:t>ing of</w:t>
            </w:r>
            <w:r w:rsidRPr="006647B7">
              <w:rPr>
                <w:rFonts w:eastAsiaTheme="majorEastAsia" w:cstheme="majorBidi"/>
                <w:bCs/>
                <w:color w:val="00728F"/>
              </w:rPr>
              <w:t xml:space="preserve"> NBN Co’s activities dealing with end-users </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 xml:space="preserve">The Government will monitor NBN Co activities as proposed in this recommendation.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28</w:t>
            </w:r>
          </w:p>
        </w:tc>
        <w:tc>
          <w:tcPr>
            <w:tcW w:w="4423" w:type="dxa"/>
            <w:shd w:val="clear" w:color="auto" w:fill="auto"/>
          </w:tcPr>
          <w:p w:rsidR="004E20C8" w:rsidRPr="006647B7" w:rsidRDefault="004E20C8" w:rsidP="00FD0A57">
            <w:pPr>
              <w:spacing w:after="120"/>
              <w:rPr>
                <w:rFonts w:eastAsiaTheme="majorEastAsia" w:cstheme="majorBidi"/>
                <w:bCs/>
                <w:color w:val="00728F"/>
              </w:rPr>
            </w:pPr>
            <w:r w:rsidRPr="006647B7">
              <w:rPr>
                <w:rFonts w:eastAsiaTheme="majorEastAsia" w:cstheme="majorBidi"/>
                <w:bCs/>
                <w:color w:val="00728F"/>
              </w:rPr>
              <w:t>Government monitor</w:t>
            </w:r>
            <w:r w:rsidR="00FD0A57">
              <w:rPr>
                <w:rFonts w:eastAsiaTheme="majorEastAsia" w:cstheme="majorBidi"/>
                <w:bCs/>
                <w:color w:val="00728F"/>
              </w:rPr>
              <w:t>ing of</w:t>
            </w:r>
            <w:r w:rsidRPr="006647B7">
              <w:rPr>
                <w:rFonts w:eastAsiaTheme="majorEastAsia" w:cstheme="majorBidi"/>
                <w:bCs/>
                <w:color w:val="00728F"/>
              </w:rPr>
              <w:t xml:space="preserve"> NBN Co’s behaviour</w:t>
            </w:r>
            <w:r w:rsidR="00FD0A57" w:rsidRPr="006647B7">
              <w:rPr>
                <w:rFonts w:eastAsiaTheme="majorEastAsia" w:cstheme="majorBidi"/>
                <w:bCs/>
                <w:color w:val="00728F"/>
              </w:rPr>
              <w:t xml:space="preserve"> </w:t>
            </w:r>
            <w:r w:rsidR="00FD0A57">
              <w:rPr>
                <w:rFonts w:eastAsiaTheme="majorEastAsia" w:cstheme="majorBidi"/>
                <w:bCs/>
                <w:color w:val="00728F"/>
              </w:rPr>
              <w:t>i</w:t>
            </w:r>
            <w:r w:rsidR="00FD0A57" w:rsidRPr="006647B7">
              <w:rPr>
                <w:rFonts w:eastAsiaTheme="majorEastAsia" w:cstheme="majorBidi"/>
                <w:bCs/>
                <w:color w:val="00728F"/>
              </w:rPr>
              <w:t>n relation to Layer 2</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 xml:space="preserve">The Government will monitor NBN Co activities as proposed in this recommendation.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29</w:t>
            </w:r>
          </w:p>
        </w:tc>
        <w:tc>
          <w:tcPr>
            <w:tcW w:w="4423" w:type="dxa"/>
            <w:shd w:val="clear" w:color="auto" w:fill="auto"/>
          </w:tcPr>
          <w:p w:rsidR="004E20C8" w:rsidRPr="006647B7" w:rsidRDefault="00FD0A57" w:rsidP="00FD0A57">
            <w:pPr>
              <w:spacing w:after="120"/>
              <w:rPr>
                <w:rFonts w:eastAsiaTheme="majorEastAsia" w:cstheme="majorBidi"/>
                <w:bCs/>
                <w:color w:val="00728F"/>
              </w:rPr>
            </w:pPr>
            <w:r>
              <w:rPr>
                <w:rFonts w:eastAsiaTheme="majorEastAsia" w:cstheme="majorBidi"/>
                <w:bCs/>
                <w:color w:val="00728F"/>
              </w:rPr>
              <w:t xml:space="preserve">Expansion of </w:t>
            </w:r>
            <w:r w:rsidR="004E20C8" w:rsidRPr="006647B7">
              <w:rPr>
                <w:rFonts w:eastAsiaTheme="majorEastAsia" w:cstheme="majorBidi"/>
                <w:bCs/>
                <w:color w:val="00728F"/>
              </w:rPr>
              <w:t xml:space="preserve">NBN Co’s field of operation able to be </w:t>
            </w:r>
            <w:r>
              <w:rPr>
                <w:rFonts w:eastAsiaTheme="majorEastAsia" w:cstheme="majorBidi"/>
                <w:bCs/>
                <w:color w:val="00728F"/>
              </w:rPr>
              <w:t xml:space="preserve">achieved </w:t>
            </w:r>
            <w:r w:rsidR="004E20C8" w:rsidRPr="006647B7">
              <w:rPr>
                <w:rFonts w:eastAsiaTheme="majorEastAsia" w:cstheme="majorBidi"/>
                <w:bCs/>
                <w:color w:val="00728F"/>
              </w:rPr>
              <w:t>through regulations</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30</w:t>
            </w:r>
          </w:p>
        </w:tc>
        <w:tc>
          <w:tcPr>
            <w:tcW w:w="4423" w:type="dxa"/>
            <w:shd w:val="clear" w:color="auto" w:fill="auto"/>
          </w:tcPr>
          <w:p w:rsidR="004E20C8" w:rsidRPr="006647B7" w:rsidRDefault="00FD0A57">
            <w:pPr>
              <w:spacing w:after="120"/>
              <w:rPr>
                <w:rFonts w:eastAsiaTheme="majorEastAsia" w:cstheme="majorBidi"/>
                <w:bCs/>
                <w:color w:val="00728F"/>
              </w:rPr>
            </w:pPr>
            <w:r>
              <w:rPr>
                <w:rFonts w:eastAsiaTheme="majorEastAsia" w:cstheme="majorBidi"/>
                <w:bCs/>
                <w:color w:val="00728F"/>
              </w:rPr>
              <w:t>G</w:t>
            </w:r>
            <w:r w:rsidR="004E20C8" w:rsidRPr="006647B7">
              <w:rPr>
                <w:rFonts w:eastAsiaTheme="majorEastAsia" w:cstheme="majorBidi"/>
                <w:bCs/>
                <w:color w:val="00728F"/>
              </w:rPr>
              <w:t xml:space="preserve">eneric </w:t>
            </w:r>
            <w:r w:rsidR="00D00261">
              <w:rPr>
                <w:rFonts w:eastAsiaTheme="majorEastAsia" w:cstheme="majorBidi"/>
                <w:bCs/>
                <w:color w:val="00728F"/>
              </w:rPr>
              <w:t>i</w:t>
            </w:r>
            <w:r w:rsidR="004E20C8" w:rsidRPr="006647B7">
              <w:rPr>
                <w:rFonts w:eastAsiaTheme="majorEastAsia" w:cstheme="majorBidi"/>
                <w:bCs/>
                <w:color w:val="00728F"/>
              </w:rPr>
              <w:t xml:space="preserve">nterface service </w:t>
            </w:r>
            <w:r w:rsidR="00D00261">
              <w:rPr>
                <w:rFonts w:eastAsiaTheme="majorEastAsia" w:cstheme="majorBidi"/>
                <w:bCs/>
                <w:color w:val="00728F"/>
              </w:rPr>
              <w:t>for retail service providers</w:t>
            </w:r>
          </w:p>
        </w:tc>
        <w:tc>
          <w:tcPr>
            <w:tcW w:w="9072" w:type="dxa"/>
            <w:shd w:val="clear" w:color="auto" w:fill="auto"/>
          </w:tcPr>
          <w:p w:rsidR="004E20C8" w:rsidRPr="006647B7" w:rsidRDefault="004E20C8" w:rsidP="004E20C8">
            <w:pPr>
              <w:spacing w:after="120"/>
              <w:rPr>
                <w:rFonts w:eastAsiaTheme="majorEastAsia" w:cstheme="majorBidi"/>
                <w:bCs/>
                <w:i/>
                <w:color w:val="00728F"/>
              </w:rPr>
            </w:pPr>
            <w:r w:rsidRPr="006647B7">
              <w:rPr>
                <w:rFonts w:eastAsiaTheme="majorEastAsia" w:cstheme="majorBidi"/>
                <w:bCs/>
                <w:color w:val="00728F"/>
              </w:rPr>
              <w:t>The Government will ask industry to develop and operate a generic retail service provider interface service. Consideration will be given to whether legislation is required and if so whether this should be implemented during the transition period with intended effect from 1 January 2017.</w:t>
            </w:r>
          </w:p>
        </w:tc>
      </w:tr>
      <w:tr w:rsidR="004E20C8" w:rsidRPr="006647B7" w:rsidTr="00A8390F">
        <w:tc>
          <w:tcPr>
            <w:tcW w:w="710" w:type="dxa"/>
            <w:shd w:val="clear" w:color="auto" w:fill="auto"/>
          </w:tcPr>
          <w:p w:rsidR="004E20C8" w:rsidRPr="006647B7" w:rsidRDefault="004E20C8" w:rsidP="003A147A">
            <w:pPr>
              <w:spacing w:after="120"/>
              <w:rPr>
                <w:rFonts w:eastAsiaTheme="majorEastAsia" w:cstheme="majorBidi"/>
                <w:bCs/>
                <w:color w:val="00728F"/>
              </w:rPr>
            </w:pPr>
            <w:r w:rsidRPr="006647B7">
              <w:rPr>
                <w:rFonts w:eastAsiaTheme="majorEastAsia" w:cstheme="majorBidi"/>
                <w:bCs/>
                <w:color w:val="00728F"/>
              </w:rPr>
              <w:t>31</w:t>
            </w:r>
          </w:p>
        </w:tc>
        <w:tc>
          <w:tcPr>
            <w:tcW w:w="4423" w:type="dxa"/>
            <w:shd w:val="clear" w:color="auto" w:fill="auto"/>
          </w:tcPr>
          <w:p w:rsidR="004E20C8" w:rsidRPr="006647B7" w:rsidRDefault="004E20C8" w:rsidP="003A147A">
            <w:pPr>
              <w:spacing w:after="120"/>
              <w:rPr>
                <w:rFonts w:eastAsiaTheme="majorEastAsia" w:cstheme="majorBidi"/>
                <w:bCs/>
                <w:color w:val="00728F"/>
              </w:rPr>
            </w:pPr>
            <w:r w:rsidRPr="006647B7">
              <w:rPr>
                <w:rFonts w:eastAsiaTheme="majorEastAsia" w:cstheme="majorBidi"/>
                <w:bCs/>
                <w:color w:val="00728F"/>
              </w:rPr>
              <w:t>NBN Co prioritis</w:t>
            </w:r>
            <w:r w:rsidR="003A147A">
              <w:rPr>
                <w:rFonts w:eastAsiaTheme="majorEastAsia" w:cstheme="majorBidi"/>
                <w:bCs/>
                <w:color w:val="00728F"/>
              </w:rPr>
              <w:t>ation of</w:t>
            </w:r>
            <w:r w:rsidRPr="006647B7">
              <w:rPr>
                <w:rFonts w:eastAsiaTheme="majorEastAsia" w:cstheme="majorBidi"/>
                <w:bCs/>
                <w:color w:val="00728F"/>
              </w:rPr>
              <w:t xml:space="preserve"> development of white papers</w:t>
            </w:r>
            <w:r w:rsidR="003A147A">
              <w:rPr>
                <w:rFonts w:eastAsiaTheme="majorEastAsia" w:cstheme="majorBidi"/>
                <w:bCs/>
                <w:color w:val="00728F"/>
              </w:rPr>
              <w:t>,</w:t>
            </w:r>
            <w:r w:rsidRPr="006647B7">
              <w:rPr>
                <w:rFonts w:eastAsiaTheme="majorEastAsia" w:cstheme="majorBidi"/>
                <w:bCs/>
                <w:color w:val="00728F"/>
              </w:rPr>
              <w:t xml:space="preserve"> </w:t>
            </w:r>
            <w:r w:rsidR="003A147A">
              <w:rPr>
                <w:rFonts w:eastAsiaTheme="majorEastAsia" w:cstheme="majorBidi"/>
                <w:bCs/>
                <w:color w:val="00728F"/>
              </w:rPr>
              <w:t>to</w:t>
            </w:r>
            <w:r w:rsidRPr="006647B7">
              <w:rPr>
                <w:rFonts w:eastAsiaTheme="majorEastAsia" w:cstheme="majorBidi"/>
                <w:bCs/>
                <w:color w:val="00728F"/>
              </w:rPr>
              <w:t xml:space="preserve"> be completed by the end of 2015</w:t>
            </w:r>
          </w:p>
        </w:tc>
        <w:tc>
          <w:tcPr>
            <w:tcW w:w="9072" w:type="dxa"/>
            <w:shd w:val="clear" w:color="auto" w:fill="auto"/>
          </w:tcPr>
          <w:p w:rsidR="004E20C8" w:rsidRPr="006647B7" w:rsidRDefault="004E20C8" w:rsidP="003A147A">
            <w:pPr>
              <w:spacing w:after="120"/>
              <w:rPr>
                <w:rFonts w:eastAsiaTheme="majorEastAsia" w:cstheme="majorBidi"/>
                <w:bCs/>
                <w:color w:val="00728F"/>
              </w:rPr>
            </w:pPr>
            <w:r w:rsidRPr="006647B7">
              <w:rPr>
                <w:rFonts w:eastAsiaTheme="majorEastAsia" w:cstheme="majorBidi"/>
                <w:bCs/>
                <w:color w:val="00728F"/>
              </w:rPr>
              <w:t>The Government agrees that NBN Co should prioritise the development of these white papers and that this should be completed during 2015</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3A147A">
            <w:pPr>
              <w:keepNext/>
              <w:keepLines/>
              <w:spacing w:after="120"/>
              <w:rPr>
                <w:rFonts w:eastAsiaTheme="majorEastAsia" w:cstheme="majorBidi"/>
                <w:bCs/>
                <w:color w:val="00728F"/>
              </w:rPr>
            </w:pPr>
            <w:r w:rsidRPr="006647B7">
              <w:rPr>
                <w:rFonts w:eastAsiaTheme="majorEastAsia" w:cstheme="majorBidi"/>
                <w:bCs/>
                <w:color w:val="00728F"/>
              </w:rPr>
              <w:t>32</w:t>
            </w:r>
          </w:p>
        </w:tc>
        <w:tc>
          <w:tcPr>
            <w:tcW w:w="4423" w:type="dxa"/>
            <w:shd w:val="clear" w:color="auto" w:fill="auto"/>
          </w:tcPr>
          <w:p w:rsidR="004E20C8" w:rsidRPr="006647B7" w:rsidRDefault="004E20C8" w:rsidP="005C63BC">
            <w:pPr>
              <w:keepNext/>
              <w:keepLines/>
              <w:spacing w:after="120"/>
              <w:rPr>
                <w:rFonts w:eastAsiaTheme="majorEastAsia" w:cstheme="majorBidi"/>
                <w:bCs/>
                <w:color w:val="00728F"/>
              </w:rPr>
            </w:pPr>
            <w:r w:rsidRPr="006647B7">
              <w:rPr>
                <w:rFonts w:eastAsiaTheme="majorEastAsia" w:cstheme="majorBidi"/>
                <w:bCs/>
                <w:color w:val="00728F"/>
              </w:rPr>
              <w:t xml:space="preserve">NBN Co investment in </w:t>
            </w:r>
            <w:r w:rsidR="00F107AE">
              <w:rPr>
                <w:rFonts w:eastAsiaTheme="majorEastAsia" w:cstheme="majorBidi"/>
                <w:bCs/>
                <w:color w:val="00728F"/>
              </w:rPr>
              <w:t>retail service providers</w:t>
            </w:r>
            <w:r w:rsidRPr="006647B7">
              <w:rPr>
                <w:rFonts w:eastAsiaTheme="majorEastAsia" w:cstheme="majorBidi"/>
                <w:bCs/>
                <w:color w:val="00728F"/>
              </w:rPr>
              <w:t xml:space="preserve"> </w:t>
            </w:r>
            <w:r w:rsidR="003A147A">
              <w:rPr>
                <w:rFonts w:eastAsiaTheme="majorEastAsia" w:cstheme="majorBidi"/>
                <w:bCs/>
                <w:color w:val="00728F"/>
              </w:rPr>
              <w:t>to</w:t>
            </w:r>
            <w:r w:rsidRPr="006647B7">
              <w:rPr>
                <w:rFonts w:eastAsiaTheme="majorEastAsia" w:cstheme="majorBidi"/>
                <w:bCs/>
                <w:color w:val="00728F"/>
              </w:rPr>
              <w:t xml:space="preserve"> be subject to additional measures </w:t>
            </w:r>
            <w:r w:rsidR="00D00261">
              <w:rPr>
                <w:rFonts w:eastAsiaTheme="majorEastAsia" w:cstheme="majorBidi"/>
                <w:bCs/>
                <w:color w:val="00728F"/>
              </w:rPr>
              <w:t>i</w:t>
            </w:r>
            <w:r w:rsidR="00D00261" w:rsidRPr="00D00261">
              <w:rPr>
                <w:rFonts w:eastAsiaTheme="majorEastAsia" w:cstheme="majorBidi"/>
                <w:bCs/>
                <w:color w:val="00728F"/>
              </w:rPr>
              <w:t xml:space="preserve">f </w:t>
            </w:r>
            <w:r w:rsidR="00D00261">
              <w:rPr>
                <w:rFonts w:eastAsiaTheme="majorEastAsia" w:cstheme="majorBidi"/>
                <w:bCs/>
                <w:color w:val="00728F"/>
              </w:rPr>
              <w:t>its</w:t>
            </w:r>
            <w:r w:rsidR="00D00261" w:rsidRPr="00D00261">
              <w:rPr>
                <w:rFonts w:eastAsiaTheme="majorEastAsia" w:cstheme="majorBidi"/>
                <w:bCs/>
                <w:color w:val="00728F"/>
              </w:rPr>
              <w:t xml:space="preserve"> non</w:t>
            </w:r>
            <w:r w:rsidR="00D00261">
              <w:rPr>
                <w:rFonts w:eastAsiaTheme="majorEastAsia" w:cstheme="majorBidi"/>
                <w:bCs/>
                <w:color w:val="00728F"/>
              </w:rPr>
              <w:noBreakHyphen/>
            </w:r>
            <w:r w:rsidR="00D00261" w:rsidRPr="00D00261">
              <w:rPr>
                <w:rFonts w:eastAsiaTheme="majorEastAsia" w:cstheme="majorBidi"/>
                <w:bCs/>
                <w:color w:val="00728F"/>
              </w:rPr>
              <w:t>discrimination obligations</w:t>
            </w:r>
            <w:r w:rsidR="00D00261">
              <w:rPr>
                <w:rFonts w:eastAsiaTheme="majorEastAsia" w:cstheme="majorBidi"/>
                <w:bCs/>
                <w:color w:val="00728F"/>
              </w:rPr>
              <w:t xml:space="preserve"> are relaxed</w:t>
            </w:r>
            <w:r w:rsidR="00D00261" w:rsidRPr="00D00261">
              <w:rPr>
                <w:rFonts w:eastAsiaTheme="majorEastAsia" w:cstheme="majorBidi"/>
                <w:bCs/>
                <w:color w:val="00728F"/>
              </w:rPr>
              <w:t xml:space="preserve"> (see </w:t>
            </w:r>
            <w:r w:rsidR="005C63BC">
              <w:rPr>
                <w:rFonts w:eastAsiaTheme="majorEastAsia" w:cstheme="majorBidi"/>
                <w:bCs/>
                <w:color w:val="00728F"/>
              </w:rPr>
              <w:t>R</w:t>
            </w:r>
            <w:r w:rsidR="005C63BC" w:rsidRPr="00D00261">
              <w:rPr>
                <w:rFonts w:eastAsiaTheme="majorEastAsia" w:cstheme="majorBidi"/>
                <w:bCs/>
                <w:color w:val="00728F"/>
              </w:rPr>
              <w:t xml:space="preserve">ecommendation </w:t>
            </w:r>
            <w:r w:rsidR="00D00261" w:rsidRPr="00D00261">
              <w:rPr>
                <w:rFonts w:eastAsiaTheme="majorEastAsia" w:cstheme="majorBidi"/>
                <w:bCs/>
                <w:color w:val="00728F"/>
              </w:rPr>
              <w:t>13)</w:t>
            </w:r>
          </w:p>
        </w:tc>
        <w:tc>
          <w:tcPr>
            <w:tcW w:w="9072" w:type="dxa"/>
            <w:shd w:val="clear" w:color="auto" w:fill="auto"/>
          </w:tcPr>
          <w:p w:rsidR="004E20C8" w:rsidRPr="006647B7" w:rsidRDefault="004E20C8" w:rsidP="003A147A">
            <w:pPr>
              <w:keepNext/>
              <w:keepLines/>
              <w:spacing w:after="120"/>
              <w:rPr>
                <w:rFonts w:eastAsiaTheme="majorEastAsia" w:cstheme="majorBidi"/>
                <w:bCs/>
                <w:color w:val="00728F"/>
              </w:rPr>
            </w:pPr>
            <w:r w:rsidRPr="006647B7">
              <w:rPr>
                <w:rFonts w:eastAsiaTheme="majorEastAsia" w:cstheme="majorBidi"/>
                <w:bCs/>
                <w:color w:val="00728F"/>
              </w:rPr>
              <w:t>The Government has decided, apart from some minor proposed changes, not to relax the non</w:t>
            </w:r>
            <w:r w:rsidR="00F107AE">
              <w:rPr>
                <w:rFonts w:eastAsiaTheme="majorEastAsia" w:cstheme="majorBidi"/>
                <w:bCs/>
                <w:color w:val="00728F"/>
              </w:rPr>
              <w:noBreakHyphen/>
            </w:r>
            <w:r w:rsidRPr="006647B7">
              <w:rPr>
                <w:rFonts w:eastAsiaTheme="majorEastAsia" w:cstheme="majorBidi"/>
                <w:bCs/>
                <w:color w:val="00728F"/>
              </w:rPr>
              <w:t>discrimination restrictions on NBN Co at this time.</w:t>
            </w:r>
          </w:p>
          <w:p w:rsidR="004E20C8" w:rsidRPr="006647B7" w:rsidRDefault="004E20C8" w:rsidP="005C63BC">
            <w:pPr>
              <w:keepNext/>
              <w:keepLines/>
              <w:spacing w:after="120"/>
              <w:rPr>
                <w:rFonts w:eastAsiaTheme="majorEastAsia" w:cstheme="majorBidi"/>
                <w:bCs/>
                <w:color w:val="00728F"/>
              </w:rPr>
            </w:pPr>
            <w:r w:rsidRPr="006647B7">
              <w:rPr>
                <w:rFonts w:eastAsiaTheme="majorEastAsia" w:cstheme="majorBidi"/>
                <w:bCs/>
                <w:color w:val="00728F"/>
              </w:rPr>
              <w:t>(</w:t>
            </w:r>
            <w:r w:rsidR="00D00261">
              <w:rPr>
                <w:rFonts w:eastAsiaTheme="majorEastAsia" w:cstheme="majorBidi"/>
                <w:bCs/>
                <w:color w:val="00728F"/>
              </w:rPr>
              <w:t>S</w:t>
            </w:r>
            <w:r w:rsidRPr="006647B7">
              <w:rPr>
                <w:rFonts w:eastAsiaTheme="majorEastAsia" w:cstheme="majorBidi"/>
                <w:bCs/>
                <w:color w:val="00728F"/>
              </w:rPr>
              <w:t xml:space="preserve">ee </w:t>
            </w:r>
            <w:r w:rsidR="00D00261">
              <w:rPr>
                <w:rFonts w:eastAsiaTheme="majorEastAsia" w:cstheme="majorBidi"/>
                <w:bCs/>
                <w:color w:val="00728F"/>
              </w:rPr>
              <w:t xml:space="preserve">also </w:t>
            </w:r>
            <w:r w:rsidRPr="006647B7">
              <w:rPr>
                <w:rFonts w:eastAsiaTheme="majorEastAsia" w:cstheme="majorBidi"/>
                <w:bCs/>
                <w:color w:val="00728F"/>
              </w:rPr>
              <w:t xml:space="preserve">response to </w:t>
            </w:r>
            <w:r w:rsidR="005C63BC">
              <w:rPr>
                <w:rFonts w:eastAsiaTheme="majorEastAsia" w:cstheme="majorBidi"/>
                <w:bCs/>
                <w:color w:val="00728F"/>
              </w:rPr>
              <w:t>R</w:t>
            </w:r>
            <w:r w:rsidR="005C63BC" w:rsidRPr="006647B7">
              <w:rPr>
                <w:rFonts w:eastAsiaTheme="majorEastAsia" w:cstheme="majorBidi"/>
                <w:bCs/>
                <w:color w:val="00728F"/>
              </w:rPr>
              <w:t xml:space="preserve">ecommendation </w:t>
            </w:r>
            <w:r w:rsidRPr="006647B7">
              <w:rPr>
                <w:rFonts w:eastAsiaTheme="majorEastAsia" w:cstheme="majorBidi"/>
                <w:bCs/>
                <w:color w:val="00728F"/>
              </w:rPr>
              <w:t>13</w:t>
            </w:r>
            <w:r w:rsidR="00D00261">
              <w:rPr>
                <w:rFonts w:eastAsiaTheme="majorEastAsia" w:cstheme="majorBidi"/>
                <w:bCs/>
                <w:color w:val="00728F"/>
              </w:rPr>
              <w:t>.</w:t>
            </w:r>
            <w:r w:rsidRPr="006647B7">
              <w:rPr>
                <w:rFonts w:eastAsiaTheme="majorEastAsia" w:cstheme="majorBidi"/>
                <w:bCs/>
                <w:color w:val="00728F"/>
              </w:rPr>
              <w:t>)</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33</w:t>
            </w:r>
          </w:p>
        </w:tc>
        <w:tc>
          <w:tcPr>
            <w:tcW w:w="4423" w:type="dxa"/>
            <w:shd w:val="clear" w:color="auto" w:fill="auto"/>
          </w:tcPr>
          <w:p w:rsidR="004E20C8" w:rsidRPr="006647B7" w:rsidRDefault="00F107AE">
            <w:pPr>
              <w:spacing w:after="120"/>
              <w:rPr>
                <w:rFonts w:eastAsiaTheme="majorEastAsia" w:cstheme="majorBidi"/>
                <w:bCs/>
                <w:color w:val="00728F"/>
              </w:rPr>
            </w:pPr>
            <w:r>
              <w:rPr>
                <w:rFonts w:eastAsiaTheme="majorEastAsia" w:cstheme="majorBidi"/>
                <w:bCs/>
                <w:color w:val="00728F"/>
              </w:rPr>
              <w:t>J</w:t>
            </w:r>
            <w:r w:rsidR="004E20C8" w:rsidRPr="006647B7">
              <w:rPr>
                <w:rFonts w:eastAsiaTheme="majorEastAsia" w:cstheme="majorBidi"/>
                <w:bCs/>
                <w:color w:val="00728F"/>
              </w:rPr>
              <w:t xml:space="preserve">oint ventures with NBN Co </w:t>
            </w:r>
            <w:r w:rsidR="003A147A">
              <w:rPr>
                <w:rFonts w:eastAsiaTheme="majorEastAsia" w:cstheme="majorBidi"/>
                <w:bCs/>
                <w:color w:val="00728F"/>
              </w:rPr>
              <w:t>to</w:t>
            </w:r>
            <w:r w:rsidR="004E20C8" w:rsidRPr="006647B7">
              <w:rPr>
                <w:rFonts w:eastAsiaTheme="majorEastAsia" w:cstheme="majorBidi"/>
                <w:bCs/>
                <w:color w:val="00728F"/>
              </w:rPr>
              <w:t xml:space="preserve"> operate subject to the rules generally applying to NBN Co</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The Government will introduce legislation during 2015 to implement this approach</w:t>
            </w:r>
            <w:r w:rsidR="002D2D0B">
              <w:rPr>
                <w:rFonts w:eastAsiaTheme="majorEastAsia" w:cstheme="majorBidi"/>
                <w:bCs/>
                <w:color w:val="00728F"/>
              </w:rPr>
              <w:t xml:space="preserve">. </w:t>
            </w:r>
          </w:p>
        </w:tc>
      </w:tr>
      <w:tr w:rsidR="004E20C8" w:rsidRPr="006647B7" w:rsidTr="00A8390F">
        <w:tc>
          <w:tcPr>
            <w:tcW w:w="710"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34</w:t>
            </w:r>
          </w:p>
        </w:tc>
        <w:tc>
          <w:tcPr>
            <w:tcW w:w="4423" w:type="dxa"/>
            <w:shd w:val="clear" w:color="auto" w:fill="auto"/>
          </w:tcPr>
          <w:p w:rsidR="004E20C8" w:rsidRPr="006647B7" w:rsidRDefault="004E20C8">
            <w:pPr>
              <w:spacing w:after="120"/>
              <w:rPr>
                <w:rFonts w:eastAsiaTheme="majorEastAsia" w:cstheme="majorBidi"/>
                <w:bCs/>
                <w:color w:val="00728F"/>
              </w:rPr>
            </w:pPr>
            <w:r w:rsidRPr="006647B7">
              <w:rPr>
                <w:rFonts w:eastAsiaTheme="majorEastAsia" w:cstheme="majorBidi"/>
                <w:bCs/>
                <w:color w:val="00728F"/>
              </w:rPr>
              <w:t xml:space="preserve">Multi-stakeholder processes </w:t>
            </w:r>
            <w:r w:rsidR="003A147A">
              <w:rPr>
                <w:rFonts w:eastAsiaTheme="majorEastAsia" w:cstheme="majorBidi"/>
                <w:bCs/>
                <w:color w:val="00728F"/>
              </w:rPr>
              <w:t>to</w:t>
            </w:r>
            <w:r w:rsidRPr="006647B7">
              <w:rPr>
                <w:rFonts w:eastAsiaTheme="majorEastAsia" w:cstheme="majorBidi"/>
                <w:bCs/>
                <w:color w:val="00728F"/>
              </w:rPr>
              <w:t xml:space="preserve"> be developed to improve</w:t>
            </w:r>
            <w:r w:rsidR="003A147A">
              <w:rPr>
                <w:rFonts w:eastAsiaTheme="majorEastAsia" w:cstheme="majorBidi"/>
                <w:bCs/>
                <w:color w:val="00728F"/>
              </w:rPr>
              <w:t xml:space="preserve"> migration processes</w:t>
            </w:r>
          </w:p>
        </w:tc>
        <w:tc>
          <w:tcPr>
            <w:tcW w:w="9072" w:type="dxa"/>
            <w:shd w:val="clear" w:color="auto" w:fill="auto"/>
          </w:tcPr>
          <w:p w:rsidR="004E20C8" w:rsidRPr="006647B7" w:rsidRDefault="004E20C8" w:rsidP="004E20C8">
            <w:pPr>
              <w:spacing w:after="120"/>
              <w:rPr>
                <w:rFonts w:eastAsiaTheme="majorEastAsia" w:cstheme="majorBidi"/>
                <w:bCs/>
                <w:color w:val="00728F"/>
              </w:rPr>
            </w:pPr>
            <w:r w:rsidRPr="006647B7">
              <w:rPr>
                <w:rFonts w:eastAsiaTheme="majorEastAsia" w:cstheme="majorBidi"/>
                <w:bCs/>
                <w:color w:val="00728F"/>
              </w:rPr>
              <w:t xml:space="preserve">The Government notes that this approach is being implemented through the existing migration assurance process. </w:t>
            </w:r>
          </w:p>
        </w:tc>
      </w:tr>
    </w:tbl>
    <w:p w:rsidR="00C51C05" w:rsidRDefault="00C51C05">
      <w:pPr>
        <w:spacing w:after="120"/>
        <w:ind w:left="1021" w:hanging="1021"/>
        <w:rPr>
          <w:rFonts w:ascii="Cambria" w:eastAsiaTheme="majorEastAsia" w:hAnsi="Cambria" w:cstheme="majorBidi"/>
          <w:bCs/>
          <w:color w:val="00728F"/>
          <w:sz w:val="26"/>
          <w:szCs w:val="26"/>
        </w:rPr>
      </w:pPr>
    </w:p>
    <w:sectPr w:rsidR="00C51C05" w:rsidSect="00D70BC7">
      <w:headerReference w:type="default" r:id="rId22"/>
      <w:pgSz w:w="16838" w:h="11906" w:orient="landscape" w:code="9"/>
      <w:pgMar w:top="1440" w:right="1701" w:bottom="1440" w:left="1276" w:header="510" w:footer="4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C4C" w:rsidRDefault="00BE6C4C" w:rsidP="000720AB">
      <w:r>
        <w:separator/>
      </w:r>
    </w:p>
    <w:p w:rsidR="00BE6C4C" w:rsidRDefault="00BE6C4C"/>
    <w:p w:rsidR="00BE6C4C" w:rsidRDefault="00BE6C4C"/>
  </w:endnote>
  <w:endnote w:type="continuationSeparator" w:id="0">
    <w:p w:rsidR="00BE6C4C" w:rsidRDefault="00BE6C4C" w:rsidP="000720AB">
      <w:r>
        <w:continuationSeparator/>
      </w:r>
    </w:p>
    <w:p w:rsidR="00BE6C4C" w:rsidRDefault="00BE6C4C"/>
    <w:p w:rsidR="00BE6C4C" w:rsidRDefault="00BE6C4C"/>
  </w:endnote>
  <w:endnote w:type="continuationNotice" w:id="1">
    <w:p w:rsidR="00BE6C4C" w:rsidRDefault="00BE6C4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2F" w:rsidRDefault="00CA552F"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CA552F" w:rsidRDefault="00CA552F" w:rsidP="00FC3687">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2F" w:rsidRDefault="00CA552F"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36F93">
      <w:rPr>
        <w:rStyle w:val="PageNumber"/>
        <w:noProof/>
      </w:rPr>
      <w:t>4</w:t>
    </w:r>
    <w:r>
      <w:rPr>
        <w:rStyle w:val="PageNumber"/>
      </w:rPr>
      <w:fldChar w:fldCharType="end"/>
    </w:r>
  </w:p>
  <w:p w:rsidR="00CA552F" w:rsidRDefault="00CA552F" w:rsidP="00FC3687">
    <w:pPr>
      <w:pStyle w:val="Footer"/>
      <w:tabs>
        <w:tab w:val="clear" w:pos="4513"/>
      </w:tabs>
      <w:ind w:firstLine="360"/>
      <w:rPr>
        <w:rStyle w:val="PageNumber"/>
      </w:rPr>
    </w:pPr>
    <w:r>
      <w:rPr>
        <w:noProof/>
        <w:lang w:eastAsia="en-AU"/>
      </w:rPr>
      <w:drawing>
        <wp:anchor distT="0" distB="0" distL="114300" distR="114300" simplePos="0" relativeHeight="251685888" behindDoc="1" locked="0" layoutInCell="1" allowOverlap="1" wp14:anchorId="248D09CB" wp14:editId="51BD79BA">
          <wp:simplePos x="0" y="0"/>
          <wp:positionH relativeFrom="column">
            <wp:posOffset>-914400</wp:posOffset>
          </wp:positionH>
          <wp:positionV relativeFrom="paragraph">
            <wp:posOffset>-111746</wp:posOffset>
          </wp:positionV>
          <wp:extent cx="7582164" cy="725791"/>
          <wp:effectExtent l="0" t="0" r="0"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A4 Report FOOTER shapes.jpg"/>
                  <pic:cNvPicPr/>
                </pic:nvPicPr>
                <pic:blipFill>
                  <a:blip r:embed="rId1">
                    <a:extLst>
                      <a:ext uri="{28A0092B-C50C-407E-A947-70E740481C1C}">
                        <a14:useLocalDpi xmlns:a14="http://schemas.microsoft.com/office/drawing/2010/main" val="0"/>
                      </a:ext>
                    </a:extLst>
                  </a:blip>
                  <a:stretch>
                    <a:fillRect/>
                  </a:stretch>
                </pic:blipFill>
                <pic:spPr>
                  <a:xfrm>
                    <a:off x="0" y="0"/>
                    <a:ext cx="7584211" cy="72598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AU"/>
      </w:rPr>
      <w:t>Telecommunications Regulatory and Structural Reform</w:t>
    </w:r>
    <w:r>
      <w:t xml:space="preserve"> </w:t>
    </w:r>
    <w:r w:rsidRPr="00AA2566">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2F" w:rsidRPr="002E2136" w:rsidRDefault="00CA552F" w:rsidP="00230F08">
    <w:pPr>
      <w:pStyle w:val="Footer"/>
      <w:tabs>
        <w:tab w:val="clear" w:pos="9026"/>
        <w:tab w:val="left" w:pos="6416"/>
      </w:tabs>
      <w:ind w:right="-618"/>
      <w:rPr>
        <w:rFonts w:ascii="Arial" w:hAnsi="Arial"/>
        <w:sz w:val="18"/>
      </w:rPr>
    </w:pPr>
    <w:r>
      <w:rPr>
        <w:noProof/>
        <w:lang w:eastAsia="en-AU"/>
      </w:rPr>
      <w:drawing>
        <wp:anchor distT="0" distB="0" distL="114300" distR="114300" simplePos="0" relativeHeight="251686912" behindDoc="1" locked="0" layoutInCell="1" allowOverlap="1" wp14:anchorId="61AE9BEC" wp14:editId="02A08E38">
          <wp:simplePos x="0" y="0"/>
          <wp:positionH relativeFrom="column">
            <wp:posOffset>-931545</wp:posOffset>
          </wp:positionH>
          <wp:positionV relativeFrom="paragraph">
            <wp:posOffset>-130063</wp:posOffset>
          </wp:positionV>
          <wp:extent cx="7582164" cy="725791"/>
          <wp:effectExtent l="0" t="0" r="0" b="114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A4 Report FOOTER shapes.jpg"/>
                  <pic:cNvPicPr/>
                </pic:nvPicPr>
                <pic:blipFill>
                  <a:blip r:embed="rId1">
                    <a:extLst>
                      <a:ext uri="{28A0092B-C50C-407E-A947-70E740481C1C}">
                        <a14:useLocalDpi xmlns:a14="http://schemas.microsoft.com/office/drawing/2010/main" val="0"/>
                      </a:ext>
                    </a:extLst>
                  </a:blip>
                  <a:stretch>
                    <a:fillRect/>
                  </a:stretch>
                </pic:blipFill>
                <pic:spPr>
                  <a:xfrm>
                    <a:off x="0" y="0"/>
                    <a:ext cx="7582164" cy="72579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Arial" w:hAnsi="Arial"/>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A1" w:rsidRPr="00043550" w:rsidRDefault="00CA17A1" w:rsidP="00F602ED">
    <w:pPr>
      <w:pStyle w:val="Footer"/>
      <w:framePr w:wrap="around" w:vAnchor="text" w:hAnchor="margin" w:y="1"/>
      <w:rPr>
        <w:rStyle w:val="PageNumber"/>
        <w:color w:val="00556B" w:themeColor="text1" w:themeShade="BF"/>
      </w:rPr>
    </w:pPr>
    <w:r w:rsidRPr="00043550">
      <w:rPr>
        <w:rStyle w:val="PageNumber"/>
        <w:color w:val="00556B" w:themeColor="text1" w:themeShade="BF"/>
      </w:rPr>
      <w:fldChar w:fldCharType="begin"/>
    </w:r>
    <w:r w:rsidRPr="00043550">
      <w:rPr>
        <w:rStyle w:val="PageNumber"/>
        <w:color w:val="00556B" w:themeColor="text1" w:themeShade="BF"/>
      </w:rPr>
      <w:instrText xml:space="preserve">PAGE  </w:instrText>
    </w:r>
    <w:r w:rsidRPr="00043550">
      <w:rPr>
        <w:rStyle w:val="PageNumber"/>
        <w:color w:val="00556B" w:themeColor="text1" w:themeShade="BF"/>
      </w:rPr>
      <w:fldChar w:fldCharType="separate"/>
    </w:r>
    <w:r w:rsidR="00336F93">
      <w:rPr>
        <w:rStyle w:val="PageNumber"/>
        <w:noProof/>
        <w:color w:val="00556B" w:themeColor="text1" w:themeShade="BF"/>
      </w:rPr>
      <w:t>19</w:t>
    </w:r>
    <w:r w:rsidRPr="00043550">
      <w:rPr>
        <w:rStyle w:val="PageNumber"/>
        <w:color w:val="00556B" w:themeColor="text1" w:themeShade="BF"/>
      </w:rPr>
      <w:fldChar w:fldCharType="end"/>
    </w:r>
  </w:p>
  <w:p w:rsidR="00CA17A1" w:rsidRPr="00043550" w:rsidRDefault="00CA17A1" w:rsidP="00043550">
    <w:pPr>
      <w:pStyle w:val="Footer"/>
      <w:ind w:firstLine="360"/>
      <w:rPr>
        <w:rStyle w:val="PageNumber"/>
        <w:color w:val="00556B" w:themeColor="text1" w:themeShade="BF"/>
        <w:sz w:val="20"/>
      </w:rPr>
    </w:pPr>
    <w:r w:rsidRPr="00043550">
      <w:rPr>
        <w:noProof/>
        <w:color w:val="00556B" w:themeColor="text1" w:themeShade="BF"/>
        <w:lang w:eastAsia="en-AU"/>
      </w:rPr>
      <w:t>Telecommunications Regulatory and Structural Reform</w:t>
    </w:r>
    <w:r w:rsidRPr="00AA2566">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A1" w:rsidRPr="00043550" w:rsidRDefault="00CA17A1" w:rsidP="009F0A4E">
    <w:pPr>
      <w:pStyle w:val="Footer"/>
      <w:framePr w:wrap="around" w:vAnchor="text" w:hAnchor="margin" w:y="1"/>
      <w:rPr>
        <w:rStyle w:val="PageNumber"/>
        <w:color w:val="00556B" w:themeColor="text1" w:themeShade="BF"/>
      </w:rPr>
    </w:pPr>
    <w:r w:rsidRPr="00043550">
      <w:rPr>
        <w:rStyle w:val="PageNumber"/>
        <w:color w:val="00556B" w:themeColor="text1" w:themeShade="BF"/>
      </w:rPr>
      <w:fldChar w:fldCharType="begin"/>
    </w:r>
    <w:r w:rsidRPr="00043550">
      <w:rPr>
        <w:rStyle w:val="PageNumber"/>
        <w:color w:val="00556B" w:themeColor="text1" w:themeShade="BF"/>
      </w:rPr>
      <w:instrText xml:space="preserve">PAGE  </w:instrText>
    </w:r>
    <w:r w:rsidRPr="00043550">
      <w:rPr>
        <w:rStyle w:val="PageNumber"/>
        <w:color w:val="00556B" w:themeColor="text1" w:themeShade="BF"/>
      </w:rPr>
      <w:fldChar w:fldCharType="separate"/>
    </w:r>
    <w:r w:rsidR="00336F93">
      <w:rPr>
        <w:rStyle w:val="PageNumber"/>
        <w:noProof/>
        <w:color w:val="00556B" w:themeColor="text1" w:themeShade="BF"/>
      </w:rPr>
      <w:t>9</w:t>
    </w:r>
    <w:r w:rsidRPr="00043550">
      <w:rPr>
        <w:rStyle w:val="PageNumber"/>
        <w:color w:val="00556B" w:themeColor="text1" w:themeShade="BF"/>
      </w:rPr>
      <w:fldChar w:fldCharType="end"/>
    </w:r>
  </w:p>
  <w:p w:rsidR="00CA17A1" w:rsidRPr="00043550" w:rsidRDefault="00CA17A1" w:rsidP="00043550">
    <w:pPr>
      <w:pStyle w:val="Footer"/>
      <w:ind w:firstLine="360"/>
      <w:rPr>
        <w:color w:val="00556B" w:themeColor="text1" w:themeShade="BF"/>
      </w:rPr>
    </w:pPr>
    <w:r w:rsidRPr="00043550">
      <w:rPr>
        <w:noProof/>
        <w:color w:val="00556B" w:themeColor="text1" w:themeShade="BF"/>
        <w:lang w:eastAsia="en-AU"/>
      </w:rPr>
      <w:t>Telecommunications Regulatory and Structural Reform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C4C" w:rsidRDefault="00BE6C4C">
      <w:r>
        <w:separator/>
      </w:r>
    </w:p>
  </w:footnote>
  <w:footnote w:type="continuationSeparator" w:id="0">
    <w:p w:rsidR="00BE6C4C" w:rsidRDefault="00BE6C4C" w:rsidP="000720AB">
      <w:r>
        <w:continuationSeparator/>
      </w:r>
    </w:p>
    <w:p w:rsidR="00BE6C4C" w:rsidRDefault="00BE6C4C"/>
    <w:p w:rsidR="00BE6C4C" w:rsidRDefault="00BE6C4C"/>
  </w:footnote>
  <w:footnote w:type="continuationNotice" w:id="1">
    <w:p w:rsidR="00BE6C4C" w:rsidRDefault="00BE6C4C">
      <w:pPr>
        <w:spacing w:before="0"/>
      </w:pPr>
    </w:p>
  </w:footnote>
  <w:footnote w:id="2">
    <w:p w:rsidR="00CA552F" w:rsidRDefault="00CA552F" w:rsidP="00CA552F">
      <w:pPr>
        <w:pStyle w:val="FootnoteText"/>
      </w:pPr>
      <w:r>
        <w:rPr>
          <w:rStyle w:val="FootnoteReference"/>
        </w:rPr>
        <w:footnoteRef/>
      </w:r>
      <w:r>
        <w:t xml:space="preserve"> </w:t>
      </w:r>
      <w:r w:rsidRPr="00DA34AD">
        <w:rPr>
          <w:sz w:val="16"/>
          <w:szCs w:val="16"/>
        </w:rPr>
        <w:t xml:space="preserve">In December 2013 the Government appointed a panel of </w:t>
      </w:r>
      <w:r>
        <w:rPr>
          <w:sz w:val="16"/>
          <w:szCs w:val="16"/>
        </w:rPr>
        <w:t>experts c</w:t>
      </w:r>
      <w:r w:rsidRPr="00DA34AD">
        <w:rPr>
          <w:sz w:val="16"/>
          <w:szCs w:val="16"/>
        </w:rPr>
        <w:t>haired by Dr Michael Vertigan AC to undertake a</w:t>
      </w:r>
      <w:r>
        <w:rPr>
          <w:sz w:val="16"/>
          <w:szCs w:val="16"/>
        </w:rPr>
        <w:t xml:space="preserve">n </w:t>
      </w:r>
      <w:r w:rsidRPr="007F37DB">
        <w:rPr>
          <w:sz w:val="16"/>
          <w:szCs w:val="16"/>
        </w:rPr>
        <w:t xml:space="preserve">Independent Cost-Benefit Analysis </w:t>
      </w:r>
      <w:r>
        <w:rPr>
          <w:sz w:val="16"/>
          <w:szCs w:val="16"/>
        </w:rPr>
        <w:t xml:space="preserve">of the NBN </w:t>
      </w:r>
      <w:r w:rsidRPr="007F37DB">
        <w:rPr>
          <w:sz w:val="16"/>
          <w:szCs w:val="16"/>
        </w:rPr>
        <w:t>and Review of Regulation</w:t>
      </w:r>
      <w:r>
        <w:rPr>
          <w:sz w:val="16"/>
          <w:szCs w:val="16"/>
        </w:rPr>
        <w:t>.  The other panellists were Ms Alison Deans, Professor Henry Ergas, and Mr Tony Shaw PSM</w:t>
      </w:r>
      <w:r w:rsidRPr="00DA34AD">
        <w:rPr>
          <w:sz w:val="16"/>
          <w:szCs w:val="16"/>
        </w:rPr>
        <w:t xml:space="preserve">. </w:t>
      </w:r>
      <w:r>
        <w:rPr>
          <w:sz w:val="16"/>
          <w:szCs w:val="16"/>
        </w:rPr>
        <w:t xml:space="preserve"> The panel’s work resulted in the publication of three volumes: </w:t>
      </w:r>
      <w:r w:rsidRPr="00E76BF4">
        <w:rPr>
          <w:i/>
          <w:sz w:val="16"/>
          <w:szCs w:val="16"/>
        </w:rPr>
        <w:t>Statutory Review under Section 152EOA of the CCA</w:t>
      </w:r>
      <w:r>
        <w:rPr>
          <w:sz w:val="16"/>
          <w:szCs w:val="16"/>
        </w:rPr>
        <w:t xml:space="preserve"> in July 2014, </w:t>
      </w:r>
      <w:r w:rsidRPr="00E76BF4">
        <w:rPr>
          <w:i/>
          <w:sz w:val="16"/>
          <w:szCs w:val="16"/>
        </w:rPr>
        <w:t>NBN Market and Regulatory Report</w:t>
      </w:r>
      <w:r>
        <w:rPr>
          <w:i/>
          <w:sz w:val="16"/>
          <w:szCs w:val="16"/>
        </w:rPr>
        <w:t xml:space="preserve"> </w:t>
      </w:r>
      <w:r w:rsidRPr="00E76BF4">
        <w:rPr>
          <w:sz w:val="16"/>
          <w:szCs w:val="16"/>
        </w:rPr>
        <w:t>in October 2014</w:t>
      </w:r>
      <w:r w:rsidRPr="005D0DFA">
        <w:rPr>
          <w:sz w:val="16"/>
          <w:szCs w:val="16"/>
        </w:rPr>
        <w:t xml:space="preserve"> and</w:t>
      </w:r>
      <w:r>
        <w:rPr>
          <w:sz w:val="16"/>
          <w:szCs w:val="16"/>
        </w:rPr>
        <w:t xml:space="preserve"> </w:t>
      </w:r>
      <w:r w:rsidRPr="00E76BF4">
        <w:rPr>
          <w:i/>
          <w:sz w:val="16"/>
          <w:szCs w:val="16"/>
        </w:rPr>
        <w:t>NBN Cost-Benefit Analysis</w:t>
      </w:r>
      <w:r>
        <w:rPr>
          <w:i/>
          <w:sz w:val="16"/>
          <w:szCs w:val="16"/>
        </w:rPr>
        <w:t xml:space="preserve"> </w:t>
      </w:r>
      <w:r w:rsidRPr="00E76BF4">
        <w:rPr>
          <w:sz w:val="16"/>
          <w:szCs w:val="16"/>
        </w:rPr>
        <w:t>in August 2014</w:t>
      </w:r>
      <w:r w:rsidRPr="005D0DFA">
        <w:rPr>
          <w:sz w:val="16"/>
          <w:szCs w:val="16"/>
        </w:rPr>
        <w:t>.  The</w:t>
      </w:r>
      <w:r w:rsidR="007C0932">
        <w:rPr>
          <w:sz w:val="16"/>
          <w:szCs w:val="16"/>
        </w:rPr>
        <w:t>se volumes</w:t>
      </w:r>
      <w:r>
        <w:rPr>
          <w:sz w:val="16"/>
          <w:szCs w:val="16"/>
        </w:rPr>
        <w:t xml:space="preserve"> are available at:</w:t>
      </w:r>
      <w:r w:rsidRPr="00DA34AD">
        <w:rPr>
          <w:sz w:val="16"/>
          <w:szCs w:val="16"/>
        </w:rPr>
        <w:t xml:space="preserve"> </w:t>
      </w:r>
      <w:hyperlink r:id="rId1" w:history="1">
        <w:r w:rsidRPr="00DA34AD">
          <w:rPr>
            <w:rStyle w:val="Hyperlink"/>
            <w:sz w:val="16"/>
            <w:szCs w:val="16"/>
          </w:rPr>
          <w:t>http://www.communications.gov.au/broadband/national_broadband_network/cost-benefit_analysis_and_review_of_regulation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2F" w:rsidRPr="00AA2566" w:rsidRDefault="00CA552F" w:rsidP="002810BE">
    <w:pPr>
      <w:pStyle w:val="Header"/>
    </w:pPr>
    <w:r>
      <w:rPr>
        <w:noProof/>
        <w:lang w:eastAsia="en-AU"/>
      </w:rPr>
      <w:drawing>
        <wp:anchor distT="0" distB="0" distL="114300" distR="114300" simplePos="0" relativeHeight="251683840" behindDoc="1" locked="0" layoutInCell="1" allowOverlap="1" wp14:anchorId="7A0100BD" wp14:editId="13865C3B">
          <wp:simplePos x="0" y="0"/>
          <wp:positionH relativeFrom="page">
            <wp:posOffset>347345</wp:posOffset>
          </wp:positionH>
          <wp:positionV relativeFrom="page">
            <wp:posOffset>5793</wp:posOffset>
          </wp:positionV>
          <wp:extent cx="7213095" cy="324574"/>
          <wp:effectExtent l="0" t="0" r="635" b="5715"/>
          <wp:wrapNone/>
          <wp:docPr id="3" name="Picture 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rotWithShape="1">
                  <a:blip r:embed="rId1">
                    <a:extLst>
                      <a:ext uri="{28A0092B-C50C-407E-A947-70E740481C1C}">
                        <a14:useLocalDpi xmlns:a14="http://schemas.microsoft.com/office/drawing/2010/main" val="0"/>
                      </a:ext>
                    </a:extLst>
                  </a:blip>
                  <a:srcRect l="5831" t="8119" r="32604" b="39833"/>
                  <a:stretch/>
                </pic:blipFill>
                <pic:spPr bwMode="auto">
                  <a:xfrm>
                    <a:off x="0" y="0"/>
                    <a:ext cx="7213095" cy="32457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Australian Government</w:t>
    </w:r>
    <w:r>
      <w:tab/>
    </w:r>
    <w:r w:rsidRPr="00AA2566">
      <w:tab/>
    </w:r>
    <w:r w:rsidR="00336F93">
      <w:fldChar w:fldCharType="begin"/>
    </w:r>
    <w:r w:rsidR="00336F93">
      <w:instrText xml:space="preserve"> STYLEREF  "Title date"  \* MERGEFORMAT </w:instrText>
    </w:r>
    <w:r w:rsidR="00336F93">
      <w:fldChar w:fldCharType="separate"/>
    </w:r>
    <w:r w:rsidR="00336F93">
      <w:rPr>
        <w:noProof/>
      </w:rPr>
      <w:t>December 2014</w:t>
    </w:r>
    <w:r w:rsidR="00336F93">
      <w:rPr>
        <w:noProof/>
      </w:rPr>
      <w:fldChar w:fldCharType="end"/>
    </w:r>
    <w:r>
      <w:rPr>
        <w:noProof/>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2F" w:rsidRPr="00583203" w:rsidRDefault="00444C91" w:rsidP="00583203">
    <w:pPr>
      <w:pStyle w:val="Header"/>
    </w:pPr>
    <w:r>
      <w:rPr>
        <w:noProof/>
        <w:lang w:eastAsia="en-AU"/>
      </w:rPr>
      <w:drawing>
        <wp:anchor distT="0" distB="0" distL="114300" distR="114300" simplePos="0" relativeHeight="251688960" behindDoc="1" locked="0" layoutInCell="1" allowOverlap="1" wp14:anchorId="6CF3AB43" wp14:editId="5AFE093F">
          <wp:simplePos x="0" y="0"/>
          <wp:positionH relativeFrom="column">
            <wp:posOffset>-914400</wp:posOffset>
          </wp:positionH>
          <wp:positionV relativeFrom="paragraph">
            <wp:posOffset>-323850</wp:posOffset>
          </wp:positionV>
          <wp:extent cx="7558860" cy="9966960"/>
          <wp:effectExtent l="0" t="0" r="1079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A4 Cover template 2.jpg"/>
                  <pic:cNvPicPr/>
                </pic:nvPicPr>
                <pic:blipFill rotWithShape="1">
                  <a:blip r:embed="rId1">
                    <a:extLst>
                      <a:ext uri="{28A0092B-C50C-407E-A947-70E740481C1C}">
                        <a14:useLocalDpi xmlns:a14="http://schemas.microsoft.com/office/drawing/2010/main" val="0"/>
                      </a:ext>
                    </a:extLst>
                  </a:blip>
                  <a:srcRect b="6783"/>
                  <a:stretch/>
                </pic:blipFill>
                <pic:spPr bwMode="auto">
                  <a:xfrm>
                    <a:off x="0" y="0"/>
                    <a:ext cx="7558860" cy="9966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552F">
      <w:rPr>
        <w:noProof/>
        <w:lang w:eastAsia="en-AU"/>
      </w:rPr>
      <w:drawing>
        <wp:anchor distT="0" distB="0" distL="114300" distR="114300" simplePos="0" relativeHeight="251684864" behindDoc="1" locked="0" layoutInCell="1" allowOverlap="1" wp14:anchorId="5EB5A2E8" wp14:editId="79378322">
          <wp:simplePos x="0" y="0"/>
          <wp:positionH relativeFrom="page">
            <wp:posOffset>0</wp:posOffset>
          </wp:positionH>
          <wp:positionV relativeFrom="page">
            <wp:posOffset>0</wp:posOffset>
          </wp:positionV>
          <wp:extent cx="7558860" cy="9864436"/>
          <wp:effectExtent l="0" t="0" r="1079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A4 Cover template.jpg"/>
                  <pic:cNvPicPr/>
                </pic:nvPicPr>
                <pic:blipFill rotWithShape="1">
                  <a:blip r:embed="rId2">
                    <a:extLst>
                      <a:ext uri="{28A0092B-C50C-407E-A947-70E740481C1C}">
                        <a14:useLocalDpi xmlns:a14="http://schemas.microsoft.com/office/drawing/2010/main" val="0"/>
                      </a:ext>
                    </a:extLst>
                  </a:blip>
                  <a:srcRect b="7741"/>
                  <a:stretch/>
                </pic:blipFill>
                <pic:spPr bwMode="auto">
                  <a:xfrm>
                    <a:off x="0" y="0"/>
                    <a:ext cx="7559040" cy="986467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A1" w:rsidRPr="008B41C2" w:rsidRDefault="00CA17A1" w:rsidP="008B41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A1" w:rsidRPr="00AA2566" w:rsidRDefault="00CA17A1" w:rsidP="002810BE">
    <w:pPr>
      <w:pStyle w:val="Header"/>
    </w:pPr>
    <w:r>
      <w:rPr>
        <w:noProof/>
        <w:lang w:eastAsia="en-AU"/>
      </w:rPr>
      <w:drawing>
        <wp:anchor distT="0" distB="0" distL="114300" distR="114300" simplePos="0" relativeHeight="251681792" behindDoc="1" locked="0" layoutInCell="1" allowOverlap="1" wp14:anchorId="47ADDA03" wp14:editId="73918897">
          <wp:simplePos x="0" y="0"/>
          <wp:positionH relativeFrom="margin">
            <wp:align>right</wp:align>
          </wp:positionH>
          <wp:positionV relativeFrom="page">
            <wp:posOffset>9525</wp:posOffset>
          </wp:positionV>
          <wp:extent cx="9258300" cy="324485"/>
          <wp:effectExtent l="0" t="0" r="0" b="0"/>
          <wp:wrapNone/>
          <wp:docPr id="2" name="Picture 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rotWithShape="1">
                  <a:blip r:embed="rId1">
                    <a:extLst>
                      <a:ext uri="{28A0092B-C50C-407E-A947-70E740481C1C}">
                        <a14:useLocalDpi xmlns:a14="http://schemas.microsoft.com/office/drawing/2010/main" val="0"/>
                      </a:ext>
                    </a:extLst>
                  </a:blip>
                  <a:srcRect l="5831" t="8119" r="32604" b="39833"/>
                  <a:stretch/>
                </pic:blipFill>
                <pic:spPr bwMode="auto">
                  <a:xfrm>
                    <a:off x="0" y="0"/>
                    <a:ext cx="9258300" cy="3244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Australian Government</w:t>
    </w:r>
    <w:r>
      <w:tab/>
    </w:r>
    <w:r>
      <w:tab/>
    </w:r>
    <w:r>
      <w:tab/>
    </w:r>
    <w:r>
      <w:tab/>
    </w:r>
    <w:r>
      <w:tab/>
    </w:r>
    <w:r>
      <w:tab/>
    </w:r>
    <w:r w:rsidRPr="00AA2566">
      <w:tab/>
    </w:r>
    <w:fldSimple w:instr=" STYLEREF  &quot;Title date&quot;  \* MERGEFORMAT ">
      <w:r w:rsidR="00336F93">
        <w:rPr>
          <w:noProof/>
        </w:rPr>
        <w:t>December 2014</w:t>
      </w:r>
    </w:fldSimple>
    <w:r>
      <w:rPr>
        <w:noProof/>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7A1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585232D"/>
    <w:multiLevelType w:val="hybridMultilevel"/>
    <w:tmpl w:val="71043568"/>
    <w:lvl w:ilvl="0" w:tplc="8B24810E">
      <w:start w:val="1"/>
      <w:numFmt w:val="lowerLetter"/>
      <w:pStyle w:val="Boxlist-Alpha"/>
      <w:lvlText w:val="%1."/>
      <w:lvlJc w:val="left"/>
      <w:pPr>
        <w:ind w:left="558" w:hanging="360"/>
      </w:pPr>
      <w:rPr>
        <w:rFonts w:hint="default"/>
        <w:b/>
        <w:i w:val="0"/>
        <w:color w:val="00728F"/>
        <w:sz w:val="22"/>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14" w15:restartNumberingAfterBreak="0">
    <w:nsid w:val="275A6BF4"/>
    <w:multiLevelType w:val="multilevel"/>
    <w:tmpl w:val="76121128"/>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3E6606BB"/>
    <w:multiLevelType w:val="multilevel"/>
    <w:tmpl w:val="551EBC20"/>
    <w:lvl w:ilvl="0">
      <w:start w:val="1"/>
      <w:numFmt w:val="decimal"/>
      <w:pStyle w:val="Bodynumbered-Level1"/>
      <w:lvlText w:val="%1."/>
      <w:lvlJc w:val="left"/>
      <w:pPr>
        <w:ind w:left="680" w:hanging="340"/>
      </w:pPr>
      <w:rPr>
        <w:rFonts w:hint="default"/>
        <w:b/>
        <w:bCs/>
        <w:i w:val="0"/>
        <w:iCs w:val="0"/>
        <w:color w:val="0072B9"/>
        <w:sz w:val="22"/>
        <w:szCs w:val="22"/>
      </w:rPr>
    </w:lvl>
    <w:lvl w:ilvl="1">
      <w:start w:val="1"/>
      <w:numFmt w:val="lowerLetter"/>
      <w:pStyle w:val="Bodynumbered-Level2"/>
      <w:lvlText w:val="%2."/>
      <w:lvlJc w:val="left"/>
      <w:pPr>
        <w:ind w:left="1020" w:hanging="340"/>
      </w:pPr>
      <w:rPr>
        <w:rFonts w:hint="default"/>
        <w:b/>
        <w:bCs/>
        <w:i w:val="0"/>
        <w:iCs w:val="0"/>
        <w:color w:val="0072B9"/>
        <w:sz w:val="22"/>
        <w:szCs w:val="22"/>
      </w:rPr>
    </w:lvl>
    <w:lvl w:ilvl="2">
      <w:start w:val="1"/>
      <w:numFmt w:val="lowerRoman"/>
      <w:pStyle w:val="Bodynumbered-Level3"/>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17" w15:restartNumberingAfterBreak="0">
    <w:nsid w:val="4BF77995"/>
    <w:multiLevelType w:val="multilevel"/>
    <w:tmpl w:val="A7C81342"/>
    <w:lvl w:ilvl="0">
      <w:start w:val="1"/>
      <w:numFmt w:val="bullet"/>
      <w:pStyle w:val="Bodybullet-Level1"/>
      <w:lvlText w:val=""/>
      <w:lvlJc w:val="left"/>
      <w:pPr>
        <w:ind w:left="340" w:hanging="340"/>
      </w:pPr>
      <w:rPr>
        <w:rFonts w:ascii="Symbol" w:hAnsi="Symbol" w:hint="default"/>
        <w:color w:val="00728F"/>
        <w:sz w:val="18"/>
      </w:rPr>
    </w:lvl>
    <w:lvl w:ilvl="1">
      <w:start w:val="1"/>
      <w:numFmt w:val="bullet"/>
      <w:pStyle w:val="Bodybullet-Level2"/>
      <w:lvlText w:val="­"/>
      <w:lvlJc w:val="left"/>
      <w:pPr>
        <w:ind w:left="680" w:hanging="340"/>
      </w:pPr>
      <w:rPr>
        <w:rFonts w:ascii="Courier New" w:hAnsi="Courier New" w:hint="default"/>
        <w:color w:val="00728F"/>
        <w:sz w:val="18"/>
      </w:rPr>
    </w:lvl>
    <w:lvl w:ilvl="2">
      <w:start w:val="1"/>
      <w:numFmt w:val="bullet"/>
      <w:pStyle w:val="Bodybullet-Level3"/>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18" w15:restartNumberingAfterBreak="0">
    <w:nsid w:val="4CD01744"/>
    <w:multiLevelType w:val="hybridMultilevel"/>
    <w:tmpl w:val="818433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0BB6767"/>
    <w:multiLevelType w:val="hybridMultilevel"/>
    <w:tmpl w:val="744298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E15E51"/>
    <w:multiLevelType w:val="multilevel"/>
    <w:tmpl w:val="978EC210"/>
    <w:lvl w:ilvl="0">
      <w:start w:val="1"/>
      <w:numFmt w:val="bullet"/>
      <w:pStyle w:val="Tablebullet-Level1"/>
      <w:lvlText w:val=""/>
      <w:lvlJc w:val="left"/>
      <w:pPr>
        <w:ind w:left="340" w:hanging="340"/>
      </w:pPr>
      <w:rPr>
        <w:rFonts w:ascii="Symbol" w:hAnsi="Symbol" w:hint="default"/>
        <w:color w:val="0072B9"/>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1" w15:restartNumberingAfterBreak="0">
    <w:nsid w:val="687A596A"/>
    <w:multiLevelType w:val="hybridMultilevel"/>
    <w:tmpl w:val="8DA2F95A"/>
    <w:lvl w:ilvl="0" w:tplc="CB3C63C2">
      <w:start w:val="1"/>
      <w:numFmt w:val="decimal"/>
      <w:pStyle w:val="Boxlist-Numbered"/>
      <w:lvlText w:val="Question %1."/>
      <w:lvlJc w:val="left"/>
      <w:pPr>
        <w:ind w:left="558" w:hanging="360"/>
      </w:pPr>
      <w:rPr>
        <w:rFonts w:hint="default"/>
        <w:b/>
        <w:i w:val="0"/>
        <w:color w:val="00728F"/>
        <w:sz w:val="20"/>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22" w15:restartNumberingAfterBreak="0">
    <w:nsid w:val="6E1F7CC9"/>
    <w:multiLevelType w:val="hybridMultilevel"/>
    <w:tmpl w:val="1206F69E"/>
    <w:lvl w:ilvl="0" w:tplc="EE109B52">
      <w:start w:val="1"/>
      <w:numFmt w:val="decimal"/>
      <w:pStyle w:val="Tablelist-Numbered"/>
      <w:lvlText w:val="%1."/>
      <w:lvlJc w:val="left"/>
      <w:pPr>
        <w:ind w:left="394" w:hanging="360"/>
      </w:pPr>
      <w:rPr>
        <w:rFonts w:hint="default"/>
        <w:b/>
        <w:i w:val="0"/>
        <w:color w:val="00728F"/>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050778"/>
    <w:multiLevelType w:val="multilevel"/>
    <w:tmpl w:val="DAB27858"/>
    <w:lvl w:ilvl="0">
      <w:start w:val="1"/>
      <w:numFmt w:val="upperLetter"/>
      <w:pStyle w:val="Endmatter-Heading1"/>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9923417"/>
    <w:multiLevelType w:val="hybridMultilevel"/>
    <w:tmpl w:val="21AE5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0"/>
  </w:num>
  <w:num w:numId="13">
    <w:abstractNumId w:val="16"/>
  </w:num>
  <w:num w:numId="14">
    <w:abstractNumId w:val="24"/>
  </w:num>
  <w:num w:numId="15">
    <w:abstractNumId w:val="13"/>
  </w:num>
  <w:num w:numId="16">
    <w:abstractNumId w:val="22"/>
  </w:num>
  <w:num w:numId="17">
    <w:abstractNumId w:val="23"/>
  </w:num>
  <w:num w:numId="18">
    <w:abstractNumId w:val="10"/>
  </w:num>
  <w:num w:numId="19">
    <w:abstractNumId w:val="15"/>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5"/>
  </w:num>
  <w:num w:numId="23">
    <w:abstractNumId w:val="21"/>
    <w:lvlOverride w:ilvl="0">
      <w:startOverride w:val="1"/>
    </w:lvlOverride>
  </w:num>
  <w:num w:numId="24">
    <w:abstractNumId w:val="11"/>
  </w:num>
  <w:num w:numId="25">
    <w:abstractNumId w:val="26"/>
  </w:num>
  <w:num w:numId="26">
    <w:abstractNumId w:val="19"/>
  </w:num>
  <w:num w:numId="27">
    <w:abstractNumId w:val="18"/>
  </w:num>
  <w:num w:numId="28">
    <w:abstractNumId w:val="14"/>
  </w:num>
  <w:num w:numId="29">
    <w:abstractNumId w:val="14"/>
  </w:num>
  <w:num w:numId="30">
    <w:abstractNumId w:val="14"/>
  </w:num>
  <w:num w:numId="31">
    <w:abstractNumId w:val="14"/>
  </w:num>
  <w:num w:numId="32">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lickAndTypeStyle w:val="BodyText"/>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8B"/>
    <w:rsid w:val="0000179F"/>
    <w:rsid w:val="00002089"/>
    <w:rsid w:val="00002AA3"/>
    <w:rsid w:val="00002B0D"/>
    <w:rsid w:val="000047CD"/>
    <w:rsid w:val="00005159"/>
    <w:rsid w:val="000058D3"/>
    <w:rsid w:val="00006E19"/>
    <w:rsid w:val="00006F87"/>
    <w:rsid w:val="0000704D"/>
    <w:rsid w:val="00007B8A"/>
    <w:rsid w:val="000100BE"/>
    <w:rsid w:val="00010C91"/>
    <w:rsid w:val="00010DEE"/>
    <w:rsid w:val="000110DE"/>
    <w:rsid w:val="0001191A"/>
    <w:rsid w:val="00012094"/>
    <w:rsid w:val="00012AE9"/>
    <w:rsid w:val="000131B2"/>
    <w:rsid w:val="00013855"/>
    <w:rsid w:val="000152CC"/>
    <w:rsid w:val="000159C9"/>
    <w:rsid w:val="000164FF"/>
    <w:rsid w:val="00017B31"/>
    <w:rsid w:val="00017E32"/>
    <w:rsid w:val="000223A5"/>
    <w:rsid w:val="00022B50"/>
    <w:rsid w:val="00023528"/>
    <w:rsid w:val="00023A8C"/>
    <w:rsid w:val="00024E7E"/>
    <w:rsid w:val="0002587A"/>
    <w:rsid w:val="00026060"/>
    <w:rsid w:val="0003155B"/>
    <w:rsid w:val="00032710"/>
    <w:rsid w:val="00033C18"/>
    <w:rsid w:val="000360AD"/>
    <w:rsid w:val="00037AD6"/>
    <w:rsid w:val="00037CA9"/>
    <w:rsid w:val="000412CD"/>
    <w:rsid w:val="00041604"/>
    <w:rsid w:val="00042873"/>
    <w:rsid w:val="00043550"/>
    <w:rsid w:val="0004408C"/>
    <w:rsid w:val="0004449A"/>
    <w:rsid w:val="00050750"/>
    <w:rsid w:val="0005092C"/>
    <w:rsid w:val="00050989"/>
    <w:rsid w:val="000521EF"/>
    <w:rsid w:val="00052217"/>
    <w:rsid w:val="00052EC8"/>
    <w:rsid w:val="00053829"/>
    <w:rsid w:val="00055535"/>
    <w:rsid w:val="00056B35"/>
    <w:rsid w:val="00056B4A"/>
    <w:rsid w:val="000603E6"/>
    <w:rsid w:val="00061F8D"/>
    <w:rsid w:val="0006249D"/>
    <w:rsid w:val="00062980"/>
    <w:rsid w:val="00063027"/>
    <w:rsid w:val="000637E2"/>
    <w:rsid w:val="00064CB9"/>
    <w:rsid w:val="00065352"/>
    <w:rsid w:val="0006653C"/>
    <w:rsid w:val="00066BB9"/>
    <w:rsid w:val="00067AD2"/>
    <w:rsid w:val="00067EEA"/>
    <w:rsid w:val="00070D7F"/>
    <w:rsid w:val="000720AB"/>
    <w:rsid w:val="0007225F"/>
    <w:rsid w:val="0007357C"/>
    <w:rsid w:val="00076380"/>
    <w:rsid w:val="00081606"/>
    <w:rsid w:val="00081631"/>
    <w:rsid w:val="000837D7"/>
    <w:rsid w:val="00083BD0"/>
    <w:rsid w:val="0008502C"/>
    <w:rsid w:val="000855F7"/>
    <w:rsid w:val="00086BE9"/>
    <w:rsid w:val="00087E23"/>
    <w:rsid w:val="000905C3"/>
    <w:rsid w:val="0009060A"/>
    <w:rsid w:val="00090EDA"/>
    <w:rsid w:val="00091098"/>
    <w:rsid w:val="00091504"/>
    <w:rsid w:val="00091AB8"/>
    <w:rsid w:val="0009379A"/>
    <w:rsid w:val="000963A9"/>
    <w:rsid w:val="00096718"/>
    <w:rsid w:val="000974FD"/>
    <w:rsid w:val="000A13C3"/>
    <w:rsid w:val="000A2CCA"/>
    <w:rsid w:val="000A2EE5"/>
    <w:rsid w:val="000A3229"/>
    <w:rsid w:val="000A3632"/>
    <w:rsid w:val="000A36C3"/>
    <w:rsid w:val="000A4198"/>
    <w:rsid w:val="000A4478"/>
    <w:rsid w:val="000A545A"/>
    <w:rsid w:val="000B114C"/>
    <w:rsid w:val="000B3A36"/>
    <w:rsid w:val="000B6D53"/>
    <w:rsid w:val="000B758F"/>
    <w:rsid w:val="000C0060"/>
    <w:rsid w:val="000C2441"/>
    <w:rsid w:val="000C26D2"/>
    <w:rsid w:val="000C29F5"/>
    <w:rsid w:val="000C3BB3"/>
    <w:rsid w:val="000C6BE4"/>
    <w:rsid w:val="000C6EA5"/>
    <w:rsid w:val="000D0D3B"/>
    <w:rsid w:val="000D1670"/>
    <w:rsid w:val="000D17E3"/>
    <w:rsid w:val="000D1844"/>
    <w:rsid w:val="000D18DD"/>
    <w:rsid w:val="000D1A93"/>
    <w:rsid w:val="000D3102"/>
    <w:rsid w:val="000D4C2E"/>
    <w:rsid w:val="000D5E3B"/>
    <w:rsid w:val="000E01C6"/>
    <w:rsid w:val="000E03CD"/>
    <w:rsid w:val="000E0961"/>
    <w:rsid w:val="000E2323"/>
    <w:rsid w:val="000E30FC"/>
    <w:rsid w:val="000E33DB"/>
    <w:rsid w:val="000E4A7A"/>
    <w:rsid w:val="000E739C"/>
    <w:rsid w:val="000E7483"/>
    <w:rsid w:val="000E74C3"/>
    <w:rsid w:val="000F0A6C"/>
    <w:rsid w:val="000F1795"/>
    <w:rsid w:val="000F2204"/>
    <w:rsid w:val="000F257B"/>
    <w:rsid w:val="000F2E50"/>
    <w:rsid w:val="000F31C5"/>
    <w:rsid w:val="000F429A"/>
    <w:rsid w:val="000F43F5"/>
    <w:rsid w:val="000F6A07"/>
    <w:rsid w:val="00100A92"/>
    <w:rsid w:val="00102808"/>
    <w:rsid w:val="0010379E"/>
    <w:rsid w:val="001059EB"/>
    <w:rsid w:val="00107198"/>
    <w:rsid w:val="001103DB"/>
    <w:rsid w:val="00110510"/>
    <w:rsid w:val="0011167D"/>
    <w:rsid w:val="00113957"/>
    <w:rsid w:val="00114A38"/>
    <w:rsid w:val="00115188"/>
    <w:rsid w:val="00116AA0"/>
    <w:rsid w:val="00116F10"/>
    <w:rsid w:val="00116FF7"/>
    <w:rsid w:val="0011700E"/>
    <w:rsid w:val="00122D70"/>
    <w:rsid w:val="001240ED"/>
    <w:rsid w:val="00125A47"/>
    <w:rsid w:val="001274F6"/>
    <w:rsid w:val="001310B2"/>
    <w:rsid w:val="001313C5"/>
    <w:rsid w:val="00131519"/>
    <w:rsid w:val="001326A9"/>
    <w:rsid w:val="00133178"/>
    <w:rsid w:val="00133D14"/>
    <w:rsid w:val="00134513"/>
    <w:rsid w:val="001348CD"/>
    <w:rsid w:val="00134A17"/>
    <w:rsid w:val="00135456"/>
    <w:rsid w:val="00136C8B"/>
    <w:rsid w:val="001373C7"/>
    <w:rsid w:val="001379ED"/>
    <w:rsid w:val="00137ADC"/>
    <w:rsid w:val="001406B6"/>
    <w:rsid w:val="0014096D"/>
    <w:rsid w:val="00141833"/>
    <w:rsid w:val="0014194F"/>
    <w:rsid w:val="001435DB"/>
    <w:rsid w:val="00143825"/>
    <w:rsid w:val="00143C9B"/>
    <w:rsid w:val="001441A7"/>
    <w:rsid w:val="00144809"/>
    <w:rsid w:val="00144838"/>
    <w:rsid w:val="00144DED"/>
    <w:rsid w:val="00145933"/>
    <w:rsid w:val="001471F5"/>
    <w:rsid w:val="00147E77"/>
    <w:rsid w:val="0015033C"/>
    <w:rsid w:val="001517A4"/>
    <w:rsid w:val="00152846"/>
    <w:rsid w:val="001571EB"/>
    <w:rsid w:val="00161D9F"/>
    <w:rsid w:val="00162282"/>
    <w:rsid w:val="00162724"/>
    <w:rsid w:val="001648DF"/>
    <w:rsid w:val="00165B80"/>
    <w:rsid w:val="001660A0"/>
    <w:rsid w:val="0016624A"/>
    <w:rsid w:val="00171110"/>
    <w:rsid w:val="00172565"/>
    <w:rsid w:val="001733DE"/>
    <w:rsid w:val="0017517F"/>
    <w:rsid w:val="00175547"/>
    <w:rsid w:val="00175B5B"/>
    <w:rsid w:val="00175E61"/>
    <w:rsid w:val="00176A74"/>
    <w:rsid w:val="00177050"/>
    <w:rsid w:val="00180CE3"/>
    <w:rsid w:val="00181709"/>
    <w:rsid w:val="00183651"/>
    <w:rsid w:val="00185B74"/>
    <w:rsid w:val="00185BF3"/>
    <w:rsid w:val="001869BE"/>
    <w:rsid w:val="00192FC3"/>
    <w:rsid w:val="00195094"/>
    <w:rsid w:val="00196328"/>
    <w:rsid w:val="001968BF"/>
    <w:rsid w:val="001A357E"/>
    <w:rsid w:val="001A3739"/>
    <w:rsid w:val="001A5CDF"/>
    <w:rsid w:val="001A608F"/>
    <w:rsid w:val="001A6095"/>
    <w:rsid w:val="001A6448"/>
    <w:rsid w:val="001A694A"/>
    <w:rsid w:val="001A7825"/>
    <w:rsid w:val="001B0C5C"/>
    <w:rsid w:val="001B12BE"/>
    <w:rsid w:val="001B3A4C"/>
    <w:rsid w:val="001B6911"/>
    <w:rsid w:val="001B71B1"/>
    <w:rsid w:val="001B7A28"/>
    <w:rsid w:val="001B7EEF"/>
    <w:rsid w:val="001C0620"/>
    <w:rsid w:val="001C08E2"/>
    <w:rsid w:val="001C3AF3"/>
    <w:rsid w:val="001C3FA9"/>
    <w:rsid w:val="001C5E81"/>
    <w:rsid w:val="001C5FDD"/>
    <w:rsid w:val="001C7AF7"/>
    <w:rsid w:val="001C7F0B"/>
    <w:rsid w:val="001D0602"/>
    <w:rsid w:val="001D0D2F"/>
    <w:rsid w:val="001D28B0"/>
    <w:rsid w:val="001D2D07"/>
    <w:rsid w:val="001D3C04"/>
    <w:rsid w:val="001D6C77"/>
    <w:rsid w:val="001D7096"/>
    <w:rsid w:val="001D7353"/>
    <w:rsid w:val="001D7699"/>
    <w:rsid w:val="001E0315"/>
    <w:rsid w:val="001E1570"/>
    <w:rsid w:val="001E2E05"/>
    <w:rsid w:val="001E4A27"/>
    <w:rsid w:val="001E5630"/>
    <w:rsid w:val="001E5833"/>
    <w:rsid w:val="001E703B"/>
    <w:rsid w:val="001F0A77"/>
    <w:rsid w:val="001F2653"/>
    <w:rsid w:val="001F4346"/>
    <w:rsid w:val="001F54BE"/>
    <w:rsid w:val="001F5A2C"/>
    <w:rsid w:val="002000AB"/>
    <w:rsid w:val="002014E7"/>
    <w:rsid w:val="002026CC"/>
    <w:rsid w:val="002029A5"/>
    <w:rsid w:val="002031BD"/>
    <w:rsid w:val="00203412"/>
    <w:rsid w:val="002038E3"/>
    <w:rsid w:val="00203D85"/>
    <w:rsid w:val="002051EC"/>
    <w:rsid w:val="00206373"/>
    <w:rsid w:val="0020753B"/>
    <w:rsid w:val="002109F3"/>
    <w:rsid w:val="0021168B"/>
    <w:rsid w:val="00211B11"/>
    <w:rsid w:val="00212C8F"/>
    <w:rsid w:val="00212D28"/>
    <w:rsid w:val="002131DB"/>
    <w:rsid w:val="002137D0"/>
    <w:rsid w:val="002140A8"/>
    <w:rsid w:val="00215247"/>
    <w:rsid w:val="0021574F"/>
    <w:rsid w:val="00215DB3"/>
    <w:rsid w:val="00217134"/>
    <w:rsid w:val="002212B4"/>
    <w:rsid w:val="00221456"/>
    <w:rsid w:val="002220D5"/>
    <w:rsid w:val="002227FA"/>
    <w:rsid w:val="00224EA3"/>
    <w:rsid w:val="0022510C"/>
    <w:rsid w:val="00227647"/>
    <w:rsid w:val="00230003"/>
    <w:rsid w:val="002300C6"/>
    <w:rsid w:val="00230177"/>
    <w:rsid w:val="002304DE"/>
    <w:rsid w:val="00230F08"/>
    <w:rsid w:val="002324C0"/>
    <w:rsid w:val="0023275B"/>
    <w:rsid w:val="00232931"/>
    <w:rsid w:val="00233A44"/>
    <w:rsid w:val="00233F72"/>
    <w:rsid w:val="002358E1"/>
    <w:rsid w:val="00235BBB"/>
    <w:rsid w:val="00235F66"/>
    <w:rsid w:val="00236409"/>
    <w:rsid w:val="0024133E"/>
    <w:rsid w:val="002424AB"/>
    <w:rsid w:val="002434E8"/>
    <w:rsid w:val="002440EF"/>
    <w:rsid w:val="00244B19"/>
    <w:rsid w:val="002500C8"/>
    <w:rsid w:val="00251D8A"/>
    <w:rsid w:val="00253D9C"/>
    <w:rsid w:val="002542CE"/>
    <w:rsid w:val="0025457D"/>
    <w:rsid w:val="002547E2"/>
    <w:rsid w:val="002555CB"/>
    <w:rsid w:val="00256297"/>
    <w:rsid w:val="0025632B"/>
    <w:rsid w:val="00256E94"/>
    <w:rsid w:val="00257840"/>
    <w:rsid w:val="00261078"/>
    <w:rsid w:val="002703B5"/>
    <w:rsid w:val="002711E3"/>
    <w:rsid w:val="002714B8"/>
    <w:rsid w:val="00271B2E"/>
    <w:rsid w:val="00272918"/>
    <w:rsid w:val="00273A97"/>
    <w:rsid w:val="00273ABA"/>
    <w:rsid w:val="002740DD"/>
    <w:rsid w:val="002752C7"/>
    <w:rsid w:val="00275331"/>
    <w:rsid w:val="002760DC"/>
    <w:rsid w:val="0027624B"/>
    <w:rsid w:val="002766AA"/>
    <w:rsid w:val="00280911"/>
    <w:rsid w:val="002810BE"/>
    <w:rsid w:val="00281192"/>
    <w:rsid w:val="00282BBA"/>
    <w:rsid w:val="00283FBD"/>
    <w:rsid w:val="0028442C"/>
    <w:rsid w:val="00284B24"/>
    <w:rsid w:val="00285022"/>
    <w:rsid w:val="0028527D"/>
    <w:rsid w:val="00286D3D"/>
    <w:rsid w:val="00287514"/>
    <w:rsid w:val="00287A6D"/>
    <w:rsid w:val="00290D1D"/>
    <w:rsid w:val="00290D6A"/>
    <w:rsid w:val="0029112D"/>
    <w:rsid w:val="0029123C"/>
    <w:rsid w:val="00291E45"/>
    <w:rsid w:val="00292145"/>
    <w:rsid w:val="00294230"/>
    <w:rsid w:val="00297EC1"/>
    <w:rsid w:val="002A1EDF"/>
    <w:rsid w:val="002A36F8"/>
    <w:rsid w:val="002A4425"/>
    <w:rsid w:val="002A49B4"/>
    <w:rsid w:val="002A52B3"/>
    <w:rsid w:val="002A69C4"/>
    <w:rsid w:val="002A6FA7"/>
    <w:rsid w:val="002A7854"/>
    <w:rsid w:val="002A7D93"/>
    <w:rsid w:val="002B02B0"/>
    <w:rsid w:val="002B0E7C"/>
    <w:rsid w:val="002B1297"/>
    <w:rsid w:val="002B1D37"/>
    <w:rsid w:val="002B2622"/>
    <w:rsid w:val="002B2E0E"/>
    <w:rsid w:val="002B3724"/>
    <w:rsid w:val="002B3949"/>
    <w:rsid w:val="002B50F0"/>
    <w:rsid w:val="002B59B1"/>
    <w:rsid w:val="002B654A"/>
    <w:rsid w:val="002B7DDF"/>
    <w:rsid w:val="002C0114"/>
    <w:rsid w:val="002C12C7"/>
    <w:rsid w:val="002C171C"/>
    <w:rsid w:val="002C1CCD"/>
    <w:rsid w:val="002C246F"/>
    <w:rsid w:val="002C40E3"/>
    <w:rsid w:val="002C42F7"/>
    <w:rsid w:val="002C4DEC"/>
    <w:rsid w:val="002C6011"/>
    <w:rsid w:val="002C65F8"/>
    <w:rsid w:val="002C72F2"/>
    <w:rsid w:val="002D1E08"/>
    <w:rsid w:val="002D2D0B"/>
    <w:rsid w:val="002D3172"/>
    <w:rsid w:val="002D348C"/>
    <w:rsid w:val="002D4786"/>
    <w:rsid w:val="002D4ED5"/>
    <w:rsid w:val="002D6113"/>
    <w:rsid w:val="002D7AD5"/>
    <w:rsid w:val="002E04F2"/>
    <w:rsid w:val="002E088C"/>
    <w:rsid w:val="002E0E62"/>
    <w:rsid w:val="002E14F8"/>
    <w:rsid w:val="002E187E"/>
    <w:rsid w:val="002E2136"/>
    <w:rsid w:val="002E259C"/>
    <w:rsid w:val="002E2AD1"/>
    <w:rsid w:val="002E3121"/>
    <w:rsid w:val="002E3839"/>
    <w:rsid w:val="002E3D09"/>
    <w:rsid w:val="002E4953"/>
    <w:rsid w:val="002E57C3"/>
    <w:rsid w:val="002E624D"/>
    <w:rsid w:val="002E66D9"/>
    <w:rsid w:val="002E6728"/>
    <w:rsid w:val="002E7C4C"/>
    <w:rsid w:val="002F2809"/>
    <w:rsid w:val="002F30D1"/>
    <w:rsid w:val="002F38B4"/>
    <w:rsid w:val="002F3D38"/>
    <w:rsid w:val="002F659A"/>
    <w:rsid w:val="002F730A"/>
    <w:rsid w:val="00301762"/>
    <w:rsid w:val="00301BA1"/>
    <w:rsid w:val="00302513"/>
    <w:rsid w:val="0030267C"/>
    <w:rsid w:val="003030C8"/>
    <w:rsid w:val="00303F9F"/>
    <w:rsid w:val="00305583"/>
    <w:rsid w:val="00305E9C"/>
    <w:rsid w:val="003077B3"/>
    <w:rsid w:val="003078B6"/>
    <w:rsid w:val="00311A3E"/>
    <w:rsid w:val="00312E25"/>
    <w:rsid w:val="003140DD"/>
    <w:rsid w:val="00314397"/>
    <w:rsid w:val="00315083"/>
    <w:rsid w:val="003150A7"/>
    <w:rsid w:val="00315A71"/>
    <w:rsid w:val="00316793"/>
    <w:rsid w:val="00316DF7"/>
    <w:rsid w:val="003179E4"/>
    <w:rsid w:val="00321FF4"/>
    <w:rsid w:val="003221D3"/>
    <w:rsid w:val="00323603"/>
    <w:rsid w:val="00324FC0"/>
    <w:rsid w:val="00326AF6"/>
    <w:rsid w:val="00331A2D"/>
    <w:rsid w:val="003328DC"/>
    <w:rsid w:val="00333235"/>
    <w:rsid w:val="0033352B"/>
    <w:rsid w:val="00334DCD"/>
    <w:rsid w:val="00336F93"/>
    <w:rsid w:val="00337937"/>
    <w:rsid w:val="003412AE"/>
    <w:rsid w:val="003415DB"/>
    <w:rsid w:val="00341856"/>
    <w:rsid w:val="003429E8"/>
    <w:rsid w:val="00342E05"/>
    <w:rsid w:val="00344579"/>
    <w:rsid w:val="00347F53"/>
    <w:rsid w:val="00350106"/>
    <w:rsid w:val="003501C3"/>
    <w:rsid w:val="00350F8A"/>
    <w:rsid w:val="00351922"/>
    <w:rsid w:val="00352C74"/>
    <w:rsid w:val="00353294"/>
    <w:rsid w:val="00354545"/>
    <w:rsid w:val="00355167"/>
    <w:rsid w:val="00355DBD"/>
    <w:rsid w:val="00355E1A"/>
    <w:rsid w:val="00356C39"/>
    <w:rsid w:val="003576AB"/>
    <w:rsid w:val="003600D8"/>
    <w:rsid w:val="00360600"/>
    <w:rsid w:val="00361DEB"/>
    <w:rsid w:val="0036256D"/>
    <w:rsid w:val="00365577"/>
    <w:rsid w:val="00365856"/>
    <w:rsid w:val="00365D23"/>
    <w:rsid w:val="0036795A"/>
    <w:rsid w:val="00371118"/>
    <w:rsid w:val="0037122D"/>
    <w:rsid w:val="00371507"/>
    <w:rsid w:val="003719C6"/>
    <w:rsid w:val="0037206C"/>
    <w:rsid w:val="003729BB"/>
    <w:rsid w:val="003732D6"/>
    <w:rsid w:val="00373A80"/>
    <w:rsid w:val="00374865"/>
    <w:rsid w:val="0037493F"/>
    <w:rsid w:val="00374BEE"/>
    <w:rsid w:val="003754DA"/>
    <w:rsid w:val="00375904"/>
    <w:rsid w:val="00382CF3"/>
    <w:rsid w:val="003836B2"/>
    <w:rsid w:val="00383FE5"/>
    <w:rsid w:val="00384030"/>
    <w:rsid w:val="003854EB"/>
    <w:rsid w:val="0038703C"/>
    <w:rsid w:val="0039172C"/>
    <w:rsid w:val="00395256"/>
    <w:rsid w:val="003965E6"/>
    <w:rsid w:val="00396851"/>
    <w:rsid w:val="00396C13"/>
    <w:rsid w:val="00396C9C"/>
    <w:rsid w:val="003A030B"/>
    <w:rsid w:val="003A147A"/>
    <w:rsid w:val="003A2480"/>
    <w:rsid w:val="003A2847"/>
    <w:rsid w:val="003A460E"/>
    <w:rsid w:val="003A5812"/>
    <w:rsid w:val="003A6C68"/>
    <w:rsid w:val="003A73F2"/>
    <w:rsid w:val="003B07CC"/>
    <w:rsid w:val="003B09B4"/>
    <w:rsid w:val="003B47A8"/>
    <w:rsid w:val="003B6B72"/>
    <w:rsid w:val="003B709A"/>
    <w:rsid w:val="003B7AF5"/>
    <w:rsid w:val="003B7D1C"/>
    <w:rsid w:val="003C1CEC"/>
    <w:rsid w:val="003C1F63"/>
    <w:rsid w:val="003C2CCD"/>
    <w:rsid w:val="003C2EDC"/>
    <w:rsid w:val="003C3B40"/>
    <w:rsid w:val="003C4572"/>
    <w:rsid w:val="003C59D2"/>
    <w:rsid w:val="003C6FB6"/>
    <w:rsid w:val="003C77BB"/>
    <w:rsid w:val="003D07F8"/>
    <w:rsid w:val="003D16EE"/>
    <w:rsid w:val="003D1FD8"/>
    <w:rsid w:val="003D3350"/>
    <w:rsid w:val="003D37ED"/>
    <w:rsid w:val="003D3E0C"/>
    <w:rsid w:val="003D5C20"/>
    <w:rsid w:val="003D7130"/>
    <w:rsid w:val="003D73A0"/>
    <w:rsid w:val="003D7469"/>
    <w:rsid w:val="003E147D"/>
    <w:rsid w:val="003E2075"/>
    <w:rsid w:val="003E7204"/>
    <w:rsid w:val="003F008F"/>
    <w:rsid w:val="003F0B60"/>
    <w:rsid w:val="003F23EC"/>
    <w:rsid w:val="003F5F39"/>
    <w:rsid w:val="003F7019"/>
    <w:rsid w:val="003F7A06"/>
    <w:rsid w:val="004011CF"/>
    <w:rsid w:val="0040182E"/>
    <w:rsid w:val="004023FF"/>
    <w:rsid w:val="0040407A"/>
    <w:rsid w:val="00404250"/>
    <w:rsid w:val="004047C7"/>
    <w:rsid w:val="00404CC5"/>
    <w:rsid w:val="00406B55"/>
    <w:rsid w:val="004115C4"/>
    <w:rsid w:val="004132D9"/>
    <w:rsid w:val="004144FC"/>
    <w:rsid w:val="004158C0"/>
    <w:rsid w:val="00416259"/>
    <w:rsid w:val="00416890"/>
    <w:rsid w:val="00416983"/>
    <w:rsid w:val="00420201"/>
    <w:rsid w:val="00420512"/>
    <w:rsid w:val="00420A68"/>
    <w:rsid w:val="00420CF9"/>
    <w:rsid w:val="00420E17"/>
    <w:rsid w:val="0042318F"/>
    <w:rsid w:val="004233EF"/>
    <w:rsid w:val="00425D66"/>
    <w:rsid w:val="004265F1"/>
    <w:rsid w:val="00427C25"/>
    <w:rsid w:val="004330E1"/>
    <w:rsid w:val="0043357A"/>
    <w:rsid w:val="0043428A"/>
    <w:rsid w:val="004346AB"/>
    <w:rsid w:val="00436978"/>
    <w:rsid w:val="00442674"/>
    <w:rsid w:val="004430E0"/>
    <w:rsid w:val="00444C91"/>
    <w:rsid w:val="00445E68"/>
    <w:rsid w:val="00446217"/>
    <w:rsid w:val="00450A62"/>
    <w:rsid w:val="00451A16"/>
    <w:rsid w:val="004530F3"/>
    <w:rsid w:val="00454F49"/>
    <w:rsid w:val="00456454"/>
    <w:rsid w:val="00457679"/>
    <w:rsid w:val="00460C68"/>
    <w:rsid w:val="00460CCC"/>
    <w:rsid w:val="00460CF0"/>
    <w:rsid w:val="0046172F"/>
    <w:rsid w:val="00461DEF"/>
    <w:rsid w:val="00462967"/>
    <w:rsid w:val="004630A5"/>
    <w:rsid w:val="00463403"/>
    <w:rsid w:val="0046384E"/>
    <w:rsid w:val="00463E24"/>
    <w:rsid w:val="00465197"/>
    <w:rsid w:val="0046573E"/>
    <w:rsid w:val="004668E5"/>
    <w:rsid w:val="00470BEF"/>
    <w:rsid w:val="00473033"/>
    <w:rsid w:val="00474C80"/>
    <w:rsid w:val="00474CFF"/>
    <w:rsid w:val="00475283"/>
    <w:rsid w:val="004752FD"/>
    <w:rsid w:val="004755A0"/>
    <w:rsid w:val="0047586F"/>
    <w:rsid w:val="00475B5A"/>
    <w:rsid w:val="00480FFE"/>
    <w:rsid w:val="00481CA5"/>
    <w:rsid w:val="0048336F"/>
    <w:rsid w:val="00483640"/>
    <w:rsid w:val="00485D2F"/>
    <w:rsid w:val="00487B3C"/>
    <w:rsid w:val="00490073"/>
    <w:rsid w:val="004902C0"/>
    <w:rsid w:val="00490D83"/>
    <w:rsid w:val="004916C9"/>
    <w:rsid w:val="00491E4D"/>
    <w:rsid w:val="00494196"/>
    <w:rsid w:val="00494C33"/>
    <w:rsid w:val="00494C6A"/>
    <w:rsid w:val="00495556"/>
    <w:rsid w:val="00495850"/>
    <w:rsid w:val="00496CC6"/>
    <w:rsid w:val="00497190"/>
    <w:rsid w:val="004A0E30"/>
    <w:rsid w:val="004A12CB"/>
    <w:rsid w:val="004A2A58"/>
    <w:rsid w:val="004A2B0F"/>
    <w:rsid w:val="004A60DE"/>
    <w:rsid w:val="004A6B4F"/>
    <w:rsid w:val="004A7B90"/>
    <w:rsid w:val="004A7DC6"/>
    <w:rsid w:val="004B082C"/>
    <w:rsid w:val="004B123F"/>
    <w:rsid w:val="004B15EB"/>
    <w:rsid w:val="004B3462"/>
    <w:rsid w:val="004B38F4"/>
    <w:rsid w:val="004B47F1"/>
    <w:rsid w:val="004B5B79"/>
    <w:rsid w:val="004B6004"/>
    <w:rsid w:val="004C1B25"/>
    <w:rsid w:val="004C42E0"/>
    <w:rsid w:val="004C5758"/>
    <w:rsid w:val="004C5E66"/>
    <w:rsid w:val="004C5F74"/>
    <w:rsid w:val="004C6FCE"/>
    <w:rsid w:val="004C7F98"/>
    <w:rsid w:val="004D0723"/>
    <w:rsid w:val="004D09FD"/>
    <w:rsid w:val="004D0C52"/>
    <w:rsid w:val="004D140F"/>
    <w:rsid w:val="004D1B22"/>
    <w:rsid w:val="004D1FBC"/>
    <w:rsid w:val="004D2FF8"/>
    <w:rsid w:val="004D410D"/>
    <w:rsid w:val="004D4F3B"/>
    <w:rsid w:val="004D68BA"/>
    <w:rsid w:val="004D7040"/>
    <w:rsid w:val="004E1F67"/>
    <w:rsid w:val="004E20C8"/>
    <w:rsid w:val="004E3D04"/>
    <w:rsid w:val="004E452B"/>
    <w:rsid w:val="004E5017"/>
    <w:rsid w:val="004E5A10"/>
    <w:rsid w:val="004E74AD"/>
    <w:rsid w:val="004F013C"/>
    <w:rsid w:val="004F0874"/>
    <w:rsid w:val="004F144C"/>
    <w:rsid w:val="004F265C"/>
    <w:rsid w:val="004F3115"/>
    <w:rsid w:val="004F4A50"/>
    <w:rsid w:val="004F56AE"/>
    <w:rsid w:val="004F57C5"/>
    <w:rsid w:val="004F61E6"/>
    <w:rsid w:val="004F73BF"/>
    <w:rsid w:val="004F7EFB"/>
    <w:rsid w:val="0050081C"/>
    <w:rsid w:val="0050310A"/>
    <w:rsid w:val="005049FA"/>
    <w:rsid w:val="00504FFB"/>
    <w:rsid w:val="00505054"/>
    <w:rsid w:val="005051EA"/>
    <w:rsid w:val="00506799"/>
    <w:rsid w:val="00506886"/>
    <w:rsid w:val="00506E8B"/>
    <w:rsid w:val="00511985"/>
    <w:rsid w:val="00513EC0"/>
    <w:rsid w:val="00514D03"/>
    <w:rsid w:val="00515C61"/>
    <w:rsid w:val="00515FA1"/>
    <w:rsid w:val="00516109"/>
    <w:rsid w:val="0052165F"/>
    <w:rsid w:val="0052236D"/>
    <w:rsid w:val="00523194"/>
    <w:rsid w:val="00525002"/>
    <w:rsid w:val="005262E9"/>
    <w:rsid w:val="0052764B"/>
    <w:rsid w:val="005276F2"/>
    <w:rsid w:val="0053034A"/>
    <w:rsid w:val="00530F16"/>
    <w:rsid w:val="00531FD0"/>
    <w:rsid w:val="005334C6"/>
    <w:rsid w:val="00533634"/>
    <w:rsid w:val="0053392B"/>
    <w:rsid w:val="00533A33"/>
    <w:rsid w:val="005340CD"/>
    <w:rsid w:val="005357E0"/>
    <w:rsid w:val="0053678D"/>
    <w:rsid w:val="00536851"/>
    <w:rsid w:val="00536B27"/>
    <w:rsid w:val="00536CD6"/>
    <w:rsid w:val="00544835"/>
    <w:rsid w:val="00545856"/>
    <w:rsid w:val="00546FEE"/>
    <w:rsid w:val="00547219"/>
    <w:rsid w:val="00547891"/>
    <w:rsid w:val="005514CC"/>
    <w:rsid w:val="005519C8"/>
    <w:rsid w:val="00552075"/>
    <w:rsid w:val="00552865"/>
    <w:rsid w:val="005529F8"/>
    <w:rsid w:val="00552FDF"/>
    <w:rsid w:val="00553111"/>
    <w:rsid w:val="00553430"/>
    <w:rsid w:val="00554D27"/>
    <w:rsid w:val="00555642"/>
    <w:rsid w:val="00555CC5"/>
    <w:rsid w:val="005568E1"/>
    <w:rsid w:val="0055786E"/>
    <w:rsid w:val="00557E28"/>
    <w:rsid w:val="005605CA"/>
    <w:rsid w:val="00561469"/>
    <w:rsid w:val="0056147E"/>
    <w:rsid w:val="0056164F"/>
    <w:rsid w:val="0056234B"/>
    <w:rsid w:val="00562688"/>
    <w:rsid w:val="00565706"/>
    <w:rsid w:val="005657D6"/>
    <w:rsid w:val="005666EC"/>
    <w:rsid w:val="00566BE3"/>
    <w:rsid w:val="005670DA"/>
    <w:rsid w:val="00572734"/>
    <w:rsid w:val="00572F19"/>
    <w:rsid w:val="00573740"/>
    <w:rsid w:val="00573A23"/>
    <w:rsid w:val="00573E44"/>
    <w:rsid w:val="00576421"/>
    <w:rsid w:val="00576784"/>
    <w:rsid w:val="00580B5B"/>
    <w:rsid w:val="00581394"/>
    <w:rsid w:val="00581ED1"/>
    <w:rsid w:val="00582046"/>
    <w:rsid w:val="00583203"/>
    <w:rsid w:val="00583EFE"/>
    <w:rsid w:val="00584E4D"/>
    <w:rsid w:val="00585261"/>
    <w:rsid w:val="0058580F"/>
    <w:rsid w:val="00585983"/>
    <w:rsid w:val="00586A1D"/>
    <w:rsid w:val="00586B8F"/>
    <w:rsid w:val="00587CB3"/>
    <w:rsid w:val="005910BC"/>
    <w:rsid w:val="00592510"/>
    <w:rsid w:val="00592A8C"/>
    <w:rsid w:val="005931D5"/>
    <w:rsid w:val="00593A5A"/>
    <w:rsid w:val="00593D17"/>
    <w:rsid w:val="00593FCB"/>
    <w:rsid w:val="005940E4"/>
    <w:rsid w:val="00595214"/>
    <w:rsid w:val="0059604A"/>
    <w:rsid w:val="005A1504"/>
    <w:rsid w:val="005A1F51"/>
    <w:rsid w:val="005A2111"/>
    <w:rsid w:val="005A2133"/>
    <w:rsid w:val="005A2471"/>
    <w:rsid w:val="005A2FCC"/>
    <w:rsid w:val="005A50CC"/>
    <w:rsid w:val="005A51D1"/>
    <w:rsid w:val="005A5C22"/>
    <w:rsid w:val="005A61C2"/>
    <w:rsid w:val="005A74DD"/>
    <w:rsid w:val="005A7FB1"/>
    <w:rsid w:val="005B0317"/>
    <w:rsid w:val="005B0642"/>
    <w:rsid w:val="005B066E"/>
    <w:rsid w:val="005B0B07"/>
    <w:rsid w:val="005B0D63"/>
    <w:rsid w:val="005B13D8"/>
    <w:rsid w:val="005B1A71"/>
    <w:rsid w:val="005B3C93"/>
    <w:rsid w:val="005B590A"/>
    <w:rsid w:val="005B5AD7"/>
    <w:rsid w:val="005B63A4"/>
    <w:rsid w:val="005C010B"/>
    <w:rsid w:val="005C0AA2"/>
    <w:rsid w:val="005C1353"/>
    <w:rsid w:val="005C15AD"/>
    <w:rsid w:val="005C2DF9"/>
    <w:rsid w:val="005C3B80"/>
    <w:rsid w:val="005C469B"/>
    <w:rsid w:val="005C4C80"/>
    <w:rsid w:val="005C4E76"/>
    <w:rsid w:val="005C521F"/>
    <w:rsid w:val="005C5D6F"/>
    <w:rsid w:val="005C63BC"/>
    <w:rsid w:val="005D0620"/>
    <w:rsid w:val="005D2CEF"/>
    <w:rsid w:val="005D37A4"/>
    <w:rsid w:val="005D3ED8"/>
    <w:rsid w:val="005D458A"/>
    <w:rsid w:val="005D5928"/>
    <w:rsid w:val="005D6905"/>
    <w:rsid w:val="005D78B3"/>
    <w:rsid w:val="005E08D9"/>
    <w:rsid w:val="005E1D3F"/>
    <w:rsid w:val="005E2A2B"/>
    <w:rsid w:val="005E3D36"/>
    <w:rsid w:val="005E3D8B"/>
    <w:rsid w:val="005E46F8"/>
    <w:rsid w:val="005E675E"/>
    <w:rsid w:val="005E7961"/>
    <w:rsid w:val="005F0C9F"/>
    <w:rsid w:val="005F14E2"/>
    <w:rsid w:val="005F2095"/>
    <w:rsid w:val="005F4397"/>
    <w:rsid w:val="005F4814"/>
    <w:rsid w:val="005F4EA9"/>
    <w:rsid w:val="005F5D5F"/>
    <w:rsid w:val="005F5EC5"/>
    <w:rsid w:val="005F6006"/>
    <w:rsid w:val="005F703E"/>
    <w:rsid w:val="005F7142"/>
    <w:rsid w:val="0060009F"/>
    <w:rsid w:val="006000EA"/>
    <w:rsid w:val="00600295"/>
    <w:rsid w:val="00600543"/>
    <w:rsid w:val="0060071D"/>
    <w:rsid w:val="0060094F"/>
    <w:rsid w:val="006031B6"/>
    <w:rsid w:val="0060459D"/>
    <w:rsid w:val="0060536F"/>
    <w:rsid w:val="00606672"/>
    <w:rsid w:val="006075E3"/>
    <w:rsid w:val="00607EAB"/>
    <w:rsid w:val="00610EA1"/>
    <w:rsid w:val="00612BAF"/>
    <w:rsid w:val="006133FB"/>
    <w:rsid w:val="006138EA"/>
    <w:rsid w:val="0061574C"/>
    <w:rsid w:val="006164B2"/>
    <w:rsid w:val="006164F4"/>
    <w:rsid w:val="00617129"/>
    <w:rsid w:val="0061796E"/>
    <w:rsid w:val="006179FC"/>
    <w:rsid w:val="00617F84"/>
    <w:rsid w:val="006208DC"/>
    <w:rsid w:val="00621282"/>
    <w:rsid w:val="006225B5"/>
    <w:rsid w:val="006241BB"/>
    <w:rsid w:val="0062447E"/>
    <w:rsid w:val="00625728"/>
    <w:rsid w:val="00625C5B"/>
    <w:rsid w:val="0062669F"/>
    <w:rsid w:val="00627D35"/>
    <w:rsid w:val="00631047"/>
    <w:rsid w:val="00631D69"/>
    <w:rsid w:val="00632867"/>
    <w:rsid w:val="00632F8D"/>
    <w:rsid w:val="0063701C"/>
    <w:rsid w:val="006370AA"/>
    <w:rsid w:val="00637263"/>
    <w:rsid w:val="006428F3"/>
    <w:rsid w:val="00643C9F"/>
    <w:rsid w:val="006440B6"/>
    <w:rsid w:val="006452D6"/>
    <w:rsid w:val="006455A8"/>
    <w:rsid w:val="00645929"/>
    <w:rsid w:val="0064709C"/>
    <w:rsid w:val="0064787A"/>
    <w:rsid w:val="006516E6"/>
    <w:rsid w:val="006529A5"/>
    <w:rsid w:val="006529BA"/>
    <w:rsid w:val="00652CFE"/>
    <w:rsid w:val="006534BB"/>
    <w:rsid w:val="00654CF1"/>
    <w:rsid w:val="00654FD9"/>
    <w:rsid w:val="006554D5"/>
    <w:rsid w:val="00657CE7"/>
    <w:rsid w:val="00657CF5"/>
    <w:rsid w:val="00660079"/>
    <w:rsid w:val="00660206"/>
    <w:rsid w:val="00660256"/>
    <w:rsid w:val="00660CAE"/>
    <w:rsid w:val="00661402"/>
    <w:rsid w:val="006622AD"/>
    <w:rsid w:val="0066274F"/>
    <w:rsid w:val="00663FC3"/>
    <w:rsid w:val="00663FDE"/>
    <w:rsid w:val="006647B7"/>
    <w:rsid w:val="00664C5D"/>
    <w:rsid w:val="00665016"/>
    <w:rsid w:val="00666562"/>
    <w:rsid w:val="00667070"/>
    <w:rsid w:val="006675E3"/>
    <w:rsid w:val="0066765E"/>
    <w:rsid w:val="00667BCC"/>
    <w:rsid w:val="00670428"/>
    <w:rsid w:val="00670AA8"/>
    <w:rsid w:val="00671869"/>
    <w:rsid w:val="00671B82"/>
    <w:rsid w:val="0067276D"/>
    <w:rsid w:val="00672D96"/>
    <w:rsid w:val="00673ECD"/>
    <w:rsid w:val="00674539"/>
    <w:rsid w:val="006760A8"/>
    <w:rsid w:val="00676B0C"/>
    <w:rsid w:val="00677870"/>
    <w:rsid w:val="0068058D"/>
    <w:rsid w:val="00680980"/>
    <w:rsid w:val="00682EB9"/>
    <w:rsid w:val="0068335F"/>
    <w:rsid w:val="00684306"/>
    <w:rsid w:val="006849EC"/>
    <w:rsid w:val="0068566E"/>
    <w:rsid w:val="006867ED"/>
    <w:rsid w:val="00686D28"/>
    <w:rsid w:val="0068731A"/>
    <w:rsid w:val="006917CB"/>
    <w:rsid w:val="00692A54"/>
    <w:rsid w:val="00694A08"/>
    <w:rsid w:val="006A0A12"/>
    <w:rsid w:val="006A0C6D"/>
    <w:rsid w:val="006A1A29"/>
    <w:rsid w:val="006A239B"/>
    <w:rsid w:val="006A3186"/>
    <w:rsid w:val="006A48BC"/>
    <w:rsid w:val="006A723B"/>
    <w:rsid w:val="006B0B3D"/>
    <w:rsid w:val="006B1919"/>
    <w:rsid w:val="006B262E"/>
    <w:rsid w:val="006B30A7"/>
    <w:rsid w:val="006B4835"/>
    <w:rsid w:val="006B71B1"/>
    <w:rsid w:val="006C0739"/>
    <w:rsid w:val="006C121E"/>
    <w:rsid w:val="006C1E20"/>
    <w:rsid w:val="006C2458"/>
    <w:rsid w:val="006C276D"/>
    <w:rsid w:val="006C3F75"/>
    <w:rsid w:val="006C444C"/>
    <w:rsid w:val="006C4DCC"/>
    <w:rsid w:val="006C4F73"/>
    <w:rsid w:val="006C51A3"/>
    <w:rsid w:val="006C5977"/>
    <w:rsid w:val="006D03DF"/>
    <w:rsid w:val="006D0EE3"/>
    <w:rsid w:val="006D257D"/>
    <w:rsid w:val="006D3754"/>
    <w:rsid w:val="006D3E2B"/>
    <w:rsid w:val="006D4BB8"/>
    <w:rsid w:val="006D538F"/>
    <w:rsid w:val="006D5B66"/>
    <w:rsid w:val="006D63FF"/>
    <w:rsid w:val="006D68D7"/>
    <w:rsid w:val="006E0A37"/>
    <w:rsid w:val="006E0F03"/>
    <w:rsid w:val="006E4438"/>
    <w:rsid w:val="006E4CAF"/>
    <w:rsid w:val="006E675C"/>
    <w:rsid w:val="006F14F5"/>
    <w:rsid w:val="006F1744"/>
    <w:rsid w:val="006F21E8"/>
    <w:rsid w:val="006F27A7"/>
    <w:rsid w:val="006F34AD"/>
    <w:rsid w:val="006F3F9C"/>
    <w:rsid w:val="006F56CF"/>
    <w:rsid w:val="006F5DC4"/>
    <w:rsid w:val="006F609A"/>
    <w:rsid w:val="006F60C4"/>
    <w:rsid w:val="006F6B18"/>
    <w:rsid w:val="006F732F"/>
    <w:rsid w:val="006F75ED"/>
    <w:rsid w:val="006F7EE6"/>
    <w:rsid w:val="00702F4E"/>
    <w:rsid w:val="007032FF"/>
    <w:rsid w:val="00704692"/>
    <w:rsid w:val="00705279"/>
    <w:rsid w:val="00706B31"/>
    <w:rsid w:val="00706E19"/>
    <w:rsid w:val="00711228"/>
    <w:rsid w:val="00711B92"/>
    <w:rsid w:val="00711FBB"/>
    <w:rsid w:val="0071237E"/>
    <w:rsid w:val="0071244A"/>
    <w:rsid w:val="00712494"/>
    <w:rsid w:val="00713058"/>
    <w:rsid w:val="00713069"/>
    <w:rsid w:val="00714467"/>
    <w:rsid w:val="00715CCC"/>
    <w:rsid w:val="0071737A"/>
    <w:rsid w:val="00720996"/>
    <w:rsid w:val="00721523"/>
    <w:rsid w:val="007228E5"/>
    <w:rsid w:val="00722D56"/>
    <w:rsid w:val="00724411"/>
    <w:rsid w:val="00724766"/>
    <w:rsid w:val="007248D0"/>
    <w:rsid w:val="0072514A"/>
    <w:rsid w:val="00727A68"/>
    <w:rsid w:val="007307AE"/>
    <w:rsid w:val="00731BC9"/>
    <w:rsid w:val="007321A6"/>
    <w:rsid w:val="00732349"/>
    <w:rsid w:val="00733B33"/>
    <w:rsid w:val="00734179"/>
    <w:rsid w:val="00735A2E"/>
    <w:rsid w:val="0073618D"/>
    <w:rsid w:val="007375B8"/>
    <w:rsid w:val="00741998"/>
    <w:rsid w:val="0074299B"/>
    <w:rsid w:val="00742AC1"/>
    <w:rsid w:val="007433F5"/>
    <w:rsid w:val="00743406"/>
    <w:rsid w:val="00744554"/>
    <w:rsid w:val="007448AD"/>
    <w:rsid w:val="007453BE"/>
    <w:rsid w:val="00747D41"/>
    <w:rsid w:val="00750C0D"/>
    <w:rsid w:val="00750E87"/>
    <w:rsid w:val="00751D32"/>
    <w:rsid w:val="00751F8D"/>
    <w:rsid w:val="007529AF"/>
    <w:rsid w:val="00753ED8"/>
    <w:rsid w:val="00754116"/>
    <w:rsid w:val="007541B3"/>
    <w:rsid w:val="00754685"/>
    <w:rsid w:val="00754D97"/>
    <w:rsid w:val="00757088"/>
    <w:rsid w:val="00757667"/>
    <w:rsid w:val="00757985"/>
    <w:rsid w:val="00757E19"/>
    <w:rsid w:val="00760546"/>
    <w:rsid w:val="00761490"/>
    <w:rsid w:val="007618B1"/>
    <w:rsid w:val="00761C27"/>
    <w:rsid w:val="007635CF"/>
    <w:rsid w:val="00763CB1"/>
    <w:rsid w:val="00765D4C"/>
    <w:rsid w:val="0076719D"/>
    <w:rsid w:val="0076744B"/>
    <w:rsid w:val="00767BF7"/>
    <w:rsid w:val="00771A66"/>
    <w:rsid w:val="00773EE6"/>
    <w:rsid w:val="00774128"/>
    <w:rsid w:val="007759BA"/>
    <w:rsid w:val="00775AFD"/>
    <w:rsid w:val="007763AF"/>
    <w:rsid w:val="00776D36"/>
    <w:rsid w:val="007776A5"/>
    <w:rsid w:val="0078043C"/>
    <w:rsid w:val="00783B04"/>
    <w:rsid w:val="0078447F"/>
    <w:rsid w:val="00785009"/>
    <w:rsid w:val="00785226"/>
    <w:rsid w:val="0078563F"/>
    <w:rsid w:val="00787CC9"/>
    <w:rsid w:val="00790268"/>
    <w:rsid w:val="007904CB"/>
    <w:rsid w:val="0079152F"/>
    <w:rsid w:val="007925FF"/>
    <w:rsid w:val="00793493"/>
    <w:rsid w:val="00793C6B"/>
    <w:rsid w:val="00793D02"/>
    <w:rsid w:val="00793DC9"/>
    <w:rsid w:val="007945C1"/>
    <w:rsid w:val="00794CC5"/>
    <w:rsid w:val="00795C56"/>
    <w:rsid w:val="00795C66"/>
    <w:rsid w:val="00797523"/>
    <w:rsid w:val="007A43D8"/>
    <w:rsid w:val="007A4990"/>
    <w:rsid w:val="007A5091"/>
    <w:rsid w:val="007A5C0F"/>
    <w:rsid w:val="007A5D7A"/>
    <w:rsid w:val="007A626A"/>
    <w:rsid w:val="007B2BBA"/>
    <w:rsid w:val="007B3232"/>
    <w:rsid w:val="007B36D9"/>
    <w:rsid w:val="007B3C81"/>
    <w:rsid w:val="007B451A"/>
    <w:rsid w:val="007B72F4"/>
    <w:rsid w:val="007B7408"/>
    <w:rsid w:val="007C00A3"/>
    <w:rsid w:val="007C0932"/>
    <w:rsid w:val="007C1013"/>
    <w:rsid w:val="007C1A87"/>
    <w:rsid w:val="007C1C9D"/>
    <w:rsid w:val="007C2953"/>
    <w:rsid w:val="007C3012"/>
    <w:rsid w:val="007C5C5D"/>
    <w:rsid w:val="007C66E2"/>
    <w:rsid w:val="007C7BB2"/>
    <w:rsid w:val="007D0D31"/>
    <w:rsid w:val="007D30AE"/>
    <w:rsid w:val="007D4647"/>
    <w:rsid w:val="007D4898"/>
    <w:rsid w:val="007D4D9F"/>
    <w:rsid w:val="007D4F68"/>
    <w:rsid w:val="007D6751"/>
    <w:rsid w:val="007D6EC3"/>
    <w:rsid w:val="007D7AB4"/>
    <w:rsid w:val="007E01B6"/>
    <w:rsid w:val="007E04AA"/>
    <w:rsid w:val="007E12AF"/>
    <w:rsid w:val="007E1F48"/>
    <w:rsid w:val="007E24E9"/>
    <w:rsid w:val="007E399D"/>
    <w:rsid w:val="007E3BF4"/>
    <w:rsid w:val="007E3F57"/>
    <w:rsid w:val="007E5162"/>
    <w:rsid w:val="007E5270"/>
    <w:rsid w:val="007E559E"/>
    <w:rsid w:val="007E631B"/>
    <w:rsid w:val="007E6F10"/>
    <w:rsid w:val="007E77FD"/>
    <w:rsid w:val="007F1685"/>
    <w:rsid w:val="007F172C"/>
    <w:rsid w:val="007F2842"/>
    <w:rsid w:val="007F2BEF"/>
    <w:rsid w:val="007F3335"/>
    <w:rsid w:val="007F501C"/>
    <w:rsid w:val="007F52B8"/>
    <w:rsid w:val="007F695F"/>
    <w:rsid w:val="007F734C"/>
    <w:rsid w:val="008006A2"/>
    <w:rsid w:val="008009C1"/>
    <w:rsid w:val="00801599"/>
    <w:rsid w:val="00801780"/>
    <w:rsid w:val="00801938"/>
    <w:rsid w:val="00801B9F"/>
    <w:rsid w:val="00801BF4"/>
    <w:rsid w:val="008034E2"/>
    <w:rsid w:val="008042F5"/>
    <w:rsid w:val="0080561B"/>
    <w:rsid w:val="00806A0D"/>
    <w:rsid w:val="00807802"/>
    <w:rsid w:val="00807B07"/>
    <w:rsid w:val="00811D35"/>
    <w:rsid w:val="00811F2B"/>
    <w:rsid w:val="00812379"/>
    <w:rsid w:val="008123BE"/>
    <w:rsid w:val="008207B7"/>
    <w:rsid w:val="00822D48"/>
    <w:rsid w:val="008275F8"/>
    <w:rsid w:val="008277E0"/>
    <w:rsid w:val="008314F3"/>
    <w:rsid w:val="00831DD3"/>
    <w:rsid w:val="00832B32"/>
    <w:rsid w:val="00832E6C"/>
    <w:rsid w:val="00833D13"/>
    <w:rsid w:val="00834673"/>
    <w:rsid w:val="008346A1"/>
    <w:rsid w:val="00834AC7"/>
    <w:rsid w:val="008361FF"/>
    <w:rsid w:val="00836D12"/>
    <w:rsid w:val="00837BDD"/>
    <w:rsid w:val="00840E11"/>
    <w:rsid w:val="008412F4"/>
    <w:rsid w:val="0084209E"/>
    <w:rsid w:val="008426B8"/>
    <w:rsid w:val="00842F47"/>
    <w:rsid w:val="00843B74"/>
    <w:rsid w:val="008444AE"/>
    <w:rsid w:val="00844B44"/>
    <w:rsid w:val="00845806"/>
    <w:rsid w:val="00845FC1"/>
    <w:rsid w:val="00846DDD"/>
    <w:rsid w:val="008477D9"/>
    <w:rsid w:val="00850AE0"/>
    <w:rsid w:val="0085129E"/>
    <w:rsid w:val="00851EF1"/>
    <w:rsid w:val="00854B75"/>
    <w:rsid w:val="00856660"/>
    <w:rsid w:val="00860D5B"/>
    <w:rsid w:val="0086427F"/>
    <w:rsid w:val="00866A71"/>
    <w:rsid w:val="00866C13"/>
    <w:rsid w:val="00873A91"/>
    <w:rsid w:val="008741A3"/>
    <w:rsid w:val="008765C6"/>
    <w:rsid w:val="00876805"/>
    <w:rsid w:val="00877121"/>
    <w:rsid w:val="008771E7"/>
    <w:rsid w:val="0088042C"/>
    <w:rsid w:val="008822B8"/>
    <w:rsid w:val="008825AB"/>
    <w:rsid w:val="008828C2"/>
    <w:rsid w:val="00883CD1"/>
    <w:rsid w:val="0088434E"/>
    <w:rsid w:val="008845F2"/>
    <w:rsid w:val="00884B44"/>
    <w:rsid w:val="008856F3"/>
    <w:rsid w:val="008868DD"/>
    <w:rsid w:val="008906E0"/>
    <w:rsid w:val="00890918"/>
    <w:rsid w:val="00891B01"/>
    <w:rsid w:val="00892230"/>
    <w:rsid w:val="008935CF"/>
    <w:rsid w:val="00894026"/>
    <w:rsid w:val="00894099"/>
    <w:rsid w:val="00894463"/>
    <w:rsid w:val="00894657"/>
    <w:rsid w:val="00894CA6"/>
    <w:rsid w:val="008954CD"/>
    <w:rsid w:val="00895B9B"/>
    <w:rsid w:val="008979D0"/>
    <w:rsid w:val="008A045F"/>
    <w:rsid w:val="008A135A"/>
    <w:rsid w:val="008A1A86"/>
    <w:rsid w:val="008A2C1D"/>
    <w:rsid w:val="008A4299"/>
    <w:rsid w:val="008A4C87"/>
    <w:rsid w:val="008A4CCA"/>
    <w:rsid w:val="008A5663"/>
    <w:rsid w:val="008A5A1F"/>
    <w:rsid w:val="008A5F9E"/>
    <w:rsid w:val="008A6569"/>
    <w:rsid w:val="008A688B"/>
    <w:rsid w:val="008A7886"/>
    <w:rsid w:val="008B0F3B"/>
    <w:rsid w:val="008B41C2"/>
    <w:rsid w:val="008B5061"/>
    <w:rsid w:val="008B5201"/>
    <w:rsid w:val="008B5292"/>
    <w:rsid w:val="008B5AC6"/>
    <w:rsid w:val="008B5AE4"/>
    <w:rsid w:val="008B64C6"/>
    <w:rsid w:val="008B663D"/>
    <w:rsid w:val="008C0EDA"/>
    <w:rsid w:val="008C1E44"/>
    <w:rsid w:val="008C2565"/>
    <w:rsid w:val="008C2FF8"/>
    <w:rsid w:val="008C328F"/>
    <w:rsid w:val="008C4962"/>
    <w:rsid w:val="008C6265"/>
    <w:rsid w:val="008C6446"/>
    <w:rsid w:val="008C71A2"/>
    <w:rsid w:val="008C7365"/>
    <w:rsid w:val="008D04C8"/>
    <w:rsid w:val="008D0A94"/>
    <w:rsid w:val="008D3C32"/>
    <w:rsid w:val="008D5429"/>
    <w:rsid w:val="008D5CD2"/>
    <w:rsid w:val="008D6C13"/>
    <w:rsid w:val="008D734D"/>
    <w:rsid w:val="008E0426"/>
    <w:rsid w:val="008E093E"/>
    <w:rsid w:val="008E3784"/>
    <w:rsid w:val="008E4011"/>
    <w:rsid w:val="008E54A3"/>
    <w:rsid w:val="008E5B3A"/>
    <w:rsid w:val="008E6714"/>
    <w:rsid w:val="008E698A"/>
    <w:rsid w:val="008E7135"/>
    <w:rsid w:val="008F0466"/>
    <w:rsid w:val="008F1751"/>
    <w:rsid w:val="008F202E"/>
    <w:rsid w:val="008F23A9"/>
    <w:rsid w:val="008F2563"/>
    <w:rsid w:val="008F3090"/>
    <w:rsid w:val="008F3116"/>
    <w:rsid w:val="008F3A84"/>
    <w:rsid w:val="008F56C8"/>
    <w:rsid w:val="008F79D5"/>
    <w:rsid w:val="009011CC"/>
    <w:rsid w:val="0090275E"/>
    <w:rsid w:val="009027A7"/>
    <w:rsid w:val="0090298D"/>
    <w:rsid w:val="00903209"/>
    <w:rsid w:val="00903332"/>
    <w:rsid w:val="00903F2C"/>
    <w:rsid w:val="009056F4"/>
    <w:rsid w:val="00905857"/>
    <w:rsid w:val="00905C1A"/>
    <w:rsid w:val="009079E8"/>
    <w:rsid w:val="00907B8F"/>
    <w:rsid w:val="0091032C"/>
    <w:rsid w:val="00910CF3"/>
    <w:rsid w:val="00911334"/>
    <w:rsid w:val="00911D68"/>
    <w:rsid w:val="00912F44"/>
    <w:rsid w:val="00913A28"/>
    <w:rsid w:val="0091401C"/>
    <w:rsid w:val="00914DE7"/>
    <w:rsid w:val="009153B8"/>
    <w:rsid w:val="00915DCA"/>
    <w:rsid w:val="009161F8"/>
    <w:rsid w:val="009166DF"/>
    <w:rsid w:val="009178D5"/>
    <w:rsid w:val="00917F43"/>
    <w:rsid w:val="009213C8"/>
    <w:rsid w:val="00921E6E"/>
    <w:rsid w:val="00921EBF"/>
    <w:rsid w:val="00922601"/>
    <w:rsid w:val="009230B9"/>
    <w:rsid w:val="00923247"/>
    <w:rsid w:val="009241F7"/>
    <w:rsid w:val="00924705"/>
    <w:rsid w:val="009257A9"/>
    <w:rsid w:val="00925898"/>
    <w:rsid w:val="00931636"/>
    <w:rsid w:val="00934E3E"/>
    <w:rsid w:val="00935738"/>
    <w:rsid w:val="009367DA"/>
    <w:rsid w:val="0094033C"/>
    <w:rsid w:val="009405EE"/>
    <w:rsid w:val="009436A5"/>
    <w:rsid w:val="009439F5"/>
    <w:rsid w:val="00943DA1"/>
    <w:rsid w:val="00946AB7"/>
    <w:rsid w:val="00950909"/>
    <w:rsid w:val="00950CF0"/>
    <w:rsid w:val="00950EB2"/>
    <w:rsid w:val="00952DDB"/>
    <w:rsid w:val="00953DF6"/>
    <w:rsid w:val="0095424F"/>
    <w:rsid w:val="009558F5"/>
    <w:rsid w:val="00956926"/>
    <w:rsid w:val="009576F6"/>
    <w:rsid w:val="009613C1"/>
    <w:rsid w:val="00963640"/>
    <w:rsid w:val="00965F4F"/>
    <w:rsid w:val="00966C35"/>
    <w:rsid w:val="00967A10"/>
    <w:rsid w:val="009704C4"/>
    <w:rsid w:val="0097080C"/>
    <w:rsid w:val="00974C74"/>
    <w:rsid w:val="009757C4"/>
    <w:rsid w:val="00975EDB"/>
    <w:rsid w:val="00975F79"/>
    <w:rsid w:val="00975FF9"/>
    <w:rsid w:val="009769CD"/>
    <w:rsid w:val="009770DF"/>
    <w:rsid w:val="00977631"/>
    <w:rsid w:val="00977A1B"/>
    <w:rsid w:val="00977C55"/>
    <w:rsid w:val="00977DD5"/>
    <w:rsid w:val="009807B6"/>
    <w:rsid w:val="00980D67"/>
    <w:rsid w:val="00982AB6"/>
    <w:rsid w:val="00982AFF"/>
    <w:rsid w:val="009860E9"/>
    <w:rsid w:val="00990C67"/>
    <w:rsid w:val="00991019"/>
    <w:rsid w:val="00992BF5"/>
    <w:rsid w:val="00992DD1"/>
    <w:rsid w:val="00993247"/>
    <w:rsid w:val="00994C08"/>
    <w:rsid w:val="00994D92"/>
    <w:rsid w:val="00995309"/>
    <w:rsid w:val="0099539A"/>
    <w:rsid w:val="00995756"/>
    <w:rsid w:val="009957AE"/>
    <w:rsid w:val="00995C8F"/>
    <w:rsid w:val="00997443"/>
    <w:rsid w:val="009A0772"/>
    <w:rsid w:val="009A07A6"/>
    <w:rsid w:val="009A2ADC"/>
    <w:rsid w:val="009A502E"/>
    <w:rsid w:val="009A7EFC"/>
    <w:rsid w:val="009B0C0D"/>
    <w:rsid w:val="009B32C8"/>
    <w:rsid w:val="009B3DEC"/>
    <w:rsid w:val="009B4A31"/>
    <w:rsid w:val="009C00A7"/>
    <w:rsid w:val="009C12BD"/>
    <w:rsid w:val="009C1549"/>
    <w:rsid w:val="009C1F11"/>
    <w:rsid w:val="009C2270"/>
    <w:rsid w:val="009C2553"/>
    <w:rsid w:val="009C327E"/>
    <w:rsid w:val="009C3294"/>
    <w:rsid w:val="009C455B"/>
    <w:rsid w:val="009C48ED"/>
    <w:rsid w:val="009C637F"/>
    <w:rsid w:val="009C63BB"/>
    <w:rsid w:val="009C6C5C"/>
    <w:rsid w:val="009C73A1"/>
    <w:rsid w:val="009C7D05"/>
    <w:rsid w:val="009D1122"/>
    <w:rsid w:val="009D1195"/>
    <w:rsid w:val="009D1CF5"/>
    <w:rsid w:val="009D2B76"/>
    <w:rsid w:val="009D4257"/>
    <w:rsid w:val="009D43D2"/>
    <w:rsid w:val="009D611E"/>
    <w:rsid w:val="009D74F1"/>
    <w:rsid w:val="009D75C7"/>
    <w:rsid w:val="009D7D1B"/>
    <w:rsid w:val="009D7EA8"/>
    <w:rsid w:val="009E262F"/>
    <w:rsid w:val="009E37E6"/>
    <w:rsid w:val="009E4FE6"/>
    <w:rsid w:val="009E62F1"/>
    <w:rsid w:val="009E6F37"/>
    <w:rsid w:val="009E7988"/>
    <w:rsid w:val="009F002D"/>
    <w:rsid w:val="009F0A4E"/>
    <w:rsid w:val="009F1735"/>
    <w:rsid w:val="009F1D8A"/>
    <w:rsid w:val="009F2E6D"/>
    <w:rsid w:val="009F33BC"/>
    <w:rsid w:val="009F37A7"/>
    <w:rsid w:val="009F4E28"/>
    <w:rsid w:val="009F6305"/>
    <w:rsid w:val="00A00909"/>
    <w:rsid w:val="00A0161F"/>
    <w:rsid w:val="00A02144"/>
    <w:rsid w:val="00A0215F"/>
    <w:rsid w:val="00A0420F"/>
    <w:rsid w:val="00A04EC4"/>
    <w:rsid w:val="00A0507C"/>
    <w:rsid w:val="00A052AF"/>
    <w:rsid w:val="00A05B0F"/>
    <w:rsid w:val="00A05B1F"/>
    <w:rsid w:val="00A063E8"/>
    <w:rsid w:val="00A06B99"/>
    <w:rsid w:val="00A070DD"/>
    <w:rsid w:val="00A0772D"/>
    <w:rsid w:val="00A100B3"/>
    <w:rsid w:val="00A11B38"/>
    <w:rsid w:val="00A11CC1"/>
    <w:rsid w:val="00A12BF2"/>
    <w:rsid w:val="00A12DD3"/>
    <w:rsid w:val="00A141AC"/>
    <w:rsid w:val="00A1777E"/>
    <w:rsid w:val="00A20DA2"/>
    <w:rsid w:val="00A21D07"/>
    <w:rsid w:val="00A21F0B"/>
    <w:rsid w:val="00A22CEB"/>
    <w:rsid w:val="00A2383F"/>
    <w:rsid w:val="00A23D00"/>
    <w:rsid w:val="00A243CD"/>
    <w:rsid w:val="00A24DDD"/>
    <w:rsid w:val="00A273E9"/>
    <w:rsid w:val="00A30782"/>
    <w:rsid w:val="00A30B5B"/>
    <w:rsid w:val="00A31136"/>
    <w:rsid w:val="00A311B3"/>
    <w:rsid w:val="00A31BB7"/>
    <w:rsid w:val="00A3268C"/>
    <w:rsid w:val="00A33F09"/>
    <w:rsid w:val="00A34761"/>
    <w:rsid w:val="00A35A67"/>
    <w:rsid w:val="00A36189"/>
    <w:rsid w:val="00A376B6"/>
    <w:rsid w:val="00A37E0D"/>
    <w:rsid w:val="00A37E12"/>
    <w:rsid w:val="00A40D4A"/>
    <w:rsid w:val="00A410AC"/>
    <w:rsid w:val="00A460D9"/>
    <w:rsid w:val="00A46955"/>
    <w:rsid w:val="00A46963"/>
    <w:rsid w:val="00A471F0"/>
    <w:rsid w:val="00A47819"/>
    <w:rsid w:val="00A47F37"/>
    <w:rsid w:val="00A50B23"/>
    <w:rsid w:val="00A50CCA"/>
    <w:rsid w:val="00A513CC"/>
    <w:rsid w:val="00A51CC8"/>
    <w:rsid w:val="00A52637"/>
    <w:rsid w:val="00A537C7"/>
    <w:rsid w:val="00A545AC"/>
    <w:rsid w:val="00A54DFA"/>
    <w:rsid w:val="00A550DE"/>
    <w:rsid w:val="00A55B5F"/>
    <w:rsid w:val="00A55CA8"/>
    <w:rsid w:val="00A57CAB"/>
    <w:rsid w:val="00A57FCF"/>
    <w:rsid w:val="00A57FFE"/>
    <w:rsid w:val="00A600C4"/>
    <w:rsid w:val="00A60119"/>
    <w:rsid w:val="00A61238"/>
    <w:rsid w:val="00A622DC"/>
    <w:rsid w:val="00A6258B"/>
    <w:rsid w:val="00A64A33"/>
    <w:rsid w:val="00A66655"/>
    <w:rsid w:val="00A67FF8"/>
    <w:rsid w:val="00A71364"/>
    <w:rsid w:val="00A74BA2"/>
    <w:rsid w:val="00A75653"/>
    <w:rsid w:val="00A75916"/>
    <w:rsid w:val="00A75925"/>
    <w:rsid w:val="00A76828"/>
    <w:rsid w:val="00A802CF"/>
    <w:rsid w:val="00A80D9B"/>
    <w:rsid w:val="00A810F1"/>
    <w:rsid w:val="00A8293B"/>
    <w:rsid w:val="00A8390F"/>
    <w:rsid w:val="00A840BC"/>
    <w:rsid w:val="00A84525"/>
    <w:rsid w:val="00A84613"/>
    <w:rsid w:val="00A87036"/>
    <w:rsid w:val="00A87186"/>
    <w:rsid w:val="00A900A6"/>
    <w:rsid w:val="00A91E61"/>
    <w:rsid w:val="00A930C3"/>
    <w:rsid w:val="00A97383"/>
    <w:rsid w:val="00A978AB"/>
    <w:rsid w:val="00A97F09"/>
    <w:rsid w:val="00AA2566"/>
    <w:rsid w:val="00AA2E90"/>
    <w:rsid w:val="00AA3702"/>
    <w:rsid w:val="00AA6C11"/>
    <w:rsid w:val="00AA75A5"/>
    <w:rsid w:val="00AB03C0"/>
    <w:rsid w:val="00AB0EF0"/>
    <w:rsid w:val="00AB4359"/>
    <w:rsid w:val="00AC02F9"/>
    <w:rsid w:val="00AC1CBC"/>
    <w:rsid w:val="00AC213E"/>
    <w:rsid w:val="00AC28BA"/>
    <w:rsid w:val="00AC37E5"/>
    <w:rsid w:val="00AC48F0"/>
    <w:rsid w:val="00AC503D"/>
    <w:rsid w:val="00AC5D19"/>
    <w:rsid w:val="00AD1AA8"/>
    <w:rsid w:val="00AD2B55"/>
    <w:rsid w:val="00AD35A1"/>
    <w:rsid w:val="00AD4C2F"/>
    <w:rsid w:val="00AE0BFA"/>
    <w:rsid w:val="00AE0DF6"/>
    <w:rsid w:val="00AE1E6F"/>
    <w:rsid w:val="00AE21C7"/>
    <w:rsid w:val="00AE2262"/>
    <w:rsid w:val="00AE239B"/>
    <w:rsid w:val="00AE55AD"/>
    <w:rsid w:val="00AE7CFE"/>
    <w:rsid w:val="00AF112C"/>
    <w:rsid w:val="00AF23F3"/>
    <w:rsid w:val="00AF298A"/>
    <w:rsid w:val="00AF2A1B"/>
    <w:rsid w:val="00AF3BB6"/>
    <w:rsid w:val="00AF413C"/>
    <w:rsid w:val="00AF4445"/>
    <w:rsid w:val="00AF47A7"/>
    <w:rsid w:val="00AF512C"/>
    <w:rsid w:val="00AF65F4"/>
    <w:rsid w:val="00AF6696"/>
    <w:rsid w:val="00AF7766"/>
    <w:rsid w:val="00AF7917"/>
    <w:rsid w:val="00AF7BA9"/>
    <w:rsid w:val="00B003CB"/>
    <w:rsid w:val="00B014C9"/>
    <w:rsid w:val="00B0183B"/>
    <w:rsid w:val="00B02EE2"/>
    <w:rsid w:val="00B035DE"/>
    <w:rsid w:val="00B0388E"/>
    <w:rsid w:val="00B03C82"/>
    <w:rsid w:val="00B04199"/>
    <w:rsid w:val="00B04CDF"/>
    <w:rsid w:val="00B06A1C"/>
    <w:rsid w:val="00B06C59"/>
    <w:rsid w:val="00B07ED2"/>
    <w:rsid w:val="00B11651"/>
    <w:rsid w:val="00B127A3"/>
    <w:rsid w:val="00B1447A"/>
    <w:rsid w:val="00B14C18"/>
    <w:rsid w:val="00B14E98"/>
    <w:rsid w:val="00B172E1"/>
    <w:rsid w:val="00B17926"/>
    <w:rsid w:val="00B17D5F"/>
    <w:rsid w:val="00B21510"/>
    <w:rsid w:val="00B21B72"/>
    <w:rsid w:val="00B22D51"/>
    <w:rsid w:val="00B22EF6"/>
    <w:rsid w:val="00B233A1"/>
    <w:rsid w:val="00B23E66"/>
    <w:rsid w:val="00B2553E"/>
    <w:rsid w:val="00B26D42"/>
    <w:rsid w:val="00B27A52"/>
    <w:rsid w:val="00B27DAD"/>
    <w:rsid w:val="00B30731"/>
    <w:rsid w:val="00B31BF2"/>
    <w:rsid w:val="00B33002"/>
    <w:rsid w:val="00B346FE"/>
    <w:rsid w:val="00B348DC"/>
    <w:rsid w:val="00B35569"/>
    <w:rsid w:val="00B36E57"/>
    <w:rsid w:val="00B37B25"/>
    <w:rsid w:val="00B41C5B"/>
    <w:rsid w:val="00B4285D"/>
    <w:rsid w:val="00B45650"/>
    <w:rsid w:val="00B46E1B"/>
    <w:rsid w:val="00B47A97"/>
    <w:rsid w:val="00B50A1B"/>
    <w:rsid w:val="00B53749"/>
    <w:rsid w:val="00B54B7A"/>
    <w:rsid w:val="00B56793"/>
    <w:rsid w:val="00B60BBF"/>
    <w:rsid w:val="00B61251"/>
    <w:rsid w:val="00B62525"/>
    <w:rsid w:val="00B63ABF"/>
    <w:rsid w:val="00B63F1B"/>
    <w:rsid w:val="00B642C7"/>
    <w:rsid w:val="00B66C6F"/>
    <w:rsid w:val="00B66D26"/>
    <w:rsid w:val="00B670E7"/>
    <w:rsid w:val="00B67C68"/>
    <w:rsid w:val="00B71052"/>
    <w:rsid w:val="00B733FC"/>
    <w:rsid w:val="00B76001"/>
    <w:rsid w:val="00B7650E"/>
    <w:rsid w:val="00B7679D"/>
    <w:rsid w:val="00B77906"/>
    <w:rsid w:val="00B8027D"/>
    <w:rsid w:val="00B826BA"/>
    <w:rsid w:val="00B8322F"/>
    <w:rsid w:val="00B833C6"/>
    <w:rsid w:val="00B8530F"/>
    <w:rsid w:val="00B8562D"/>
    <w:rsid w:val="00B87772"/>
    <w:rsid w:val="00B87870"/>
    <w:rsid w:val="00B87F77"/>
    <w:rsid w:val="00B87FDD"/>
    <w:rsid w:val="00B91616"/>
    <w:rsid w:val="00B91642"/>
    <w:rsid w:val="00B916AD"/>
    <w:rsid w:val="00B92730"/>
    <w:rsid w:val="00B92EF9"/>
    <w:rsid w:val="00B943F6"/>
    <w:rsid w:val="00B96191"/>
    <w:rsid w:val="00B9699A"/>
    <w:rsid w:val="00B96D9F"/>
    <w:rsid w:val="00B97440"/>
    <w:rsid w:val="00BA02D7"/>
    <w:rsid w:val="00BA04AE"/>
    <w:rsid w:val="00BA1274"/>
    <w:rsid w:val="00BA16FA"/>
    <w:rsid w:val="00BA1ECB"/>
    <w:rsid w:val="00BA3989"/>
    <w:rsid w:val="00BA3D5A"/>
    <w:rsid w:val="00BA5622"/>
    <w:rsid w:val="00BA7E60"/>
    <w:rsid w:val="00BB042C"/>
    <w:rsid w:val="00BB10FC"/>
    <w:rsid w:val="00BB356D"/>
    <w:rsid w:val="00BB4612"/>
    <w:rsid w:val="00BB525C"/>
    <w:rsid w:val="00BB5EA5"/>
    <w:rsid w:val="00BB671B"/>
    <w:rsid w:val="00BC02A7"/>
    <w:rsid w:val="00BC0AB0"/>
    <w:rsid w:val="00BC1100"/>
    <w:rsid w:val="00BC1308"/>
    <w:rsid w:val="00BC1611"/>
    <w:rsid w:val="00BC25BD"/>
    <w:rsid w:val="00BC2E86"/>
    <w:rsid w:val="00BC3B73"/>
    <w:rsid w:val="00BC43CF"/>
    <w:rsid w:val="00BC4A16"/>
    <w:rsid w:val="00BC5C29"/>
    <w:rsid w:val="00BC5CE0"/>
    <w:rsid w:val="00BC723C"/>
    <w:rsid w:val="00BC728F"/>
    <w:rsid w:val="00BC77CA"/>
    <w:rsid w:val="00BD00E9"/>
    <w:rsid w:val="00BD1623"/>
    <w:rsid w:val="00BD39A9"/>
    <w:rsid w:val="00BD6EDC"/>
    <w:rsid w:val="00BD6F0E"/>
    <w:rsid w:val="00BD7755"/>
    <w:rsid w:val="00BE08E5"/>
    <w:rsid w:val="00BE0C1E"/>
    <w:rsid w:val="00BE0E0B"/>
    <w:rsid w:val="00BE2159"/>
    <w:rsid w:val="00BE35BF"/>
    <w:rsid w:val="00BE38D9"/>
    <w:rsid w:val="00BE434E"/>
    <w:rsid w:val="00BE44ED"/>
    <w:rsid w:val="00BE4D43"/>
    <w:rsid w:val="00BE5303"/>
    <w:rsid w:val="00BE6C4C"/>
    <w:rsid w:val="00BE6FBF"/>
    <w:rsid w:val="00BE7041"/>
    <w:rsid w:val="00BE71FF"/>
    <w:rsid w:val="00BE75C7"/>
    <w:rsid w:val="00BE7CDF"/>
    <w:rsid w:val="00BE7F01"/>
    <w:rsid w:val="00BF014B"/>
    <w:rsid w:val="00BF07A6"/>
    <w:rsid w:val="00BF0D1A"/>
    <w:rsid w:val="00BF24C4"/>
    <w:rsid w:val="00BF2879"/>
    <w:rsid w:val="00BF2E25"/>
    <w:rsid w:val="00BF3664"/>
    <w:rsid w:val="00BF457B"/>
    <w:rsid w:val="00BF4689"/>
    <w:rsid w:val="00BF4C59"/>
    <w:rsid w:val="00BF600B"/>
    <w:rsid w:val="00BF6341"/>
    <w:rsid w:val="00C007F3"/>
    <w:rsid w:val="00C00A58"/>
    <w:rsid w:val="00C016CA"/>
    <w:rsid w:val="00C0294E"/>
    <w:rsid w:val="00C04984"/>
    <w:rsid w:val="00C04D9D"/>
    <w:rsid w:val="00C0537D"/>
    <w:rsid w:val="00C06045"/>
    <w:rsid w:val="00C062DA"/>
    <w:rsid w:val="00C06ACC"/>
    <w:rsid w:val="00C06B36"/>
    <w:rsid w:val="00C07132"/>
    <w:rsid w:val="00C1117E"/>
    <w:rsid w:val="00C11853"/>
    <w:rsid w:val="00C11C27"/>
    <w:rsid w:val="00C12350"/>
    <w:rsid w:val="00C12734"/>
    <w:rsid w:val="00C12B41"/>
    <w:rsid w:val="00C1340F"/>
    <w:rsid w:val="00C1511F"/>
    <w:rsid w:val="00C1552A"/>
    <w:rsid w:val="00C17109"/>
    <w:rsid w:val="00C17D55"/>
    <w:rsid w:val="00C20B4C"/>
    <w:rsid w:val="00C20D02"/>
    <w:rsid w:val="00C22718"/>
    <w:rsid w:val="00C236D1"/>
    <w:rsid w:val="00C25571"/>
    <w:rsid w:val="00C25C85"/>
    <w:rsid w:val="00C262EE"/>
    <w:rsid w:val="00C2636A"/>
    <w:rsid w:val="00C265ED"/>
    <w:rsid w:val="00C26C27"/>
    <w:rsid w:val="00C3069B"/>
    <w:rsid w:val="00C307DF"/>
    <w:rsid w:val="00C3116F"/>
    <w:rsid w:val="00C31A60"/>
    <w:rsid w:val="00C31D00"/>
    <w:rsid w:val="00C32C27"/>
    <w:rsid w:val="00C357DC"/>
    <w:rsid w:val="00C36DEC"/>
    <w:rsid w:val="00C37065"/>
    <w:rsid w:val="00C3727B"/>
    <w:rsid w:val="00C40AC5"/>
    <w:rsid w:val="00C42416"/>
    <w:rsid w:val="00C42B67"/>
    <w:rsid w:val="00C43012"/>
    <w:rsid w:val="00C45572"/>
    <w:rsid w:val="00C5070C"/>
    <w:rsid w:val="00C5073E"/>
    <w:rsid w:val="00C50882"/>
    <w:rsid w:val="00C50B03"/>
    <w:rsid w:val="00C50CB7"/>
    <w:rsid w:val="00C50E1D"/>
    <w:rsid w:val="00C51459"/>
    <w:rsid w:val="00C51A51"/>
    <w:rsid w:val="00C51C05"/>
    <w:rsid w:val="00C528C1"/>
    <w:rsid w:val="00C52B85"/>
    <w:rsid w:val="00C52E54"/>
    <w:rsid w:val="00C5319B"/>
    <w:rsid w:val="00C53473"/>
    <w:rsid w:val="00C542AA"/>
    <w:rsid w:val="00C546F0"/>
    <w:rsid w:val="00C554BF"/>
    <w:rsid w:val="00C55891"/>
    <w:rsid w:val="00C5621C"/>
    <w:rsid w:val="00C56770"/>
    <w:rsid w:val="00C56FB7"/>
    <w:rsid w:val="00C61801"/>
    <w:rsid w:val="00C62412"/>
    <w:rsid w:val="00C638BE"/>
    <w:rsid w:val="00C63A5F"/>
    <w:rsid w:val="00C63EB5"/>
    <w:rsid w:val="00C64B4E"/>
    <w:rsid w:val="00C66251"/>
    <w:rsid w:val="00C67A0D"/>
    <w:rsid w:val="00C70008"/>
    <w:rsid w:val="00C70721"/>
    <w:rsid w:val="00C70745"/>
    <w:rsid w:val="00C7191F"/>
    <w:rsid w:val="00C71A2A"/>
    <w:rsid w:val="00C7495C"/>
    <w:rsid w:val="00C75676"/>
    <w:rsid w:val="00C75A2F"/>
    <w:rsid w:val="00C77844"/>
    <w:rsid w:val="00C8052F"/>
    <w:rsid w:val="00C80837"/>
    <w:rsid w:val="00C80861"/>
    <w:rsid w:val="00C80A7C"/>
    <w:rsid w:val="00C80ABD"/>
    <w:rsid w:val="00C811F8"/>
    <w:rsid w:val="00C8377E"/>
    <w:rsid w:val="00C83A3E"/>
    <w:rsid w:val="00C840DA"/>
    <w:rsid w:val="00C8553B"/>
    <w:rsid w:val="00C8565E"/>
    <w:rsid w:val="00C8643E"/>
    <w:rsid w:val="00C86692"/>
    <w:rsid w:val="00C86F29"/>
    <w:rsid w:val="00C911A4"/>
    <w:rsid w:val="00C92D2C"/>
    <w:rsid w:val="00C9343A"/>
    <w:rsid w:val="00C93FCD"/>
    <w:rsid w:val="00C94160"/>
    <w:rsid w:val="00CA015A"/>
    <w:rsid w:val="00CA0385"/>
    <w:rsid w:val="00CA17A1"/>
    <w:rsid w:val="00CA32DC"/>
    <w:rsid w:val="00CA40B3"/>
    <w:rsid w:val="00CA4E44"/>
    <w:rsid w:val="00CA552F"/>
    <w:rsid w:val="00CA5B86"/>
    <w:rsid w:val="00CA5CA7"/>
    <w:rsid w:val="00CA62B7"/>
    <w:rsid w:val="00CB0F22"/>
    <w:rsid w:val="00CB18E1"/>
    <w:rsid w:val="00CB6C4F"/>
    <w:rsid w:val="00CB7232"/>
    <w:rsid w:val="00CC1499"/>
    <w:rsid w:val="00CC3077"/>
    <w:rsid w:val="00CC5C2C"/>
    <w:rsid w:val="00CC6205"/>
    <w:rsid w:val="00CC72E5"/>
    <w:rsid w:val="00CD0ED9"/>
    <w:rsid w:val="00CD1911"/>
    <w:rsid w:val="00CD2D5C"/>
    <w:rsid w:val="00CD36E3"/>
    <w:rsid w:val="00CD3F91"/>
    <w:rsid w:val="00CD658A"/>
    <w:rsid w:val="00CD7C11"/>
    <w:rsid w:val="00CE04BC"/>
    <w:rsid w:val="00CE0C49"/>
    <w:rsid w:val="00CE1342"/>
    <w:rsid w:val="00CE1663"/>
    <w:rsid w:val="00CE1669"/>
    <w:rsid w:val="00CE26C7"/>
    <w:rsid w:val="00CE5AEB"/>
    <w:rsid w:val="00CE6329"/>
    <w:rsid w:val="00CE7A94"/>
    <w:rsid w:val="00CF1308"/>
    <w:rsid w:val="00CF1F43"/>
    <w:rsid w:val="00CF25A6"/>
    <w:rsid w:val="00CF3E80"/>
    <w:rsid w:val="00CF56DF"/>
    <w:rsid w:val="00CF5E87"/>
    <w:rsid w:val="00CF63BF"/>
    <w:rsid w:val="00D00261"/>
    <w:rsid w:val="00D002B1"/>
    <w:rsid w:val="00D010CC"/>
    <w:rsid w:val="00D05450"/>
    <w:rsid w:val="00D0737E"/>
    <w:rsid w:val="00D12483"/>
    <w:rsid w:val="00D13BC9"/>
    <w:rsid w:val="00D1434F"/>
    <w:rsid w:val="00D146A0"/>
    <w:rsid w:val="00D153EC"/>
    <w:rsid w:val="00D172B9"/>
    <w:rsid w:val="00D1772C"/>
    <w:rsid w:val="00D1773B"/>
    <w:rsid w:val="00D209B2"/>
    <w:rsid w:val="00D20F81"/>
    <w:rsid w:val="00D21444"/>
    <w:rsid w:val="00D24D34"/>
    <w:rsid w:val="00D25D04"/>
    <w:rsid w:val="00D260E9"/>
    <w:rsid w:val="00D26BBC"/>
    <w:rsid w:val="00D277E6"/>
    <w:rsid w:val="00D30256"/>
    <w:rsid w:val="00D30C9A"/>
    <w:rsid w:val="00D30FC4"/>
    <w:rsid w:val="00D3154B"/>
    <w:rsid w:val="00D31F05"/>
    <w:rsid w:val="00D322A5"/>
    <w:rsid w:val="00D34A8D"/>
    <w:rsid w:val="00D35AE5"/>
    <w:rsid w:val="00D3664A"/>
    <w:rsid w:val="00D378FE"/>
    <w:rsid w:val="00D4017E"/>
    <w:rsid w:val="00D40C6F"/>
    <w:rsid w:val="00D41CC2"/>
    <w:rsid w:val="00D41D85"/>
    <w:rsid w:val="00D4444E"/>
    <w:rsid w:val="00D445A1"/>
    <w:rsid w:val="00D44E92"/>
    <w:rsid w:val="00D45032"/>
    <w:rsid w:val="00D453D9"/>
    <w:rsid w:val="00D46CA2"/>
    <w:rsid w:val="00D501D0"/>
    <w:rsid w:val="00D51A03"/>
    <w:rsid w:val="00D52AC5"/>
    <w:rsid w:val="00D52C5A"/>
    <w:rsid w:val="00D540C1"/>
    <w:rsid w:val="00D54A00"/>
    <w:rsid w:val="00D556C4"/>
    <w:rsid w:val="00D574FF"/>
    <w:rsid w:val="00D575E9"/>
    <w:rsid w:val="00D6274B"/>
    <w:rsid w:val="00D62790"/>
    <w:rsid w:val="00D65EA9"/>
    <w:rsid w:val="00D66C63"/>
    <w:rsid w:val="00D7040D"/>
    <w:rsid w:val="00D70BC7"/>
    <w:rsid w:val="00D721D9"/>
    <w:rsid w:val="00D722C0"/>
    <w:rsid w:val="00D7575D"/>
    <w:rsid w:val="00D75FFA"/>
    <w:rsid w:val="00D767FD"/>
    <w:rsid w:val="00D7727B"/>
    <w:rsid w:val="00D81349"/>
    <w:rsid w:val="00D815BB"/>
    <w:rsid w:val="00D82C82"/>
    <w:rsid w:val="00D83AE4"/>
    <w:rsid w:val="00D843A3"/>
    <w:rsid w:val="00D8538E"/>
    <w:rsid w:val="00D8596D"/>
    <w:rsid w:val="00D8749B"/>
    <w:rsid w:val="00D8777D"/>
    <w:rsid w:val="00D901B3"/>
    <w:rsid w:val="00D90A66"/>
    <w:rsid w:val="00D93BC6"/>
    <w:rsid w:val="00D93C80"/>
    <w:rsid w:val="00D945FC"/>
    <w:rsid w:val="00D95823"/>
    <w:rsid w:val="00D95EC9"/>
    <w:rsid w:val="00D96C25"/>
    <w:rsid w:val="00DA0223"/>
    <w:rsid w:val="00DA0D66"/>
    <w:rsid w:val="00DA0FD2"/>
    <w:rsid w:val="00DA28BC"/>
    <w:rsid w:val="00DA2F89"/>
    <w:rsid w:val="00DA3EBD"/>
    <w:rsid w:val="00DA4DAA"/>
    <w:rsid w:val="00DA578B"/>
    <w:rsid w:val="00DA5C34"/>
    <w:rsid w:val="00DA710C"/>
    <w:rsid w:val="00DA749B"/>
    <w:rsid w:val="00DA7907"/>
    <w:rsid w:val="00DA7D98"/>
    <w:rsid w:val="00DB067A"/>
    <w:rsid w:val="00DB5F83"/>
    <w:rsid w:val="00DB6C43"/>
    <w:rsid w:val="00DB74E0"/>
    <w:rsid w:val="00DC0D41"/>
    <w:rsid w:val="00DC154E"/>
    <w:rsid w:val="00DC2A1E"/>
    <w:rsid w:val="00DC2BD3"/>
    <w:rsid w:val="00DC31F4"/>
    <w:rsid w:val="00DC3533"/>
    <w:rsid w:val="00DC46D7"/>
    <w:rsid w:val="00DC48A7"/>
    <w:rsid w:val="00DC4AE2"/>
    <w:rsid w:val="00DC51D8"/>
    <w:rsid w:val="00DC542E"/>
    <w:rsid w:val="00DC5764"/>
    <w:rsid w:val="00DC5B8C"/>
    <w:rsid w:val="00DC6189"/>
    <w:rsid w:val="00DC6759"/>
    <w:rsid w:val="00DC68EF"/>
    <w:rsid w:val="00DC6F6F"/>
    <w:rsid w:val="00DC7515"/>
    <w:rsid w:val="00DD00F5"/>
    <w:rsid w:val="00DD08AF"/>
    <w:rsid w:val="00DD21B7"/>
    <w:rsid w:val="00DD247A"/>
    <w:rsid w:val="00DD2775"/>
    <w:rsid w:val="00DD44F2"/>
    <w:rsid w:val="00DD4FC1"/>
    <w:rsid w:val="00DD5955"/>
    <w:rsid w:val="00DD5E31"/>
    <w:rsid w:val="00DE011D"/>
    <w:rsid w:val="00DE0ADF"/>
    <w:rsid w:val="00DE0BE7"/>
    <w:rsid w:val="00DE186F"/>
    <w:rsid w:val="00DE3FC8"/>
    <w:rsid w:val="00DE42F9"/>
    <w:rsid w:val="00DE44E7"/>
    <w:rsid w:val="00DE60B2"/>
    <w:rsid w:val="00DE7361"/>
    <w:rsid w:val="00DE7830"/>
    <w:rsid w:val="00DE7A51"/>
    <w:rsid w:val="00DF0206"/>
    <w:rsid w:val="00DF0885"/>
    <w:rsid w:val="00DF0BAB"/>
    <w:rsid w:val="00DF19AE"/>
    <w:rsid w:val="00DF3F9C"/>
    <w:rsid w:val="00DF59DC"/>
    <w:rsid w:val="00DF6ADE"/>
    <w:rsid w:val="00DF7C5F"/>
    <w:rsid w:val="00E00781"/>
    <w:rsid w:val="00E00D32"/>
    <w:rsid w:val="00E00D68"/>
    <w:rsid w:val="00E012DA"/>
    <w:rsid w:val="00E013DC"/>
    <w:rsid w:val="00E03BF3"/>
    <w:rsid w:val="00E0467C"/>
    <w:rsid w:val="00E04D49"/>
    <w:rsid w:val="00E04F74"/>
    <w:rsid w:val="00E0506D"/>
    <w:rsid w:val="00E050A5"/>
    <w:rsid w:val="00E066B6"/>
    <w:rsid w:val="00E072EF"/>
    <w:rsid w:val="00E10802"/>
    <w:rsid w:val="00E11BF3"/>
    <w:rsid w:val="00E11EFF"/>
    <w:rsid w:val="00E12B9C"/>
    <w:rsid w:val="00E143B1"/>
    <w:rsid w:val="00E17D78"/>
    <w:rsid w:val="00E20944"/>
    <w:rsid w:val="00E224FA"/>
    <w:rsid w:val="00E23146"/>
    <w:rsid w:val="00E238A2"/>
    <w:rsid w:val="00E24CE0"/>
    <w:rsid w:val="00E25936"/>
    <w:rsid w:val="00E25BF0"/>
    <w:rsid w:val="00E25D98"/>
    <w:rsid w:val="00E3120B"/>
    <w:rsid w:val="00E31A13"/>
    <w:rsid w:val="00E32055"/>
    <w:rsid w:val="00E35D69"/>
    <w:rsid w:val="00E36351"/>
    <w:rsid w:val="00E37146"/>
    <w:rsid w:val="00E41B81"/>
    <w:rsid w:val="00E44173"/>
    <w:rsid w:val="00E47D60"/>
    <w:rsid w:val="00E5068E"/>
    <w:rsid w:val="00E50D0E"/>
    <w:rsid w:val="00E50D47"/>
    <w:rsid w:val="00E51048"/>
    <w:rsid w:val="00E53E40"/>
    <w:rsid w:val="00E561DB"/>
    <w:rsid w:val="00E56378"/>
    <w:rsid w:val="00E56C5F"/>
    <w:rsid w:val="00E578AA"/>
    <w:rsid w:val="00E57E96"/>
    <w:rsid w:val="00E62AF4"/>
    <w:rsid w:val="00E63059"/>
    <w:rsid w:val="00E64905"/>
    <w:rsid w:val="00E65B3A"/>
    <w:rsid w:val="00E65EB9"/>
    <w:rsid w:val="00E70B6F"/>
    <w:rsid w:val="00E71105"/>
    <w:rsid w:val="00E7115E"/>
    <w:rsid w:val="00E71E42"/>
    <w:rsid w:val="00E731A1"/>
    <w:rsid w:val="00E738DB"/>
    <w:rsid w:val="00E75754"/>
    <w:rsid w:val="00E8199A"/>
    <w:rsid w:val="00E824D3"/>
    <w:rsid w:val="00E824FD"/>
    <w:rsid w:val="00E82C70"/>
    <w:rsid w:val="00E84712"/>
    <w:rsid w:val="00E85F8A"/>
    <w:rsid w:val="00E87E89"/>
    <w:rsid w:val="00E91975"/>
    <w:rsid w:val="00E93E4B"/>
    <w:rsid w:val="00E94009"/>
    <w:rsid w:val="00E94078"/>
    <w:rsid w:val="00E95708"/>
    <w:rsid w:val="00E95F03"/>
    <w:rsid w:val="00E97B42"/>
    <w:rsid w:val="00EA018F"/>
    <w:rsid w:val="00EA0F32"/>
    <w:rsid w:val="00EA1D25"/>
    <w:rsid w:val="00EA27A8"/>
    <w:rsid w:val="00EA351F"/>
    <w:rsid w:val="00EA3C2C"/>
    <w:rsid w:val="00EA454E"/>
    <w:rsid w:val="00EA5006"/>
    <w:rsid w:val="00EA7944"/>
    <w:rsid w:val="00EB0CFB"/>
    <w:rsid w:val="00EB0D19"/>
    <w:rsid w:val="00EB2311"/>
    <w:rsid w:val="00EB4BC3"/>
    <w:rsid w:val="00EB4D52"/>
    <w:rsid w:val="00EB4F11"/>
    <w:rsid w:val="00EB5BC9"/>
    <w:rsid w:val="00EB759B"/>
    <w:rsid w:val="00EC017F"/>
    <w:rsid w:val="00EC0635"/>
    <w:rsid w:val="00EC1153"/>
    <w:rsid w:val="00EC1819"/>
    <w:rsid w:val="00EC22D7"/>
    <w:rsid w:val="00EC4412"/>
    <w:rsid w:val="00EC4803"/>
    <w:rsid w:val="00EC5045"/>
    <w:rsid w:val="00EC64AB"/>
    <w:rsid w:val="00EC7772"/>
    <w:rsid w:val="00EC7862"/>
    <w:rsid w:val="00EC7888"/>
    <w:rsid w:val="00ED20EB"/>
    <w:rsid w:val="00ED2190"/>
    <w:rsid w:val="00ED2D34"/>
    <w:rsid w:val="00ED2E7A"/>
    <w:rsid w:val="00ED33DD"/>
    <w:rsid w:val="00ED3989"/>
    <w:rsid w:val="00ED3A37"/>
    <w:rsid w:val="00ED3B7E"/>
    <w:rsid w:val="00ED4655"/>
    <w:rsid w:val="00ED5049"/>
    <w:rsid w:val="00ED5AC9"/>
    <w:rsid w:val="00ED62DD"/>
    <w:rsid w:val="00ED6FC0"/>
    <w:rsid w:val="00ED79A4"/>
    <w:rsid w:val="00EE2E08"/>
    <w:rsid w:val="00EE3210"/>
    <w:rsid w:val="00EE4B2E"/>
    <w:rsid w:val="00EE5148"/>
    <w:rsid w:val="00EE6DD6"/>
    <w:rsid w:val="00EE7D37"/>
    <w:rsid w:val="00EF0AC9"/>
    <w:rsid w:val="00EF1240"/>
    <w:rsid w:val="00EF1F4F"/>
    <w:rsid w:val="00EF24A8"/>
    <w:rsid w:val="00EF34A9"/>
    <w:rsid w:val="00EF4469"/>
    <w:rsid w:val="00F01429"/>
    <w:rsid w:val="00F01862"/>
    <w:rsid w:val="00F02480"/>
    <w:rsid w:val="00F03487"/>
    <w:rsid w:val="00F05D2D"/>
    <w:rsid w:val="00F077CF"/>
    <w:rsid w:val="00F107AE"/>
    <w:rsid w:val="00F12534"/>
    <w:rsid w:val="00F13019"/>
    <w:rsid w:val="00F144EF"/>
    <w:rsid w:val="00F1476D"/>
    <w:rsid w:val="00F1483E"/>
    <w:rsid w:val="00F1492D"/>
    <w:rsid w:val="00F14995"/>
    <w:rsid w:val="00F20120"/>
    <w:rsid w:val="00F2063D"/>
    <w:rsid w:val="00F2278D"/>
    <w:rsid w:val="00F22B06"/>
    <w:rsid w:val="00F23101"/>
    <w:rsid w:val="00F2375B"/>
    <w:rsid w:val="00F23AA1"/>
    <w:rsid w:val="00F23CC4"/>
    <w:rsid w:val="00F23F33"/>
    <w:rsid w:val="00F25BF3"/>
    <w:rsid w:val="00F2655F"/>
    <w:rsid w:val="00F2696E"/>
    <w:rsid w:val="00F27C2A"/>
    <w:rsid w:val="00F317AF"/>
    <w:rsid w:val="00F31FE4"/>
    <w:rsid w:val="00F3202C"/>
    <w:rsid w:val="00F32A48"/>
    <w:rsid w:val="00F3348A"/>
    <w:rsid w:val="00F34F36"/>
    <w:rsid w:val="00F364AE"/>
    <w:rsid w:val="00F375BF"/>
    <w:rsid w:val="00F40053"/>
    <w:rsid w:val="00F40086"/>
    <w:rsid w:val="00F41987"/>
    <w:rsid w:val="00F420D9"/>
    <w:rsid w:val="00F429CA"/>
    <w:rsid w:val="00F4375D"/>
    <w:rsid w:val="00F45210"/>
    <w:rsid w:val="00F4566C"/>
    <w:rsid w:val="00F45F3C"/>
    <w:rsid w:val="00F4686A"/>
    <w:rsid w:val="00F46BBC"/>
    <w:rsid w:val="00F47645"/>
    <w:rsid w:val="00F47924"/>
    <w:rsid w:val="00F51FF0"/>
    <w:rsid w:val="00F5215A"/>
    <w:rsid w:val="00F52EBD"/>
    <w:rsid w:val="00F5308A"/>
    <w:rsid w:val="00F53697"/>
    <w:rsid w:val="00F53BD2"/>
    <w:rsid w:val="00F53C52"/>
    <w:rsid w:val="00F53DA2"/>
    <w:rsid w:val="00F56C5F"/>
    <w:rsid w:val="00F56D9D"/>
    <w:rsid w:val="00F578C4"/>
    <w:rsid w:val="00F57BAC"/>
    <w:rsid w:val="00F57DF1"/>
    <w:rsid w:val="00F602ED"/>
    <w:rsid w:val="00F60B00"/>
    <w:rsid w:val="00F6154E"/>
    <w:rsid w:val="00F61806"/>
    <w:rsid w:val="00F62CD0"/>
    <w:rsid w:val="00F6392A"/>
    <w:rsid w:val="00F650C2"/>
    <w:rsid w:val="00F65293"/>
    <w:rsid w:val="00F66023"/>
    <w:rsid w:val="00F66FB4"/>
    <w:rsid w:val="00F67898"/>
    <w:rsid w:val="00F701C8"/>
    <w:rsid w:val="00F712B6"/>
    <w:rsid w:val="00F71483"/>
    <w:rsid w:val="00F71636"/>
    <w:rsid w:val="00F722D2"/>
    <w:rsid w:val="00F74078"/>
    <w:rsid w:val="00F7447E"/>
    <w:rsid w:val="00F753F5"/>
    <w:rsid w:val="00F7664F"/>
    <w:rsid w:val="00F818F8"/>
    <w:rsid w:val="00F81E6B"/>
    <w:rsid w:val="00F8358E"/>
    <w:rsid w:val="00F8444B"/>
    <w:rsid w:val="00F84DB8"/>
    <w:rsid w:val="00F8539B"/>
    <w:rsid w:val="00F85DA5"/>
    <w:rsid w:val="00F87C11"/>
    <w:rsid w:val="00F900DD"/>
    <w:rsid w:val="00F912FE"/>
    <w:rsid w:val="00F914C3"/>
    <w:rsid w:val="00F93940"/>
    <w:rsid w:val="00F9565B"/>
    <w:rsid w:val="00F97096"/>
    <w:rsid w:val="00FA025B"/>
    <w:rsid w:val="00FA0B94"/>
    <w:rsid w:val="00FA0EB3"/>
    <w:rsid w:val="00FA0F77"/>
    <w:rsid w:val="00FA1D44"/>
    <w:rsid w:val="00FA21C6"/>
    <w:rsid w:val="00FA229F"/>
    <w:rsid w:val="00FA3688"/>
    <w:rsid w:val="00FA69E6"/>
    <w:rsid w:val="00FA7864"/>
    <w:rsid w:val="00FB03C2"/>
    <w:rsid w:val="00FB07B0"/>
    <w:rsid w:val="00FB1BFB"/>
    <w:rsid w:val="00FB1E06"/>
    <w:rsid w:val="00FB2719"/>
    <w:rsid w:val="00FB2E0A"/>
    <w:rsid w:val="00FB38EB"/>
    <w:rsid w:val="00FB4B68"/>
    <w:rsid w:val="00FB4D3A"/>
    <w:rsid w:val="00FB53C2"/>
    <w:rsid w:val="00FB571B"/>
    <w:rsid w:val="00FB727A"/>
    <w:rsid w:val="00FB78C9"/>
    <w:rsid w:val="00FC07F2"/>
    <w:rsid w:val="00FC14C0"/>
    <w:rsid w:val="00FC1857"/>
    <w:rsid w:val="00FC18B3"/>
    <w:rsid w:val="00FC2302"/>
    <w:rsid w:val="00FC2867"/>
    <w:rsid w:val="00FC2FA1"/>
    <w:rsid w:val="00FC3687"/>
    <w:rsid w:val="00FC51B0"/>
    <w:rsid w:val="00FC524D"/>
    <w:rsid w:val="00FC550C"/>
    <w:rsid w:val="00FC5B7D"/>
    <w:rsid w:val="00FC5D2F"/>
    <w:rsid w:val="00FD00B2"/>
    <w:rsid w:val="00FD084C"/>
    <w:rsid w:val="00FD0A57"/>
    <w:rsid w:val="00FD2110"/>
    <w:rsid w:val="00FD2973"/>
    <w:rsid w:val="00FD2A1B"/>
    <w:rsid w:val="00FE191B"/>
    <w:rsid w:val="00FE1C2F"/>
    <w:rsid w:val="00FE34B6"/>
    <w:rsid w:val="00FE3FE9"/>
    <w:rsid w:val="00FE4DDC"/>
    <w:rsid w:val="00FE517C"/>
    <w:rsid w:val="00FE6CC7"/>
    <w:rsid w:val="00FF198C"/>
    <w:rsid w:val="00FF233C"/>
    <w:rsid w:val="00FF417F"/>
    <w:rsid w:val="00FF4E1F"/>
    <w:rsid w:val="00FF70E1"/>
    <w:rsid w:val="00FF7C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5:docId w15:val="{C2F8973E-AB4E-403C-A3DF-2E4121DD2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240" w:after="120"/>
        <w:ind w:left="1021" w:hanging="10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1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E03CD"/>
    <w:pPr>
      <w:spacing w:after="0"/>
      <w:ind w:left="0" w:firstLine="0"/>
    </w:pPr>
    <w:rPr>
      <w:rFonts w:ascii="Calibri" w:hAnsi="Calibri"/>
    </w:rPr>
  </w:style>
  <w:style w:type="paragraph" w:styleId="Heading1">
    <w:name w:val="heading 1"/>
    <w:basedOn w:val="Normal"/>
    <w:next w:val="BodyText"/>
    <w:uiPriority w:val="9"/>
    <w:qFormat/>
    <w:rsid w:val="00FC3687"/>
    <w:pPr>
      <w:keepNext/>
      <w:keepLines/>
      <w:spacing w:after="120" w:line="400" w:lineRule="atLeast"/>
      <w:outlineLvl w:val="0"/>
    </w:pPr>
    <w:rPr>
      <w:rFonts w:ascii="Cambria" w:eastAsiaTheme="majorEastAsia" w:hAnsi="Cambria" w:cstheme="majorBidi"/>
      <w:bCs/>
      <w:color w:val="0072B9"/>
      <w:sz w:val="36"/>
      <w:szCs w:val="28"/>
    </w:rPr>
  </w:style>
  <w:style w:type="paragraph" w:styleId="Heading2">
    <w:name w:val="heading 2"/>
    <w:basedOn w:val="Normal"/>
    <w:next w:val="BodyText"/>
    <w:link w:val="Heading2Char"/>
    <w:uiPriority w:val="9"/>
    <w:qFormat/>
    <w:rsid w:val="00FC3687"/>
    <w:pPr>
      <w:keepNext/>
      <w:keepLines/>
      <w:spacing w:after="200" w:line="280" w:lineRule="atLeast"/>
      <w:outlineLvl w:val="1"/>
    </w:pPr>
    <w:rPr>
      <w:rFonts w:ascii="Cambria" w:eastAsiaTheme="majorEastAsia" w:hAnsi="Cambria" w:cstheme="majorBidi"/>
      <w:bCs/>
      <w:color w:val="0072B9"/>
      <w:sz w:val="26"/>
      <w:szCs w:val="26"/>
    </w:rPr>
  </w:style>
  <w:style w:type="paragraph" w:styleId="Heading3">
    <w:name w:val="heading 3"/>
    <w:basedOn w:val="Normal"/>
    <w:next w:val="BodyText"/>
    <w:uiPriority w:val="9"/>
    <w:qFormat/>
    <w:rsid w:val="007E1F48"/>
    <w:pPr>
      <w:keepNext/>
      <w:keepLines/>
      <w:spacing w:before="200" w:after="120"/>
      <w:outlineLvl w:val="2"/>
    </w:pPr>
    <w:rPr>
      <w:rFonts w:ascii="Cambria" w:eastAsiaTheme="majorEastAsia" w:hAnsi="Cambria" w:cstheme="majorBidi"/>
      <w:b/>
      <w:bCs/>
      <w:color w:val="0072B9"/>
    </w:rPr>
  </w:style>
  <w:style w:type="paragraph" w:styleId="Heading4">
    <w:name w:val="heading 4"/>
    <w:basedOn w:val="Normal"/>
    <w:next w:val="BodyText"/>
    <w:link w:val="Heading4Char"/>
    <w:uiPriority w:val="9"/>
    <w:qFormat/>
    <w:rsid w:val="004E1F67"/>
    <w:pPr>
      <w:keepNext/>
      <w:keepLines/>
      <w:spacing w:before="200" w:after="120"/>
      <w:outlineLvl w:val="3"/>
    </w:pPr>
    <w:rPr>
      <w:rFonts w:ascii="Cambria" w:eastAsiaTheme="majorEastAsia" w:hAnsi="Cambria" w:cstheme="majorBidi"/>
      <w:b/>
      <w:bCs/>
      <w:iCs/>
    </w:rPr>
  </w:style>
  <w:style w:type="paragraph" w:styleId="Heading5">
    <w:name w:val="heading 5"/>
    <w:basedOn w:val="Normal"/>
    <w:next w:val="BodyText"/>
    <w:uiPriority w:val="9"/>
    <w:qFormat/>
    <w:rsid w:val="004E1F67"/>
    <w:pPr>
      <w:keepNext/>
      <w:keepLines/>
      <w:spacing w:before="200" w:after="120"/>
      <w:outlineLvl w:val="4"/>
    </w:pPr>
    <w:rPr>
      <w:rFonts w:ascii="Cambria" w:eastAsiaTheme="majorEastAsia" w:hAnsi="Cambria" w:cstheme="majorBidi"/>
    </w:rPr>
  </w:style>
  <w:style w:type="paragraph" w:styleId="Heading6">
    <w:name w:val="heading 6"/>
    <w:basedOn w:val="Normal"/>
    <w:next w:val="Normal"/>
    <w:uiPriority w:val="9"/>
    <w:semiHidden/>
    <w:unhideWhenUsed/>
    <w:qFormat/>
    <w:rsid w:val="00A0420F"/>
    <w:pPr>
      <w:keepNext/>
      <w:keepLines/>
      <w:numPr>
        <w:ilvl w:val="5"/>
        <w:numId w:val="19"/>
      </w:numPr>
      <w:spacing w:before="200"/>
      <w:outlineLvl w:val="5"/>
    </w:pPr>
    <w:rPr>
      <w:rFonts w:asciiTheme="majorHAnsi" w:eastAsiaTheme="majorEastAsia" w:hAnsiTheme="majorHAnsi" w:cstheme="majorBidi"/>
      <w:i/>
      <w:iCs/>
      <w:color w:val="003847" w:themeColor="accent1" w:themeShade="7F"/>
    </w:rPr>
  </w:style>
  <w:style w:type="paragraph" w:styleId="Heading7">
    <w:name w:val="heading 7"/>
    <w:basedOn w:val="Normal"/>
    <w:next w:val="Normal"/>
    <w:uiPriority w:val="9"/>
    <w:semiHidden/>
    <w:unhideWhenUsed/>
    <w:qFormat/>
    <w:rsid w:val="00A0420F"/>
    <w:pPr>
      <w:keepNext/>
      <w:keepLines/>
      <w:numPr>
        <w:ilvl w:val="6"/>
        <w:numId w:val="19"/>
      </w:numPr>
      <w:spacing w:before="200"/>
      <w:outlineLvl w:val="6"/>
    </w:pPr>
    <w:rPr>
      <w:rFonts w:asciiTheme="majorHAnsi" w:eastAsiaTheme="majorEastAsia" w:hAnsiTheme="majorHAnsi" w:cstheme="majorBidi"/>
      <w:i/>
      <w:iCs/>
      <w:color w:val="00BBEB" w:themeColor="text1" w:themeTint="BF"/>
    </w:rPr>
  </w:style>
  <w:style w:type="paragraph" w:styleId="Heading8">
    <w:name w:val="heading 8"/>
    <w:basedOn w:val="Normal"/>
    <w:next w:val="Normal"/>
    <w:uiPriority w:val="9"/>
    <w:semiHidden/>
    <w:unhideWhenUsed/>
    <w:qFormat/>
    <w:rsid w:val="00A0420F"/>
    <w:pPr>
      <w:keepNext/>
      <w:keepLines/>
      <w:numPr>
        <w:ilvl w:val="7"/>
        <w:numId w:val="19"/>
      </w:numPr>
      <w:spacing w:before="200"/>
      <w:outlineLvl w:val="7"/>
    </w:pPr>
    <w:rPr>
      <w:rFonts w:asciiTheme="majorHAnsi" w:eastAsiaTheme="majorEastAsia" w:hAnsiTheme="majorHAnsi" w:cstheme="majorBidi"/>
      <w:color w:val="00BBEB" w:themeColor="text1" w:themeTint="BF"/>
      <w:sz w:val="20"/>
      <w:szCs w:val="20"/>
    </w:rPr>
  </w:style>
  <w:style w:type="paragraph" w:styleId="Heading9">
    <w:name w:val="heading 9"/>
    <w:basedOn w:val="Normal"/>
    <w:next w:val="Normal"/>
    <w:uiPriority w:val="9"/>
    <w:semiHidden/>
    <w:unhideWhenUsed/>
    <w:qFormat/>
    <w:rsid w:val="00A0420F"/>
    <w:pPr>
      <w:keepNext/>
      <w:keepLines/>
      <w:numPr>
        <w:ilvl w:val="8"/>
        <w:numId w:val="19"/>
      </w:numPr>
      <w:spacing w:before="200"/>
      <w:outlineLvl w:val="8"/>
    </w:pPr>
    <w:rPr>
      <w:rFonts w:asciiTheme="majorHAnsi" w:eastAsiaTheme="majorEastAsia" w:hAnsiTheme="majorHAnsi" w:cstheme="majorBidi"/>
      <w:i/>
      <w:iCs/>
      <w:color w:val="00BBE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5622"/>
    <w:pPr>
      <w:spacing w:after="240"/>
    </w:pPr>
  </w:style>
  <w:style w:type="paragraph" w:customStyle="1" w:styleId="Titleheading">
    <w:name w:val="Title heading"/>
    <w:basedOn w:val="Normal"/>
    <w:next w:val="BodyText"/>
    <w:uiPriority w:val="15"/>
    <w:qFormat/>
    <w:rsid w:val="00E5068E"/>
    <w:pPr>
      <w:spacing w:before="480" w:after="360" w:line="440" w:lineRule="atLeast"/>
    </w:pPr>
    <w:rPr>
      <w:rFonts w:asciiTheme="minorHAnsi" w:hAnsiTheme="minorHAnsi"/>
      <w:color w:val="FFFFFF" w:themeColor="background1"/>
      <w:sz w:val="60"/>
      <w:szCs w:val="60"/>
    </w:rPr>
  </w:style>
  <w:style w:type="paragraph" w:customStyle="1" w:styleId="Tablecellheading">
    <w:name w:val="Table cell heading"/>
    <w:basedOn w:val="Tabletext"/>
    <w:uiPriority w:val="12"/>
    <w:qFormat/>
    <w:rsid w:val="009B32C8"/>
    <w:pPr>
      <w:keepNext/>
    </w:pPr>
    <w:rPr>
      <w:bCs/>
      <w:color w:val="FFFFFF"/>
    </w:rPr>
  </w:style>
  <w:style w:type="paragraph" w:customStyle="1" w:styleId="Tabletext">
    <w:name w:val="Table text"/>
    <w:basedOn w:val="BodyText"/>
    <w:uiPriority w:val="12"/>
    <w:qFormat/>
    <w:rsid w:val="00763CB1"/>
    <w:pPr>
      <w:spacing w:before="120" w:after="120"/>
    </w:pPr>
    <w:rPr>
      <w:rFonts w:eastAsia="Calibri" w:cs="Times New Roman"/>
      <w:sz w:val="21"/>
      <w:lang w:eastAsia="en-AU"/>
    </w:rPr>
  </w:style>
  <w:style w:type="paragraph" w:styleId="Caption">
    <w:name w:val="caption"/>
    <w:basedOn w:val="Normal"/>
    <w:next w:val="Normal"/>
    <w:uiPriority w:val="35"/>
    <w:semiHidden/>
    <w:qFormat/>
    <w:rsid w:val="0052764B"/>
    <w:pPr>
      <w:tabs>
        <w:tab w:val="left" w:pos="1021"/>
      </w:tabs>
      <w:spacing w:after="120"/>
      <w:ind w:left="1021" w:hanging="1021"/>
    </w:pPr>
    <w:rPr>
      <w:b/>
      <w:bCs/>
      <w:color w:val="00728F"/>
      <w:sz w:val="18"/>
      <w:szCs w:val="18"/>
    </w:rPr>
  </w:style>
  <w:style w:type="paragraph" w:customStyle="1" w:styleId="Tablecaption">
    <w:name w:val="Table caption"/>
    <w:basedOn w:val="Caption"/>
    <w:next w:val="Tabledescription"/>
    <w:uiPriority w:val="11"/>
    <w:qFormat/>
    <w:rsid w:val="00F602ED"/>
    <w:pPr>
      <w:keepNext/>
    </w:pPr>
    <w:rPr>
      <w:color w:val="0072B9"/>
    </w:rPr>
  </w:style>
  <w:style w:type="character" w:styleId="Strong">
    <w:name w:val="Strong"/>
    <w:basedOn w:val="DefaultParagraphFont"/>
    <w:uiPriority w:val="2"/>
    <w:qFormat/>
    <w:rsid w:val="00BF014B"/>
    <w:rPr>
      <w:b/>
      <w:bCs/>
    </w:rPr>
  </w:style>
  <w:style w:type="paragraph" w:styleId="BalloonText">
    <w:name w:val="Balloon Text"/>
    <w:basedOn w:val="Normal"/>
    <w:uiPriority w:val="99"/>
    <w:semiHidden/>
    <w:rsid w:val="00A66655"/>
    <w:rPr>
      <w:rFonts w:ascii="Tahoma" w:hAnsi="Tahoma" w:cs="Tahoma"/>
      <w:sz w:val="16"/>
      <w:szCs w:val="16"/>
    </w:rPr>
  </w:style>
  <w:style w:type="character" w:styleId="Hyperlink">
    <w:name w:val="Hyperlink"/>
    <w:basedOn w:val="DefaultParagraphFont"/>
    <w:uiPriority w:val="99"/>
    <w:unhideWhenUsed/>
    <w:rsid w:val="00B11651"/>
    <w:rPr>
      <w:color w:val="006DFF"/>
      <w:u w:val="single"/>
    </w:rPr>
  </w:style>
  <w:style w:type="paragraph" w:customStyle="1" w:styleId="Tablebullet-Level1">
    <w:name w:val="Table bullet - Level 1"/>
    <w:basedOn w:val="Tabletext"/>
    <w:uiPriority w:val="13"/>
    <w:qFormat/>
    <w:rsid w:val="00F05D2D"/>
    <w:pPr>
      <w:numPr>
        <w:numId w:val="12"/>
      </w:numPr>
    </w:pPr>
  </w:style>
  <w:style w:type="paragraph" w:customStyle="1" w:styleId="Tabledescription">
    <w:name w:val="Table description"/>
    <w:basedOn w:val="Tablecaption"/>
    <w:uiPriority w:val="11"/>
    <w:qFormat/>
    <w:rsid w:val="0052764B"/>
    <w:pPr>
      <w:tabs>
        <w:tab w:val="clear" w:pos="1021"/>
      </w:tabs>
      <w:spacing w:before="120" w:after="240"/>
      <w:ind w:firstLine="0"/>
    </w:pPr>
    <w:rPr>
      <w:b w:val="0"/>
      <w:color w:val="auto"/>
    </w:rPr>
  </w:style>
  <w:style w:type="paragraph" w:customStyle="1" w:styleId="Endmatter-Heading1">
    <w:name w:val="End matter - Heading 1"/>
    <w:basedOn w:val="Heading1"/>
    <w:next w:val="BodyText"/>
    <w:uiPriority w:val="19"/>
    <w:qFormat/>
    <w:rsid w:val="00FC3687"/>
    <w:pPr>
      <w:pageBreakBefore/>
      <w:numPr>
        <w:numId w:val="22"/>
      </w:numPr>
    </w:pPr>
  </w:style>
  <w:style w:type="paragraph" w:styleId="TOCHeading">
    <w:name w:val="TOC Heading"/>
    <w:basedOn w:val="Heading1"/>
    <w:next w:val="BodyText"/>
    <w:uiPriority w:val="38"/>
    <w:qFormat/>
    <w:rsid w:val="00FC3687"/>
    <w:pPr>
      <w:spacing w:after="360"/>
      <w:outlineLvl w:val="9"/>
    </w:pPr>
    <w:rPr>
      <w:rFonts w:asciiTheme="minorHAnsi" w:hAnsiTheme="minorHAnsi"/>
    </w:rPr>
  </w:style>
  <w:style w:type="paragraph" w:styleId="TOC1">
    <w:name w:val="toc 1"/>
    <w:basedOn w:val="Normal"/>
    <w:next w:val="Normal"/>
    <w:autoRedefine/>
    <w:uiPriority w:val="39"/>
    <w:rsid w:val="00FC3687"/>
    <w:pPr>
      <w:tabs>
        <w:tab w:val="left" w:pos="567"/>
        <w:tab w:val="right" w:leader="dot" w:pos="9029"/>
      </w:tabs>
      <w:spacing w:before="120" w:after="100"/>
      <w:ind w:left="567" w:right="662" w:hanging="567"/>
    </w:pPr>
    <w:rPr>
      <w:noProof/>
      <w:color w:val="0072B9"/>
      <w:sz w:val="24"/>
    </w:rPr>
  </w:style>
  <w:style w:type="paragraph" w:styleId="TOC2">
    <w:name w:val="toc 2"/>
    <w:basedOn w:val="Normal"/>
    <w:next w:val="Normal"/>
    <w:autoRedefine/>
    <w:uiPriority w:val="39"/>
    <w:rsid w:val="00545856"/>
    <w:pPr>
      <w:tabs>
        <w:tab w:val="left" w:pos="1134"/>
        <w:tab w:val="right" w:leader="dot" w:pos="9029"/>
      </w:tabs>
      <w:spacing w:before="0" w:after="100"/>
      <w:ind w:left="1134" w:right="379" w:hanging="567"/>
    </w:pPr>
  </w:style>
  <w:style w:type="paragraph" w:styleId="TOC3">
    <w:name w:val="toc 3"/>
    <w:basedOn w:val="Normal"/>
    <w:next w:val="Normal"/>
    <w:autoRedefine/>
    <w:uiPriority w:val="39"/>
    <w:rsid w:val="00D556C4"/>
    <w:pPr>
      <w:tabs>
        <w:tab w:val="right" w:leader="dot" w:pos="9016"/>
      </w:tabs>
      <w:spacing w:before="0" w:after="100"/>
      <w:ind w:left="440"/>
    </w:pPr>
  </w:style>
  <w:style w:type="paragraph" w:customStyle="1" w:styleId="Titlesub-heading">
    <w:name w:val="Title sub-heading"/>
    <w:basedOn w:val="Normal"/>
    <w:next w:val="BodyText"/>
    <w:uiPriority w:val="15"/>
    <w:qFormat/>
    <w:rsid w:val="00E5068E"/>
    <w:pPr>
      <w:spacing w:after="120" w:line="440" w:lineRule="atLeast"/>
      <w:contextualSpacing/>
    </w:pPr>
    <w:rPr>
      <w:rFonts w:ascii="Cambria" w:eastAsiaTheme="majorEastAsia" w:hAnsi="Cambria" w:cstheme="majorBidi"/>
      <w:color w:val="FFFFFF" w:themeColor="background1"/>
      <w:kern w:val="28"/>
      <w:sz w:val="36"/>
      <w:szCs w:val="52"/>
    </w:rPr>
  </w:style>
  <w:style w:type="paragraph" w:customStyle="1" w:styleId="Endmatter-Heading2">
    <w:name w:val="End matter - Heading 2"/>
    <w:basedOn w:val="Heading2"/>
    <w:next w:val="BodyText"/>
    <w:uiPriority w:val="19"/>
    <w:qFormat/>
    <w:rsid w:val="00FC3687"/>
    <w:pPr>
      <w:ind w:left="907" w:hanging="907"/>
    </w:pPr>
  </w:style>
  <w:style w:type="paragraph" w:styleId="Header">
    <w:name w:val="header"/>
    <w:basedOn w:val="Normal"/>
    <w:link w:val="HeaderChar"/>
    <w:rsid w:val="00FC3687"/>
    <w:pPr>
      <w:tabs>
        <w:tab w:val="center" w:pos="4513"/>
        <w:tab w:val="right" w:pos="9026"/>
      </w:tabs>
      <w:spacing w:before="0"/>
    </w:pPr>
    <w:rPr>
      <w:color w:val="0072C3"/>
      <w:sz w:val="20"/>
    </w:rPr>
  </w:style>
  <w:style w:type="paragraph" w:styleId="Footer">
    <w:name w:val="footer"/>
    <w:basedOn w:val="Normal"/>
    <w:link w:val="FooterChar"/>
    <w:rsid w:val="00FC3687"/>
    <w:pPr>
      <w:tabs>
        <w:tab w:val="center" w:pos="4513"/>
        <w:tab w:val="right" w:pos="9026"/>
      </w:tabs>
    </w:pPr>
    <w:rPr>
      <w:color w:val="FFFFFF" w:themeColor="background1"/>
      <w:sz w:val="20"/>
    </w:rPr>
  </w:style>
  <w:style w:type="paragraph" w:customStyle="1" w:styleId="Bodybullet-Level1">
    <w:name w:val="Body bullet - Level 1"/>
    <w:basedOn w:val="BodyText"/>
    <w:uiPriority w:val="1"/>
    <w:qFormat/>
    <w:rsid w:val="00793DC9"/>
    <w:pPr>
      <w:numPr>
        <w:numId w:val="11"/>
      </w:numPr>
      <w:spacing w:before="120" w:after="180"/>
    </w:pPr>
  </w:style>
  <w:style w:type="paragraph" w:customStyle="1" w:styleId="Bodybullet-Level2">
    <w:name w:val="Body bullet - Level 2"/>
    <w:basedOn w:val="Bodybullet-Level1"/>
    <w:uiPriority w:val="1"/>
    <w:qFormat/>
    <w:rsid w:val="008825AB"/>
    <w:pPr>
      <w:numPr>
        <w:ilvl w:val="1"/>
      </w:numPr>
    </w:pPr>
  </w:style>
  <w:style w:type="paragraph" w:customStyle="1" w:styleId="Bodybullet-Level3">
    <w:name w:val="Body bullet - Level 3"/>
    <w:basedOn w:val="Bodybullet-Level1"/>
    <w:uiPriority w:val="1"/>
    <w:qFormat/>
    <w:rsid w:val="00617129"/>
    <w:pPr>
      <w:numPr>
        <w:ilvl w:val="2"/>
      </w:numPr>
    </w:pPr>
  </w:style>
  <w:style w:type="paragraph" w:customStyle="1" w:styleId="Tablebullet-Level2">
    <w:name w:val="Table bullet - Level 2"/>
    <w:basedOn w:val="Tablebullet-Level1"/>
    <w:uiPriority w:val="13"/>
    <w:qFormat/>
    <w:rsid w:val="00AC37E5"/>
    <w:pPr>
      <w:numPr>
        <w:ilvl w:val="1"/>
      </w:numPr>
    </w:pPr>
  </w:style>
  <w:style w:type="paragraph" w:customStyle="1" w:styleId="Figurecaption">
    <w:name w:val="Figure caption"/>
    <w:basedOn w:val="Caption"/>
    <w:next w:val="Figuredescription"/>
    <w:link w:val="FigurecaptionCharChar"/>
    <w:uiPriority w:val="10"/>
    <w:qFormat/>
    <w:rsid w:val="00FC3687"/>
    <w:pPr>
      <w:keepNext/>
    </w:pPr>
    <w:rPr>
      <w:color w:val="0072B9"/>
    </w:rPr>
  </w:style>
  <w:style w:type="character" w:styleId="PageNumber">
    <w:name w:val="page number"/>
    <w:basedOn w:val="DefaultParagraphFont"/>
    <w:uiPriority w:val="49"/>
    <w:rsid w:val="00FC3687"/>
    <w:rPr>
      <w:color w:val="FFFFFF" w:themeColor="background1"/>
      <w:sz w:val="22"/>
    </w:rPr>
  </w:style>
  <w:style w:type="paragraph" w:customStyle="1" w:styleId="Figuredescription">
    <w:name w:val="Figure description"/>
    <w:basedOn w:val="Figurecaption"/>
    <w:uiPriority w:val="10"/>
    <w:qFormat/>
    <w:rsid w:val="00593A5A"/>
    <w:pPr>
      <w:tabs>
        <w:tab w:val="clear" w:pos="1021"/>
      </w:tabs>
      <w:spacing w:before="120" w:after="240"/>
      <w:ind w:firstLine="0"/>
    </w:pPr>
    <w:rPr>
      <w:b w:val="0"/>
      <w:color w:val="auto"/>
    </w:rPr>
  </w:style>
  <w:style w:type="paragraph" w:customStyle="1" w:styleId="Bodynumbered-Level1">
    <w:name w:val="Body numbered - Level 1"/>
    <w:basedOn w:val="BodyText"/>
    <w:uiPriority w:val="1"/>
    <w:qFormat/>
    <w:rsid w:val="00FC3687"/>
    <w:pPr>
      <w:numPr>
        <w:numId w:val="13"/>
      </w:numPr>
      <w:spacing w:before="120" w:after="180"/>
    </w:pPr>
  </w:style>
  <w:style w:type="paragraph" w:customStyle="1" w:styleId="Bodynumbered-Level2">
    <w:name w:val="Body numbered - Level 2"/>
    <w:basedOn w:val="Bodynumbered-Level1"/>
    <w:uiPriority w:val="1"/>
    <w:qFormat/>
    <w:rsid w:val="00A6258B"/>
    <w:pPr>
      <w:numPr>
        <w:ilvl w:val="1"/>
      </w:numPr>
    </w:pPr>
  </w:style>
  <w:style w:type="paragraph" w:customStyle="1" w:styleId="Bodynumbered-Level3">
    <w:name w:val="Body numbered - Level 3"/>
    <w:basedOn w:val="Bodynumbered-Level1"/>
    <w:uiPriority w:val="1"/>
    <w:qFormat/>
    <w:rsid w:val="00A6258B"/>
    <w:pPr>
      <w:numPr>
        <w:ilvl w:val="2"/>
      </w:numPr>
    </w:pPr>
  </w:style>
  <w:style w:type="paragraph" w:customStyle="1" w:styleId="Preliminaries-Heading1">
    <w:name w:val="Preliminaries - Heading 1"/>
    <w:basedOn w:val="Heading1"/>
    <w:next w:val="BodyText"/>
    <w:uiPriority w:val="18"/>
    <w:qFormat/>
    <w:rsid w:val="007E77FD"/>
  </w:style>
  <w:style w:type="paragraph" w:customStyle="1" w:styleId="Preliminaries-Heading2">
    <w:name w:val="Preliminaries - Heading 2"/>
    <w:basedOn w:val="Heading2"/>
    <w:next w:val="BodyText"/>
    <w:uiPriority w:val="18"/>
    <w:qFormat/>
    <w:rsid w:val="007E77FD"/>
  </w:style>
  <w:style w:type="paragraph" w:customStyle="1" w:styleId="Preliminaries-Heading3">
    <w:name w:val="Preliminaries - Heading 3"/>
    <w:basedOn w:val="Heading3"/>
    <w:next w:val="BodyText"/>
    <w:uiPriority w:val="18"/>
    <w:qFormat/>
    <w:rsid w:val="007E77FD"/>
  </w:style>
  <w:style w:type="paragraph" w:styleId="FootnoteText">
    <w:name w:val="footnote text"/>
    <w:basedOn w:val="Normal"/>
    <w:link w:val="FootnoteTextChar"/>
    <w:uiPriority w:val="99"/>
    <w:rsid w:val="008D0A94"/>
    <w:rPr>
      <w:sz w:val="20"/>
      <w:szCs w:val="20"/>
    </w:rPr>
  </w:style>
  <w:style w:type="character" w:styleId="FootnoteReference">
    <w:name w:val="footnote reference"/>
    <w:basedOn w:val="DefaultParagraphFont"/>
    <w:uiPriority w:val="99"/>
    <w:rsid w:val="008D0A94"/>
    <w:rPr>
      <w:vertAlign w:val="superscript"/>
    </w:rPr>
  </w:style>
  <w:style w:type="paragraph" w:customStyle="1" w:styleId="Bodytext-Indent">
    <w:name w:val="Body text - Indent"/>
    <w:basedOn w:val="BodyText"/>
    <w:next w:val="BodyText"/>
    <w:qFormat/>
    <w:rsid w:val="00DF7C5F"/>
    <w:pPr>
      <w:ind w:left="340"/>
    </w:pPr>
  </w:style>
  <w:style w:type="paragraph" w:customStyle="1" w:styleId="Boxtext">
    <w:name w:val="Box text"/>
    <w:basedOn w:val="BodyText"/>
    <w:uiPriority w:val="14"/>
    <w:qFormat/>
    <w:rsid w:val="00C26C27"/>
    <w:pPr>
      <w:pBdr>
        <w:top w:val="single" w:sz="4" w:space="8" w:color="0072B9"/>
        <w:left w:val="single" w:sz="4" w:space="8" w:color="0072B9"/>
        <w:bottom w:val="single" w:sz="4" w:space="8" w:color="0072B9"/>
        <w:right w:val="single" w:sz="4" w:space="0" w:color="0072B9"/>
      </w:pBdr>
      <w:shd w:val="clear" w:color="auto" w:fill="E7F5FF"/>
      <w:ind w:left="198"/>
    </w:pPr>
  </w:style>
  <w:style w:type="paragraph" w:customStyle="1" w:styleId="Boxheading">
    <w:name w:val="Box heading"/>
    <w:basedOn w:val="Boxtext"/>
    <w:next w:val="Boxtext"/>
    <w:uiPriority w:val="14"/>
    <w:qFormat/>
    <w:rsid w:val="00FC3687"/>
    <w:pPr>
      <w:spacing w:after="120"/>
    </w:pPr>
    <w:rPr>
      <w:rFonts w:asciiTheme="majorHAnsi" w:hAnsiTheme="majorHAnsi"/>
      <w:color w:val="0072B9"/>
      <w:sz w:val="28"/>
    </w:rPr>
  </w:style>
  <w:style w:type="paragraph" w:customStyle="1" w:styleId="Boxbullet">
    <w:name w:val="Box bullet"/>
    <w:basedOn w:val="Boxtext"/>
    <w:uiPriority w:val="15"/>
    <w:qFormat/>
    <w:rsid w:val="00F01429"/>
    <w:pPr>
      <w:numPr>
        <w:numId w:val="14"/>
      </w:numPr>
      <w:spacing w:before="0" w:after="180"/>
      <w:ind w:left="652" w:hanging="454"/>
    </w:pPr>
  </w:style>
  <w:style w:type="paragraph" w:customStyle="1" w:styleId="Boxsub-heading">
    <w:name w:val="Box sub-heading"/>
    <w:basedOn w:val="Boxtext"/>
    <w:next w:val="Boxtext"/>
    <w:uiPriority w:val="14"/>
    <w:qFormat/>
    <w:rsid w:val="00FC3687"/>
    <w:rPr>
      <w:b/>
      <w:color w:val="0072B9"/>
    </w:rPr>
  </w:style>
  <w:style w:type="paragraph" w:customStyle="1" w:styleId="SourceNotes">
    <w:name w:val="Source/Notes"/>
    <w:basedOn w:val="BodyText"/>
    <w:next w:val="BodyText"/>
    <w:uiPriority w:val="10"/>
    <w:qFormat/>
    <w:rsid w:val="007D6EC3"/>
    <w:pPr>
      <w:spacing w:before="0"/>
    </w:pPr>
    <w:rPr>
      <w:sz w:val="20"/>
    </w:rPr>
  </w:style>
  <w:style w:type="paragraph" w:customStyle="1" w:styleId="Boxcaption">
    <w:name w:val="Box caption"/>
    <w:basedOn w:val="Caption"/>
    <w:uiPriority w:val="14"/>
    <w:qFormat/>
    <w:rsid w:val="00CE04BC"/>
  </w:style>
  <w:style w:type="paragraph" w:customStyle="1" w:styleId="Endmatter-Heading3">
    <w:name w:val="End matter - Heading 3"/>
    <w:basedOn w:val="Heading3"/>
    <w:next w:val="BodyText"/>
    <w:uiPriority w:val="19"/>
    <w:qFormat/>
    <w:rsid w:val="00FC3687"/>
    <w:pPr>
      <w:ind w:left="907" w:hanging="907"/>
    </w:pPr>
  </w:style>
  <w:style w:type="paragraph" w:customStyle="1" w:styleId="Titledate">
    <w:name w:val="Title date"/>
    <w:basedOn w:val="Normal"/>
    <w:uiPriority w:val="16"/>
    <w:qFormat/>
    <w:rsid w:val="00E5068E"/>
    <w:pPr>
      <w:spacing w:before="80" w:after="120" w:line="460" w:lineRule="atLeast"/>
      <w:contextualSpacing/>
    </w:pPr>
    <w:rPr>
      <w:rFonts w:eastAsiaTheme="majorEastAsia" w:cstheme="majorBidi"/>
      <w:b/>
      <w:color w:val="FFFFFF" w:themeColor="background1"/>
      <w:kern w:val="28"/>
      <w:sz w:val="28"/>
      <w:szCs w:val="52"/>
    </w:rPr>
  </w:style>
  <w:style w:type="paragraph" w:customStyle="1" w:styleId="Boxlist-Numbered">
    <w:name w:val="Box list - Numbered"/>
    <w:basedOn w:val="Boxtext"/>
    <w:uiPriority w:val="15"/>
    <w:qFormat/>
    <w:rsid w:val="00B1447A"/>
    <w:pPr>
      <w:numPr>
        <w:numId w:val="23"/>
      </w:numPr>
      <w:spacing w:before="120" w:after="180"/>
    </w:pPr>
  </w:style>
  <w:style w:type="paragraph" w:customStyle="1" w:styleId="Boxlist-Alpha">
    <w:name w:val="Box list - Alpha"/>
    <w:basedOn w:val="Boxtext"/>
    <w:uiPriority w:val="15"/>
    <w:qFormat/>
    <w:rsid w:val="004B47F1"/>
    <w:pPr>
      <w:numPr>
        <w:numId w:val="15"/>
      </w:numPr>
      <w:spacing w:before="120" w:after="0"/>
    </w:pPr>
  </w:style>
  <w:style w:type="paragraph" w:customStyle="1" w:styleId="FigureImagewithrule">
    <w:name w:val="Figure/Image with rule"/>
    <w:basedOn w:val="BodyText"/>
    <w:next w:val="SourceNotes"/>
    <w:uiPriority w:val="10"/>
    <w:qFormat/>
    <w:rsid w:val="007F1685"/>
    <w:pPr>
      <w:pBdr>
        <w:bottom w:val="single" w:sz="4" w:space="8" w:color="00728F"/>
      </w:pBdr>
      <w:spacing w:after="0"/>
    </w:pPr>
  </w:style>
  <w:style w:type="paragraph" w:customStyle="1" w:styleId="Tablelist-Numbered">
    <w:name w:val="Table list - Numbered"/>
    <w:basedOn w:val="Tabletext"/>
    <w:uiPriority w:val="13"/>
    <w:qFormat/>
    <w:rsid w:val="00EF4469"/>
    <w:pPr>
      <w:numPr>
        <w:numId w:val="16"/>
      </w:numPr>
    </w:pPr>
  </w:style>
  <w:style w:type="paragraph" w:customStyle="1" w:styleId="Tablecellsub-heading">
    <w:name w:val="Table cell sub-heading"/>
    <w:basedOn w:val="Tablecellheading"/>
    <w:uiPriority w:val="12"/>
    <w:qFormat/>
    <w:rsid w:val="00133178"/>
    <w:rPr>
      <w:color w:val="auto"/>
    </w:rPr>
  </w:style>
  <w:style w:type="character" w:styleId="Emphasis">
    <w:name w:val="Emphasis"/>
    <w:basedOn w:val="DefaultParagraphFont"/>
    <w:uiPriority w:val="20"/>
    <w:qFormat/>
    <w:rsid w:val="00D52C5A"/>
    <w:rPr>
      <w:i/>
      <w:iCs/>
    </w:rPr>
  </w:style>
  <w:style w:type="character" w:styleId="CommentReference">
    <w:name w:val="annotation reference"/>
    <w:basedOn w:val="DefaultParagraphFont"/>
    <w:uiPriority w:val="99"/>
    <w:semiHidden/>
    <w:rsid w:val="008F23A9"/>
    <w:rPr>
      <w:sz w:val="16"/>
      <w:szCs w:val="16"/>
    </w:rPr>
  </w:style>
  <w:style w:type="paragraph" w:styleId="CommentText">
    <w:name w:val="annotation text"/>
    <w:basedOn w:val="Normal"/>
    <w:link w:val="CommentTextChar"/>
    <w:uiPriority w:val="99"/>
    <w:semiHidden/>
    <w:rsid w:val="008F23A9"/>
    <w:rPr>
      <w:sz w:val="20"/>
      <w:szCs w:val="20"/>
    </w:rPr>
  </w:style>
  <w:style w:type="paragraph" w:styleId="CommentSubject">
    <w:name w:val="annotation subject"/>
    <w:basedOn w:val="CommentText"/>
    <w:next w:val="CommentText"/>
    <w:uiPriority w:val="99"/>
    <w:semiHidden/>
    <w:rsid w:val="008F23A9"/>
    <w:rPr>
      <w:b/>
      <w:bCs/>
    </w:rPr>
  </w:style>
  <w:style w:type="numbering" w:styleId="111111">
    <w:name w:val="Outline List 2"/>
    <w:basedOn w:val="NoList"/>
    <w:uiPriority w:val="99"/>
    <w:semiHidden/>
    <w:unhideWhenUsed/>
    <w:rsid w:val="00A0420F"/>
    <w:pPr>
      <w:numPr>
        <w:numId w:val="17"/>
      </w:numPr>
    </w:pPr>
  </w:style>
  <w:style w:type="numbering" w:styleId="1ai">
    <w:name w:val="Outline List 1"/>
    <w:basedOn w:val="NoList"/>
    <w:uiPriority w:val="99"/>
    <w:semiHidden/>
    <w:unhideWhenUsed/>
    <w:rsid w:val="00A0420F"/>
    <w:pPr>
      <w:numPr>
        <w:numId w:val="18"/>
      </w:numPr>
    </w:pPr>
  </w:style>
  <w:style w:type="numbering" w:styleId="ArticleSection">
    <w:name w:val="Outline List 3"/>
    <w:basedOn w:val="NoList"/>
    <w:uiPriority w:val="99"/>
    <w:semiHidden/>
    <w:unhideWhenUsed/>
    <w:rsid w:val="00A0420F"/>
    <w:pPr>
      <w:numPr>
        <w:numId w:val="19"/>
      </w:numPr>
    </w:pPr>
  </w:style>
  <w:style w:type="paragraph" w:styleId="Bibliography">
    <w:name w:val="Bibliography"/>
    <w:basedOn w:val="Normal"/>
    <w:next w:val="Normal"/>
    <w:uiPriority w:val="37"/>
    <w:semiHidden/>
    <w:unhideWhenUsed/>
    <w:rsid w:val="00A0420F"/>
  </w:style>
  <w:style w:type="paragraph" w:styleId="BlockText">
    <w:name w:val="Block Text"/>
    <w:basedOn w:val="Normal"/>
    <w:uiPriority w:val="99"/>
    <w:semiHidden/>
    <w:rsid w:val="00A0420F"/>
    <w:pPr>
      <w:pBdr>
        <w:top w:val="single" w:sz="2" w:space="10" w:color="00728F" w:themeColor="accent1" w:shadow="1" w:frame="1"/>
        <w:left w:val="single" w:sz="2" w:space="10" w:color="00728F" w:themeColor="accent1" w:shadow="1" w:frame="1"/>
        <w:bottom w:val="single" w:sz="2" w:space="10" w:color="00728F" w:themeColor="accent1" w:shadow="1" w:frame="1"/>
        <w:right w:val="single" w:sz="2" w:space="10" w:color="00728F" w:themeColor="accent1" w:shadow="1" w:frame="1"/>
      </w:pBdr>
      <w:ind w:left="1152" w:right="1152"/>
    </w:pPr>
    <w:rPr>
      <w:rFonts w:asciiTheme="minorHAnsi" w:eastAsiaTheme="minorEastAsia" w:hAnsiTheme="minorHAnsi"/>
      <w:i/>
      <w:iCs/>
      <w:color w:val="00728F" w:themeColor="accent1"/>
    </w:rPr>
  </w:style>
  <w:style w:type="paragraph" w:styleId="BodyText2">
    <w:name w:val="Body Text 2"/>
    <w:basedOn w:val="Normal"/>
    <w:uiPriority w:val="99"/>
    <w:semiHidden/>
    <w:rsid w:val="00A0420F"/>
    <w:pPr>
      <w:spacing w:after="120" w:line="480" w:lineRule="auto"/>
    </w:pPr>
  </w:style>
  <w:style w:type="paragraph" w:styleId="BodyText3">
    <w:name w:val="Body Text 3"/>
    <w:basedOn w:val="Normal"/>
    <w:uiPriority w:val="99"/>
    <w:semiHidden/>
    <w:rsid w:val="00A0420F"/>
    <w:pPr>
      <w:spacing w:after="120"/>
    </w:pPr>
    <w:rPr>
      <w:sz w:val="16"/>
      <w:szCs w:val="16"/>
    </w:rPr>
  </w:style>
  <w:style w:type="paragraph" w:styleId="BodyTextFirstIndent">
    <w:name w:val="Body Text First Indent"/>
    <w:basedOn w:val="BodyText"/>
    <w:uiPriority w:val="99"/>
    <w:semiHidden/>
    <w:rsid w:val="00A0420F"/>
    <w:pPr>
      <w:spacing w:before="0" w:after="0"/>
      <w:ind w:firstLine="360"/>
    </w:pPr>
  </w:style>
  <w:style w:type="paragraph" w:styleId="BodyTextIndent">
    <w:name w:val="Body Text Indent"/>
    <w:basedOn w:val="Normal"/>
    <w:uiPriority w:val="99"/>
    <w:semiHidden/>
    <w:rsid w:val="00A0420F"/>
    <w:pPr>
      <w:spacing w:after="120"/>
      <w:ind w:left="283"/>
    </w:pPr>
  </w:style>
  <w:style w:type="paragraph" w:styleId="BodyTextFirstIndent2">
    <w:name w:val="Body Text First Indent 2"/>
    <w:basedOn w:val="BodyTextIndent"/>
    <w:uiPriority w:val="99"/>
    <w:semiHidden/>
    <w:rsid w:val="00A0420F"/>
    <w:pPr>
      <w:spacing w:after="0"/>
      <w:ind w:left="360" w:firstLine="360"/>
    </w:pPr>
  </w:style>
  <w:style w:type="paragraph" w:styleId="BodyTextIndent2">
    <w:name w:val="Body Text Indent 2"/>
    <w:basedOn w:val="Normal"/>
    <w:uiPriority w:val="99"/>
    <w:semiHidden/>
    <w:rsid w:val="00A0420F"/>
    <w:pPr>
      <w:spacing w:after="120" w:line="480" w:lineRule="auto"/>
      <w:ind w:left="283"/>
    </w:pPr>
  </w:style>
  <w:style w:type="paragraph" w:styleId="BodyTextIndent3">
    <w:name w:val="Body Text Indent 3"/>
    <w:basedOn w:val="Normal"/>
    <w:uiPriority w:val="99"/>
    <w:semiHidden/>
    <w:rsid w:val="00A0420F"/>
    <w:pPr>
      <w:spacing w:after="120"/>
      <w:ind w:left="283"/>
    </w:pPr>
    <w:rPr>
      <w:sz w:val="16"/>
      <w:szCs w:val="16"/>
    </w:rPr>
  </w:style>
  <w:style w:type="character" w:styleId="BookTitle">
    <w:name w:val="Book Title"/>
    <w:basedOn w:val="DefaultParagraphFont"/>
    <w:uiPriority w:val="33"/>
    <w:semiHidden/>
    <w:qFormat/>
    <w:rsid w:val="00A0420F"/>
    <w:rPr>
      <w:b/>
      <w:bCs/>
      <w:smallCaps/>
      <w:spacing w:val="5"/>
    </w:rPr>
  </w:style>
  <w:style w:type="paragraph" w:styleId="Closing">
    <w:name w:val="Closing"/>
    <w:basedOn w:val="Normal"/>
    <w:link w:val="ClosingChar"/>
    <w:uiPriority w:val="99"/>
    <w:semiHidden/>
    <w:rsid w:val="00A0420F"/>
    <w:pPr>
      <w:ind w:left="4252"/>
    </w:pPr>
  </w:style>
  <w:style w:type="character" w:customStyle="1" w:styleId="ClosingChar">
    <w:name w:val="Closing Char"/>
    <w:basedOn w:val="DefaultParagraphFont"/>
    <w:link w:val="Closing"/>
    <w:uiPriority w:val="99"/>
    <w:semiHidden/>
    <w:rsid w:val="00A0420F"/>
    <w:rPr>
      <w:rFonts w:ascii="Calibri" w:hAnsi="Calibri"/>
    </w:rPr>
  </w:style>
  <w:style w:type="paragraph" w:styleId="Date">
    <w:name w:val="Date"/>
    <w:basedOn w:val="Normal"/>
    <w:next w:val="Normal"/>
    <w:link w:val="DateChar"/>
    <w:uiPriority w:val="99"/>
    <w:semiHidden/>
    <w:rsid w:val="00A0420F"/>
  </w:style>
  <w:style w:type="character" w:customStyle="1" w:styleId="DateChar">
    <w:name w:val="Date Char"/>
    <w:basedOn w:val="DefaultParagraphFont"/>
    <w:link w:val="Date"/>
    <w:uiPriority w:val="99"/>
    <w:semiHidden/>
    <w:rsid w:val="00A0420F"/>
    <w:rPr>
      <w:rFonts w:ascii="Calibri" w:hAnsi="Calibri"/>
    </w:rPr>
  </w:style>
  <w:style w:type="paragraph" w:styleId="DocumentMap">
    <w:name w:val="Document Map"/>
    <w:basedOn w:val="Normal"/>
    <w:link w:val="DocumentMapChar"/>
    <w:uiPriority w:val="99"/>
    <w:semiHidden/>
    <w:rsid w:val="00A0420F"/>
    <w:rPr>
      <w:rFonts w:ascii="Tahoma" w:hAnsi="Tahoma" w:cs="Tahoma"/>
      <w:sz w:val="16"/>
      <w:szCs w:val="16"/>
    </w:rPr>
  </w:style>
  <w:style w:type="character" w:customStyle="1" w:styleId="DocumentMapChar">
    <w:name w:val="Document Map Char"/>
    <w:basedOn w:val="DefaultParagraphFont"/>
    <w:link w:val="DocumentMap"/>
    <w:uiPriority w:val="99"/>
    <w:semiHidden/>
    <w:rsid w:val="00A0420F"/>
    <w:rPr>
      <w:rFonts w:ascii="Tahoma" w:hAnsi="Tahoma" w:cs="Tahoma"/>
      <w:sz w:val="16"/>
      <w:szCs w:val="16"/>
    </w:rPr>
  </w:style>
  <w:style w:type="paragraph" w:styleId="E-mailSignature">
    <w:name w:val="E-mail Signature"/>
    <w:basedOn w:val="Normal"/>
    <w:link w:val="E-mailSignatureChar"/>
    <w:uiPriority w:val="99"/>
    <w:semiHidden/>
    <w:rsid w:val="00A0420F"/>
  </w:style>
  <w:style w:type="character" w:customStyle="1" w:styleId="E-mailSignatureChar">
    <w:name w:val="E-mail Signature Char"/>
    <w:basedOn w:val="DefaultParagraphFont"/>
    <w:link w:val="E-mailSignature"/>
    <w:uiPriority w:val="99"/>
    <w:semiHidden/>
    <w:rsid w:val="00A0420F"/>
    <w:rPr>
      <w:rFonts w:ascii="Calibri" w:hAnsi="Calibri"/>
    </w:rPr>
  </w:style>
  <w:style w:type="character" w:styleId="EndnoteReference">
    <w:name w:val="endnote reference"/>
    <w:basedOn w:val="DefaultParagraphFont"/>
    <w:uiPriority w:val="99"/>
    <w:semiHidden/>
    <w:unhideWhenUsed/>
    <w:rsid w:val="00A0420F"/>
    <w:rPr>
      <w:vertAlign w:val="superscript"/>
    </w:rPr>
  </w:style>
  <w:style w:type="paragraph" w:styleId="EndnoteText">
    <w:name w:val="endnote text"/>
    <w:basedOn w:val="Normal"/>
    <w:link w:val="EndnoteTextChar"/>
    <w:uiPriority w:val="99"/>
    <w:semiHidden/>
    <w:unhideWhenUsed/>
    <w:rsid w:val="00A0420F"/>
    <w:rPr>
      <w:sz w:val="20"/>
      <w:szCs w:val="20"/>
    </w:rPr>
  </w:style>
  <w:style w:type="character" w:customStyle="1" w:styleId="EndnoteTextChar">
    <w:name w:val="Endnote Text Char"/>
    <w:basedOn w:val="DefaultParagraphFont"/>
    <w:link w:val="EndnoteText"/>
    <w:uiPriority w:val="99"/>
    <w:semiHidden/>
    <w:rsid w:val="00A0420F"/>
    <w:rPr>
      <w:rFonts w:ascii="Calibri" w:hAnsi="Calibri"/>
      <w:sz w:val="20"/>
      <w:szCs w:val="20"/>
    </w:rPr>
  </w:style>
  <w:style w:type="paragraph" w:styleId="EnvelopeAddress">
    <w:name w:val="envelope address"/>
    <w:basedOn w:val="Normal"/>
    <w:uiPriority w:val="99"/>
    <w:semiHidden/>
    <w:rsid w:val="00A0420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0420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A0420F"/>
    <w:rPr>
      <w:color w:val="800080" w:themeColor="followedHyperlink"/>
      <w:u w:val="single"/>
    </w:rPr>
  </w:style>
  <w:style w:type="character" w:styleId="HTMLAcronym">
    <w:name w:val="HTML Acronym"/>
    <w:basedOn w:val="DefaultParagraphFont"/>
    <w:uiPriority w:val="99"/>
    <w:semiHidden/>
    <w:rsid w:val="00A0420F"/>
  </w:style>
  <w:style w:type="paragraph" w:styleId="HTMLAddress">
    <w:name w:val="HTML Address"/>
    <w:basedOn w:val="Normal"/>
    <w:link w:val="HTMLAddressChar"/>
    <w:uiPriority w:val="99"/>
    <w:semiHidden/>
    <w:rsid w:val="00A0420F"/>
    <w:rPr>
      <w:i/>
      <w:iCs/>
    </w:rPr>
  </w:style>
  <w:style w:type="character" w:customStyle="1" w:styleId="HTMLAddressChar">
    <w:name w:val="HTML Address Char"/>
    <w:basedOn w:val="DefaultParagraphFont"/>
    <w:link w:val="HTMLAddress"/>
    <w:uiPriority w:val="99"/>
    <w:semiHidden/>
    <w:rsid w:val="00A0420F"/>
    <w:rPr>
      <w:rFonts w:ascii="Calibri" w:hAnsi="Calibri"/>
      <w:i/>
      <w:iCs/>
    </w:rPr>
  </w:style>
  <w:style w:type="character" w:styleId="HTMLCite">
    <w:name w:val="HTML Cite"/>
    <w:basedOn w:val="DefaultParagraphFont"/>
    <w:uiPriority w:val="99"/>
    <w:semiHidden/>
    <w:rsid w:val="00A0420F"/>
    <w:rPr>
      <w:i/>
      <w:iCs/>
    </w:rPr>
  </w:style>
  <w:style w:type="character" w:styleId="HTMLCode">
    <w:name w:val="HTML Code"/>
    <w:basedOn w:val="DefaultParagraphFont"/>
    <w:uiPriority w:val="99"/>
    <w:semiHidden/>
    <w:rsid w:val="00A0420F"/>
    <w:rPr>
      <w:rFonts w:ascii="Consolas" w:hAnsi="Consolas" w:cs="Consolas"/>
      <w:sz w:val="20"/>
      <w:szCs w:val="20"/>
    </w:rPr>
  </w:style>
  <w:style w:type="character" w:styleId="HTMLDefinition">
    <w:name w:val="HTML Definition"/>
    <w:basedOn w:val="DefaultParagraphFont"/>
    <w:uiPriority w:val="99"/>
    <w:semiHidden/>
    <w:rsid w:val="00A0420F"/>
    <w:rPr>
      <w:i/>
      <w:iCs/>
    </w:rPr>
  </w:style>
  <w:style w:type="character" w:styleId="HTMLKeyboard">
    <w:name w:val="HTML Keyboard"/>
    <w:basedOn w:val="DefaultParagraphFont"/>
    <w:uiPriority w:val="99"/>
    <w:semiHidden/>
    <w:rsid w:val="00A0420F"/>
    <w:rPr>
      <w:rFonts w:ascii="Consolas" w:hAnsi="Consolas" w:cs="Consolas"/>
      <w:sz w:val="20"/>
      <w:szCs w:val="20"/>
    </w:rPr>
  </w:style>
  <w:style w:type="paragraph" w:styleId="HTMLPreformatted">
    <w:name w:val="HTML Preformatted"/>
    <w:basedOn w:val="Normal"/>
    <w:link w:val="HTMLPreformattedChar"/>
    <w:uiPriority w:val="99"/>
    <w:semiHidden/>
    <w:rsid w:val="00A0420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0420F"/>
    <w:rPr>
      <w:rFonts w:ascii="Consolas" w:hAnsi="Consolas" w:cs="Consolas"/>
      <w:sz w:val="20"/>
      <w:szCs w:val="20"/>
    </w:rPr>
  </w:style>
  <w:style w:type="character" w:styleId="HTMLSample">
    <w:name w:val="HTML Sample"/>
    <w:basedOn w:val="DefaultParagraphFont"/>
    <w:uiPriority w:val="99"/>
    <w:semiHidden/>
    <w:rsid w:val="00A0420F"/>
    <w:rPr>
      <w:rFonts w:ascii="Consolas" w:hAnsi="Consolas" w:cs="Consolas"/>
      <w:sz w:val="24"/>
      <w:szCs w:val="24"/>
    </w:rPr>
  </w:style>
  <w:style w:type="character" w:styleId="HTMLTypewriter">
    <w:name w:val="HTML Typewriter"/>
    <w:basedOn w:val="DefaultParagraphFont"/>
    <w:uiPriority w:val="99"/>
    <w:semiHidden/>
    <w:rsid w:val="00A0420F"/>
    <w:rPr>
      <w:rFonts w:ascii="Consolas" w:hAnsi="Consolas" w:cs="Consolas"/>
      <w:sz w:val="20"/>
      <w:szCs w:val="20"/>
    </w:rPr>
  </w:style>
  <w:style w:type="character" w:styleId="HTMLVariable">
    <w:name w:val="HTML Variable"/>
    <w:basedOn w:val="DefaultParagraphFont"/>
    <w:uiPriority w:val="99"/>
    <w:semiHidden/>
    <w:rsid w:val="00A0420F"/>
    <w:rPr>
      <w:i/>
      <w:iCs/>
    </w:rPr>
  </w:style>
  <w:style w:type="paragraph" w:styleId="Index1">
    <w:name w:val="index 1"/>
    <w:basedOn w:val="Normal"/>
    <w:next w:val="Normal"/>
    <w:autoRedefine/>
    <w:uiPriority w:val="99"/>
    <w:semiHidden/>
    <w:rsid w:val="00A0420F"/>
    <w:pPr>
      <w:ind w:left="220" w:hanging="220"/>
    </w:pPr>
  </w:style>
  <w:style w:type="paragraph" w:styleId="Index2">
    <w:name w:val="index 2"/>
    <w:basedOn w:val="Normal"/>
    <w:next w:val="Normal"/>
    <w:autoRedefine/>
    <w:uiPriority w:val="99"/>
    <w:semiHidden/>
    <w:rsid w:val="00A0420F"/>
    <w:pPr>
      <w:ind w:left="440" w:hanging="220"/>
    </w:pPr>
  </w:style>
  <w:style w:type="paragraph" w:styleId="Index3">
    <w:name w:val="index 3"/>
    <w:basedOn w:val="Normal"/>
    <w:next w:val="Normal"/>
    <w:autoRedefine/>
    <w:uiPriority w:val="99"/>
    <w:semiHidden/>
    <w:rsid w:val="00A0420F"/>
    <w:pPr>
      <w:ind w:left="660" w:hanging="220"/>
    </w:pPr>
  </w:style>
  <w:style w:type="paragraph" w:styleId="Index4">
    <w:name w:val="index 4"/>
    <w:basedOn w:val="Normal"/>
    <w:next w:val="Normal"/>
    <w:autoRedefine/>
    <w:uiPriority w:val="99"/>
    <w:semiHidden/>
    <w:rsid w:val="00A0420F"/>
    <w:pPr>
      <w:ind w:left="880" w:hanging="220"/>
    </w:pPr>
  </w:style>
  <w:style w:type="paragraph" w:styleId="Index5">
    <w:name w:val="index 5"/>
    <w:basedOn w:val="Normal"/>
    <w:next w:val="Normal"/>
    <w:autoRedefine/>
    <w:uiPriority w:val="99"/>
    <w:semiHidden/>
    <w:rsid w:val="00A0420F"/>
    <w:pPr>
      <w:ind w:left="1100" w:hanging="220"/>
    </w:pPr>
  </w:style>
  <w:style w:type="paragraph" w:styleId="Index6">
    <w:name w:val="index 6"/>
    <w:basedOn w:val="Normal"/>
    <w:next w:val="Normal"/>
    <w:autoRedefine/>
    <w:uiPriority w:val="99"/>
    <w:semiHidden/>
    <w:rsid w:val="00A0420F"/>
    <w:pPr>
      <w:ind w:left="1320" w:hanging="220"/>
    </w:pPr>
  </w:style>
  <w:style w:type="paragraph" w:styleId="Index7">
    <w:name w:val="index 7"/>
    <w:basedOn w:val="Normal"/>
    <w:next w:val="Normal"/>
    <w:autoRedefine/>
    <w:uiPriority w:val="99"/>
    <w:semiHidden/>
    <w:rsid w:val="00A0420F"/>
    <w:pPr>
      <w:ind w:left="1540" w:hanging="220"/>
    </w:pPr>
  </w:style>
  <w:style w:type="paragraph" w:styleId="Index8">
    <w:name w:val="index 8"/>
    <w:basedOn w:val="Normal"/>
    <w:next w:val="Normal"/>
    <w:autoRedefine/>
    <w:uiPriority w:val="99"/>
    <w:semiHidden/>
    <w:rsid w:val="00A0420F"/>
    <w:pPr>
      <w:ind w:left="1760" w:hanging="220"/>
    </w:pPr>
  </w:style>
  <w:style w:type="paragraph" w:styleId="Index9">
    <w:name w:val="index 9"/>
    <w:basedOn w:val="Normal"/>
    <w:next w:val="Normal"/>
    <w:autoRedefine/>
    <w:uiPriority w:val="99"/>
    <w:semiHidden/>
    <w:rsid w:val="00A0420F"/>
    <w:pPr>
      <w:ind w:left="1980" w:hanging="220"/>
    </w:pPr>
  </w:style>
  <w:style w:type="paragraph" w:styleId="IndexHeading">
    <w:name w:val="index heading"/>
    <w:basedOn w:val="Normal"/>
    <w:next w:val="Index1"/>
    <w:uiPriority w:val="99"/>
    <w:semiHidden/>
    <w:rsid w:val="00A0420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0420F"/>
    <w:rPr>
      <w:b/>
      <w:bCs/>
      <w:i/>
      <w:iCs/>
      <w:color w:val="00728F" w:themeColor="accent1"/>
    </w:rPr>
  </w:style>
  <w:style w:type="paragraph" w:styleId="IntenseQuote">
    <w:name w:val="Intense Quote"/>
    <w:basedOn w:val="Normal"/>
    <w:next w:val="Normal"/>
    <w:link w:val="IntenseQuoteChar"/>
    <w:uiPriority w:val="30"/>
    <w:semiHidden/>
    <w:qFormat/>
    <w:rsid w:val="00A0420F"/>
    <w:pPr>
      <w:pBdr>
        <w:bottom w:val="single" w:sz="4" w:space="4" w:color="00728F" w:themeColor="accent1"/>
      </w:pBdr>
      <w:spacing w:before="200" w:after="280"/>
      <w:ind w:left="936" w:right="936"/>
    </w:pPr>
    <w:rPr>
      <w:b/>
      <w:bCs/>
      <w:i/>
      <w:iCs/>
      <w:color w:val="00728F" w:themeColor="accent1"/>
    </w:rPr>
  </w:style>
  <w:style w:type="character" w:customStyle="1" w:styleId="IntenseQuoteChar">
    <w:name w:val="Intense Quote Char"/>
    <w:basedOn w:val="DefaultParagraphFont"/>
    <w:link w:val="IntenseQuote"/>
    <w:uiPriority w:val="30"/>
    <w:semiHidden/>
    <w:rsid w:val="00A0420F"/>
    <w:rPr>
      <w:rFonts w:ascii="Calibri" w:hAnsi="Calibri"/>
      <w:b/>
      <w:bCs/>
      <w:i/>
      <w:iCs/>
      <w:color w:val="00728F" w:themeColor="accent1"/>
    </w:rPr>
  </w:style>
  <w:style w:type="character" w:styleId="IntenseReference">
    <w:name w:val="Intense Reference"/>
    <w:basedOn w:val="DefaultParagraphFont"/>
    <w:uiPriority w:val="32"/>
    <w:semiHidden/>
    <w:qFormat/>
    <w:rsid w:val="00A0420F"/>
    <w:rPr>
      <w:b/>
      <w:bCs/>
      <w:smallCaps/>
      <w:color w:val="B7DDE8" w:themeColor="accent2"/>
      <w:spacing w:val="5"/>
      <w:u w:val="single"/>
    </w:rPr>
  </w:style>
  <w:style w:type="character" w:styleId="LineNumber">
    <w:name w:val="line number"/>
    <w:basedOn w:val="DefaultParagraphFont"/>
    <w:uiPriority w:val="99"/>
    <w:semiHidden/>
    <w:rsid w:val="00A0420F"/>
  </w:style>
  <w:style w:type="paragraph" w:styleId="List">
    <w:name w:val="List"/>
    <w:basedOn w:val="Normal"/>
    <w:uiPriority w:val="99"/>
    <w:semiHidden/>
    <w:rsid w:val="00A0420F"/>
    <w:pPr>
      <w:ind w:left="283" w:hanging="283"/>
      <w:contextualSpacing/>
    </w:pPr>
  </w:style>
  <w:style w:type="paragraph" w:styleId="List2">
    <w:name w:val="List 2"/>
    <w:basedOn w:val="Normal"/>
    <w:uiPriority w:val="99"/>
    <w:semiHidden/>
    <w:rsid w:val="00A0420F"/>
    <w:pPr>
      <w:ind w:left="566" w:hanging="283"/>
      <w:contextualSpacing/>
    </w:pPr>
  </w:style>
  <w:style w:type="paragraph" w:styleId="List3">
    <w:name w:val="List 3"/>
    <w:basedOn w:val="Normal"/>
    <w:uiPriority w:val="99"/>
    <w:semiHidden/>
    <w:rsid w:val="00A0420F"/>
    <w:pPr>
      <w:ind w:left="849" w:hanging="283"/>
      <w:contextualSpacing/>
    </w:pPr>
  </w:style>
  <w:style w:type="paragraph" w:styleId="List4">
    <w:name w:val="List 4"/>
    <w:basedOn w:val="Normal"/>
    <w:uiPriority w:val="99"/>
    <w:semiHidden/>
    <w:rsid w:val="00A0420F"/>
    <w:pPr>
      <w:ind w:left="1132" w:hanging="283"/>
      <w:contextualSpacing/>
    </w:pPr>
  </w:style>
  <w:style w:type="paragraph" w:styleId="List5">
    <w:name w:val="List 5"/>
    <w:basedOn w:val="Normal"/>
    <w:uiPriority w:val="99"/>
    <w:semiHidden/>
    <w:rsid w:val="00A0420F"/>
    <w:pPr>
      <w:ind w:left="1415" w:hanging="283"/>
      <w:contextualSpacing/>
    </w:pPr>
  </w:style>
  <w:style w:type="paragraph" w:styleId="ListBullet">
    <w:name w:val="List Bullet"/>
    <w:basedOn w:val="Normal"/>
    <w:uiPriority w:val="99"/>
    <w:semiHidden/>
    <w:rsid w:val="00A0420F"/>
    <w:pPr>
      <w:numPr>
        <w:numId w:val="1"/>
      </w:numPr>
      <w:contextualSpacing/>
    </w:pPr>
  </w:style>
  <w:style w:type="paragraph" w:styleId="ListBullet2">
    <w:name w:val="List Bullet 2"/>
    <w:basedOn w:val="Normal"/>
    <w:uiPriority w:val="99"/>
    <w:semiHidden/>
    <w:rsid w:val="00A0420F"/>
    <w:pPr>
      <w:numPr>
        <w:numId w:val="2"/>
      </w:numPr>
      <w:contextualSpacing/>
    </w:pPr>
  </w:style>
  <w:style w:type="paragraph" w:styleId="ListBullet3">
    <w:name w:val="List Bullet 3"/>
    <w:basedOn w:val="Normal"/>
    <w:uiPriority w:val="99"/>
    <w:semiHidden/>
    <w:rsid w:val="00A0420F"/>
    <w:pPr>
      <w:numPr>
        <w:numId w:val="3"/>
      </w:numPr>
      <w:contextualSpacing/>
    </w:pPr>
  </w:style>
  <w:style w:type="paragraph" w:styleId="ListBullet4">
    <w:name w:val="List Bullet 4"/>
    <w:basedOn w:val="Normal"/>
    <w:uiPriority w:val="99"/>
    <w:semiHidden/>
    <w:rsid w:val="00A0420F"/>
    <w:pPr>
      <w:numPr>
        <w:numId w:val="4"/>
      </w:numPr>
      <w:contextualSpacing/>
    </w:pPr>
  </w:style>
  <w:style w:type="paragraph" w:styleId="ListBullet5">
    <w:name w:val="List Bullet 5"/>
    <w:basedOn w:val="Normal"/>
    <w:uiPriority w:val="99"/>
    <w:semiHidden/>
    <w:rsid w:val="00A0420F"/>
    <w:pPr>
      <w:numPr>
        <w:numId w:val="5"/>
      </w:numPr>
      <w:contextualSpacing/>
    </w:pPr>
  </w:style>
  <w:style w:type="paragraph" w:styleId="ListContinue">
    <w:name w:val="List Continue"/>
    <w:basedOn w:val="Normal"/>
    <w:uiPriority w:val="99"/>
    <w:semiHidden/>
    <w:rsid w:val="00A0420F"/>
    <w:pPr>
      <w:spacing w:after="120"/>
      <w:ind w:left="283"/>
      <w:contextualSpacing/>
    </w:pPr>
  </w:style>
  <w:style w:type="paragraph" w:styleId="ListContinue2">
    <w:name w:val="List Continue 2"/>
    <w:basedOn w:val="Normal"/>
    <w:uiPriority w:val="99"/>
    <w:semiHidden/>
    <w:rsid w:val="00A0420F"/>
    <w:pPr>
      <w:spacing w:after="120"/>
      <w:ind w:left="566"/>
      <w:contextualSpacing/>
    </w:pPr>
  </w:style>
  <w:style w:type="paragraph" w:styleId="ListContinue3">
    <w:name w:val="List Continue 3"/>
    <w:basedOn w:val="Normal"/>
    <w:uiPriority w:val="99"/>
    <w:semiHidden/>
    <w:rsid w:val="00A0420F"/>
    <w:pPr>
      <w:spacing w:after="120"/>
      <w:ind w:left="849"/>
      <w:contextualSpacing/>
    </w:pPr>
  </w:style>
  <w:style w:type="paragraph" w:styleId="ListContinue4">
    <w:name w:val="List Continue 4"/>
    <w:basedOn w:val="Normal"/>
    <w:uiPriority w:val="99"/>
    <w:semiHidden/>
    <w:rsid w:val="00A0420F"/>
    <w:pPr>
      <w:spacing w:after="120"/>
      <w:ind w:left="1132"/>
      <w:contextualSpacing/>
    </w:pPr>
  </w:style>
  <w:style w:type="paragraph" w:styleId="ListContinue5">
    <w:name w:val="List Continue 5"/>
    <w:basedOn w:val="Normal"/>
    <w:uiPriority w:val="99"/>
    <w:semiHidden/>
    <w:rsid w:val="00A0420F"/>
    <w:pPr>
      <w:spacing w:after="120"/>
      <w:ind w:left="1415"/>
      <w:contextualSpacing/>
    </w:pPr>
  </w:style>
  <w:style w:type="paragraph" w:styleId="ListNumber">
    <w:name w:val="List Number"/>
    <w:basedOn w:val="Normal"/>
    <w:uiPriority w:val="99"/>
    <w:semiHidden/>
    <w:rsid w:val="00A0420F"/>
    <w:pPr>
      <w:numPr>
        <w:numId w:val="6"/>
      </w:numPr>
      <w:contextualSpacing/>
    </w:pPr>
  </w:style>
  <w:style w:type="paragraph" w:styleId="ListNumber2">
    <w:name w:val="List Number 2"/>
    <w:basedOn w:val="Normal"/>
    <w:uiPriority w:val="99"/>
    <w:semiHidden/>
    <w:rsid w:val="00A0420F"/>
    <w:pPr>
      <w:numPr>
        <w:numId w:val="7"/>
      </w:numPr>
      <w:contextualSpacing/>
    </w:pPr>
  </w:style>
  <w:style w:type="paragraph" w:styleId="ListNumber3">
    <w:name w:val="List Number 3"/>
    <w:basedOn w:val="Normal"/>
    <w:uiPriority w:val="99"/>
    <w:semiHidden/>
    <w:rsid w:val="00A0420F"/>
    <w:pPr>
      <w:numPr>
        <w:numId w:val="8"/>
      </w:numPr>
      <w:contextualSpacing/>
    </w:pPr>
  </w:style>
  <w:style w:type="paragraph" w:styleId="ListNumber4">
    <w:name w:val="List Number 4"/>
    <w:basedOn w:val="Normal"/>
    <w:uiPriority w:val="99"/>
    <w:semiHidden/>
    <w:rsid w:val="00A0420F"/>
    <w:pPr>
      <w:numPr>
        <w:numId w:val="9"/>
      </w:numPr>
      <w:contextualSpacing/>
    </w:pPr>
  </w:style>
  <w:style w:type="paragraph" w:styleId="ListNumber5">
    <w:name w:val="List Number 5"/>
    <w:basedOn w:val="Normal"/>
    <w:uiPriority w:val="99"/>
    <w:semiHidden/>
    <w:rsid w:val="00A0420F"/>
    <w:pPr>
      <w:numPr>
        <w:numId w:val="10"/>
      </w:numPr>
      <w:contextualSpacing/>
    </w:pPr>
  </w:style>
  <w:style w:type="paragraph" w:styleId="ListParagraph">
    <w:name w:val="List Paragraph"/>
    <w:basedOn w:val="Normal"/>
    <w:link w:val="ListParagraphChar"/>
    <w:uiPriority w:val="34"/>
    <w:qFormat/>
    <w:rsid w:val="00A0420F"/>
    <w:pPr>
      <w:ind w:left="720"/>
      <w:contextualSpacing/>
    </w:pPr>
  </w:style>
  <w:style w:type="paragraph" w:styleId="MacroText">
    <w:name w:val="macro"/>
    <w:link w:val="MacroTextChar"/>
    <w:uiPriority w:val="99"/>
    <w:semiHidden/>
    <w:rsid w:val="00A04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0420F"/>
    <w:rPr>
      <w:rFonts w:ascii="Consolas" w:hAnsi="Consolas" w:cs="Consolas"/>
      <w:sz w:val="20"/>
      <w:szCs w:val="20"/>
    </w:rPr>
  </w:style>
  <w:style w:type="paragraph" w:styleId="MessageHeader">
    <w:name w:val="Message Header"/>
    <w:basedOn w:val="Normal"/>
    <w:link w:val="MessageHeaderChar"/>
    <w:uiPriority w:val="99"/>
    <w:semiHidden/>
    <w:rsid w:val="00A042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420F"/>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A0420F"/>
    <w:pPr>
      <w:spacing w:after="0"/>
    </w:pPr>
    <w:rPr>
      <w:rFonts w:ascii="Calibri" w:hAnsi="Calibri"/>
    </w:rPr>
  </w:style>
  <w:style w:type="paragraph" w:styleId="NormalWeb">
    <w:name w:val="Normal (Web)"/>
    <w:basedOn w:val="Normal"/>
    <w:uiPriority w:val="99"/>
    <w:semiHidden/>
    <w:rsid w:val="00A0420F"/>
    <w:rPr>
      <w:rFonts w:ascii="Times New Roman" w:hAnsi="Times New Roman" w:cs="Times New Roman"/>
      <w:sz w:val="24"/>
      <w:szCs w:val="24"/>
    </w:rPr>
  </w:style>
  <w:style w:type="paragraph" w:styleId="NormalIndent">
    <w:name w:val="Normal Indent"/>
    <w:basedOn w:val="Normal"/>
    <w:uiPriority w:val="99"/>
    <w:semiHidden/>
    <w:rsid w:val="00A0420F"/>
    <w:pPr>
      <w:ind w:left="720"/>
    </w:pPr>
  </w:style>
  <w:style w:type="paragraph" w:styleId="NoteHeading">
    <w:name w:val="Note Heading"/>
    <w:basedOn w:val="Normal"/>
    <w:next w:val="Normal"/>
    <w:link w:val="NoteHeadingChar"/>
    <w:uiPriority w:val="99"/>
    <w:semiHidden/>
    <w:rsid w:val="00A0420F"/>
  </w:style>
  <w:style w:type="character" w:customStyle="1" w:styleId="NoteHeadingChar">
    <w:name w:val="Note Heading Char"/>
    <w:basedOn w:val="DefaultParagraphFont"/>
    <w:link w:val="NoteHeading"/>
    <w:uiPriority w:val="99"/>
    <w:semiHidden/>
    <w:rsid w:val="00A0420F"/>
    <w:rPr>
      <w:rFonts w:ascii="Calibri" w:hAnsi="Calibri"/>
    </w:rPr>
  </w:style>
  <w:style w:type="character" w:styleId="PlaceholderText">
    <w:name w:val="Placeholder Text"/>
    <w:basedOn w:val="DefaultParagraphFont"/>
    <w:uiPriority w:val="99"/>
    <w:semiHidden/>
    <w:rsid w:val="00A0420F"/>
    <w:rPr>
      <w:color w:val="808080"/>
    </w:rPr>
  </w:style>
  <w:style w:type="paragraph" w:styleId="PlainText">
    <w:name w:val="Plain Text"/>
    <w:basedOn w:val="Normal"/>
    <w:link w:val="PlainTextChar"/>
    <w:uiPriority w:val="99"/>
    <w:semiHidden/>
    <w:rsid w:val="00A0420F"/>
    <w:rPr>
      <w:rFonts w:ascii="Consolas" w:hAnsi="Consolas" w:cs="Consolas"/>
      <w:sz w:val="21"/>
      <w:szCs w:val="21"/>
    </w:rPr>
  </w:style>
  <w:style w:type="character" w:customStyle="1" w:styleId="PlainTextChar">
    <w:name w:val="Plain Text Char"/>
    <w:basedOn w:val="DefaultParagraphFont"/>
    <w:link w:val="PlainText"/>
    <w:uiPriority w:val="99"/>
    <w:semiHidden/>
    <w:rsid w:val="00A0420F"/>
    <w:rPr>
      <w:rFonts w:ascii="Consolas" w:hAnsi="Consolas" w:cs="Consolas"/>
      <w:sz w:val="21"/>
      <w:szCs w:val="21"/>
    </w:rPr>
  </w:style>
  <w:style w:type="paragraph" w:styleId="Quote">
    <w:name w:val="Quote"/>
    <w:basedOn w:val="Normal"/>
    <w:next w:val="Normal"/>
    <w:link w:val="QuoteChar"/>
    <w:uiPriority w:val="29"/>
    <w:semiHidden/>
    <w:qFormat/>
    <w:rsid w:val="00A0420F"/>
    <w:rPr>
      <w:i/>
      <w:iCs/>
      <w:color w:val="00728F" w:themeColor="text1"/>
    </w:rPr>
  </w:style>
  <w:style w:type="character" w:customStyle="1" w:styleId="QuoteChar">
    <w:name w:val="Quote Char"/>
    <w:basedOn w:val="DefaultParagraphFont"/>
    <w:link w:val="Quote"/>
    <w:uiPriority w:val="29"/>
    <w:semiHidden/>
    <w:rsid w:val="00A0420F"/>
    <w:rPr>
      <w:rFonts w:ascii="Calibri" w:hAnsi="Calibri"/>
      <w:i/>
      <w:iCs/>
      <w:color w:val="00728F" w:themeColor="text1"/>
    </w:rPr>
  </w:style>
  <w:style w:type="paragraph" w:styleId="Salutation">
    <w:name w:val="Salutation"/>
    <w:basedOn w:val="Normal"/>
    <w:next w:val="Normal"/>
    <w:link w:val="SalutationChar"/>
    <w:uiPriority w:val="99"/>
    <w:semiHidden/>
    <w:rsid w:val="00A0420F"/>
  </w:style>
  <w:style w:type="character" w:customStyle="1" w:styleId="SalutationChar">
    <w:name w:val="Salutation Char"/>
    <w:basedOn w:val="DefaultParagraphFont"/>
    <w:link w:val="Salutation"/>
    <w:uiPriority w:val="99"/>
    <w:semiHidden/>
    <w:rsid w:val="00A0420F"/>
    <w:rPr>
      <w:rFonts w:ascii="Calibri" w:hAnsi="Calibri"/>
    </w:rPr>
  </w:style>
  <w:style w:type="paragraph" w:styleId="Signature">
    <w:name w:val="Signature"/>
    <w:basedOn w:val="Normal"/>
    <w:link w:val="SignatureChar"/>
    <w:uiPriority w:val="99"/>
    <w:semiHidden/>
    <w:rsid w:val="00A0420F"/>
    <w:pPr>
      <w:ind w:left="4252"/>
    </w:pPr>
  </w:style>
  <w:style w:type="character" w:customStyle="1" w:styleId="SignatureChar">
    <w:name w:val="Signature Char"/>
    <w:basedOn w:val="DefaultParagraphFont"/>
    <w:link w:val="Signature"/>
    <w:uiPriority w:val="99"/>
    <w:semiHidden/>
    <w:rsid w:val="00A0420F"/>
    <w:rPr>
      <w:rFonts w:ascii="Calibri" w:hAnsi="Calibri"/>
    </w:rPr>
  </w:style>
  <w:style w:type="paragraph" w:styleId="Subtitle">
    <w:name w:val="Subtitle"/>
    <w:basedOn w:val="Normal"/>
    <w:next w:val="Normal"/>
    <w:link w:val="SubtitleChar"/>
    <w:uiPriority w:val="15"/>
    <w:semiHidden/>
    <w:qFormat/>
    <w:rsid w:val="00A0420F"/>
    <w:pPr>
      <w:numPr>
        <w:ilvl w:val="1"/>
      </w:numPr>
      <w:ind w:left="1021" w:hanging="1021"/>
    </w:pPr>
    <w:rPr>
      <w:rFonts w:asciiTheme="majorHAnsi" w:eastAsiaTheme="majorEastAsia" w:hAnsiTheme="majorHAnsi" w:cstheme="majorBidi"/>
      <w:i/>
      <w:iCs/>
      <w:color w:val="00728F" w:themeColor="accent1"/>
      <w:spacing w:val="15"/>
      <w:sz w:val="24"/>
      <w:szCs w:val="24"/>
    </w:rPr>
  </w:style>
  <w:style w:type="character" w:customStyle="1" w:styleId="SubtitleChar">
    <w:name w:val="Subtitle Char"/>
    <w:basedOn w:val="DefaultParagraphFont"/>
    <w:link w:val="Subtitle"/>
    <w:uiPriority w:val="15"/>
    <w:semiHidden/>
    <w:rsid w:val="00A0420F"/>
    <w:rPr>
      <w:rFonts w:asciiTheme="majorHAnsi" w:eastAsiaTheme="majorEastAsia" w:hAnsiTheme="majorHAnsi" w:cstheme="majorBidi"/>
      <w:i/>
      <w:iCs/>
      <w:color w:val="00728F" w:themeColor="accent1"/>
      <w:spacing w:val="15"/>
      <w:sz w:val="24"/>
      <w:szCs w:val="24"/>
    </w:rPr>
  </w:style>
  <w:style w:type="character" w:styleId="SubtleEmphasis">
    <w:name w:val="Subtle Emphasis"/>
    <w:basedOn w:val="DefaultParagraphFont"/>
    <w:uiPriority w:val="19"/>
    <w:semiHidden/>
    <w:qFormat/>
    <w:rsid w:val="00A0420F"/>
    <w:rPr>
      <w:i/>
      <w:iCs/>
      <w:color w:val="48D9FF" w:themeColor="text1" w:themeTint="7F"/>
    </w:rPr>
  </w:style>
  <w:style w:type="character" w:styleId="SubtleReference">
    <w:name w:val="Subtle Reference"/>
    <w:basedOn w:val="DefaultParagraphFont"/>
    <w:uiPriority w:val="31"/>
    <w:semiHidden/>
    <w:qFormat/>
    <w:rsid w:val="00A0420F"/>
    <w:rPr>
      <w:smallCaps/>
      <w:color w:val="B7DDE8" w:themeColor="accent2"/>
      <w:u w:val="single"/>
    </w:rPr>
  </w:style>
  <w:style w:type="table" w:styleId="Table3Deffects1">
    <w:name w:val="Table 3D effects 1"/>
    <w:basedOn w:val="TableNormal"/>
    <w:uiPriority w:val="99"/>
    <w:semiHidden/>
    <w:unhideWhenUsed/>
    <w:rsid w:val="00A0420F"/>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0420F"/>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0420F"/>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0420F"/>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0420F"/>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A0420F"/>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0420F"/>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0420F"/>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0420F"/>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0420F"/>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0420F"/>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0420F"/>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0420F"/>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0420F"/>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0420F"/>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0420F"/>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0420F"/>
    <w:pPr>
      <w:ind w:left="220" w:hanging="220"/>
    </w:pPr>
  </w:style>
  <w:style w:type="paragraph" w:styleId="TableofFigures">
    <w:name w:val="table of figures"/>
    <w:basedOn w:val="Normal"/>
    <w:next w:val="Normal"/>
    <w:uiPriority w:val="99"/>
    <w:semiHidden/>
    <w:rsid w:val="00A0420F"/>
  </w:style>
  <w:style w:type="table" w:styleId="TableProfessional">
    <w:name w:val="Table Professional"/>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0420F"/>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0420F"/>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0420F"/>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0420F"/>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042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0420F"/>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0420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0420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0420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0420F"/>
    <w:pPr>
      <w:spacing w:after="100"/>
      <w:ind w:left="660"/>
    </w:pPr>
  </w:style>
  <w:style w:type="paragraph" w:styleId="TOC5">
    <w:name w:val="toc 5"/>
    <w:basedOn w:val="Normal"/>
    <w:next w:val="Normal"/>
    <w:autoRedefine/>
    <w:uiPriority w:val="39"/>
    <w:semiHidden/>
    <w:unhideWhenUsed/>
    <w:rsid w:val="00A0420F"/>
    <w:pPr>
      <w:spacing w:after="100"/>
      <w:ind w:left="880"/>
    </w:pPr>
  </w:style>
  <w:style w:type="paragraph" w:styleId="TOC6">
    <w:name w:val="toc 6"/>
    <w:basedOn w:val="Normal"/>
    <w:next w:val="Normal"/>
    <w:autoRedefine/>
    <w:uiPriority w:val="39"/>
    <w:semiHidden/>
    <w:unhideWhenUsed/>
    <w:rsid w:val="00A0420F"/>
    <w:pPr>
      <w:spacing w:after="100"/>
      <w:ind w:left="1100"/>
    </w:pPr>
  </w:style>
  <w:style w:type="paragraph" w:styleId="TOC7">
    <w:name w:val="toc 7"/>
    <w:basedOn w:val="Normal"/>
    <w:next w:val="Normal"/>
    <w:autoRedefine/>
    <w:uiPriority w:val="39"/>
    <w:semiHidden/>
    <w:unhideWhenUsed/>
    <w:rsid w:val="00A0420F"/>
    <w:pPr>
      <w:spacing w:after="100"/>
      <w:ind w:left="1320"/>
    </w:pPr>
  </w:style>
  <w:style w:type="paragraph" w:styleId="TOC8">
    <w:name w:val="toc 8"/>
    <w:basedOn w:val="Normal"/>
    <w:next w:val="Normal"/>
    <w:autoRedefine/>
    <w:uiPriority w:val="39"/>
    <w:semiHidden/>
    <w:unhideWhenUsed/>
    <w:rsid w:val="00A0420F"/>
    <w:pPr>
      <w:spacing w:after="100"/>
      <w:ind w:left="1540"/>
    </w:pPr>
  </w:style>
  <w:style w:type="paragraph" w:styleId="TOC9">
    <w:name w:val="toc 9"/>
    <w:basedOn w:val="Normal"/>
    <w:next w:val="Normal"/>
    <w:autoRedefine/>
    <w:uiPriority w:val="39"/>
    <w:semiHidden/>
    <w:unhideWhenUsed/>
    <w:rsid w:val="00A0420F"/>
    <w:pPr>
      <w:spacing w:after="100"/>
      <w:ind w:left="1760"/>
    </w:pPr>
  </w:style>
  <w:style w:type="paragraph" w:customStyle="1" w:styleId="Definitiontext">
    <w:name w:val="Definition text"/>
    <w:basedOn w:val="BodyText"/>
    <w:uiPriority w:val="20"/>
    <w:qFormat/>
    <w:rsid w:val="00C80837"/>
    <w:pPr>
      <w:spacing w:before="120"/>
    </w:pPr>
  </w:style>
  <w:style w:type="paragraph" w:customStyle="1" w:styleId="Definitionterm">
    <w:name w:val="Definition term"/>
    <w:basedOn w:val="Definitiontext"/>
    <w:next w:val="Definitiontext"/>
    <w:uiPriority w:val="20"/>
    <w:qFormat/>
    <w:rsid w:val="00A34761"/>
    <w:pPr>
      <w:spacing w:before="240" w:after="120"/>
    </w:pPr>
    <w:rPr>
      <w:b/>
    </w:rPr>
  </w:style>
  <w:style w:type="table" w:customStyle="1" w:styleId="ColorfulGrid1">
    <w:name w:val="Colorful Grid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text1" w:themeFillTint="33"/>
    </w:tcPr>
    <w:tblStylePr w:type="firstRow">
      <w:rPr>
        <w:b/>
        <w:bCs/>
      </w:rPr>
      <w:tblPr/>
      <w:tcPr>
        <w:shd w:val="clear" w:color="auto" w:fill="6CE1FF" w:themeFill="text1" w:themeFillTint="66"/>
      </w:tcPr>
    </w:tblStylePr>
    <w:tblStylePr w:type="lastRow">
      <w:rPr>
        <w:b/>
        <w:bCs/>
        <w:color w:val="00728F" w:themeColor="text1"/>
      </w:rPr>
      <w:tblPr/>
      <w:tcPr>
        <w:shd w:val="clear" w:color="auto" w:fill="6CE1FF" w:themeFill="text1" w:themeFillTint="66"/>
      </w:tcPr>
    </w:tblStylePr>
    <w:tblStylePr w:type="firstCol">
      <w:rPr>
        <w:color w:val="FFFFFF" w:themeColor="background1"/>
      </w:rPr>
      <w:tblPr/>
      <w:tcPr>
        <w:shd w:val="clear" w:color="auto" w:fill="00556B" w:themeFill="text1" w:themeFillShade="BF"/>
      </w:tcPr>
    </w:tblStylePr>
    <w:tblStylePr w:type="lastCol">
      <w:rPr>
        <w:color w:val="FFFFFF" w:themeColor="background1"/>
      </w:rPr>
      <w:tblPr/>
      <w:tcPr>
        <w:shd w:val="clear" w:color="auto" w:fill="00556B" w:themeFill="text1" w:themeFillShade="BF"/>
      </w:tc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ColorfulGrid-Accent1">
    <w:name w:val="Colorful Grid Accent 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accent1" w:themeFillTint="33"/>
    </w:tcPr>
    <w:tblStylePr w:type="firstRow">
      <w:rPr>
        <w:b/>
        <w:bCs/>
      </w:rPr>
      <w:tblPr/>
      <w:tcPr>
        <w:shd w:val="clear" w:color="auto" w:fill="6CE1FF" w:themeFill="accent1" w:themeFillTint="66"/>
      </w:tcPr>
    </w:tblStylePr>
    <w:tblStylePr w:type="lastRow">
      <w:rPr>
        <w:b/>
        <w:bCs/>
        <w:color w:val="00728F" w:themeColor="text1"/>
      </w:rPr>
      <w:tblPr/>
      <w:tcPr>
        <w:shd w:val="clear" w:color="auto" w:fill="6CE1FF" w:themeFill="accent1" w:themeFillTint="66"/>
      </w:tcPr>
    </w:tblStylePr>
    <w:tblStylePr w:type="firstCol">
      <w:rPr>
        <w:color w:val="FFFFFF" w:themeColor="background1"/>
      </w:rPr>
      <w:tblPr/>
      <w:tcPr>
        <w:shd w:val="clear" w:color="auto" w:fill="00556B" w:themeFill="accent1" w:themeFillShade="BF"/>
      </w:tcPr>
    </w:tblStylePr>
    <w:tblStylePr w:type="lastCol">
      <w:rPr>
        <w:color w:val="FFFFFF" w:themeColor="background1"/>
      </w:rPr>
      <w:tblPr/>
      <w:tcPr>
        <w:shd w:val="clear" w:color="auto" w:fill="00556B" w:themeFill="accent1" w:themeFillShade="BF"/>
      </w:tc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ColorfulGrid-Accent2">
    <w:name w:val="Colorful Grid Accent 2"/>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0F8FA" w:themeFill="accent2" w:themeFillTint="33"/>
    </w:tcPr>
    <w:tblStylePr w:type="firstRow">
      <w:rPr>
        <w:b/>
        <w:bCs/>
      </w:rPr>
      <w:tblPr/>
      <w:tcPr>
        <w:shd w:val="clear" w:color="auto" w:fill="E2F1F5" w:themeFill="accent2" w:themeFillTint="66"/>
      </w:tcPr>
    </w:tblStylePr>
    <w:tblStylePr w:type="lastRow">
      <w:rPr>
        <w:b/>
        <w:bCs/>
        <w:color w:val="00728F" w:themeColor="text1"/>
      </w:rPr>
      <w:tblPr/>
      <w:tcPr>
        <w:shd w:val="clear" w:color="auto" w:fill="E2F1F5" w:themeFill="accent2" w:themeFillTint="66"/>
      </w:tcPr>
    </w:tblStylePr>
    <w:tblStylePr w:type="firstCol">
      <w:rPr>
        <w:color w:val="FFFFFF" w:themeColor="background1"/>
      </w:rPr>
      <w:tblPr/>
      <w:tcPr>
        <w:shd w:val="clear" w:color="auto" w:fill="67B7CE" w:themeFill="accent2" w:themeFillShade="BF"/>
      </w:tcPr>
    </w:tblStylePr>
    <w:tblStylePr w:type="lastCol">
      <w:rPr>
        <w:color w:val="FFFFFF" w:themeColor="background1"/>
      </w:rPr>
      <w:tblPr/>
      <w:tcPr>
        <w:shd w:val="clear" w:color="auto" w:fill="67B7CE" w:themeFill="accent2" w:themeFillShade="BF"/>
      </w:tc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ColorfulGrid-Accent3">
    <w:name w:val="Colorful Grid Accent 3"/>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7FBFC" w:themeFill="accent3" w:themeFillTint="33"/>
    </w:tcPr>
    <w:tblStylePr w:type="firstRow">
      <w:rPr>
        <w:b/>
        <w:bCs/>
      </w:rPr>
      <w:tblPr/>
      <w:tcPr>
        <w:shd w:val="clear" w:color="auto" w:fill="F0F8FA" w:themeFill="accent3" w:themeFillTint="66"/>
      </w:tcPr>
    </w:tblStylePr>
    <w:tblStylePr w:type="lastRow">
      <w:rPr>
        <w:b/>
        <w:bCs/>
        <w:color w:val="00728F" w:themeColor="text1"/>
      </w:rPr>
      <w:tblPr/>
      <w:tcPr>
        <w:shd w:val="clear" w:color="auto" w:fill="F0F8FA" w:themeFill="accent3" w:themeFillTint="66"/>
      </w:tcPr>
    </w:tblStylePr>
    <w:tblStylePr w:type="firstCol">
      <w:rPr>
        <w:color w:val="FFFFFF" w:themeColor="background1"/>
      </w:rPr>
      <w:tblPr/>
      <w:tcPr>
        <w:shd w:val="clear" w:color="auto" w:fill="84C4D6" w:themeFill="accent3" w:themeFillShade="BF"/>
      </w:tcPr>
    </w:tblStylePr>
    <w:tblStylePr w:type="lastCol">
      <w:rPr>
        <w:color w:val="FFFFFF" w:themeColor="background1"/>
      </w:rPr>
      <w:tblPr/>
      <w:tcPr>
        <w:shd w:val="clear" w:color="auto" w:fill="84C4D6" w:themeFill="accent3" w:themeFillShade="BF"/>
      </w:tc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ColorfulGrid-Accent4">
    <w:name w:val="Colorful Grid Accent 4"/>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E9F4F8" w:themeFill="accent4" w:themeFillTint="33"/>
    </w:tcPr>
    <w:tblStylePr w:type="firstRow">
      <w:rPr>
        <w:b/>
        <w:bCs/>
      </w:rPr>
      <w:tblPr/>
      <w:tcPr>
        <w:shd w:val="clear" w:color="auto" w:fill="D3EAF1" w:themeFill="accent4" w:themeFillTint="66"/>
      </w:tcPr>
    </w:tblStylePr>
    <w:tblStylePr w:type="lastRow">
      <w:rPr>
        <w:b/>
        <w:bCs/>
        <w:color w:val="00728F" w:themeColor="text1"/>
      </w:rPr>
      <w:tblPr/>
      <w:tcPr>
        <w:shd w:val="clear" w:color="auto" w:fill="D3EAF1" w:themeFill="accent4" w:themeFillTint="66"/>
      </w:tcPr>
    </w:tblStylePr>
    <w:tblStylePr w:type="firstCol">
      <w:rPr>
        <w:color w:val="FFFFFF" w:themeColor="background1"/>
      </w:rPr>
      <w:tblPr/>
      <w:tcPr>
        <w:shd w:val="clear" w:color="auto" w:fill="4CACC5" w:themeFill="accent4" w:themeFillShade="BF"/>
      </w:tcPr>
    </w:tblStylePr>
    <w:tblStylePr w:type="lastCol">
      <w:rPr>
        <w:color w:val="FFFFFF" w:themeColor="background1"/>
      </w:rPr>
      <w:tblPr/>
      <w:tcPr>
        <w:shd w:val="clear" w:color="auto" w:fill="4CACC5" w:themeFill="accent4" w:themeFillShade="BF"/>
      </w:tc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ColorfulGrid-Accent5">
    <w:name w:val="Colorful Grid Accent 5"/>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0E9F0" w:themeFill="accent5" w:themeFillTint="33"/>
    </w:tcPr>
    <w:tblStylePr w:type="firstRow">
      <w:rPr>
        <w:b/>
        <w:bCs/>
      </w:rPr>
      <w:tblPr/>
      <w:tcPr>
        <w:shd w:val="clear" w:color="auto" w:fill="A1D4E1" w:themeFill="accent5" w:themeFillTint="66"/>
      </w:tcPr>
    </w:tblStylePr>
    <w:tblStylePr w:type="lastRow">
      <w:rPr>
        <w:b/>
        <w:bCs/>
        <w:color w:val="00728F" w:themeColor="text1"/>
      </w:rPr>
      <w:tblPr/>
      <w:tcPr>
        <w:shd w:val="clear" w:color="auto" w:fill="A1D4E1" w:themeFill="accent5" w:themeFillTint="66"/>
      </w:tcPr>
    </w:tblStylePr>
    <w:tblStylePr w:type="firstCol">
      <w:rPr>
        <w:color w:val="FFFFFF" w:themeColor="background1"/>
      </w:rPr>
      <w:tblPr/>
      <w:tcPr>
        <w:shd w:val="clear" w:color="auto" w:fill="246373" w:themeFill="accent5" w:themeFillShade="BF"/>
      </w:tcPr>
    </w:tblStylePr>
    <w:tblStylePr w:type="lastCol">
      <w:rPr>
        <w:color w:val="FFFFFF" w:themeColor="background1"/>
      </w:rPr>
      <w:tblPr/>
      <w:tcPr>
        <w:shd w:val="clear" w:color="auto" w:fill="246373" w:themeFill="accent5" w:themeFillShade="BF"/>
      </w:tc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ColorfulGrid-Accent6">
    <w:name w:val="Colorful Grid Accent 6"/>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FF0F5" w:themeFill="accent6" w:themeFillTint="33"/>
    </w:tcPr>
    <w:tblStylePr w:type="firstRow">
      <w:rPr>
        <w:b/>
        <w:bCs/>
      </w:rPr>
      <w:tblPr/>
      <w:tcPr>
        <w:shd w:val="clear" w:color="auto" w:fill="C0E2EB" w:themeFill="accent6" w:themeFillTint="66"/>
      </w:tcPr>
    </w:tblStylePr>
    <w:tblStylePr w:type="lastRow">
      <w:rPr>
        <w:b/>
        <w:bCs/>
        <w:color w:val="00728F" w:themeColor="text1"/>
      </w:rPr>
      <w:tblPr/>
      <w:tcPr>
        <w:shd w:val="clear" w:color="auto" w:fill="C0E2EB" w:themeFill="accent6" w:themeFillTint="66"/>
      </w:tcPr>
    </w:tblStylePr>
    <w:tblStylePr w:type="firstCol">
      <w:rPr>
        <w:color w:val="FFFFFF" w:themeColor="background1"/>
      </w:rPr>
      <w:tblPr/>
      <w:tcPr>
        <w:shd w:val="clear" w:color="auto" w:fill="3795AD" w:themeFill="accent6" w:themeFillShade="BF"/>
      </w:tcPr>
    </w:tblStylePr>
    <w:tblStylePr w:type="lastCol">
      <w:rPr>
        <w:color w:val="FFFFFF" w:themeColor="background1"/>
      </w:rPr>
      <w:tblPr/>
      <w:tcPr>
        <w:shd w:val="clear" w:color="auto" w:fill="3795AD" w:themeFill="accent6" w:themeFillShade="BF"/>
      </w:tc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ColorfulList1">
    <w:name w:val="Colorful List1"/>
    <w:basedOn w:val="TableNormal"/>
    <w:uiPriority w:val="99"/>
    <w:semiHidden/>
    <w:rsid w:val="00361DEB"/>
    <w:pPr>
      <w:spacing w:after="0"/>
    </w:pPr>
    <w:rPr>
      <w:color w:val="00728F" w:themeColor="text1"/>
    </w:rPr>
    <w:tblPr>
      <w:tblStyleRowBandSize w:val="1"/>
      <w:tblStyleColBandSize w:val="1"/>
    </w:tblPr>
    <w:tcPr>
      <w:shd w:val="clear" w:color="auto" w:fill="DBF7FF" w:themeFill="tex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text1" w:themeFillTint="3F"/>
      </w:tcPr>
    </w:tblStylePr>
    <w:tblStylePr w:type="band1Horz">
      <w:tblPr/>
      <w:tcPr>
        <w:shd w:val="clear" w:color="auto" w:fill="B5EFFF" w:themeFill="text1" w:themeFillTint="33"/>
      </w:tcPr>
    </w:tblStylePr>
  </w:style>
  <w:style w:type="table" w:styleId="ColorfulList-Accent1">
    <w:name w:val="Colorful List Accent 1"/>
    <w:basedOn w:val="TableNormal"/>
    <w:uiPriority w:val="99"/>
    <w:semiHidden/>
    <w:rsid w:val="00361DEB"/>
    <w:pPr>
      <w:spacing w:after="0"/>
    </w:pPr>
    <w:rPr>
      <w:color w:val="00728F" w:themeColor="text1"/>
    </w:rPr>
    <w:tblPr>
      <w:tblStyleRowBandSize w:val="1"/>
      <w:tblStyleColBandSize w:val="1"/>
    </w:tblPr>
    <w:tcPr>
      <w:shd w:val="clear" w:color="auto" w:fill="DBF7FF" w:themeFill="accen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accent1" w:themeFillTint="3F"/>
      </w:tcPr>
    </w:tblStylePr>
    <w:tblStylePr w:type="band1Horz">
      <w:tblPr/>
      <w:tcPr>
        <w:shd w:val="clear" w:color="auto" w:fill="B5EFFF" w:themeFill="accent1" w:themeFillTint="33"/>
      </w:tcPr>
    </w:tblStylePr>
  </w:style>
  <w:style w:type="table" w:styleId="ColorfulList-Accent2">
    <w:name w:val="Colorful List Accent 2"/>
    <w:basedOn w:val="TableNormal"/>
    <w:uiPriority w:val="99"/>
    <w:semiHidden/>
    <w:rsid w:val="00361DEB"/>
    <w:pPr>
      <w:spacing w:after="0"/>
    </w:pPr>
    <w:rPr>
      <w:color w:val="00728F" w:themeColor="text1"/>
    </w:rPr>
    <w:tblPr>
      <w:tblStyleRowBandSize w:val="1"/>
      <w:tblStyleColBandSize w:val="1"/>
    </w:tblPr>
    <w:tcPr>
      <w:shd w:val="clear" w:color="auto" w:fill="F7FBFC" w:themeFill="accent2"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6F9" w:themeFill="accent2" w:themeFillTint="3F"/>
      </w:tcPr>
    </w:tblStylePr>
    <w:tblStylePr w:type="band1Horz">
      <w:tblPr/>
      <w:tcPr>
        <w:shd w:val="clear" w:color="auto" w:fill="F0F8FA" w:themeFill="accent2" w:themeFillTint="33"/>
      </w:tcPr>
    </w:tblStylePr>
  </w:style>
  <w:style w:type="table" w:styleId="ColorfulList-Accent3">
    <w:name w:val="Colorful List Accent 3"/>
    <w:basedOn w:val="TableNormal"/>
    <w:uiPriority w:val="99"/>
    <w:semiHidden/>
    <w:rsid w:val="00361DEB"/>
    <w:pPr>
      <w:spacing w:after="0"/>
    </w:pPr>
    <w:rPr>
      <w:color w:val="00728F" w:themeColor="text1"/>
    </w:rPr>
    <w:tblPr>
      <w:tblStyleRowBandSize w:val="1"/>
      <w:tblStyleColBandSize w:val="1"/>
    </w:tblPr>
    <w:tcPr>
      <w:shd w:val="clear" w:color="auto" w:fill="FBFDFD" w:themeFill="accent3" w:themeFillTint="19"/>
    </w:tcPr>
    <w:tblStylePr w:type="firstRow">
      <w:rPr>
        <w:b/>
        <w:bCs/>
        <w:color w:val="FFFFFF" w:themeColor="background1"/>
      </w:rPr>
      <w:tblPr/>
      <w:tcPr>
        <w:tcBorders>
          <w:bottom w:val="single" w:sz="12" w:space="0" w:color="FFFFFF" w:themeColor="background1"/>
        </w:tcBorders>
        <w:shd w:val="clear" w:color="auto" w:fill="5AB3CA" w:themeFill="accent4" w:themeFillShade="CC"/>
      </w:tcPr>
    </w:tblStylePr>
    <w:tblStylePr w:type="lastRow">
      <w:rPr>
        <w:b/>
        <w:bCs/>
        <w:color w:val="5AB3CA" w:themeColor="accent4"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AFC" w:themeFill="accent3" w:themeFillTint="3F"/>
      </w:tcPr>
    </w:tblStylePr>
    <w:tblStylePr w:type="band1Horz">
      <w:tblPr/>
      <w:tcPr>
        <w:shd w:val="clear" w:color="auto" w:fill="F7FBFC" w:themeFill="accent3" w:themeFillTint="33"/>
      </w:tcPr>
    </w:tblStylePr>
  </w:style>
  <w:style w:type="table" w:styleId="ColorfulList-Accent4">
    <w:name w:val="Colorful List Accent 4"/>
    <w:basedOn w:val="TableNormal"/>
    <w:uiPriority w:val="99"/>
    <w:semiHidden/>
    <w:rsid w:val="00361DEB"/>
    <w:pPr>
      <w:spacing w:after="0"/>
    </w:pPr>
    <w:rPr>
      <w:color w:val="00728F" w:themeColor="text1"/>
    </w:rPr>
    <w:tblPr>
      <w:tblStyleRowBandSize w:val="1"/>
      <w:tblStyleColBandSize w:val="1"/>
    </w:tblPr>
    <w:tcPr>
      <w:shd w:val="clear" w:color="auto" w:fill="F4FAFB" w:themeFill="accent4" w:themeFillTint="19"/>
    </w:tcPr>
    <w:tblStylePr w:type="firstRow">
      <w:rPr>
        <w:b/>
        <w:bCs/>
        <w:color w:val="FFFFFF" w:themeColor="background1"/>
      </w:rPr>
      <w:tblPr/>
      <w:tcPr>
        <w:tcBorders>
          <w:bottom w:val="single" w:sz="12" w:space="0" w:color="FFFFFF" w:themeColor="background1"/>
        </w:tcBorders>
        <w:shd w:val="clear" w:color="auto" w:fill="95CCDB" w:themeFill="accent3" w:themeFillShade="CC"/>
      </w:tcPr>
    </w:tblStylePr>
    <w:tblStylePr w:type="lastRow">
      <w:rPr>
        <w:b/>
        <w:bCs/>
        <w:color w:val="95CCDB" w:themeColor="accent3"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2F6" w:themeFill="accent4" w:themeFillTint="3F"/>
      </w:tcPr>
    </w:tblStylePr>
    <w:tblStylePr w:type="band1Horz">
      <w:tblPr/>
      <w:tcPr>
        <w:shd w:val="clear" w:color="auto" w:fill="E9F4F8" w:themeFill="accent4" w:themeFillTint="33"/>
      </w:tcPr>
    </w:tblStylePr>
  </w:style>
  <w:style w:type="table" w:styleId="ColorfulList-Accent5">
    <w:name w:val="Colorful List Accent 5"/>
    <w:basedOn w:val="TableNormal"/>
    <w:uiPriority w:val="99"/>
    <w:semiHidden/>
    <w:rsid w:val="00361DEB"/>
    <w:pPr>
      <w:spacing w:after="0"/>
    </w:pPr>
    <w:rPr>
      <w:color w:val="00728F" w:themeColor="text1"/>
    </w:rPr>
    <w:tblPr>
      <w:tblStyleRowBandSize w:val="1"/>
      <w:tblStyleColBandSize w:val="1"/>
    </w:tblPr>
    <w:tcPr>
      <w:shd w:val="clear" w:color="auto" w:fill="E8F4F7" w:themeFill="accent5" w:themeFillTint="19"/>
    </w:tcPr>
    <w:tblStylePr w:type="firstRow">
      <w:rPr>
        <w:b/>
        <w:bCs/>
        <w:color w:val="FFFFFF" w:themeColor="background1"/>
      </w:rPr>
      <w:tblPr/>
      <w:tcPr>
        <w:tcBorders>
          <w:bottom w:val="single" w:sz="12" w:space="0" w:color="FFFFFF" w:themeColor="background1"/>
        </w:tcBorders>
        <w:shd w:val="clear" w:color="auto" w:fill="3A9FB9" w:themeFill="accent6" w:themeFillShade="CC"/>
      </w:tcPr>
    </w:tblStylePr>
    <w:tblStylePr w:type="lastRow">
      <w:rPr>
        <w:b/>
        <w:bCs/>
        <w:color w:val="3A9FB9" w:themeColor="accent6"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4EC" w:themeFill="accent5" w:themeFillTint="3F"/>
      </w:tcPr>
    </w:tblStylePr>
    <w:tblStylePr w:type="band1Horz">
      <w:tblPr/>
      <w:tcPr>
        <w:shd w:val="clear" w:color="auto" w:fill="D0E9F0" w:themeFill="accent5" w:themeFillTint="33"/>
      </w:tcPr>
    </w:tblStylePr>
  </w:style>
  <w:style w:type="table" w:styleId="ColorfulList-Accent6">
    <w:name w:val="Colorful List Accent 6"/>
    <w:basedOn w:val="TableNormal"/>
    <w:uiPriority w:val="99"/>
    <w:semiHidden/>
    <w:rsid w:val="00361DEB"/>
    <w:pPr>
      <w:spacing w:after="0"/>
    </w:pPr>
    <w:rPr>
      <w:color w:val="00728F" w:themeColor="text1"/>
    </w:rPr>
    <w:tblPr>
      <w:tblStyleRowBandSize w:val="1"/>
      <w:tblStyleColBandSize w:val="1"/>
    </w:tblPr>
    <w:tcPr>
      <w:shd w:val="clear" w:color="auto" w:fill="EFF8FA" w:themeFill="accent6" w:themeFillTint="19"/>
    </w:tcPr>
    <w:tblStylePr w:type="firstRow">
      <w:rPr>
        <w:b/>
        <w:bCs/>
        <w:color w:val="FFFFFF" w:themeColor="background1"/>
      </w:rPr>
      <w:tblPr/>
      <w:tcPr>
        <w:tcBorders>
          <w:bottom w:val="single" w:sz="12" w:space="0" w:color="FFFFFF" w:themeColor="background1"/>
        </w:tcBorders>
        <w:shd w:val="clear" w:color="auto" w:fill="276A7B" w:themeFill="accent5" w:themeFillShade="CC"/>
      </w:tcPr>
    </w:tblStylePr>
    <w:tblStylePr w:type="lastRow">
      <w:rPr>
        <w:b/>
        <w:bCs/>
        <w:color w:val="276A7B" w:themeColor="accent5"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DF2" w:themeFill="accent6" w:themeFillTint="3F"/>
      </w:tcPr>
    </w:tblStylePr>
    <w:tblStylePr w:type="band1Horz">
      <w:tblPr/>
      <w:tcPr>
        <w:shd w:val="clear" w:color="auto" w:fill="DFF0F5" w:themeFill="accent6" w:themeFillTint="33"/>
      </w:tcPr>
    </w:tblStylePr>
  </w:style>
  <w:style w:type="table" w:customStyle="1" w:styleId="ColorfulShading1">
    <w:name w:val="Colorful Shading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text1"/>
        <w:bottom w:val="single" w:sz="4" w:space="0" w:color="00728F" w:themeColor="text1"/>
        <w:right w:val="single" w:sz="4" w:space="0" w:color="00728F" w:themeColor="text1"/>
        <w:insideH w:val="single" w:sz="4" w:space="0" w:color="FFFFFF" w:themeColor="background1"/>
        <w:insideV w:val="single" w:sz="4" w:space="0" w:color="FFFFFF" w:themeColor="background1"/>
      </w:tblBorders>
    </w:tblPr>
    <w:tcPr>
      <w:shd w:val="clear" w:color="auto" w:fill="DBF7FF" w:themeFill="tex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text1" w:themeFillShade="99"/>
      </w:tcPr>
    </w:tblStylePr>
    <w:tblStylePr w:type="firstCol">
      <w:rPr>
        <w:color w:val="FFFFFF" w:themeColor="background1"/>
      </w:rPr>
      <w:tblPr/>
      <w:tcPr>
        <w:tcBorders>
          <w:top w:val="nil"/>
          <w:left w:val="nil"/>
          <w:bottom w:val="nil"/>
          <w:right w:val="nil"/>
          <w:insideH w:val="single" w:sz="4" w:space="0" w:color="004455" w:themeColor="text1" w:themeShade="99"/>
          <w:insideV w:val="nil"/>
        </w:tcBorders>
        <w:shd w:val="clear" w:color="auto" w:fill="00445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56B" w:themeFill="text1" w:themeFillShade="BF"/>
      </w:tcPr>
    </w:tblStylePr>
    <w:tblStylePr w:type="band1Vert">
      <w:tblPr/>
      <w:tcPr>
        <w:shd w:val="clear" w:color="auto" w:fill="6CE1FF" w:themeFill="text1" w:themeFillTint="66"/>
      </w:tcPr>
    </w:tblStylePr>
    <w:tblStylePr w:type="band1Horz">
      <w:tblPr/>
      <w:tcPr>
        <w:shd w:val="clear" w:color="auto" w:fill="48D9FF" w:themeFill="text1" w:themeFillTint="7F"/>
      </w:tcPr>
    </w:tblStylePr>
    <w:tblStylePr w:type="neCell">
      <w:rPr>
        <w:color w:val="00728F" w:themeColor="text1"/>
      </w:rPr>
    </w:tblStylePr>
    <w:tblStylePr w:type="nwCell">
      <w:rPr>
        <w:color w:val="00728F" w:themeColor="text1"/>
      </w:rPr>
    </w:tblStylePr>
  </w:style>
  <w:style w:type="table" w:styleId="ColorfulShading-Accent1">
    <w:name w:val="Colorful Shading Accent 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accent1"/>
        <w:bottom w:val="single" w:sz="4" w:space="0" w:color="00728F" w:themeColor="accent1"/>
        <w:right w:val="single" w:sz="4" w:space="0" w:color="00728F" w:themeColor="accent1"/>
        <w:insideH w:val="single" w:sz="4" w:space="0" w:color="FFFFFF" w:themeColor="background1"/>
        <w:insideV w:val="single" w:sz="4" w:space="0" w:color="FFFFFF" w:themeColor="background1"/>
      </w:tblBorders>
    </w:tblPr>
    <w:tcPr>
      <w:shd w:val="clear" w:color="auto" w:fill="DBF7FF" w:themeFill="accen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accent1" w:themeFillShade="99"/>
      </w:tcPr>
    </w:tblStylePr>
    <w:tblStylePr w:type="firstCol">
      <w:rPr>
        <w:color w:val="FFFFFF" w:themeColor="background1"/>
      </w:rPr>
      <w:tblPr/>
      <w:tcPr>
        <w:tcBorders>
          <w:top w:val="nil"/>
          <w:left w:val="nil"/>
          <w:bottom w:val="nil"/>
          <w:right w:val="nil"/>
          <w:insideH w:val="single" w:sz="4" w:space="0" w:color="004455" w:themeColor="accent1" w:themeShade="99"/>
          <w:insideV w:val="nil"/>
        </w:tcBorders>
        <w:shd w:val="clear" w:color="auto" w:fill="0044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55" w:themeFill="accent1" w:themeFillShade="99"/>
      </w:tcPr>
    </w:tblStylePr>
    <w:tblStylePr w:type="band1Vert">
      <w:tblPr/>
      <w:tcPr>
        <w:shd w:val="clear" w:color="auto" w:fill="6CE1FF" w:themeFill="accent1" w:themeFillTint="66"/>
      </w:tcPr>
    </w:tblStylePr>
    <w:tblStylePr w:type="band1Horz">
      <w:tblPr/>
      <w:tcPr>
        <w:shd w:val="clear" w:color="auto" w:fill="48D9FF" w:themeFill="accent1" w:themeFillTint="7F"/>
      </w:tcPr>
    </w:tblStylePr>
    <w:tblStylePr w:type="neCell">
      <w:rPr>
        <w:color w:val="00728F" w:themeColor="text1"/>
      </w:rPr>
    </w:tblStylePr>
    <w:tblStylePr w:type="nwCell">
      <w:rPr>
        <w:color w:val="00728F" w:themeColor="text1"/>
      </w:rPr>
    </w:tblStylePr>
  </w:style>
  <w:style w:type="table" w:styleId="ColorfulShading-Accent2">
    <w:name w:val="Colorful Shading Accent 2"/>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B7DDE8" w:themeColor="accent2"/>
        <w:bottom w:val="single" w:sz="4" w:space="0" w:color="B7DDE8" w:themeColor="accent2"/>
        <w:right w:val="single" w:sz="4" w:space="0" w:color="B7DDE8" w:themeColor="accent2"/>
        <w:insideH w:val="single" w:sz="4" w:space="0" w:color="FFFFFF" w:themeColor="background1"/>
        <w:insideV w:val="single" w:sz="4" w:space="0" w:color="FFFFFF" w:themeColor="background1"/>
      </w:tblBorders>
    </w:tblPr>
    <w:tcPr>
      <w:shd w:val="clear" w:color="auto" w:fill="F7FBFC" w:themeFill="accent2"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9FBC" w:themeFill="accent2" w:themeFillShade="99"/>
      </w:tcPr>
    </w:tblStylePr>
    <w:tblStylePr w:type="firstCol">
      <w:rPr>
        <w:color w:val="FFFFFF" w:themeColor="background1"/>
      </w:rPr>
      <w:tblPr/>
      <w:tcPr>
        <w:tcBorders>
          <w:top w:val="nil"/>
          <w:left w:val="nil"/>
          <w:bottom w:val="nil"/>
          <w:right w:val="nil"/>
          <w:insideH w:val="single" w:sz="4" w:space="0" w:color="3C9FBC" w:themeColor="accent2" w:themeShade="99"/>
          <w:insideV w:val="nil"/>
        </w:tcBorders>
        <w:shd w:val="clear" w:color="auto" w:fill="3C9FB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C9FBC" w:themeFill="accent2" w:themeFillShade="99"/>
      </w:tcPr>
    </w:tblStylePr>
    <w:tblStylePr w:type="band1Vert">
      <w:tblPr/>
      <w:tcPr>
        <w:shd w:val="clear" w:color="auto" w:fill="E2F1F5" w:themeFill="accent2" w:themeFillTint="66"/>
      </w:tcPr>
    </w:tblStylePr>
    <w:tblStylePr w:type="band1Horz">
      <w:tblPr/>
      <w:tcPr>
        <w:shd w:val="clear" w:color="auto" w:fill="DBEEF3" w:themeFill="accent2" w:themeFillTint="7F"/>
      </w:tcPr>
    </w:tblStylePr>
    <w:tblStylePr w:type="neCell">
      <w:rPr>
        <w:color w:val="00728F" w:themeColor="text1"/>
      </w:rPr>
    </w:tblStylePr>
    <w:tblStylePr w:type="nwCell">
      <w:rPr>
        <w:color w:val="00728F" w:themeColor="text1"/>
      </w:rPr>
    </w:tblStylePr>
  </w:style>
  <w:style w:type="table" w:styleId="ColorfulShading-Accent3">
    <w:name w:val="Colorful Shading Accent 3"/>
    <w:basedOn w:val="TableNormal"/>
    <w:uiPriority w:val="99"/>
    <w:semiHidden/>
    <w:rsid w:val="00361DEB"/>
    <w:pPr>
      <w:spacing w:after="0"/>
    </w:pPr>
    <w:rPr>
      <w:color w:val="00728F" w:themeColor="text1"/>
    </w:rPr>
    <w:tblPr>
      <w:tblStyleRowBandSize w:val="1"/>
      <w:tblStyleColBandSize w:val="1"/>
      <w:tblBorders>
        <w:top w:val="single" w:sz="24" w:space="0" w:color="92CDDC" w:themeColor="accent4"/>
        <w:left w:val="single" w:sz="4" w:space="0" w:color="DBEEF3" w:themeColor="accent3"/>
        <w:bottom w:val="single" w:sz="4" w:space="0" w:color="DBEEF3" w:themeColor="accent3"/>
        <w:right w:val="single" w:sz="4" w:space="0" w:color="DBEEF3" w:themeColor="accent3"/>
        <w:insideH w:val="single" w:sz="4" w:space="0" w:color="FFFFFF" w:themeColor="background1"/>
        <w:insideV w:val="single" w:sz="4" w:space="0" w:color="FFFFFF" w:themeColor="background1"/>
      </w:tblBorders>
    </w:tblPr>
    <w:tcPr>
      <w:shd w:val="clear" w:color="auto" w:fill="FBFDFD" w:themeFill="accent3" w:themeFillTint="19"/>
    </w:tcPr>
    <w:tblStylePr w:type="firstRow">
      <w:rPr>
        <w:b/>
        <w:bCs/>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ACC4" w:themeFill="accent3" w:themeFillShade="99"/>
      </w:tcPr>
    </w:tblStylePr>
    <w:tblStylePr w:type="firstCol">
      <w:rPr>
        <w:color w:val="FFFFFF" w:themeColor="background1"/>
      </w:rPr>
      <w:tblPr/>
      <w:tcPr>
        <w:tcBorders>
          <w:top w:val="nil"/>
          <w:left w:val="nil"/>
          <w:bottom w:val="nil"/>
          <w:right w:val="nil"/>
          <w:insideH w:val="single" w:sz="4" w:space="0" w:color="50ACC4" w:themeColor="accent3" w:themeShade="99"/>
          <w:insideV w:val="nil"/>
        </w:tcBorders>
        <w:shd w:val="clear" w:color="auto" w:fill="50ACC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ACC4" w:themeFill="accent3" w:themeFillShade="99"/>
      </w:tcPr>
    </w:tblStylePr>
    <w:tblStylePr w:type="band1Vert">
      <w:tblPr/>
      <w:tcPr>
        <w:shd w:val="clear" w:color="auto" w:fill="F0F8FA" w:themeFill="accent3" w:themeFillTint="66"/>
      </w:tcPr>
    </w:tblStylePr>
    <w:tblStylePr w:type="band1Horz">
      <w:tblPr/>
      <w:tcPr>
        <w:shd w:val="clear" w:color="auto" w:fill="EDF6F9" w:themeFill="accent3" w:themeFillTint="7F"/>
      </w:tcPr>
    </w:tblStylePr>
  </w:style>
  <w:style w:type="table" w:styleId="ColorfulShading-Accent4">
    <w:name w:val="Colorful Shading Accent 4"/>
    <w:basedOn w:val="TableNormal"/>
    <w:uiPriority w:val="99"/>
    <w:semiHidden/>
    <w:rsid w:val="00361DEB"/>
    <w:pPr>
      <w:spacing w:after="0"/>
    </w:pPr>
    <w:rPr>
      <w:color w:val="00728F" w:themeColor="text1"/>
    </w:rPr>
    <w:tblPr>
      <w:tblStyleRowBandSize w:val="1"/>
      <w:tblStyleColBandSize w:val="1"/>
      <w:tblBorders>
        <w:top w:val="single" w:sz="24" w:space="0" w:color="DBEEF3" w:themeColor="accent3"/>
        <w:left w:val="single" w:sz="4" w:space="0" w:color="92CDDC" w:themeColor="accent4"/>
        <w:bottom w:val="single" w:sz="4" w:space="0" w:color="92CDDC" w:themeColor="accent4"/>
        <w:right w:val="single" w:sz="4" w:space="0" w:color="92CDDC" w:themeColor="accent4"/>
        <w:insideH w:val="single" w:sz="4" w:space="0" w:color="FFFFFF" w:themeColor="background1"/>
        <w:insideV w:val="single" w:sz="4" w:space="0" w:color="FFFFFF" w:themeColor="background1"/>
      </w:tblBorders>
    </w:tblPr>
    <w:tcPr>
      <w:shd w:val="clear" w:color="auto" w:fill="F4FAFB" w:themeFill="accent4" w:themeFillTint="19"/>
    </w:tcPr>
    <w:tblStylePr w:type="firstRow">
      <w:rPr>
        <w:b/>
        <w:bCs/>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8FA6" w:themeFill="accent4" w:themeFillShade="99"/>
      </w:tcPr>
    </w:tblStylePr>
    <w:tblStylePr w:type="firstCol">
      <w:rPr>
        <w:color w:val="FFFFFF" w:themeColor="background1"/>
      </w:rPr>
      <w:tblPr/>
      <w:tcPr>
        <w:tcBorders>
          <w:top w:val="nil"/>
          <w:left w:val="nil"/>
          <w:bottom w:val="nil"/>
          <w:right w:val="nil"/>
          <w:insideH w:val="single" w:sz="4" w:space="0" w:color="358FA6" w:themeColor="accent4" w:themeShade="99"/>
          <w:insideV w:val="nil"/>
        </w:tcBorders>
        <w:shd w:val="clear" w:color="auto" w:fill="358FA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58FA6" w:themeFill="accent4" w:themeFillShade="99"/>
      </w:tcPr>
    </w:tblStylePr>
    <w:tblStylePr w:type="band1Vert">
      <w:tblPr/>
      <w:tcPr>
        <w:shd w:val="clear" w:color="auto" w:fill="D3EAF1" w:themeFill="accent4" w:themeFillTint="66"/>
      </w:tcPr>
    </w:tblStylePr>
    <w:tblStylePr w:type="band1Horz">
      <w:tblPr/>
      <w:tcPr>
        <w:shd w:val="clear" w:color="auto" w:fill="C8E5ED" w:themeFill="accent4" w:themeFillTint="7F"/>
      </w:tcPr>
    </w:tblStylePr>
    <w:tblStylePr w:type="neCell">
      <w:rPr>
        <w:color w:val="00728F" w:themeColor="text1"/>
      </w:rPr>
    </w:tblStylePr>
    <w:tblStylePr w:type="nwCell">
      <w:rPr>
        <w:color w:val="00728F" w:themeColor="text1"/>
      </w:rPr>
    </w:tblStylePr>
  </w:style>
  <w:style w:type="table" w:styleId="ColorfulShading-Accent5">
    <w:name w:val="Colorful Shading Accent 5"/>
    <w:basedOn w:val="TableNormal"/>
    <w:uiPriority w:val="99"/>
    <w:semiHidden/>
    <w:rsid w:val="00361DEB"/>
    <w:pPr>
      <w:spacing w:after="0"/>
    </w:pPr>
    <w:rPr>
      <w:color w:val="00728F" w:themeColor="text1"/>
    </w:rPr>
    <w:tblPr>
      <w:tblStyleRowBandSize w:val="1"/>
      <w:tblStyleColBandSize w:val="1"/>
      <w:tblBorders>
        <w:top w:val="single" w:sz="24" w:space="0" w:color="64B8CE" w:themeColor="accent6"/>
        <w:left w:val="single" w:sz="4" w:space="0" w:color="31859B" w:themeColor="accent5"/>
        <w:bottom w:val="single" w:sz="4" w:space="0" w:color="31859B" w:themeColor="accent5"/>
        <w:right w:val="single" w:sz="4" w:space="0" w:color="31859B" w:themeColor="accent5"/>
        <w:insideH w:val="single" w:sz="4" w:space="0" w:color="FFFFFF" w:themeColor="background1"/>
        <w:insideV w:val="single" w:sz="4" w:space="0" w:color="FFFFFF" w:themeColor="background1"/>
      </w:tblBorders>
    </w:tblPr>
    <w:tcPr>
      <w:shd w:val="clear" w:color="auto" w:fill="E8F4F7" w:themeFill="accent5" w:themeFillTint="19"/>
    </w:tcPr>
    <w:tblStylePr w:type="firstRow">
      <w:rPr>
        <w:b/>
        <w:bCs/>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4F5C" w:themeFill="accent5" w:themeFillShade="99"/>
      </w:tcPr>
    </w:tblStylePr>
    <w:tblStylePr w:type="firstCol">
      <w:rPr>
        <w:color w:val="FFFFFF" w:themeColor="background1"/>
      </w:rPr>
      <w:tblPr/>
      <w:tcPr>
        <w:tcBorders>
          <w:top w:val="nil"/>
          <w:left w:val="nil"/>
          <w:bottom w:val="nil"/>
          <w:right w:val="nil"/>
          <w:insideH w:val="single" w:sz="4" w:space="0" w:color="1D4F5C" w:themeColor="accent5" w:themeShade="99"/>
          <w:insideV w:val="nil"/>
        </w:tcBorders>
        <w:shd w:val="clear" w:color="auto" w:fill="1D4F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D4F5C" w:themeFill="accent5" w:themeFillShade="99"/>
      </w:tcPr>
    </w:tblStylePr>
    <w:tblStylePr w:type="band1Vert">
      <w:tblPr/>
      <w:tcPr>
        <w:shd w:val="clear" w:color="auto" w:fill="A1D4E1" w:themeFill="accent5" w:themeFillTint="66"/>
      </w:tcPr>
    </w:tblStylePr>
    <w:tblStylePr w:type="band1Horz">
      <w:tblPr/>
      <w:tcPr>
        <w:shd w:val="clear" w:color="auto" w:fill="8BC9DA" w:themeFill="accent5" w:themeFillTint="7F"/>
      </w:tcPr>
    </w:tblStylePr>
    <w:tblStylePr w:type="neCell">
      <w:rPr>
        <w:color w:val="00728F" w:themeColor="text1"/>
      </w:rPr>
    </w:tblStylePr>
    <w:tblStylePr w:type="nwCell">
      <w:rPr>
        <w:color w:val="00728F" w:themeColor="text1"/>
      </w:rPr>
    </w:tblStylePr>
  </w:style>
  <w:style w:type="table" w:styleId="ColorfulShading-Accent6">
    <w:name w:val="Colorful Shading Accent 6"/>
    <w:basedOn w:val="TableNormal"/>
    <w:uiPriority w:val="99"/>
    <w:semiHidden/>
    <w:rsid w:val="00361DEB"/>
    <w:pPr>
      <w:spacing w:after="0"/>
    </w:pPr>
    <w:rPr>
      <w:color w:val="00728F" w:themeColor="text1"/>
    </w:rPr>
    <w:tblPr>
      <w:tblStyleRowBandSize w:val="1"/>
      <w:tblStyleColBandSize w:val="1"/>
      <w:tblBorders>
        <w:top w:val="single" w:sz="24" w:space="0" w:color="31859B" w:themeColor="accent5"/>
        <w:left w:val="single" w:sz="4" w:space="0" w:color="64B8CE" w:themeColor="accent6"/>
        <w:bottom w:val="single" w:sz="4" w:space="0" w:color="64B8CE" w:themeColor="accent6"/>
        <w:right w:val="single" w:sz="4" w:space="0" w:color="64B8CE" w:themeColor="accent6"/>
        <w:insideH w:val="single" w:sz="4" w:space="0" w:color="FFFFFF" w:themeColor="background1"/>
        <w:insideV w:val="single" w:sz="4" w:space="0" w:color="FFFFFF" w:themeColor="background1"/>
      </w:tblBorders>
    </w:tblPr>
    <w:tcPr>
      <w:shd w:val="clear" w:color="auto" w:fill="EFF8FA" w:themeFill="accent6" w:themeFillTint="19"/>
    </w:tcPr>
    <w:tblStylePr w:type="firstRow">
      <w:rPr>
        <w:b/>
        <w:bCs/>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778B" w:themeFill="accent6" w:themeFillShade="99"/>
      </w:tcPr>
    </w:tblStylePr>
    <w:tblStylePr w:type="firstCol">
      <w:rPr>
        <w:color w:val="FFFFFF" w:themeColor="background1"/>
      </w:rPr>
      <w:tblPr/>
      <w:tcPr>
        <w:tcBorders>
          <w:top w:val="nil"/>
          <w:left w:val="nil"/>
          <w:bottom w:val="nil"/>
          <w:right w:val="nil"/>
          <w:insideH w:val="single" w:sz="4" w:space="0" w:color="2C778B" w:themeColor="accent6" w:themeShade="99"/>
          <w:insideV w:val="nil"/>
        </w:tcBorders>
        <w:shd w:val="clear" w:color="auto" w:fill="2C778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C778B" w:themeFill="accent6" w:themeFillShade="99"/>
      </w:tcPr>
    </w:tblStylePr>
    <w:tblStylePr w:type="band1Vert">
      <w:tblPr/>
      <w:tcPr>
        <w:shd w:val="clear" w:color="auto" w:fill="C0E2EB" w:themeFill="accent6" w:themeFillTint="66"/>
      </w:tcPr>
    </w:tblStylePr>
    <w:tblStylePr w:type="band1Horz">
      <w:tblPr/>
      <w:tcPr>
        <w:shd w:val="clear" w:color="auto" w:fill="B1DBE6" w:themeFill="accent6" w:themeFillTint="7F"/>
      </w:tcPr>
    </w:tblStylePr>
    <w:tblStylePr w:type="neCell">
      <w:rPr>
        <w:color w:val="00728F" w:themeColor="text1"/>
      </w:rPr>
    </w:tblStylePr>
    <w:tblStylePr w:type="nwCell">
      <w:rPr>
        <w:color w:val="00728F" w:themeColor="text1"/>
      </w:rPr>
    </w:tblStylePr>
  </w:style>
  <w:style w:type="table" w:customStyle="1" w:styleId="DarkList1">
    <w:name w:val="Dark List1"/>
    <w:basedOn w:val="TableNormal"/>
    <w:uiPriority w:val="99"/>
    <w:semiHidden/>
    <w:rsid w:val="00361DEB"/>
    <w:pPr>
      <w:spacing w:after="0"/>
    </w:pPr>
    <w:rPr>
      <w:color w:val="FFFFFF" w:themeColor="background1"/>
    </w:rPr>
    <w:tblPr>
      <w:tblStyleRowBandSize w:val="1"/>
      <w:tblStyleColBandSize w:val="1"/>
    </w:tblPr>
    <w:tcPr>
      <w:shd w:val="clear" w:color="auto" w:fill="00728F"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text1" w:themeFillShade="BF"/>
      </w:tcPr>
    </w:tblStylePr>
    <w:tblStylePr w:type="band1Vert">
      <w:tblPr/>
      <w:tcPr>
        <w:tcBorders>
          <w:top w:val="nil"/>
          <w:left w:val="nil"/>
          <w:bottom w:val="nil"/>
          <w:right w:val="nil"/>
          <w:insideH w:val="nil"/>
          <w:insideV w:val="nil"/>
        </w:tcBorders>
        <w:shd w:val="clear" w:color="auto" w:fill="00556B" w:themeFill="text1" w:themeFillShade="BF"/>
      </w:tcPr>
    </w:tblStylePr>
    <w:tblStylePr w:type="band1Horz">
      <w:tblPr/>
      <w:tcPr>
        <w:tcBorders>
          <w:top w:val="nil"/>
          <w:left w:val="nil"/>
          <w:bottom w:val="nil"/>
          <w:right w:val="nil"/>
          <w:insideH w:val="nil"/>
          <w:insideV w:val="nil"/>
        </w:tcBorders>
        <w:shd w:val="clear" w:color="auto" w:fill="00556B" w:themeFill="text1" w:themeFillShade="BF"/>
      </w:tcPr>
    </w:tblStylePr>
  </w:style>
  <w:style w:type="table" w:styleId="DarkList-Accent1">
    <w:name w:val="Dark List Accent 1"/>
    <w:basedOn w:val="TableNormal"/>
    <w:uiPriority w:val="99"/>
    <w:semiHidden/>
    <w:rsid w:val="00361DEB"/>
    <w:pPr>
      <w:spacing w:after="0"/>
    </w:pPr>
    <w:rPr>
      <w:color w:val="FFFFFF" w:themeColor="background1"/>
    </w:rPr>
    <w:tblPr>
      <w:tblStyleRowBandSize w:val="1"/>
      <w:tblStyleColBandSize w:val="1"/>
    </w:tblPr>
    <w:tcPr>
      <w:shd w:val="clear" w:color="auto" w:fill="0072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accent1" w:themeFillShade="BF"/>
      </w:tcPr>
    </w:tblStylePr>
    <w:tblStylePr w:type="band1Vert">
      <w:tblPr/>
      <w:tcPr>
        <w:tcBorders>
          <w:top w:val="nil"/>
          <w:left w:val="nil"/>
          <w:bottom w:val="nil"/>
          <w:right w:val="nil"/>
          <w:insideH w:val="nil"/>
          <w:insideV w:val="nil"/>
        </w:tcBorders>
        <w:shd w:val="clear" w:color="auto" w:fill="00556B" w:themeFill="accent1" w:themeFillShade="BF"/>
      </w:tcPr>
    </w:tblStylePr>
    <w:tblStylePr w:type="band1Horz">
      <w:tblPr/>
      <w:tcPr>
        <w:tcBorders>
          <w:top w:val="nil"/>
          <w:left w:val="nil"/>
          <w:bottom w:val="nil"/>
          <w:right w:val="nil"/>
          <w:insideH w:val="nil"/>
          <w:insideV w:val="nil"/>
        </w:tcBorders>
        <w:shd w:val="clear" w:color="auto" w:fill="00556B" w:themeFill="accent1" w:themeFillShade="BF"/>
      </w:tcPr>
    </w:tblStylePr>
  </w:style>
  <w:style w:type="table" w:styleId="DarkList-Accent2">
    <w:name w:val="Dark List Accent 2"/>
    <w:basedOn w:val="TableNormal"/>
    <w:uiPriority w:val="99"/>
    <w:semiHidden/>
    <w:rsid w:val="00361DEB"/>
    <w:pPr>
      <w:spacing w:after="0"/>
    </w:pPr>
    <w:rPr>
      <w:color w:val="FFFFFF" w:themeColor="background1"/>
    </w:rPr>
    <w:tblPr>
      <w:tblStyleRowBandSize w:val="1"/>
      <w:tblStyleColBandSize w:val="1"/>
    </w:tblPr>
    <w:tcPr>
      <w:shd w:val="clear" w:color="auto" w:fill="B7DD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2849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7C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7CE" w:themeFill="accent2" w:themeFillShade="BF"/>
      </w:tcPr>
    </w:tblStylePr>
    <w:tblStylePr w:type="band1Vert">
      <w:tblPr/>
      <w:tcPr>
        <w:tcBorders>
          <w:top w:val="nil"/>
          <w:left w:val="nil"/>
          <w:bottom w:val="nil"/>
          <w:right w:val="nil"/>
          <w:insideH w:val="nil"/>
          <w:insideV w:val="nil"/>
        </w:tcBorders>
        <w:shd w:val="clear" w:color="auto" w:fill="67B7CE" w:themeFill="accent2" w:themeFillShade="BF"/>
      </w:tcPr>
    </w:tblStylePr>
    <w:tblStylePr w:type="band1Horz">
      <w:tblPr/>
      <w:tcPr>
        <w:tcBorders>
          <w:top w:val="nil"/>
          <w:left w:val="nil"/>
          <w:bottom w:val="nil"/>
          <w:right w:val="nil"/>
          <w:insideH w:val="nil"/>
          <w:insideV w:val="nil"/>
        </w:tcBorders>
        <w:shd w:val="clear" w:color="auto" w:fill="67B7CE" w:themeFill="accent2" w:themeFillShade="BF"/>
      </w:tcPr>
    </w:tblStylePr>
  </w:style>
  <w:style w:type="table" w:styleId="DarkList-Accent3">
    <w:name w:val="Dark List Accent 3"/>
    <w:basedOn w:val="TableNormal"/>
    <w:uiPriority w:val="99"/>
    <w:semiHidden/>
    <w:rsid w:val="00361DEB"/>
    <w:pPr>
      <w:spacing w:after="0"/>
    </w:pPr>
    <w:rPr>
      <w:color w:val="FFFFFF" w:themeColor="background1"/>
    </w:rPr>
    <w:tblPr>
      <w:tblStyleRowBandSize w:val="1"/>
      <w:tblStyleColBandSize w:val="1"/>
    </w:tblPr>
    <w:tcPr>
      <w:shd w:val="clear" w:color="auto" w:fill="DBEEF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994A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C4D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C4D6" w:themeFill="accent3" w:themeFillShade="BF"/>
      </w:tcPr>
    </w:tblStylePr>
    <w:tblStylePr w:type="band1Vert">
      <w:tblPr/>
      <w:tcPr>
        <w:tcBorders>
          <w:top w:val="nil"/>
          <w:left w:val="nil"/>
          <w:bottom w:val="nil"/>
          <w:right w:val="nil"/>
          <w:insideH w:val="nil"/>
          <w:insideV w:val="nil"/>
        </w:tcBorders>
        <w:shd w:val="clear" w:color="auto" w:fill="84C4D6" w:themeFill="accent3" w:themeFillShade="BF"/>
      </w:tcPr>
    </w:tblStylePr>
    <w:tblStylePr w:type="band1Horz">
      <w:tblPr/>
      <w:tcPr>
        <w:tcBorders>
          <w:top w:val="nil"/>
          <w:left w:val="nil"/>
          <w:bottom w:val="nil"/>
          <w:right w:val="nil"/>
          <w:insideH w:val="nil"/>
          <w:insideV w:val="nil"/>
        </w:tcBorders>
        <w:shd w:val="clear" w:color="auto" w:fill="84C4D6" w:themeFill="accent3" w:themeFillShade="BF"/>
      </w:tcPr>
    </w:tblStylePr>
  </w:style>
  <w:style w:type="table" w:styleId="DarkList-Accent4">
    <w:name w:val="Dark List Accent 4"/>
    <w:basedOn w:val="TableNormal"/>
    <w:uiPriority w:val="99"/>
    <w:semiHidden/>
    <w:rsid w:val="00361DEB"/>
    <w:pPr>
      <w:spacing w:after="0"/>
    </w:pPr>
    <w:rPr>
      <w:color w:val="FFFFFF" w:themeColor="background1"/>
    </w:rPr>
    <w:tblPr>
      <w:tblStyleRowBandSize w:val="1"/>
      <w:tblStyleColBandSize w:val="1"/>
    </w:tblPr>
    <w:tcPr>
      <w:shd w:val="clear" w:color="auto" w:fill="92C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C768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ACC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ACC5" w:themeFill="accent4" w:themeFillShade="BF"/>
      </w:tcPr>
    </w:tblStylePr>
    <w:tblStylePr w:type="band1Vert">
      <w:tblPr/>
      <w:tcPr>
        <w:tcBorders>
          <w:top w:val="nil"/>
          <w:left w:val="nil"/>
          <w:bottom w:val="nil"/>
          <w:right w:val="nil"/>
          <w:insideH w:val="nil"/>
          <w:insideV w:val="nil"/>
        </w:tcBorders>
        <w:shd w:val="clear" w:color="auto" w:fill="4CACC5" w:themeFill="accent4" w:themeFillShade="BF"/>
      </w:tcPr>
    </w:tblStylePr>
    <w:tblStylePr w:type="band1Horz">
      <w:tblPr/>
      <w:tcPr>
        <w:tcBorders>
          <w:top w:val="nil"/>
          <w:left w:val="nil"/>
          <w:bottom w:val="nil"/>
          <w:right w:val="nil"/>
          <w:insideH w:val="nil"/>
          <w:insideV w:val="nil"/>
        </w:tcBorders>
        <w:shd w:val="clear" w:color="auto" w:fill="4CACC5" w:themeFill="accent4" w:themeFillShade="BF"/>
      </w:tcPr>
    </w:tblStylePr>
  </w:style>
  <w:style w:type="table" w:styleId="DarkList-Accent5">
    <w:name w:val="Dark List Accent 5"/>
    <w:basedOn w:val="TableNormal"/>
    <w:uiPriority w:val="99"/>
    <w:semiHidden/>
    <w:rsid w:val="00361DEB"/>
    <w:pPr>
      <w:spacing w:after="0"/>
    </w:pPr>
    <w:rPr>
      <w:color w:val="FFFFFF" w:themeColor="background1"/>
    </w:rPr>
    <w:tblPr>
      <w:tblStyleRowBandSize w:val="1"/>
      <w:tblStyleColBandSize w:val="1"/>
    </w:tblPr>
    <w:tcPr>
      <w:shd w:val="clear" w:color="auto" w:fill="3185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18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463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46373" w:themeFill="accent5" w:themeFillShade="BF"/>
      </w:tcPr>
    </w:tblStylePr>
    <w:tblStylePr w:type="band1Vert">
      <w:tblPr/>
      <w:tcPr>
        <w:tcBorders>
          <w:top w:val="nil"/>
          <w:left w:val="nil"/>
          <w:bottom w:val="nil"/>
          <w:right w:val="nil"/>
          <w:insideH w:val="nil"/>
          <w:insideV w:val="nil"/>
        </w:tcBorders>
        <w:shd w:val="clear" w:color="auto" w:fill="246373" w:themeFill="accent5" w:themeFillShade="BF"/>
      </w:tcPr>
    </w:tblStylePr>
    <w:tblStylePr w:type="band1Horz">
      <w:tblPr/>
      <w:tcPr>
        <w:tcBorders>
          <w:top w:val="nil"/>
          <w:left w:val="nil"/>
          <w:bottom w:val="nil"/>
          <w:right w:val="nil"/>
          <w:insideH w:val="nil"/>
          <w:insideV w:val="nil"/>
        </w:tcBorders>
        <w:shd w:val="clear" w:color="auto" w:fill="246373" w:themeFill="accent5" w:themeFillShade="BF"/>
      </w:tcPr>
    </w:tblStylePr>
  </w:style>
  <w:style w:type="table" w:styleId="DarkList-Accent6">
    <w:name w:val="Dark List Accent 6"/>
    <w:basedOn w:val="TableNormal"/>
    <w:uiPriority w:val="99"/>
    <w:semiHidden/>
    <w:rsid w:val="00361DEB"/>
    <w:pPr>
      <w:spacing w:after="0"/>
    </w:pPr>
    <w:rPr>
      <w:color w:val="FFFFFF" w:themeColor="background1"/>
    </w:rPr>
    <w:tblPr>
      <w:tblStyleRowBandSize w:val="1"/>
      <w:tblStyleColBandSize w:val="1"/>
    </w:tblPr>
    <w:tcPr>
      <w:shd w:val="clear" w:color="auto" w:fill="64B8C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4637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795A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795AD" w:themeFill="accent6" w:themeFillShade="BF"/>
      </w:tcPr>
    </w:tblStylePr>
    <w:tblStylePr w:type="band1Vert">
      <w:tblPr/>
      <w:tcPr>
        <w:tcBorders>
          <w:top w:val="nil"/>
          <w:left w:val="nil"/>
          <w:bottom w:val="nil"/>
          <w:right w:val="nil"/>
          <w:insideH w:val="nil"/>
          <w:insideV w:val="nil"/>
        </w:tcBorders>
        <w:shd w:val="clear" w:color="auto" w:fill="3795AD" w:themeFill="accent6" w:themeFillShade="BF"/>
      </w:tcPr>
    </w:tblStylePr>
    <w:tblStylePr w:type="band1Horz">
      <w:tblPr/>
      <w:tcPr>
        <w:tcBorders>
          <w:top w:val="nil"/>
          <w:left w:val="nil"/>
          <w:bottom w:val="nil"/>
          <w:right w:val="nil"/>
          <w:insideH w:val="nil"/>
          <w:insideV w:val="nil"/>
        </w:tcBorders>
        <w:shd w:val="clear" w:color="auto" w:fill="3795AD" w:themeFill="accent6" w:themeFillShade="BF"/>
      </w:tcPr>
    </w:tblStylePr>
  </w:style>
  <w:style w:type="table" w:customStyle="1" w:styleId="LightGrid1">
    <w:name w:val="Light Grid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18" w:space="0" w:color="00728F" w:themeColor="text1"/>
          <w:right w:val="single" w:sz="8" w:space="0" w:color="00728F" w:themeColor="text1"/>
          <w:insideH w:val="nil"/>
          <w:insideV w:val="single" w:sz="8" w:space="0" w:color="00728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insideH w:val="nil"/>
          <w:insideV w:val="single" w:sz="8" w:space="0" w:color="00728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shd w:val="clear" w:color="auto" w:fill="A4ECFF" w:themeFill="text1" w:themeFillTint="3F"/>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shd w:val="clear" w:color="auto" w:fill="A4ECFF" w:themeFill="text1" w:themeFillTint="3F"/>
      </w:tcPr>
    </w:tblStylePr>
    <w:tblStylePr w:type="band2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tcPr>
    </w:tblStylePr>
  </w:style>
  <w:style w:type="table" w:customStyle="1" w:styleId="LightGrid-Accent11">
    <w:name w:val="Light Grid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18" w:space="0" w:color="00728F" w:themeColor="accent1"/>
          <w:right w:val="single" w:sz="8" w:space="0" w:color="00728F" w:themeColor="accent1"/>
          <w:insideH w:val="nil"/>
          <w:insideV w:val="single" w:sz="8" w:space="0" w:color="0072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insideH w:val="nil"/>
          <w:insideV w:val="single" w:sz="8" w:space="0" w:color="0072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shd w:val="clear" w:color="auto" w:fill="A4ECFF" w:themeFill="accent1" w:themeFillTint="3F"/>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shd w:val="clear" w:color="auto" w:fill="A4ECFF" w:themeFill="accent1" w:themeFillTint="3F"/>
      </w:tcPr>
    </w:tblStylePr>
    <w:tblStylePr w:type="band2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tcPr>
    </w:tblStylePr>
  </w:style>
  <w:style w:type="table" w:styleId="LightGrid-Accent2">
    <w:name w:val="Light Grid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18" w:space="0" w:color="B7DDE8" w:themeColor="accent2"/>
          <w:right w:val="single" w:sz="8" w:space="0" w:color="B7DDE8" w:themeColor="accent2"/>
          <w:insideH w:val="nil"/>
          <w:insideV w:val="single" w:sz="8" w:space="0" w:color="B7DD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insideH w:val="nil"/>
          <w:insideV w:val="single" w:sz="8" w:space="0" w:color="B7DD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shd w:val="clear" w:color="auto" w:fill="EDF6F9" w:themeFill="accent2" w:themeFillTint="3F"/>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shd w:val="clear" w:color="auto" w:fill="EDF6F9" w:themeFill="accent2" w:themeFillTint="3F"/>
      </w:tcPr>
    </w:tblStylePr>
    <w:tblStylePr w:type="band2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tcPr>
    </w:tblStylePr>
  </w:style>
  <w:style w:type="table" w:styleId="LightGrid-Accent3">
    <w:name w:val="Light Grid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18" w:space="0" w:color="DBEEF3" w:themeColor="accent3"/>
          <w:right w:val="single" w:sz="8" w:space="0" w:color="DBEEF3" w:themeColor="accent3"/>
          <w:insideH w:val="nil"/>
          <w:insideV w:val="single" w:sz="8" w:space="0" w:color="DBEEF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insideH w:val="nil"/>
          <w:insideV w:val="single" w:sz="8" w:space="0" w:color="DBEEF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shd w:val="clear" w:color="auto" w:fill="F6FAFC" w:themeFill="accent3" w:themeFillTint="3F"/>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shd w:val="clear" w:color="auto" w:fill="F6FAFC" w:themeFill="accent3" w:themeFillTint="3F"/>
      </w:tcPr>
    </w:tblStylePr>
    <w:tblStylePr w:type="band2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tcPr>
    </w:tblStylePr>
  </w:style>
  <w:style w:type="table" w:styleId="LightGrid-Accent4">
    <w:name w:val="Light Grid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18" w:space="0" w:color="92CDDC" w:themeColor="accent4"/>
          <w:right w:val="single" w:sz="8" w:space="0" w:color="92CDDC" w:themeColor="accent4"/>
          <w:insideH w:val="nil"/>
          <w:insideV w:val="single" w:sz="8" w:space="0" w:color="92C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insideH w:val="nil"/>
          <w:insideV w:val="single" w:sz="8" w:space="0" w:color="92C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shd w:val="clear" w:color="auto" w:fill="E4F2F6" w:themeFill="accent4" w:themeFillTint="3F"/>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shd w:val="clear" w:color="auto" w:fill="E4F2F6" w:themeFill="accent4" w:themeFillTint="3F"/>
      </w:tcPr>
    </w:tblStylePr>
    <w:tblStylePr w:type="band2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tcPr>
    </w:tblStylePr>
  </w:style>
  <w:style w:type="table" w:styleId="LightGrid-Accent5">
    <w:name w:val="Light Grid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18" w:space="0" w:color="31859B" w:themeColor="accent5"/>
          <w:right w:val="single" w:sz="8" w:space="0" w:color="31859B" w:themeColor="accent5"/>
          <w:insideH w:val="nil"/>
          <w:insideV w:val="single" w:sz="8" w:space="0" w:color="3185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insideH w:val="nil"/>
          <w:insideV w:val="single" w:sz="8" w:space="0" w:color="3185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shd w:val="clear" w:color="auto" w:fill="C5E4EC" w:themeFill="accent5" w:themeFillTint="3F"/>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shd w:val="clear" w:color="auto" w:fill="C5E4EC" w:themeFill="accent5" w:themeFillTint="3F"/>
      </w:tcPr>
    </w:tblStylePr>
    <w:tblStylePr w:type="band2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tcPr>
    </w:tblStylePr>
  </w:style>
  <w:style w:type="table" w:styleId="LightGrid-Accent6">
    <w:name w:val="Light Grid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18" w:space="0" w:color="64B8CE" w:themeColor="accent6"/>
          <w:right w:val="single" w:sz="8" w:space="0" w:color="64B8CE" w:themeColor="accent6"/>
          <w:insideH w:val="nil"/>
          <w:insideV w:val="single" w:sz="8" w:space="0" w:color="64B8C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insideH w:val="nil"/>
          <w:insideV w:val="single" w:sz="8" w:space="0" w:color="64B8C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shd w:val="clear" w:color="auto" w:fill="D8EDF2" w:themeFill="accent6" w:themeFillTint="3F"/>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shd w:val="clear" w:color="auto" w:fill="D8EDF2" w:themeFill="accent6" w:themeFillTint="3F"/>
      </w:tcPr>
    </w:tblStylePr>
    <w:tblStylePr w:type="band2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tcPr>
    </w:tblStylePr>
  </w:style>
  <w:style w:type="table" w:customStyle="1" w:styleId="LightList1">
    <w:name w:val="Light List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pPr>
        <w:spacing w:before="0" w:after="0" w:line="240" w:lineRule="auto"/>
      </w:pPr>
      <w:rPr>
        <w:b/>
        <w:bCs/>
        <w:color w:val="FFFFFF" w:themeColor="background1"/>
      </w:rPr>
      <w:tblPr/>
      <w:tcPr>
        <w:shd w:val="clear" w:color="auto" w:fill="00728F" w:themeFill="text1"/>
      </w:tcPr>
    </w:tblStylePr>
    <w:tblStylePr w:type="lastRow">
      <w:pPr>
        <w:spacing w:before="0" w:after="0" w:line="240" w:lineRule="auto"/>
      </w:pPr>
      <w:rPr>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tcBorders>
      </w:tcPr>
    </w:tblStylePr>
    <w:tblStylePr w:type="firstCol">
      <w:rPr>
        <w:b/>
        <w:bCs/>
      </w:rPr>
    </w:tblStylePr>
    <w:tblStylePr w:type="lastCol">
      <w:rPr>
        <w:b/>
        <w:bCs/>
      </w:r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style>
  <w:style w:type="table" w:customStyle="1" w:styleId="LightList-Accent11">
    <w:name w:val="Light List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pPr>
        <w:spacing w:before="0" w:after="0" w:line="240" w:lineRule="auto"/>
      </w:pPr>
      <w:rPr>
        <w:b/>
        <w:bCs/>
        <w:color w:val="FFFFFF" w:themeColor="background1"/>
      </w:rPr>
      <w:tblPr/>
      <w:tcPr>
        <w:shd w:val="clear" w:color="auto" w:fill="00728F" w:themeFill="accent1"/>
      </w:tcPr>
    </w:tblStylePr>
    <w:tblStylePr w:type="lastRow">
      <w:pPr>
        <w:spacing w:before="0" w:after="0" w:line="240" w:lineRule="auto"/>
      </w:pPr>
      <w:rPr>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tcBorders>
      </w:tcPr>
    </w:tblStylePr>
    <w:tblStylePr w:type="firstCol">
      <w:rPr>
        <w:b/>
        <w:bCs/>
      </w:rPr>
    </w:tblStylePr>
    <w:tblStylePr w:type="lastCol">
      <w:rPr>
        <w:b/>
        <w:bCs/>
      </w:r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style>
  <w:style w:type="table" w:styleId="LightList-Accent2">
    <w:name w:val="Light List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pPr>
        <w:spacing w:before="0" w:after="0" w:line="240" w:lineRule="auto"/>
      </w:pPr>
      <w:rPr>
        <w:b/>
        <w:bCs/>
        <w:color w:val="FFFFFF" w:themeColor="background1"/>
      </w:rPr>
      <w:tblPr/>
      <w:tcPr>
        <w:shd w:val="clear" w:color="auto" w:fill="B7DDE8" w:themeFill="accent2"/>
      </w:tcPr>
    </w:tblStylePr>
    <w:tblStylePr w:type="lastRow">
      <w:pPr>
        <w:spacing w:before="0" w:after="0" w:line="240" w:lineRule="auto"/>
      </w:pPr>
      <w:rPr>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tcBorders>
      </w:tcPr>
    </w:tblStylePr>
    <w:tblStylePr w:type="firstCol">
      <w:rPr>
        <w:b/>
        <w:bCs/>
      </w:rPr>
    </w:tblStylePr>
    <w:tblStylePr w:type="lastCol">
      <w:rPr>
        <w:b/>
        <w:bCs/>
      </w:r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style>
  <w:style w:type="table" w:styleId="LightList-Accent3">
    <w:name w:val="Light List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pPr>
        <w:spacing w:before="0" w:after="0" w:line="240" w:lineRule="auto"/>
      </w:pPr>
      <w:rPr>
        <w:b/>
        <w:bCs/>
        <w:color w:val="FFFFFF" w:themeColor="background1"/>
      </w:rPr>
      <w:tblPr/>
      <w:tcPr>
        <w:shd w:val="clear" w:color="auto" w:fill="DBEEF3" w:themeFill="accent3"/>
      </w:tcPr>
    </w:tblStylePr>
    <w:tblStylePr w:type="lastRow">
      <w:pPr>
        <w:spacing w:before="0" w:after="0" w:line="240" w:lineRule="auto"/>
      </w:pPr>
      <w:rPr>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tcBorders>
      </w:tcPr>
    </w:tblStylePr>
    <w:tblStylePr w:type="firstCol">
      <w:rPr>
        <w:b/>
        <w:bCs/>
      </w:rPr>
    </w:tblStylePr>
    <w:tblStylePr w:type="lastCol">
      <w:rPr>
        <w:b/>
        <w:bCs/>
      </w:r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style>
  <w:style w:type="table" w:styleId="LightList-Accent4">
    <w:name w:val="Light List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pPr>
        <w:spacing w:before="0" w:after="0" w:line="240" w:lineRule="auto"/>
      </w:pPr>
      <w:rPr>
        <w:b/>
        <w:bCs/>
        <w:color w:val="FFFFFF" w:themeColor="background1"/>
      </w:rPr>
      <w:tblPr/>
      <w:tcPr>
        <w:shd w:val="clear" w:color="auto" w:fill="92CDDC" w:themeFill="accent4"/>
      </w:tcPr>
    </w:tblStylePr>
    <w:tblStylePr w:type="lastRow">
      <w:pPr>
        <w:spacing w:before="0" w:after="0" w:line="240" w:lineRule="auto"/>
      </w:pPr>
      <w:rPr>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tcBorders>
      </w:tcPr>
    </w:tblStylePr>
    <w:tblStylePr w:type="firstCol">
      <w:rPr>
        <w:b/>
        <w:bCs/>
      </w:rPr>
    </w:tblStylePr>
    <w:tblStylePr w:type="lastCol">
      <w:rPr>
        <w:b/>
        <w:bCs/>
      </w:r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style>
  <w:style w:type="table" w:styleId="LightList-Accent5">
    <w:name w:val="Light List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pPr>
        <w:spacing w:before="0" w:after="0" w:line="240" w:lineRule="auto"/>
      </w:pPr>
      <w:rPr>
        <w:b/>
        <w:bCs/>
        <w:color w:val="FFFFFF" w:themeColor="background1"/>
      </w:rPr>
      <w:tblPr/>
      <w:tcPr>
        <w:shd w:val="clear" w:color="auto" w:fill="31859B" w:themeFill="accent5"/>
      </w:tcPr>
    </w:tblStylePr>
    <w:tblStylePr w:type="lastRow">
      <w:pPr>
        <w:spacing w:before="0" w:after="0" w:line="240" w:lineRule="auto"/>
      </w:pPr>
      <w:rPr>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tcBorders>
      </w:tcPr>
    </w:tblStylePr>
    <w:tblStylePr w:type="firstCol">
      <w:rPr>
        <w:b/>
        <w:bCs/>
      </w:rPr>
    </w:tblStylePr>
    <w:tblStylePr w:type="lastCol">
      <w:rPr>
        <w:b/>
        <w:bCs/>
      </w:r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style>
  <w:style w:type="table" w:styleId="LightList-Accent6">
    <w:name w:val="Light List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pPr>
        <w:spacing w:before="0" w:after="0" w:line="240" w:lineRule="auto"/>
      </w:pPr>
      <w:rPr>
        <w:b/>
        <w:bCs/>
        <w:color w:val="FFFFFF" w:themeColor="background1"/>
      </w:rPr>
      <w:tblPr/>
      <w:tcPr>
        <w:shd w:val="clear" w:color="auto" w:fill="64B8CE" w:themeFill="accent6"/>
      </w:tcPr>
    </w:tblStylePr>
    <w:tblStylePr w:type="lastRow">
      <w:pPr>
        <w:spacing w:before="0" w:after="0" w:line="240" w:lineRule="auto"/>
      </w:pPr>
      <w:rPr>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tcBorders>
      </w:tcPr>
    </w:tblStylePr>
    <w:tblStylePr w:type="firstCol">
      <w:rPr>
        <w:b/>
        <w:bCs/>
      </w:rPr>
    </w:tblStylePr>
    <w:tblStylePr w:type="lastCol">
      <w:rPr>
        <w:b/>
        <w:bCs/>
      </w:r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style>
  <w:style w:type="table" w:customStyle="1" w:styleId="LightShading1">
    <w:name w:val="Light Shading1"/>
    <w:basedOn w:val="TableNormal"/>
    <w:uiPriority w:val="99"/>
    <w:semiHidden/>
    <w:rsid w:val="00361DEB"/>
    <w:pPr>
      <w:spacing w:after="0"/>
    </w:pPr>
    <w:rPr>
      <w:color w:val="00556B" w:themeColor="text1" w:themeShade="BF"/>
    </w:rPr>
    <w:tblPr>
      <w:tblStyleRowBandSize w:val="1"/>
      <w:tblStyleColBandSize w:val="1"/>
      <w:tblBorders>
        <w:top w:val="single" w:sz="8" w:space="0" w:color="00728F" w:themeColor="text1"/>
        <w:bottom w:val="single" w:sz="8" w:space="0" w:color="00728F" w:themeColor="text1"/>
      </w:tblBorders>
    </w:tblPr>
    <w:tblStylePr w:type="fir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la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left w:val="nil"/>
          <w:right w:val="nil"/>
          <w:insideH w:val="nil"/>
          <w:insideV w:val="nil"/>
        </w:tcBorders>
        <w:shd w:val="clear" w:color="auto" w:fill="A4ECFF" w:themeFill="text1" w:themeFillTint="3F"/>
      </w:tcPr>
    </w:tblStylePr>
  </w:style>
  <w:style w:type="table" w:customStyle="1" w:styleId="LightShading-Accent11">
    <w:name w:val="Light Shading - Accent 11"/>
    <w:basedOn w:val="TableNormal"/>
    <w:uiPriority w:val="99"/>
    <w:semiHidden/>
    <w:rsid w:val="00361DEB"/>
    <w:pPr>
      <w:spacing w:after="0"/>
    </w:pPr>
    <w:rPr>
      <w:color w:val="00556B" w:themeColor="accent1" w:themeShade="BF"/>
    </w:rPr>
    <w:tblPr>
      <w:tblStyleRowBandSize w:val="1"/>
      <w:tblStyleColBandSize w:val="1"/>
      <w:tblBorders>
        <w:top w:val="single" w:sz="8" w:space="0" w:color="00728F" w:themeColor="accent1"/>
        <w:bottom w:val="single" w:sz="8" w:space="0" w:color="00728F" w:themeColor="accent1"/>
      </w:tblBorders>
    </w:tblPr>
    <w:tblStylePr w:type="fir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la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left w:val="nil"/>
          <w:right w:val="nil"/>
          <w:insideH w:val="nil"/>
          <w:insideV w:val="nil"/>
        </w:tcBorders>
        <w:shd w:val="clear" w:color="auto" w:fill="A4ECFF" w:themeFill="accent1" w:themeFillTint="3F"/>
      </w:tcPr>
    </w:tblStylePr>
  </w:style>
  <w:style w:type="table" w:styleId="LightShading-Accent2">
    <w:name w:val="Light Shading Accent 2"/>
    <w:basedOn w:val="TableNormal"/>
    <w:uiPriority w:val="99"/>
    <w:semiHidden/>
    <w:rsid w:val="00361DEB"/>
    <w:pPr>
      <w:spacing w:after="0"/>
    </w:pPr>
    <w:rPr>
      <w:color w:val="67B7CE" w:themeColor="accent2" w:themeShade="BF"/>
    </w:rPr>
    <w:tblPr>
      <w:tblStyleRowBandSize w:val="1"/>
      <w:tblStyleColBandSize w:val="1"/>
      <w:tblBorders>
        <w:top w:val="single" w:sz="8" w:space="0" w:color="B7DDE8" w:themeColor="accent2"/>
        <w:bottom w:val="single" w:sz="8" w:space="0" w:color="B7DDE8" w:themeColor="accent2"/>
      </w:tblBorders>
    </w:tblPr>
    <w:tblStylePr w:type="fir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la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left w:val="nil"/>
          <w:right w:val="nil"/>
          <w:insideH w:val="nil"/>
          <w:insideV w:val="nil"/>
        </w:tcBorders>
        <w:shd w:val="clear" w:color="auto" w:fill="EDF6F9" w:themeFill="accent2" w:themeFillTint="3F"/>
      </w:tcPr>
    </w:tblStylePr>
  </w:style>
  <w:style w:type="table" w:styleId="LightShading-Accent3">
    <w:name w:val="Light Shading Accent 3"/>
    <w:basedOn w:val="TableNormal"/>
    <w:uiPriority w:val="99"/>
    <w:semiHidden/>
    <w:rsid w:val="00361DEB"/>
    <w:pPr>
      <w:spacing w:after="0"/>
    </w:pPr>
    <w:rPr>
      <w:color w:val="84C4D6" w:themeColor="accent3" w:themeShade="BF"/>
    </w:rPr>
    <w:tblPr>
      <w:tblStyleRowBandSize w:val="1"/>
      <w:tblStyleColBandSize w:val="1"/>
      <w:tblBorders>
        <w:top w:val="single" w:sz="8" w:space="0" w:color="DBEEF3" w:themeColor="accent3"/>
        <w:bottom w:val="single" w:sz="8" w:space="0" w:color="DBEEF3" w:themeColor="accent3"/>
      </w:tblBorders>
    </w:tblPr>
    <w:tblStylePr w:type="fir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la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left w:val="nil"/>
          <w:right w:val="nil"/>
          <w:insideH w:val="nil"/>
          <w:insideV w:val="nil"/>
        </w:tcBorders>
        <w:shd w:val="clear" w:color="auto" w:fill="F6FAFC" w:themeFill="accent3" w:themeFillTint="3F"/>
      </w:tcPr>
    </w:tblStylePr>
  </w:style>
  <w:style w:type="table" w:styleId="LightShading-Accent4">
    <w:name w:val="Light Shading Accent 4"/>
    <w:basedOn w:val="TableNormal"/>
    <w:uiPriority w:val="99"/>
    <w:semiHidden/>
    <w:rsid w:val="00361DEB"/>
    <w:pPr>
      <w:spacing w:after="0"/>
    </w:pPr>
    <w:rPr>
      <w:color w:val="4CACC5" w:themeColor="accent4" w:themeShade="BF"/>
    </w:rPr>
    <w:tblPr>
      <w:tblStyleRowBandSize w:val="1"/>
      <w:tblStyleColBandSize w:val="1"/>
      <w:tblBorders>
        <w:top w:val="single" w:sz="8" w:space="0" w:color="92CDDC" w:themeColor="accent4"/>
        <w:bottom w:val="single" w:sz="8" w:space="0" w:color="92CDDC" w:themeColor="accent4"/>
      </w:tblBorders>
    </w:tblPr>
    <w:tblStylePr w:type="fir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la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left w:val="nil"/>
          <w:right w:val="nil"/>
          <w:insideH w:val="nil"/>
          <w:insideV w:val="nil"/>
        </w:tcBorders>
        <w:shd w:val="clear" w:color="auto" w:fill="E4F2F6" w:themeFill="accent4" w:themeFillTint="3F"/>
      </w:tcPr>
    </w:tblStylePr>
  </w:style>
  <w:style w:type="table" w:styleId="LightShading-Accent5">
    <w:name w:val="Light Shading Accent 5"/>
    <w:basedOn w:val="TableNormal"/>
    <w:uiPriority w:val="99"/>
    <w:semiHidden/>
    <w:rsid w:val="00361DEB"/>
    <w:pPr>
      <w:spacing w:after="0"/>
    </w:pPr>
    <w:rPr>
      <w:color w:val="246373" w:themeColor="accent5" w:themeShade="BF"/>
    </w:rPr>
    <w:tblPr>
      <w:tblStyleRowBandSize w:val="1"/>
      <w:tblStyleColBandSize w:val="1"/>
      <w:tblBorders>
        <w:top w:val="single" w:sz="8" w:space="0" w:color="31859B" w:themeColor="accent5"/>
        <w:bottom w:val="single" w:sz="8" w:space="0" w:color="31859B" w:themeColor="accent5"/>
      </w:tblBorders>
    </w:tblPr>
    <w:tblStylePr w:type="fir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la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left w:val="nil"/>
          <w:right w:val="nil"/>
          <w:insideH w:val="nil"/>
          <w:insideV w:val="nil"/>
        </w:tcBorders>
        <w:shd w:val="clear" w:color="auto" w:fill="C5E4EC" w:themeFill="accent5" w:themeFillTint="3F"/>
      </w:tcPr>
    </w:tblStylePr>
  </w:style>
  <w:style w:type="table" w:styleId="LightShading-Accent6">
    <w:name w:val="Light Shading Accent 6"/>
    <w:basedOn w:val="TableNormal"/>
    <w:uiPriority w:val="99"/>
    <w:semiHidden/>
    <w:rsid w:val="00361DEB"/>
    <w:pPr>
      <w:spacing w:after="0"/>
    </w:pPr>
    <w:rPr>
      <w:color w:val="3795AD" w:themeColor="accent6" w:themeShade="BF"/>
    </w:rPr>
    <w:tblPr>
      <w:tblStyleRowBandSize w:val="1"/>
      <w:tblStyleColBandSize w:val="1"/>
      <w:tblBorders>
        <w:top w:val="single" w:sz="8" w:space="0" w:color="64B8CE" w:themeColor="accent6"/>
        <w:bottom w:val="single" w:sz="8" w:space="0" w:color="64B8CE" w:themeColor="accent6"/>
      </w:tblBorders>
    </w:tblPr>
    <w:tblStylePr w:type="fir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la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left w:val="nil"/>
          <w:right w:val="nil"/>
          <w:insideH w:val="nil"/>
          <w:insideV w:val="nil"/>
        </w:tcBorders>
        <w:shd w:val="clear" w:color="auto" w:fill="D8EDF2" w:themeFill="accent6" w:themeFillTint="3F"/>
      </w:tcPr>
    </w:tblStylePr>
  </w:style>
  <w:style w:type="table" w:customStyle="1" w:styleId="MediumGrid11">
    <w:name w:val="Medium Grid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insideV w:val="single" w:sz="8" w:space="0" w:color="00BBEB" w:themeColor="text1" w:themeTint="BF"/>
      </w:tblBorders>
    </w:tblPr>
    <w:tcPr>
      <w:shd w:val="clear" w:color="auto" w:fill="A4ECFF" w:themeFill="text1" w:themeFillTint="3F"/>
    </w:tcPr>
    <w:tblStylePr w:type="firstRow">
      <w:rPr>
        <w:b/>
        <w:bCs/>
      </w:rPr>
    </w:tblStylePr>
    <w:tblStylePr w:type="lastRow">
      <w:rPr>
        <w:b/>
        <w:bCs/>
      </w:rPr>
      <w:tblPr/>
      <w:tcPr>
        <w:tcBorders>
          <w:top w:val="single" w:sz="18" w:space="0" w:color="00BBEB" w:themeColor="text1" w:themeTint="BF"/>
        </w:tcBorders>
      </w:tcPr>
    </w:tblStylePr>
    <w:tblStylePr w:type="firstCol">
      <w:rPr>
        <w:b/>
        <w:bCs/>
      </w:rPr>
    </w:tblStylePr>
    <w:tblStylePr w:type="lastCol">
      <w:rPr>
        <w:b/>
        <w:bCs/>
      </w:r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MediumGrid1-Accent1">
    <w:name w:val="Medium Grid 1 Accent 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insideV w:val="single" w:sz="8" w:space="0" w:color="00BBEB" w:themeColor="accent1" w:themeTint="BF"/>
      </w:tblBorders>
    </w:tblPr>
    <w:tcPr>
      <w:shd w:val="clear" w:color="auto" w:fill="A4ECFF" w:themeFill="accent1" w:themeFillTint="3F"/>
    </w:tcPr>
    <w:tblStylePr w:type="firstRow">
      <w:rPr>
        <w:b/>
        <w:bCs/>
      </w:rPr>
    </w:tblStylePr>
    <w:tblStylePr w:type="lastRow">
      <w:rPr>
        <w:b/>
        <w:bCs/>
      </w:rPr>
      <w:tblPr/>
      <w:tcPr>
        <w:tcBorders>
          <w:top w:val="single" w:sz="18" w:space="0" w:color="00BBEB" w:themeColor="accent1" w:themeTint="BF"/>
        </w:tcBorders>
      </w:tcPr>
    </w:tblStylePr>
    <w:tblStylePr w:type="firstCol">
      <w:rPr>
        <w:b/>
        <w:bCs/>
      </w:rPr>
    </w:tblStylePr>
    <w:tblStylePr w:type="lastCol">
      <w:rPr>
        <w:b/>
        <w:bCs/>
      </w:r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MediumGrid1-Accent2">
    <w:name w:val="Medium Grid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insideV w:val="single" w:sz="8" w:space="0" w:color="C8E5ED" w:themeColor="accent2" w:themeTint="BF"/>
      </w:tblBorders>
    </w:tblPr>
    <w:tcPr>
      <w:shd w:val="clear" w:color="auto" w:fill="EDF6F9" w:themeFill="accent2" w:themeFillTint="3F"/>
    </w:tcPr>
    <w:tblStylePr w:type="firstRow">
      <w:rPr>
        <w:b/>
        <w:bCs/>
      </w:rPr>
    </w:tblStylePr>
    <w:tblStylePr w:type="lastRow">
      <w:rPr>
        <w:b/>
        <w:bCs/>
      </w:rPr>
      <w:tblPr/>
      <w:tcPr>
        <w:tcBorders>
          <w:top w:val="single" w:sz="18" w:space="0" w:color="C8E5ED" w:themeColor="accent2" w:themeTint="BF"/>
        </w:tcBorders>
      </w:tcPr>
    </w:tblStylePr>
    <w:tblStylePr w:type="firstCol">
      <w:rPr>
        <w:b/>
        <w:bCs/>
      </w:rPr>
    </w:tblStylePr>
    <w:tblStylePr w:type="lastCol">
      <w:rPr>
        <w:b/>
        <w:bCs/>
      </w:r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MediumGrid1-Accent3">
    <w:name w:val="Medium Grid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insideV w:val="single" w:sz="8" w:space="0" w:color="E4F2F6" w:themeColor="accent3" w:themeTint="BF"/>
      </w:tblBorders>
    </w:tblPr>
    <w:tcPr>
      <w:shd w:val="clear" w:color="auto" w:fill="F6FAFC" w:themeFill="accent3" w:themeFillTint="3F"/>
    </w:tcPr>
    <w:tblStylePr w:type="firstRow">
      <w:rPr>
        <w:b/>
        <w:bCs/>
      </w:rPr>
    </w:tblStylePr>
    <w:tblStylePr w:type="lastRow">
      <w:rPr>
        <w:b/>
        <w:bCs/>
      </w:rPr>
      <w:tblPr/>
      <w:tcPr>
        <w:tcBorders>
          <w:top w:val="single" w:sz="18" w:space="0" w:color="E4F2F6" w:themeColor="accent3" w:themeTint="BF"/>
        </w:tcBorders>
      </w:tcPr>
    </w:tblStylePr>
    <w:tblStylePr w:type="firstCol">
      <w:rPr>
        <w:b/>
        <w:bCs/>
      </w:rPr>
    </w:tblStylePr>
    <w:tblStylePr w:type="lastCol">
      <w:rPr>
        <w:b/>
        <w:bCs/>
      </w:r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MediumGrid1-Accent4">
    <w:name w:val="Medium Grid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insideV w:val="single" w:sz="8" w:space="0" w:color="ADD9E4" w:themeColor="accent4" w:themeTint="BF"/>
      </w:tblBorders>
    </w:tblPr>
    <w:tcPr>
      <w:shd w:val="clear" w:color="auto" w:fill="E4F2F6" w:themeFill="accent4" w:themeFillTint="3F"/>
    </w:tcPr>
    <w:tblStylePr w:type="firstRow">
      <w:rPr>
        <w:b/>
        <w:bCs/>
      </w:rPr>
    </w:tblStylePr>
    <w:tblStylePr w:type="lastRow">
      <w:rPr>
        <w:b/>
        <w:bCs/>
      </w:rPr>
      <w:tblPr/>
      <w:tcPr>
        <w:tcBorders>
          <w:top w:val="single" w:sz="18" w:space="0" w:color="ADD9E4" w:themeColor="accent4" w:themeTint="BF"/>
        </w:tcBorders>
      </w:tcPr>
    </w:tblStylePr>
    <w:tblStylePr w:type="firstCol">
      <w:rPr>
        <w:b/>
        <w:bCs/>
      </w:rPr>
    </w:tblStylePr>
    <w:tblStylePr w:type="lastCol">
      <w:rPr>
        <w:b/>
        <w:bCs/>
      </w:r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MediumGrid1-Accent5">
    <w:name w:val="Medium Grid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insideV w:val="single" w:sz="8" w:space="0" w:color="50AFC8" w:themeColor="accent5" w:themeTint="BF"/>
      </w:tblBorders>
    </w:tblPr>
    <w:tcPr>
      <w:shd w:val="clear" w:color="auto" w:fill="C5E4EC" w:themeFill="accent5" w:themeFillTint="3F"/>
    </w:tcPr>
    <w:tblStylePr w:type="firstRow">
      <w:rPr>
        <w:b/>
        <w:bCs/>
      </w:rPr>
    </w:tblStylePr>
    <w:tblStylePr w:type="lastRow">
      <w:rPr>
        <w:b/>
        <w:bCs/>
      </w:rPr>
      <w:tblPr/>
      <w:tcPr>
        <w:tcBorders>
          <w:top w:val="single" w:sz="18" w:space="0" w:color="50AFC8" w:themeColor="accent5" w:themeTint="BF"/>
        </w:tcBorders>
      </w:tcPr>
    </w:tblStylePr>
    <w:tblStylePr w:type="firstCol">
      <w:rPr>
        <w:b/>
        <w:bCs/>
      </w:rPr>
    </w:tblStylePr>
    <w:tblStylePr w:type="lastCol">
      <w:rPr>
        <w:b/>
        <w:bCs/>
      </w:r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MediumGrid1-Accent6">
    <w:name w:val="Medium Grid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insideV w:val="single" w:sz="8" w:space="0" w:color="8AC9DA" w:themeColor="accent6" w:themeTint="BF"/>
      </w:tblBorders>
    </w:tblPr>
    <w:tcPr>
      <w:shd w:val="clear" w:color="auto" w:fill="D8EDF2" w:themeFill="accent6" w:themeFillTint="3F"/>
    </w:tcPr>
    <w:tblStylePr w:type="firstRow">
      <w:rPr>
        <w:b/>
        <w:bCs/>
      </w:rPr>
    </w:tblStylePr>
    <w:tblStylePr w:type="lastRow">
      <w:rPr>
        <w:b/>
        <w:bCs/>
      </w:rPr>
      <w:tblPr/>
      <w:tcPr>
        <w:tcBorders>
          <w:top w:val="single" w:sz="18" w:space="0" w:color="8AC9DA" w:themeColor="accent6" w:themeTint="BF"/>
        </w:tcBorders>
      </w:tcPr>
    </w:tblStylePr>
    <w:tblStylePr w:type="firstCol">
      <w:rPr>
        <w:b/>
        <w:bCs/>
      </w:rPr>
    </w:tblStylePr>
    <w:tblStylePr w:type="lastCol">
      <w:rPr>
        <w:b/>
        <w:bCs/>
      </w:r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MediumGrid21">
    <w:name w:val="Medium Grid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cPr>
      <w:shd w:val="clear" w:color="auto" w:fill="A4ECFF" w:themeFill="text1" w:themeFillTint="3F"/>
    </w:tcPr>
    <w:tblStylePr w:type="firstRow">
      <w:rPr>
        <w:b/>
        <w:bCs/>
        <w:color w:val="00728F" w:themeColor="text1"/>
      </w:rPr>
      <w:tblPr/>
      <w:tcPr>
        <w:shd w:val="clear" w:color="auto" w:fill="DBF7FF" w:themeFill="tex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text1" w:themeFillTint="33"/>
      </w:tcPr>
    </w:tblStylePr>
    <w:tblStylePr w:type="band1Vert">
      <w:tblPr/>
      <w:tcPr>
        <w:shd w:val="clear" w:color="auto" w:fill="48D9FF" w:themeFill="text1" w:themeFillTint="7F"/>
      </w:tcPr>
    </w:tblStylePr>
    <w:tblStylePr w:type="band1Horz">
      <w:tblPr/>
      <w:tcPr>
        <w:tcBorders>
          <w:insideH w:val="single" w:sz="6" w:space="0" w:color="00728F" w:themeColor="text1"/>
          <w:insideV w:val="single" w:sz="6" w:space="0" w:color="00728F" w:themeColor="text1"/>
        </w:tcBorders>
        <w:shd w:val="clear" w:color="auto" w:fill="48D9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cPr>
      <w:shd w:val="clear" w:color="auto" w:fill="A4ECFF" w:themeFill="accent1" w:themeFillTint="3F"/>
    </w:tcPr>
    <w:tblStylePr w:type="firstRow">
      <w:rPr>
        <w:b/>
        <w:bCs/>
        <w:color w:val="00728F" w:themeColor="text1"/>
      </w:rPr>
      <w:tblPr/>
      <w:tcPr>
        <w:shd w:val="clear" w:color="auto" w:fill="DBF7FF" w:themeFill="accen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accent1" w:themeFillTint="33"/>
      </w:tcPr>
    </w:tblStylePr>
    <w:tblStylePr w:type="band1Vert">
      <w:tblPr/>
      <w:tcPr>
        <w:shd w:val="clear" w:color="auto" w:fill="48D9FF" w:themeFill="accent1" w:themeFillTint="7F"/>
      </w:tcPr>
    </w:tblStylePr>
    <w:tblStylePr w:type="band1Horz">
      <w:tblPr/>
      <w:tcPr>
        <w:tcBorders>
          <w:insideH w:val="single" w:sz="6" w:space="0" w:color="00728F" w:themeColor="accent1"/>
          <w:insideV w:val="single" w:sz="6" w:space="0" w:color="00728F" w:themeColor="accent1"/>
        </w:tcBorders>
        <w:shd w:val="clear" w:color="auto" w:fill="4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cPr>
      <w:shd w:val="clear" w:color="auto" w:fill="EDF6F9" w:themeFill="accent2" w:themeFillTint="3F"/>
    </w:tcPr>
    <w:tblStylePr w:type="firstRow">
      <w:rPr>
        <w:b/>
        <w:bCs/>
        <w:color w:val="00728F" w:themeColor="text1"/>
      </w:rPr>
      <w:tblPr/>
      <w:tcPr>
        <w:shd w:val="clear" w:color="auto" w:fill="F7FBFC" w:themeFill="accent2"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0F8FA" w:themeFill="accent2" w:themeFillTint="33"/>
      </w:tcPr>
    </w:tblStylePr>
    <w:tblStylePr w:type="band1Vert">
      <w:tblPr/>
      <w:tcPr>
        <w:shd w:val="clear" w:color="auto" w:fill="DBEEF3" w:themeFill="accent2" w:themeFillTint="7F"/>
      </w:tcPr>
    </w:tblStylePr>
    <w:tblStylePr w:type="band1Horz">
      <w:tblPr/>
      <w:tcPr>
        <w:tcBorders>
          <w:insideH w:val="single" w:sz="6" w:space="0" w:color="B7DDE8" w:themeColor="accent2"/>
          <w:insideV w:val="single" w:sz="6" w:space="0" w:color="B7DDE8" w:themeColor="accent2"/>
        </w:tcBorders>
        <w:shd w:val="clear" w:color="auto" w:fill="DBEE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cPr>
      <w:shd w:val="clear" w:color="auto" w:fill="F6FAFC" w:themeFill="accent3" w:themeFillTint="3F"/>
    </w:tcPr>
    <w:tblStylePr w:type="firstRow">
      <w:rPr>
        <w:b/>
        <w:bCs/>
        <w:color w:val="00728F" w:themeColor="text1"/>
      </w:rPr>
      <w:tblPr/>
      <w:tcPr>
        <w:shd w:val="clear" w:color="auto" w:fill="FBFDFD" w:themeFill="accent3"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7FBFC" w:themeFill="accent3" w:themeFillTint="33"/>
      </w:tcPr>
    </w:tblStylePr>
    <w:tblStylePr w:type="band1Vert">
      <w:tblPr/>
      <w:tcPr>
        <w:shd w:val="clear" w:color="auto" w:fill="EDF6F9" w:themeFill="accent3" w:themeFillTint="7F"/>
      </w:tcPr>
    </w:tblStylePr>
    <w:tblStylePr w:type="band1Horz">
      <w:tblPr/>
      <w:tcPr>
        <w:tcBorders>
          <w:insideH w:val="single" w:sz="6" w:space="0" w:color="DBEEF3" w:themeColor="accent3"/>
          <w:insideV w:val="single" w:sz="6" w:space="0" w:color="DBEEF3" w:themeColor="accent3"/>
        </w:tcBorders>
        <w:shd w:val="clear" w:color="auto" w:fill="EDF6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cPr>
      <w:shd w:val="clear" w:color="auto" w:fill="E4F2F6" w:themeFill="accent4" w:themeFillTint="3F"/>
    </w:tcPr>
    <w:tblStylePr w:type="firstRow">
      <w:rPr>
        <w:b/>
        <w:bCs/>
        <w:color w:val="00728F" w:themeColor="text1"/>
      </w:rPr>
      <w:tblPr/>
      <w:tcPr>
        <w:shd w:val="clear" w:color="auto" w:fill="F4FAFB" w:themeFill="accent4"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E9F4F8" w:themeFill="accent4" w:themeFillTint="33"/>
      </w:tcPr>
    </w:tblStylePr>
    <w:tblStylePr w:type="band1Vert">
      <w:tblPr/>
      <w:tcPr>
        <w:shd w:val="clear" w:color="auto" w:fill="C8E5ED" w:themeFill="accent4" w:themeFillTint="7F"/>
      </w:tcPr>
    </w:tblStylePr>
    <w:tblStylePr w:type="band1Horz">
      <w:tblPr/>
      <w:tcPr>
        <w:tcBorders>
          <w:insideH w:val="single" w:sz="6" w:space="0" w:color="92CDDC" w:themeColor="accent4"/>
          <w:insideV w:val="single" w:sz="6" w:space="0" w:color="92CDDC" w:themeColor="accent4"/>
        </w:tcBorders>
        <w:shd w:val="clear" w:color="auto" w:fill="C8E5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cPr>
      <w:shd w:val="clear" w:color="auto" w:fill="C5E4EC" w:themeFill="accent5" w:themeFillTint="3F"/>
    </w:tcPr>
    <w:tblStylePr w:type="firstRow">
      <w:rPr>
        <w:b/>
        <w:bCs/>
        <w:color w:val="00728F" w:themeColor="text1"/>
      </w:rPr>
      <w:tblPr/>
      <w:tcPr>
        <w:shd w:val="clear" w:color="auto" w:fill="E8F4F7" w:themeFill="accent5"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0E9F0" w:themeFill="accent5" w:themeFillTint="33"/>
      </w:tcPr>
    </w:tblStylePr>
    <w:tblStylePr w:type="band1Vert">
      <w:tblPr/>
      <w:tcPr>
        <w:shd w:val="clear" w:color="auto" w:fill="8BC9DA" w:themeFill="accent5" w:themeFillTint="7F"/>
      </w:tcPr>
    </w:tblStylePr>
    <w:tblStylePr w:type="band1Horz">
      <w:tblPr/>
      <w:tcPr>
        <w:tcBorders>
          <w:insideH w:val="single" w:sz="6" w:space="0" w:color="31859B" w:themeColor="accent5"/>
          <w:insideV w:val="single" w:sz="6" w:space="0" w:color="31859B" w:themeColor="accent5"/>
        </w:tcBorders>
        <w:shd w:val="clear" w:color="auto" w:fill="8BC9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cPr>
      <w:shd w:val="clear" w:color="auto" w:fill="D8EDF2" w:themeFill="accent6" w:themeFillTint="3F"/>
    </w:tcPr>
    <w:tblStylePr w:type="firstRow">
      <w:rPr>
        <w:b/>
        <w:bCs/>
        <w:color w:val="00728F" w:themeColor="text1"/>
      </w:rPr>
      <w:tblPr/>
      <w:tcPr>
        <w:shd w:val="clear" w:color="auto" w:fill="EFF8FA" w:themeFill="accent6"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FF0F5" w:themeFill="accent6" w:themeFillTint="33"/>
      </w:tcPr>
    </w:tblStylePr>
    <w:tblStylePr w:type="band1Vert">
      <w:tblPr/>
      <w:tcPr>
        <w:shd w:val="clear" w:color="auto" w:fill="B1DBE6" w:themeFill="accent6" w:themeFillTint="7F"/>
      </w:tcPr>
    </w:tblStylePr>
    <w:tblStylePr w:type="band1Horz">
      <w:tblPr/>
      <w:tcPr>
        <w:tcBorders>
          <w:insideH w:val="single" w:sz="6" w:space="0" w:color="64B8CE" w:themeColor="accent6"/>
          <w:insideV w:val="single" w:sz="6" w:space="0" w:color="64B8CE" w:themeColor="accent6"/>
        </w:tcBorders>
        <w:shd w:val="clear" w:color="auto" w:fill="B1DBE6"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text1" w:themeFillTint="7F"/>
      </w:tcPr>
    </w:tblStylePr>
  </w:style>
  <w:style w:type="table" w:styleId="MediumGrid3-Accent1">
    <w:name w:val="Medium Grid 3 Accent 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accent1" w:themeFillTint="7F"/>
      </w:tcPr>
    </w:tblStylePr>
  </w:style>
  <w:style w:type="table" w:styleId="MediumGrid3-Accent2">
    <w:name w:val="Medium Grid 3 Accent 2"/>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6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DD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DD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E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EF3" w:themeFill="accent2" w:themeFillTint="7F"/>
      </w:tcPr>
    </w:tblStylePr>
  </w:style>
  <w:style w:type="table" w:styleId="MediumGrid3-Accent3">
    <w:name w:val="Medium Grid 3 Accent 3"/>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A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EEF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EEF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F6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F6F9" w:themeFill="accent3" w:themeFillTint="7F"/>
      </w:tcPr>
    </w:tblStylePr>
  </w:style>
  <w:style w:type="table" w:styleId="MediumGrid3-Accent4">
    <w:name w:val="Medium Grid 3 Accent 4"/>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2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C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C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5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5ED" w:themeFill="accent4" w:themeFillTint="7F"/>
      </w:tcPr>
    </w:tblStylePr>
  </w:style>
  <w:style w:type="table" w:styleId="MediumGrid3-Accent5">
    <w:name w:val="Medium Grid 3 Accent 5"/>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4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85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85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C9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C9DA" w:themeFill="accent5" w:themeFillTint="7F"/>
      </w:tcPr>
    </w:tblStylePr>
  </w:style>
  <w:style w:type="table" w:styleId="MediumGrid3-Accent6">
    <w:name w:val="Medium Grid 3 Accent 6"/>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D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B8C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B8C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DB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DBE6" w:themeFill="accent6" w:themeFillTint="7F"/>
      </w:tcPr>
    </w:tblStylePr>
  </w:style>
  <w:style w:type="table" w:customStyle="1" w:styleId="MediumList11">
    <w:name w:val="Medium List 11"/>
    <w:basedOn w:val="TableNormal"/>
    <w:uiPriority w:val="99"/>
    <w:semiHidden/>
    <w:rsid w:val="00361DEB"/>
    <w:pPr>
      <w:spacing w:after="0"/>
    </w:pPr>
    <w:rPr>
      <w:color w:val="00728F" w:themeColor="text1"/>
    </w:rPr>
    <w:tblPr>
      <w:tblStyleRowBandSize w:val="1"/>
      <w:tblStyleColBandSize w:val="1"/>
      <w:tblBorders>
        <w:top w:val="single" w:sz="8" w:space="0" w:color="00728F" w:themeColor="text1"/>
        <w:bottom w:val="single" w:sz="8" w:space="0" w:color="00728F" w:themeColor="text1"/>
      </w:tblBorders>
    </w:tblPr>
    <w:tblStylePr w:type="firstRow">
      <w:rPr>
        <w:rFonts w:asciiTheme="majorHAnsi" w:eastAsiaTheme="majorEastAsia" w:hAnsiTheme="majorHAnsi" w:cstheme="majorBidi"/>
      </w:rPr>
      <w:tblPr/>
      <w:tcPr>
        <w:tcBorders>
          <w:top w:val="nil"/>
          <w:bottom w:val="single" w:sz="8" w:space="0" w:color="00728F" w:themeColor="text1"/>
        </w:tcBorders>
      </w:tcPr>
    </w:tblStylePr>
    <w:tblStylePr w:type="lastRow">
      <w:rPr>
        <w:b/>
        <w:bCs/>
        <w:color w:val="B7DDE8" w:themeColor="text2"/>
      </w:rPr>
      <w:tblPr/>
      <w:tcPr>
        <w:tcBorders>
          <w:top w:val="single" w:sz="8" w:space="0" w:color="00728F" w:themeColor="text1"/>
          <w:bottom w:val="single" w:sz="8" w:space="0" w:color="00728F" w:themeColor="text1"/>
        </w:tcBorders>
      </w:tcPr>
    </w:tblStylePr>
    <w:tblStylePr w:type="firstCol">
      <w:rPr>
        <w:b/>
        <w:bCs/>
      </w:rPr>
    </w:tblStylePr>
    <w:tblStylePr w:type="lastCol">
      <w:rPr>
        <w:b/>
        <w:bCs/>
      </w:rPr>
      <w:tblPr/>
      <w:tcPr>
        <w:tcBorders>
          <w:top w:val="single" w:sz="8" w:space="0" w:color="00728F" w:themeColor="text1"/>
          <w:bottom w:val="single" w:sz="8" w:space="0" w:color="00728F" w:themeColor="text1"/>
        </w:tcBorders>
      </w:tcPr>
    </w:tblStylePr>
    <w:tblStylePr w:type="band1Vert">
      <w:tblPr/>
      <w:tcPr>
        <w:shd w:val="clear" w:color="auto" w:fill="A4ECFF" w:themeFill="text1" w:themeFillTint="3F"/>
      </w:tcPr>
    </w:tblStylePr>
    <w:tblStylePr w:type="band1Horz">
      <w:tblPr/>
      <w:tcPr>
        <w:shd w:val="clear" w:color="auto" w:fill="A4ECFF" w:themeFill="text1" w:themeFillTint="3F"/>
      </w:tcPr>
    </w:tblStylePr>
  </w:style>
  <w:style w:type="table" w:customStyle="1" w:styleId="MediumList1-Accent11">
    <w:name w:val="Medium List 1 - Accent 11"/>
    <w:basedOn w:val="TableNormal"/>
    <w:uiPriority w:val="99"/>
    <w:semiHidden/>
    <w:rsid w:val="00361DEB"/>
    <w:pPr>
      <w:spacing w:after="0"/>
    </w:pPr>
    <w:rPr>
      <w:color w:val="00728F" w:themeColor="text1"/>
    </w:rPr>
    <w:tblPr>
      <w:tblStyleRowBandSize w:val="1"/>
      <w:tblStyleColBandSize w:val="1"/>
      <w:tblBorders>
        <w:top w:val="single" w:sz="8" w:space="0" w:color="00728F" w:themeColor="accent1"/>
        <w:bottom w:val="single" w:sz="8" w:space="0" w:color="00728F" w:themeColor="accent1"/>
      </w:tblBorders>
    </w:tblPr>
    <w:tblStylePr w:type="firstRow">
      <w:rPr>
        <w:rFonts w:asciiTheme="majorHAnsi" w:eastAsiaTheme="majorEastAsia" w:hAnsiTheme="majorHAnsi" w:cstheme="majorBidi"/>
      </w:rPr>
      <w:tblPr/>
      <w:tcPr>
        <w:tcBorders>
          <w:top w:val="nil"/>
          <w:bottom w:val="single" w:sz="8" w:space="0" w:color="00728F" w:themeColor="accent1"/>
        </w:tcBorders>
      </w:tcPr>
    </w:tblStylePr>
    <w:tblStylePr w:type="lastRow">
      <w:rPr>
        <w:b/>
        <w:bCs/>
        <w:color w:val="B7DDE8" w:themeColor="text2"/>
      </w:rPr>
      <w:tblPr/>
      <w:tcPr>
        <w:tcBorders>
          <w:top w:val="single" w:sz="8" w:space="0" w:color="00728F" w:themeColor="accent1"/>
          <w:bottom w:val="single" w:sz="8" w:space="0" w:color="00728F" w:themeColor="accent1"/>
        </w:tcBorders>
      </w:tcPr>
    </w:tblStylePr>
    <w:tblStylePr w:type="firstCol">
      <w:rPr>
        <w:b/>
        <w:bCs/>
      </w:rPr>
    </w:tblStylePr>
    <w:tblStylePr w:type="lastCol">
      <w:rPr>
        <w:b/>
        <w:bCs/>
      </w:rPr>
      <w:tblPr/>
      <w:tcPr>
        <w:tcBorders>
          <w:top w:val="single" w:sz="8" w:space="0" w:color="00728F" w:themeColor="accent1"/>
          <w:bottom w:val="single" w:sz="8" w:space="0" w:color="00728F" w:themeColor="accent1"/>
        </w:tcBorders>
      </w:tcPr>
    </w:tblStylePr>
    <w:tblStylePr w:type="band1Vert">
      <w:tblPr/>
      <w:tcPr>
        <w:shd w:val="clear" w:color="auto" w:fill="A4ECFF" w:themeFill="accent1" w:themeFillTint="3F"/>
      </w:tcPr>
    </w:tblStylePr>
    <w:tblStylePr w:type="band1Horz">
      <w:tblPr/>
      <w:tcPr>
        <w:shd w:val="clear" w:color="auto" w:fill="A4ECFF" w:themeFill="accent1" w:themeFillTint="3F"/>
      </w:tcPr>
    </w:tblStylePr>
  </w:style>
  <w:style w:type="table" w:styleId="MediumList1-Accent2">
    <w:name w:val="Medium List 1 Accent 2"/>
    <w:basedOn w:val="TableNormal"/>
    <w:uiPriority w:val="99"/>
    <w:semiHidden/>
    <w:rsid w:val="00361DEB"/>
    <w:pPr>
      <w:spacing w:after="0"/>
    </w:pPr>
    <w:rPr>
      <w:color w:val="00728F" w:themeColor="text1"/>
    </w:rPr>
    <w:tblPr>
      <w:tblStyleRowBandSize w:val="1"/>
      <w:tblStyleColBandSize w:val="1"/>
      <w:tblBorders>
        <w:top w:val="single" w:sz="8" w:space="0" w:color="B7DDE8" w:themeColor="accent2"/>
        <w:bottom w:val="single" w:sz="8" w:space="0" w:color="B7DDE8" w:themeColor="accent2"/>
      </w:tblBorders>
    </w:tblPr>
    <w:tblStylePr w:type="firstRow">
      <w:rPr>
        <w:rFonts w:asciiTheme="majorHAnsi" w:eastAsiaTheme="majorEastAsia" w:hAnsiTheme="majorHAnsi" w:cstheme="majorBidi"/>
      </w:rPr>
      <w:tblPr/>
      <w:tcPr>
        <w:tcBorders>
          <w:top w:val="nil"/>
          <w:bottom w:val="single" w:sz="8" w:space="0" w:color="B7DDE8" w:themeColor="accent2"/>
        </w:tcBorders>
      </w:tcPr>
    </w:tblStylePr>
    <w:tblStylePr w:type="lastRow">
      <w:rPr>
        <w:b/>
        <w:bCs/>
        <w:color w:val="B7DDE8" w:themeColor="text2"/>
      </w:rPr>
      <w:tblPr/>
      <w:tcPr>
        <w:tcBorders>
          <w:top w:val="single" w:sz="8" w:space="0" w:color="B7DDE8" w:themeColor="accent2"/>
          <w:bottom w:val="single" w:sz="8" w:space="0" w:color="B7DDE8" w:themeColor="accent2"/>
        </w:tcBorders>
      </w:tcPr>
    </w:tblStylePr>
    <w:tblStylePr w:type="firstCol">
      <w:rPr>
        <w:b/>
        <w:bCs/>
      </w:rPr>
    </w:tblStylePr>
    <w:tblStylePr w:type="lastCol">
      <w:rPr>
        <w:b/>
        <w:bCs/>
      </w:rPr>
      <w:tblPr/>
      <w:tcPr>
        <w:tcBorders>
          <w:top w:val="single" w:sz="8" w:space="0" w:color="B7DDE8" w:themeColor="accent2"/>
          <w:bottom w:val="single" w:sz="8" w:space="0" w:color="B7DDE8" w:themeColor="accent2"/>
        </w:tcBorders>
      </w:tcPr>
    </w:tblStylePr>
    <w:tblStylePr w:type="band1Vert">
      <w:tblPr/>
      <w:tcPr>
        <w:shd w:val="clear" w:color="auto" w:fill="EDF6F9" w:themeFill="accent2" w:themeFillTint="3F"/>
      </w:tcPr>
    </w:tblStylePr>
    <w:tblStylePr w:type="band1Horz">
      <w:tblPr/>
      <w:tcPr>
        <w:shd w:val="clear" w:color="auto" w:fill="EDF6F9" w:themeFill="accent2" w:themeFillTint="3F"/>
      </w:tcPr>
    </w:tblStylePr>
  </w:style>
  <w:style w:type="table" w:styleId="MediumList1-Accent3">
    <w:name w:val="Medium List 1 Accent 3"/>
    <w:basedOn w:val="TableNormal"/>
    <w:uiPriority w:val="99"/>
    <w:semiHidden/>
    <w:rsid w:val="00361DEB"/>
    <w:pPr>
      <w:spacing w:after="0"/>
    </w:pPr>
    <w:rPr>
      <w:color w:val="00728F" w:themeColor="text1"/>
    </w:rPr>
    <w:tblPr>
      <w:tblStyleRowBandSize w:val="1"/>
      <w:tblStyleColBandSize w:val="1"/>
      <w:tblBorders>
        <w:top w:val="single" w:sz="8" w:space="0" w:color="DBEEF3" w:themeColor="accent3"/>
        <w:bottom w:val="single" w:sz="8" w:space="0" w:color="DBEEF3" w:themeColor="accent3"/>
      </w:tblBorders>
    </w:tblPr>
    <w:tblStylePr w:type="firstRow">
      <w:rPr>
        <w:rFonts w:asciiTheme="majorHAnsi" w:eastAsiaTheme="majorEastAsia" w:hAnsiTheme="majorHAnsi" w:cstheme="majorBidi"/>
      </w:rPr>
      <w:tblPr/>
      <w:tcPr>
        <w:tcBorders>
          <w:top w:val="nil"/>
          <w:bottom w:val="single" w:sz="8" w:space="0" w:color="DBEEF3" w:themeColor="accent3"/>
        </w:tcBorders>
      </w:tcPr>
    </w:tblStylePr>
    <w:tblStylePr w:type="lastRow">
      <w:rPr>
        <w:b/>
        <w:bCs/>
        <w:color w:val="B7DDE8" w:themeColor="text2"/>
      </w:rPr>
      <w:tblPr/>
      <w:tcPr>
        <w:tcBorders>
          <w:top w:val="single" w:sz="8" w:space="0" w:color="DBEEF3" w:themeColor="accent3"/>
          <w:bottom w:val="single" w:sz="8" w:space="0" w:color="DBEEF3" w:themeColor="accent3"/>
        </w:tcBorders>
      </w:tcPr>
    </w:tblStylePr>
    <w:tblStylePr w:type="firstCol">
      <w:rPr>
        <w:b/>
        <w:bCs/>
      </w:rPr>
    </w:tblStylePr>
    <w:tblStylePr w:type="lastCol">
      <w:rPr>
        <w:b/>
        <w:bCs/>
      </w:rPr>
      <w:tblPr/>
      <w:tcPr>
        <w:tcBorders>
          <w:top w:val="single" w:sz="8" w:space="0" w:color="DBEEF3" w:themeColor="accent3"/>
          <w:bottom w:val="single" w:sz="8" w:space="0" w:color="DBEEF3" w:themeColor="accent3"/>
        </w:tcBorders>
      </w:tcPr>
    </w:tblStylePr>
    <w:tblStylePr w:type="band1Vert">
      <w:tblPr/>
      <w:tcPr>
        <w:shd w:val="clear" w:color="auto" w:fill="F6FAFC" w:themeFill="accent3" w:themeFillTint="3F"/>
      </w:tcPr>
    </w:tblStylePr>
    <w:tblStylePr w:type="band1Horz">
      <w:tblPr/>
      <w:tcPr>
        <w:shd w:val="clear" w:color="auto" w:fill="F6FAFC" w:themeFill="accent3" w:themeFillTint="3F"/>
      </w:tcPr>
    </w:tblStylePr>
  </w:style>
  <w:style w:type="table" w:styleId="MediumList1-Accent4">
    <w:name w:val="Medium List 1 Accent 4"/>
    <w:basedOn w:val="TableNormal"/>
    <w:uiPriority w:val="99"/>
    <w:semiHidden/>
    <w:rsid w:val="00361DEB"/>
    <w:pPr>
      <w:spacing w:after="0"/>
    </w:pPr>
    <w:rPr>
      <w:color w:val="00728F" w:themeColor="text1"/>
    </w:rPr>
    <w:tblPr>
      <w:tblStyleRowBandSize w:val="1"/>
      <w:tblStyleColBandSize w:val="1"/>
      <w:tblBorders>
        <w:top w:val="single" w:sz="8" w:space="0" w:color="92CDDC" w:themeColor="accent4"/>
        <w:bottom w:val="single" w:sz="8" w:space="0" w:color="92CDDC" w:themeColor="accent4"/>
      </w:tblBorders>
    </w:tblPr>
    <w:tblStylePr w:type="firstRow">
      <w:rPr>
        <w:rFonts w:asciiTheme="majorHAnsi" w:eastAsiaTheme="majorEastAsia" w:hAnsiTheme="majorHAnsi" w:cstheme="majorBidi"/>
      </w:rPr>
      <w:tblPr/>
      <w:tcPr>
        <w:tcBorders>
          <w:top w:val="nil"/>
          <w:bottom w:val="single" w:sz="8" w:space="0" w:color="92CDDC" w:themeColor="accent4"/>
        </w:tcBorders>
      </w:tcPr>
    </w:tblStylePr>
    <w:tblStylePr w:type="lastRow">
      <w:rPr>
        <w:b/>
        <w:bCs/>
        <w:color w:val="B7DDE8" w:themeColor="text2"/>
      </w:rPr>
      <w:tblPr/>
      <w:tcPr>
        <w:tcBorders>
          <w:top w:val="single" w:sz="8" w:space="0" w:color="92CDDC" w:themeColor="accent4"/>
          <w:bottom w:val="single" w:sz="8" w:space="0" w:color="92CDDC" w:themeColor="accent4"/>
        </w:tcBorders>
      </w:tcPr>
    </w:tblStylePr>
    <w:tblStylePr w:type="firstCol">
      <w:rPr>
        <w:b/>
        <w:bCs/>
      </w:rPr>
    </w:tblStylePr>
    <w:tblStylePr w:type="lastCol">
      <w:rPr>
        <w:b/>
        <w:bCs/>
      </w:rPr>
      <w:tblPr/>
      <w:tcPr>
        <w:tcBorders>
          <w:top w:val="single" w:sz="8" w:space="0" w:color="92CDDC" w:themeColor="accent4"/>
          <w:bottom w:val="single" w:sz="8" w:space="0" w:color="92CDDC" w:themeColor="accent4"/>
        </w:tcBorders>
      </w:tcPr>
    </w:tblStylePr>
    <w:tblStylePr w:type="band1Vert">
      <w:tblPr/>
      <w:tcPr>
        <w:shd w:val="clear" w:color="auto" w:fill="E4F2F6" w:themeFill="accent4" w:themeFillTint="3F"/>
      </w:tcPr>
    </w:tblStylePr>
    <w:tblStylePr w:type="band1Horz">
      <w:tblPr/>
      <w:tcPr>
        <w:shd w:val="clear" w:color="auto" w:fill="E4F2F6" w:themeFill="accent4" w:themeFillTint="3F"/>
      </w:tcPr>
    </w:tblStylePr>
  </w:style>
  <w:style w:type="table" w:styleId="MediumList1-Accent5">
    <w:name w:val="Medium List 1 Accent 5"/>
    <w:basedOn w:val="TableNormal"/>
    <w:uiPriority w:val="99"/>
    <w:semiHidden/>
    <w:rsid w:val="00361DEB"/>
    <w:pPr>
      <w:spacing w:after="0"/>
    </w:pPr>
    <w:rPr>
      <w:color w:val="00728F" w:themeColor="text1"/>
    </w:rPr>
    <w:tblPr>
      <w:tblStyleRowBandSize w:val="1"/>
      <w:tblStyleColBandSize w:val="1"/>
      <w:tblBorders>
        <w:top w:val="single" w:sz="8" w:space="0" w:color="31859B" w:themeColor="accent5"/>
        <w:bottom w:val="single" w:sz="8" w:space="0" w:color="31859B" w:themeColor="accent5"/>
      </w:tblBorders>
    </w:tblPr>
    <w:tblStylePr w:type="firstRow">
      <w:rPr>
        <w:rFonts w:asciiTheme="majorHAnsi" w:eastAsiaTheme="majorEastAsia" w:hAnsiTheme="majorHAnsi" w:cstheme="majorBidi"/>
      </w:rPr>
      <w:tblPr/>
      <w:tcPr>
        <w:tcBorders>
          <w:top w:val="nil"/>
          <w:bottom w:val="single" w:sz="8" w:space="0" w:color="31859B" w:themeColor="accent5"/>
        </w:tcBorders>
      </w:tcPr>
    </w:tblStylePr>
    <w:tblStylePr w:type="lastRow">
      <w:rPr>
        <w:b/>
        <w:bCs/>
        <w:color w:val="B7DDE8" w:themeColor="text2"/>
      </w:rPr>
      <w:tblPr/>
      <w:tcPr>
        <w:tcBorders>
          <w:top w:val="single" w:sz="8" w:space="0" w:color="31859B" w:themeColor="accent5"/>
          <w:bottom w:val="single" w:sz="8" w:space="0" w:color="31859B" w:themeColor="accent5"/>
        </w:tcBorders>
      </w:tcPr>
    </w:tblStylePr>
    <w:tblStylePr w:type="firstCol">
      <w:rPr>
        <w:b/>
        <w:bCs/>
      </w:rPr>
    </w:tblStylePr>
    <w:tblStylePr w:type="lastCol">
      <w:rPr>
        <w:b/>
        <w:bCs/>
      </w:rPr>
      <w:tblPr/>
      <w:tcPr>
        <w:tcBorders>
          <w:top w:val="single" w:sz="8" w:space="0" w:color="31859B" w:themeColor="accent5"/>
          <w:bottom w:val="single" w:sz="8" w:space="0" w:color="31859B" w:themeColor="accent5"/>
        </w:tcBorders>
      </w:tcPr>
    </w:tblStylePr>
    <w:tblStylePr w:type="band1Vert">
      <w:tblPr/>
      <w:tcPr>
        <w:shd w:val="clear" w:color="auto" w:fill="C5E4EC" w:themeFill="accent5" w:themeFillTint="3F"/>
      </w:tcPr>
    </w:tblStylePr>
    <w:tblStylePr w:type="band1Horz">
      <w:tblPr/>
      <w:tcPr>
        <w:shd w:val="clear" w:color="auto" w:fill="C5E4EC" w:themeFill="accent5" w:themeFillTint="3F"/>
      </w:tcPr>
    </w:tblStylePr>
  </w:style>
  <w:style w:type="table" w:styleId="MediumList1-Accent6">
    <w:name w:val="Medium List 1 Accent 6"/>
    <w:basedOn w:val="TableNormal"/>
    <w:uiPriority w:val="99"/>
    <w:semiHidden/>
    <w:rsid w:val="00361DEB"/>
    <w:pPr>
      <w:spacing w:after="0"/>
    </w:pPr>
    <w:rPr>
      <w:color w:val="00728F" w:themeColor="text1"/>
    </w:rPr>
    <w:tblPr>
      <w:tblStyleRowBandSize w:val="1"/>
      <w:tblStyleColBandSize w:val="1"/>
      <w:tblBorders>
        <w:top w:val="single" w:sz="8" w:space="0" w:color="64B8CE" w:themeColor="accent6"/>
        <w:bottom w:val="single" w:sz="8" w:space="0" w:color="64B8CE" w:themeColor="accent6"/>
      </w:tblBorders>
    </w:tblPr>
    <w:tblStylePr w:type="firstRow">
      <w:rPr>
        <w:rFonts w:asciiTheme="majorHAnsi" w:eastAsiaTheme="majorEastAsia" w:hAnsiTheme="majorHAnsi" w:cstheme="majorBidi"/>
      </w:rPr>
      <w:tblPr/>
      <w:tcPr>
        <w:tcBorders>
          <w:top w:val="nil"/>
          <w:bottom w:val="single" w:sz="8" w:space="0" w:color="64B8CE" w:themeColor="accent6"/>
        </w:tcBorders>
      </w:tcPr>
    </w:tblStylePr>
    <w:tblStylePr w:type="lastRow">
      <w:rPr>
        <w:b/>
        <w:bCs/>
        <w:color w:val="B7DDE8" w:themeColor="text2"/>
      </w:rPr>
      <w:tblPr/>
      <w:tcPr>
        <w:tcBorders>
          <w:top w:val="single" w:sz="8" w:space="0" w:color="64B8CE" w:themeColor="accent6"/>
          <w:bottom w:val="single" w:sz="8" w:space="0" w:color="64B8CE" w:themeColor="accent6"/>
        </w:tcBorders>
      </w:tcPr>
    </w:tblStylePr>
    <w:tblStylePr w:type="firstCol">
      <w:rPr>
        <w:b/>
        <w:bCs/>
      </w:rPr>
    </w:tblStylePr>
    <w:tblStylePr w:type="lastCol">
      <w:rPr>
        <w:b/>
        <w:bCs/>
      </w:rPr>
      <w:tblPr/>
      <w:tcPr>
        <w:tcBorders>
          <w:top w:val="single" w:sz="8" w:space="0" w:color="64B8CE" w:themeColor="accent6"/>
          <w:bottom w:val="single" w:sz="8" w:space="0" w:color="64B8CE" w:themeColor="accent6"/>
        </w:tcBorders>
      </w:tcPr>
    </w:tblStylePr>
    <w:tblStylePr w:type="band1Vert">
      <w:tblPr/>
      <w:tcPr>
        <w:shd w:val="clear" w:color="auto" w:fill="D8EDF2" w:themeFill="accent6" w:themeFillTint="3F"/>
      </w:tcPr>
    </w:tblStylePr>
    <w:tblStylePr w:type="band1Horz">
      <w:tblPr/>
      <w:tcPr>
        <w:shd w:val="clear" w:color="auto" w:fill="D8EDF2" w:themeFill="accent6" w:themeFillTint="3F"/>
      </w:tcPr>
    </w:tblStylePr>
  </w:style>
  <w:style w:type="table" w:customStyle="1" w:styleId="MediumList21">
    <w:name w:val="Medium List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rPr>
        <w:sz w:val="24"/>
        <w:szCs w:val="24"/>
      </w:rPr>
      <w:tblPr/>
      <w:tcPr>
        <w:tcBorders>
          <w:top w:val="nil"/>
          <w:left w:val="nil"/>
          <w:bottom w:val="single" w:sz="24" w:space="0" w:color="00728F" w:themeColor="text1"/>
          <w:right w:val="nil"/>
          <w:insideH w:val="nil"/>
          <w:insideV w:val="nil"/>
        </w:tcBorders>
        <w:shd w:val="clear" w:color="auto" w:fill="FFFFFF" w:themeFill="background1"/>
      </w:tcPr>
    </w:tblStylePr>
    <w:tblStylePr w:type="lastRow">
      <w:tblPr/>
      <w:tcPr>
        <w:tcBorders>
          <w:top w:val="single" w:sz="8" w:space="0" w:color="00728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text1"/>
          <w:insideH w:val="nil"/>
          <w:insideV w:val="nil"/>
        </w:tcBorders>
        <w:shd w:val="clear" w:color="auto" w:fill="FFFFFF" w:themeFill="background1"/>
      </w:tcPr>
    </w:tblStylePr>
    <w:tblStylePr w:type="lastCol">
      <w:tblPr/>
      <w:tcPr>
        <w:tcBorders>
          <w:top w:val="nil"/>
          <w:left w:val="single" w:sz="8" w:space="0" w:color="00728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top w:val="nil"/>
          <w:bottom w:val="nil"/>
          <w:insideH w:val="nil"/>
          <w:insideV w:val="nil"/>
        </w:tcBorders>
        <w:shd w:val="clear" w:color="auto" w:fill="A4EC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rPr>
        <w:sz w:val="24"/>
        <w:szCs w:val="24"/>
      </w:rPr>
      <w:tblPr/>
      <w:tcPr>
        <w:tcBorders>
          <w:top w:val="nil"/>
          <w:left w:val="nil"/>
          <w:bottom w:val="single" w:sz="24" w:space="0" w:color="00728F" w:themeColor="accent1"/>
          <w:right w:val="nil"/>
          <w:insideH w:val="nil"/>
          <w:insideV w:val="nil"/>
        </w:tcBorders>
        <w:shd w:val="clear" w:color="auto" w:fill="FFFFFF" w:themeFill="background1"/>
      </w:tcPr>
    </w:tblStylePr>
    <w:tblStylePr w:type="lastRow">
      <w:tblPr/>
      <w:tcPr>
        <w:tcBorders>
          <w:top w:val="single" w:sz="8" w:space="0" w:color="0072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accent1"/>
          <w:insideH w:val="nil"/>
          <w:insideV w:val="nil"/>
        </w:tcBorders>
        <w:shd w:val="clear" w:color="auto" w:fill="FFFFFF" w:themeFill="background1"/>
      </w:tcPr>
    </w:tblStylePr>
    <w:tblStylePr w:type="lastCol">
      <w:tblPr/>
      <w:tcPr>
        <w:tcBorders>
          <w:top w:val="nil"/>
          <w:left w:val="single" w:sz="8" w:space="0" w:color="0072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top w:val="nil"/>
          <w:bottom w:val="nil"/>
          <w:insideH w:val="nil"/>
          <w:insideV w:val="nil"/>
        </w:tcBorders>
        <w:shd w:val="clear" w:color="auto" w:fill="A4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rPr>
        <w:sz w:val="24"/>
        <w:szCs w:val="24"/>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tblPr/>
      <w:tcPr>
        <w:tcBorders>
          <w:top w:val="single" w:sz="8" w:space="0" w:color="B7DD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DDE8" w:themeColor="accent2"/>
          <w:insideH w:val="nil"/>
          <w:insideV w:val="nil"/>
        </w:tcBorders>
        <w:shd w:val="clear" w:color="auto" w:fill="FFFFFF" w:themeFill="background1"/>
      </w:tcPr>
    </w:tblStylePr>
    <w:tblStylePr w:type="lastCol">
      <w:tblPr/>
      <w:tcPr>
        <w:tcBorders>
          <w:top w:val="nil"/>
          <w:left w:val="single" w:sz="8" w:space="0" w:color="B7DD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top w:val="nil"/>
          <w:bottom w:val="nil"/>
          <w:insideH w:val="nil"/>
          <w:insideV w:val="nil"/>
        </w:tcBorders>
        <w:shd w:val="clear" w:color="auto" w:fill="EDF6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rPr>
        <w:sz w:val="24"/>
        <w:szCs w:val="24"/>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tblPr/>
      <w:tcPr>
        <w:tcBorders>
          <w:top w:val="single" w:sz="8" w:space="0" w:color="DBEEF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EEF3" w:themeColor="accent3"/>
          <w:insideH w:val="nil"/>
          <w:insideV w:val="nil"/>
        </w:tcBorders>
        <w:shd w:val="clear" w:color="auto" w:fill="FFFFFF" w:themeFill="background1"/>
      </w:tcPr>
    </w:tblStylePr>
    <w:tblStylePr w:type="lastCol">
      <w:tblPr/>
      <w:tcPr>
        <w:tcBorders>
          <w:top w:val="nil"/>
          <w:left w:val="single" w:sz="8" w:space="0" w:color="DBEEF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top w:val="nil"/>
          <w:bottom w:val="nil"/>
          <w:insideH w:val="nil"/>
          <w:insideV w:val="nil"/>
        </w:tcBorders>
        <w:shd w:val="clear" w:color="auto" w:fill="F6FA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rPr>
        <w:sz w:val="24"/>
        <w:szCs w:val="24"/>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tblPr/>
      <w:tcPr>
        <w:tcBorders>
          <w:top w:val="single" w:sz="8" w:space="0" w:color="92CDD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CDDC" w:themeColor="accent4"/>
          <w:insideH w:val="nil"/>
          <w:insideV w:val="nil"/>
        </w:tcBorders>
        <w:shd w:val="clear" w:color="auto" w:fill="FFFFFF" w:themeFill="background1"/>
      </w:tcPr>
    </w:tblStylePr>
    <w:tblStylePr w:type="lastCol">
      <w:tblPr/>
      <w:tcPr>
        <w:tcBorders>
          <w:top w:val="nil"/>
          <w:left w:val="single" w:sz="8" w:space="0" w:color="92C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top w:val="nil"/>
          <w:bottom w:val="nil"/>
          <w:insideH w:val="nil"/>
          <w:insideV w:val="nil"/>
        </w:tcBorders>
        <w:shd w:val="clear" w:color="auto" w:fill="E4F2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rPr>
        <w:sz w:val="24"/>
        <w:szCs w:val="24"/>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tblPr/>
      <w:tcPr>
        <w:tcBorders>
          <w:top w:val="single" w:sz="8" w:space="0" w:color="3185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859B" w:themeColor="accent5"/>
          <w:insideH w:val="nil"/>
          <w:insideV w:val="nil"/>
        </w:tcBorders>
        <w:shd w:val="clear" w:color="auto" w:fill="FFFFFF" w:themeFill="background1"/>
      </w:tcPr>
    </w:tblStylePr>
    <w:tblStylePr w:type="lastCol">
      <w:tblPr/>
      <w:tcPr>
        <w:tcBorders>
          <w:top w:val="nil"/>
          <w:left w:val="single" w:sz="8" w:space="0" w:color="3185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top w:val="nil"/>
          <w:bottom w:val="nil"/>
          <w:insideH w:val="nil"/>
          <w:insideV w:val="nil"/>
        </w:tcBorders>
        <w:shd w:val="clear" w:color="auto" w:fill="C5E4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rPr>
        <w:sz w:val="24"/>
        <w:szCs w:val="24"/>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tblPr/>
      <w:tcPr>
        <w:tcBorders>
          <w:top w:val="single" w:sz="8" w:space="0" w:color="64B8C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B8CE" w:themeColor="accent6"/>
          <w:insideH w:val="nil"/>
          <w:insideV w:val="nil"/>
        </w:tcBorders>
        <w:shd w:val="clear" w:color="auto" w:fill="FFFFFF" w:themeFill="background1"/>
      </w:tcPr>
    </w:tblStylePr>
    <w:tblStylePr w:type="lastCol">
      <w:tblPr/>
      <w:tcPr>
        <w:tcBorders>
          <w:top w:val="nil"/>
          <w:left w:val="single" w:sz="8" w:space="0" w:color="64B8C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top w:val="nil"/>
          <w:bottom w:val="nil"/>
          <w:insideH w:val="nil"/>
          <w:insideV w:val="nil"/>
        </w:tcBorders>
        <w:shd w:val="clear" w:color="auto" w:fill="D8ED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tblBorders>
    </w:tblPr>
    <w:tblStylePr w:type="firstRow">
      <w:pPr>
        <w:spacing w:before="0" w:after="0" w:line="240" w:lineRule="auto"/>
      </w:pPr>
      <w:rPr>
        <w:b/>
        <w:bCs/>
        <w:color w:val="FFFFFF" w:themeColor="background1"/>
      </w:rPr>
      <w:tblPr/>
      <w:tcPr>
        <w:tc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shd w:val="clear" w:color="auto" w:fill="00728F" w:themeFill="text1"/>
      </w:tcPr>
    </w:tblStylePr>
    <w:tblStylePr w:type="lastRow">
      <w:pPr>
        <w:spacing w:before="0" w:after="0" w:line="240" w:lineRule="auto"/>
      </w:pPr>
      <w:rPr>
        <w:b/>
        <w:bCs/>
      </w:rPr>
      <w:tblPr/>
      <w:tcPr>
        <w:tcBorders>
          <w:top w:val="double" w:sz="6"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tcPr>
    </w:tblStylePr>
    <w:tblStylePr w:type="firstCol">
      <w:rPr>
        <w:b/>
        <w:bCs/>
      </w:rPr>
    </w:tblStylePr>
    <w:tblStylePr w:type="lastCol">
      <w:rPr>
        <w:b/>
        <w:bCs/>
      </w:rPr>
    </w:tblStylePr>
    <w:tblStylePr w:type="band1Vert">
      <w:tblPr/>
      <w:tcPr>
        <w:shd w:val="clear" w:color="auto" w:fill="A4ECFF" w:themeFill="text1" w:themeFillTint="3F"/>
      </w:tcPr>
    </w:tblStylePr>
    <w:tblStylePr w:type="band1Horz">
      <w:tblPr/>
      <w:tcPr>
        <w:tcBorders>
          <w:insideH w:val="nil"/>
          <w:insideV w:val="nil"/>
        </w:tcBorders>
        <w:shd w:val="clear" w:color="auto" w:fill="A4ECFF"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tblBorders>
    </w:tblPr>
    <w:tblStylePr w:type="firstRow">
      <w:pPr>
        <w:spacing w:before="0" w:after="0" w:line="240" w:lineRule="auto"/>
      </w:pPr>
      <w:rPr>
        <w:b/>
        <w:bCs/>
        <w:color w:val="FFFFFF" w:themeColor="background1"/>
      </w:rPr>
      <w:tblPr/>
      <w:tcPr>
        <w:tc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shd w:val="clear" w:color="auto" w:fill="00728F" w:themeFill="accent1"/>
      </w:tcPr>
    </w:tblStylePr>
    <w:tblStylePr w:type="lastRow">
      <w:pPr>
        <w:spacing w:before="0" w:after="0" w:line="240" w:lineRule="auto"/>
      </w:pPr>
      <w:rPr>
        <w:b/>
        <w:bCs/>
      </w:rPr>
      <w:tblPr/>
      <w:tcPr>
        <w:tcBorders>
          <w:top w:val="double" w:sz="6"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ECFF" w:themeFill="accent1" w:themeFillTint="3F"/>
      </w:tcPr>
    </w:tblStylePr>
    <w:tblStylePr w:type="band1Horz">
      <w:tblPr/>
      <w:tcPr>
        <w:tcBorders>
          <w:insideH w:val="nil"/>
          <w:insideV w:val="nil"/>
        </w:tcBorders>
        <w:shd w:val="clear" w:color="auto" w:fill="A4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tblBorders>
    </w:tblPr>
    <w:tblStylePr w:type="firstRow">
      <w:pPr>
        <w:spacing w:before="0" w:after="0" w:line="240" w:lineRule="auto"/>
      </w:pPr>
      <w:rPr>
        <w:b/>
        <w:bCs/>
        <w:color w:val="FFFFFF" w:themeColor="background1"/>
      </w:rPr>
      <w:tblPr/>
      <w:tcPr>
        <w:tc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shd w:val="clear" w:color="auto" w:fill="B7DDE8" w:themeFill="accent2"/>
      </w:tcPr>
    </w:tblStylePr>
    <w:tblStylePr w:type="lastRow">
      <w:pPr>
        <w:spacing w:before="0" w:after="0" w:line="240" w:lineRule="auto"/>
      </w:pPr>
      <w:rPr>
        <w:b/>
        <w:bCs/>
      </w:rPr>
      <w:tblPr/>
      <w:tcPr>
        <w:tcBorders>
          <w:top w:val="double" w:sz="6"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F6F9" w:themeFill="accent2" w:themeFillTint="3F"/>
      </w:tcPr>
    </w:tblStylePr>
    <w:tblStylePr w:type="band1Horz">
      <w:tblPr/>
      <w:tcPr>
        <w:tcBorders>
          <w:insideH w:val="nil"/>
          <w:insideV w:val="nil"/>
        </w:tcBorders>
        <w:shd w:val="clear" w:color="auto" w:fill="EDF6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tblBorders>
    </w:tblPr>
    <w:tblStylePr w:type="firstRow">
      <w:pPr>
        <w:spacing w:before="0" w:after="0" w:line="240" w:lineRule="auto"/>
      </w:pPr>
      <w:rPr>
        <w:b/>
        <w:bCs/>
        <w:color w:val="FFFFFF" w:themeColor="background1"/>
      </w:rPr>
      <w:tblPr/>
      <w:tcPr>
        <w:tc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shd w:val="clear" w:color="auto" w:fill="DBEEF3" w:themeFill="accent3"/>
      </w:tcPr>
    </w:tblStylePr>
    <w:tblStylePr w:type="lastRow">
      <w:pPr>
        <w:spacing w:before="0" w:after="0" w:line="240" w:lineRule="auto"/>
      </w:pPr>
      <w:rPr>
        <w:b/>
        <w:bCs/>
      </w:rPr>
      <w:tblPr/>
      <w:tcPr>
        <w:tcBorders>
          <w:top w:val="double" w:sz="6"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AFC" w:themeFill="accent3" w:themeFillTint="3F"/>
      </w:tcPr>
    </w:tblStylePr>
    <w:tblStylePr w:type="band1Horz">
      <w:tblPr/>
      <w:tcPr>
        <w:tcBorders>
          <w:insideH w:val="nil"/>
          <w:insideV w:val="nil"/>
        </w:tcBorders>
        <w:shd w:val="clear" w:color="auto" w:fill="F6FA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tblBorders>
    </w:tblPr>
    <w:tblStylePr w:type="firstRow">
      <w:pPr>
        <w:spacing w:before="0" w:after="0" w:line="240" w:lineRule="auto"/>
      </w:pPr>
      <w:rPr>
        <w:b/>
        <w:bCs/>
        <w:color w:val="FFFFFF" w:themeColor="background1"/>
      </w:rPr>
      <w:tblPr/>
      <w:tcPr>
        <w:tc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shd w:val="clear" w:color="auto" w:fill="92CDDC" w:themeFill="accent4"/>
      </w:tcPr>
    </w:tblStylePr>
    <w:tblStylePr w:type="lastRow">
      <w:pPr>
        <w:spacing w:before="0" w:after="0" w:line="240" w:lineRule="auto"/>
      </w:pPr>
      <w:rPr>
        <w:b/>
        <w:bCs/>
      </w:rPr>
      <w:tblPr/>
      <w:tcPr>
        <w:tcBorders>
          <w:top w:val="double" w:sz="6"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2F6" w:themeFill="accent4" w:themeFillTint="3F"/>
      </w:tcPr>
    </w:tblStylePr>
    <w:tblStylePr w:type="band1Horz">
      <w:tblPr/>
      <w:tcPr>
        <w:tcBorders>
          <w:insideH w:val="nil"/>
          <w:insideV w:val="nil"/>
        </w:tcBorders>
        <w:shd w:val="clear" w:color="auto" w:fill="E4F2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tblBorders>
    </w:tblPr>
    <w:tblStylePr w:type="firstRow">
      <w:pPr>
        <w:spacing w:before="0" w:after="0" w:line="240" w:lineRule="auto"/>
      </w:pPr>
      <w:rPr>
        <w:b/>
        <w:bCs/>
        <w:color w:val="FFFFFF" w:themeColor="background1"/>
      </w:rPr>
      <w:tblPr/>
      <w:tcPr>
        <w:tc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shd w:val="clear" w:color="auto" w:fill="31859B" w:themeFill="accent5"/>
      </w:tcPr>
    </w:tblStylePr>
    <w:tblStylePr w:type="lastRow">
      <w:pPr>
        <w:spacing w:before="0" w:after="0" w:line="240" w:lineRule="auto"/>
      </w:pPr>
      <w:rPr>
        <w:b/>
        <w:bCs/>
      </w:rPr>
      <w:tblPr/>
      <w:tcPr>
        <w:tcBorders>
          <w:top w:val="double" w:sz="6"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5E4EC" w:themeFill="accent5" w:themeFillTint="3F"/>
      </w:tcPr>
    </w:tblStylePr>
    <w:tblStylePr w:type="band1Horz">
      <w:tblPr/>
      <w:tcPr>
        <w:tcBorders>
          <w:insideH w:val="nil"/>
          <w:insideV w:val="nil"/>
        </w:tcBorders>
        <w:shd w:val="clear" w:color="auto" w:fill="C5E4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tblBorders>
    </w:tblPr>
    <w:tblStylePr w:type="firstRow">
      <w:pPr>
        <w:spacing w:before="0" w:after="0" w:line="240" w:lineRule="auto"/>
      </w:pPr>
      <w:rPr>
        <w:b/>
        <w:bCs/>
        <w:color w:val="FFFFFF" w:themeColor="background1"/>
      </w:rPr>
      <w:tblPr/>
      <w:tcPr>
        <w:tc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shd w:val="clear" w:color="auto" w:fill="64B8CE" w:themeFill="accent6"/>
      </w:tcPr>
    </w:tblStylePr>
    <w:tblStylePr w:type="lastRow">
      <w:pPr>
        <w:spacing w:before="0" w:after="0" w:line="240" w:lineRule="auto"/>
      </w:pPr>
      <w:rPr>
        <w:b/>
        <w:bCs/>
      </w:rPr>
      <w:tblPr/>
      <w:tcPr>
        <w:tcBorders>
          <w:top w:val="double" w:sz="6"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DF2" w:themeFill="accent6" w:themeFillTint="3F"/>
      </w:tcPr>
    </w:tblStylePr>
    <w:tblStylePr w:type="band1Horz">
      <w:tblPr/>
      <w:tcPr>
        <w:tcBorders>
          <w:insideH w:val="nil"/>
          <w:insideV w:val="nil"/>
        </w:tcBorders>
        <w:shd w:val="clear" w:color="auto" w:fill="D8EDF2"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text1"/>
      </w:tcPr>
    </w:tblStylePr>
    <w:tblStylePr w:type="lastCol">
      <w:rPr>
        <w:b/>
        <w:bCs/>
        <w:color w:val="FFFFFF" w:themeColor="background1"/>
      </w:rPr>
      <w:tblPr/>
      <w:tcPr>
        <w:tcBorders>
          <w:left w:val="nil"/>
          <w:right w:val="nil"/>
          <w:insideH w:val="nil"/>
          <w:insideV w:val="nil"/>
        </w:tcBorders>
        <w:shd w:val="clear" w:color="auto" w:fill="00728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accent1"/>
      </w:tcPr>
    </w:tblStylePr>
    <w:tblStylePr w:type="lastCol">
      <w:rPr>
        <w:b/>
        <w:bCs/>
        <w:color w:val="FFFFFF" w:themeColor="background1"/>
      </w:rPr>
      <w:tblPr/>
      <w:tcPr>
        <w:tcBorders>
          <w:left w:val="nil"/>
          <w:right w:val="nil"/>
          <w:insideH w:val="nil"/>
          <w:insideV w:val="nil"/>
        </w:tcBorders>
        <w:shd w:val="clear" w:color="auto" w:fill="0072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DD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DDE8" w:themeFill="accent2"/>
      </w:tcPr>
    </w:tblStylePr>
    <w:tblStylePr w:type="lastCol">
      <w:rPr>
        <w:b/>
        <w:bCs/>
        <w:color w:val="FFFFFF" w:themeColor="background1"/>
      </w:rPr>
      <w:tblPr/>
      <w:tcPr>
        <w:tcBorders>
          <w:left w:val="nil"/>
          <w:right w:val="nil"/>
          <w:insideH w:val="nil"/>
          <w:insideV w:val="nil"/>
        </w:tcBorders>
        <w:shd w:val="clear" w:color="auto" w:fill="B7DD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EEF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EEF3" w:themeFill="accent3"/>
      </w:tcPr>
    </w:tblStylePr>
    <w:tblStylePr w:type="lastCol">
      <w:rPr>
        <w:b/>
        <w:bCs/>
        <w:color w:val="FFFFFF" w:themeColor="background1"/>
      </w:rPr>
      <w:tblPr/>
      <w:tcPr>
        <w:tcBorders>
          <w:left w:val="nil"/>
          <w:right w:val="nil"/>
          <w:insideH w:val="nil"/>
          <w:insideV w:val="nil"/>
        </w:tcBorders>
        <w:shd w:val="clear" w:color="auto" w:fill="DBEEF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C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CDDC" w:themeFill="accent4"/>
      </w:tcPr>
    </w:tblStylePr>
    <w:tblStylePr w:type="lastCol">
      <w:rPr>
        <w:b/>
        <w:bCs/>
        <w:color w:val="FFFFFF" w:themeColor="background1"/>
      </w:rPr>
      <w:tblPr/>
      <w:tcPr>
        <w:tcBorders>
          <w:left w:val="nil"/>
          <w:right w:val="nil"/>
          <w:insideH w:val="nil"/>
          <w:insideV w:val="nil"/>
        </w:tcBorders>
        <w:shd w:val="clear" w:color="auto" w:fill="92C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85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859B" w:themeFill="accent5"/>
      </w:tcPr>
    </w:tblStylePr>
    <w:tblStylePr w:type="lastCol">
      <w:rPr>
        <w:b/>
        <w:bCs/>
        <w:color w:val="FFFFFF" w:themeColor="background1"/>
      </w:rPr>
      <w:tblPr/>
      <w:tcPr>
        <w:tcBorders>
          <w:left w:val="nil"/>
          <w:right w:val="nil"/>
          <w:insideH w:val="nil"/>
          <w:insideV w:val="nil"/>
        </w:tcBorders>
        <w:shd w:val="clear" w:color="auto" w:fill="3185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B8C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B8CE" w:themeFill="accent6"/>
      </w:tcPr>
    </w:tblStylePr>
    <w:tblStylePr w:type="lastCol">
      <w:rPr>
        <w:b/>
        <w:bCs/>
        <w:color w:val="FFFFFF" w:themeColor="background1"/>
      </w:rPr>
      <w:tblPr/>
      <w:tcPr>
        <w:tcBorders>
          <w:left w:val="nil"/>
          <w:right w:val="nil"/>
          <w:insideH w:val="nil"/>
          <w:insideV w:val="nil"/>
        </w:tcBorders>
        <w:shd w:val="clear" w:color="auto" w:fill="64B8C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361DE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61DE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61DE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99"/>
    <w:semiHidden/>
    <w:rsid w:val="00361D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61DE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61DE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61DE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61DE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61DE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61DE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5"/>
    <w:semiHidden/>
    <w:qFormat/>
    <w:rsid w:val="00361DEB"/>
    <w:pPr>
      <w:pBdr>
        <w:bottom w:val="single" w:sz="8" w:space="4" w:color="00728F" w:themeColor="accent1"/>
      </w:pBdr>
      <w:spacing w:after="300"/>
      <w:contextualSpacing/>
    </w:pPr>
    <w:rPr>
      <w:rFonts w:asciiTheme="majorHAnsi" w:eastAsiaTheme="majorEastAsia" w:hAnsiTheme="majorHAnsi" w:cstheme="majorBidi"/>
      <w:color w:val="67B7CE" w:themeColor="text2" w:themeShade="BF"/>
      <w:spacing w:val="5"/>
      <w:kern w:val="28"/>
      <w:sz w:val="52"/>
      <w:szCs w:val="52"/>
    </w:rPr>
  </w:style>
  <w:style w:type="character" w:customStyle="1" w:styleId="TitleChar">
    <w:name w:val="Title Char"/>
    <w:basedOn w:val="DefaultParagraphFont"/>
    <w:link w:val="Title"/>
    <w:uiPriority w:val="15"/>
    <w:semiHidden/>
    <w:rsid w:val="00361DEB"/>
    <w:rPr>
      <w:rFonts w:asciiTheme="majorHAnsi" w:eastAsiaTheme="majorEastAsia" w:hAnsiTheme="majorHAnsi" w:cstheme="majorBidi"/>
      <w:color w:val="67B7CE"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FC3687"/>
    <w:rPr>
      <w:rFonts w:ascii="Calibri" w:hAnsi="Calibri"/>
      <w:b/>
      <w:bCs/>
      <w:color w:val="0072B9"/>
      <w:sz w:val="18"/>
      <w:szCs w:val="18"/>
    </w:rPr>
  </w:style>
  <w:style w:type="paragraph" w:customStyle="1" w:styleId="Reference">
    <w:name w:val="Reference"/>
    <w:basedOn w:val="BodyText"/>
    <w:uiPriority w:val="20"/>
    <w:qFormat/>
    <w:rsid w:val="00D24D34"/>
    <w:pPr>
      <w:spacing w:before="360" w:after="360"/>
    </w:pPr>
    <w:rPr>
      <w:noProof/>
    </w:rPr>
  </w:style>
  <w:style w:type="character" w:customStyle="1" w:styleId="BodyTextChar">
    <w:name w:val="Body Text Char"/>
    <w:basedOn w:val="DefaultParagraphFont"/>
    <w:link w:val="BodyText"/>
    <w:rsid w:val="00BA5622"/>
    <w:rPr>
      <w:rFonts w:ascii="Calibri" w:hAnsi="Calibri"/>
    </w:rPr>
  </w:style>
  <w:style w:type="paragraph" w:customStyle="1" w:styleId="Bodytext-Quote">
    <w:name w:val="Body text - Quote"/>
    <w:basedOn w:val="BodyText"/>
    <w:next w:val="BodyText"/>
    <w:qFormat/>
    <w:rsid w:val="00DF7C5F"/>
    <w:pPr>
      <w:ind w:left="567" w:right="567"/>
    </w:pPr>
  </w:style>
  <w:style w:type="paragraph" w:customStyle="1" w:styleId="FigureImagewithoutrule">
    <w:name w:val="Figure/Image without rule"/>
    <w:basedOn w:val="BodyText"/>
    <w:next w:val="BodyText"/>
    <w:uiPriority w:val="10"/>
    <w:qFormat/>
    <w:rsid w:val="002A69C4"/>
    <w:pPr>
      <w:spacing w:after="360"/>
    </w:pPr>
    <w:rPr>
      <w:noProof/>
      <w:lang w:eastAsia="en-AU"/>
    </w:rPr>
  </w:style>
  <w:style w:type="paragraph" w:customStyle="1" w:styleId="DBCDElogo">
    <w:name w:val="DBCDE logo"/>
    <w:basedOn w:val="Normal"/>
    <w:next w:val="BodyText"/>
    <w:semiHidden/>
    <w:qFormat/>
    <w:rsid w:val="00665016"/>
    <w:pPr>
      <w:jc w:val="center"/>
    </w:pPr>
    <w:rPr>
      <w:noProof/>
      <w:lang w:eastAsia="en-AU"/>
    </w:rPr>
  </w:style>
  <w:style w:type="character" w:customStyle="1" w:styleId="Instructionaltext">
    <w:name w:val="Instructional text"/>
    <w:basedOn w:val="DefaultParagraphFont"/>
    <w:uiPriority w:val="59"/>
    <w:qFormat/>
    <w:rsid w:val="003600D8"/>
    <w:rPr>
      <w:i/>
      <w:color w:val="0066FF"/>
    </w:rPr>
  </w:style>
  <w:style w:type="paragraph" w:customStyle="1" w:styleId="Instructionaltext-Numberedlist">
    <w:name w:val="Instructional text - Numbered list"/>
    <w:basedOn w:val="Normal"/>
    <w:uiPriority w:val="59"/>
    <w:qFormat/>
    <w:rsid w:val="003C6FB6"/>
    <w:pPr>
      <w:numPr>
        <w:numId w:val="20"/>
      </w:numPr>
      <w:spacing w:after="240"/>
    </w:pPr>
    <w:rPr>
      <w:i/>
      <w:color w:val="0066FF"/>
    </w:rPr>
  </w:style>
  <w:style w:type="character" w:customStyle="1" w:styleId="Exampletext">
    <w:name w:val="Example text"/>
    <w:basedOn w:val="DefaultParagraphFont"/>
    <w:uiPriority w:val="60"/>
    <w:qFormat/>
    <w:rsid w:val="00135456"/>
    <w:rPr>
      <w:color w:val="CC0000"/>
    </w:rPr>
  </w:style>
  <w:style w:type="character" w:customStyle="1" w:styleId="Heading2Char">
    <w:name w:val="Heading 2 Char"/>
    <w:basedOn w:val="DefaultParagraphFont"/>
    <w:link w:val="Heading2"/>
    <w:uiPriority w:val="9"/>
    <w:rsid w:val="00FC3687"/>
    <w:rPr>
      <w:rFonts w:ascii="Cambria" w:eastAsiaTheme="majorEastAsia" w:hAnsi="Cambria" w:cstheme="majorBidi"/>
      <w:bCs/>
      <w:color w:val="0072B9"/>
      <w:sz w:val="26"/>
      <w:szCs w:val="26"/>
    </w:rPr>
  </w:style>
  <w:style w:type="character" w:customStyle="1" w:styleId="FooterChar">
    <w:name w:val="Footer Char"/>
    <w:basedOn w:val="DefaultParagraphFont"/>
    <w:link w:val="Footer"/>
    <w:rsid w:val="00FC3687"/>
    <w:rPr>
      <w:rFonts w:ascii="Calibri" w:hAnsi="Calibri"/>
      <w:color w:val="FFFFFF" w:themeColor="background1"/>
      <w:sz w:val="20"/>
    </w:rPr>
  </w:style>
  <w:style w:type="paragraph" w:customStyle="1" w:styleId="Documenttype">
    <w:name w:val="Document type"/>
    <w:basedOn w:val="Normal"/>
    <w:uiPriority w:val="17"/>
    <w:qFormat/>
    <w:rsid w:val="008E0426"/>
    <w:pPr>
      <w:spacing w:before="120"/>
      <w:jc w:val="right"/>
    </w:pPr>
    <w:rPr>
      <w:rFonts w:ascii="Cambria" w:eastAsia="Times New Roman" w:hAnsi="Cambria" w:cs="Times New Roman"/>
      <w:b/>
      <w:color w:val="00728F"/>
      <w:kern w:val="28"/>
      <w:sz w:val="24"/>
      <w:szCs w:val="52"/>
    </w:rPr>
  </w:style>
  <w:style w:type="character" w:customStyle="1" w:styleId="HeaderChar">
    <w:name w:val="Header Char"/>
    <w:basedOn w:val="DefaultParagraphFont"/>
    <w:link w:val="Header"/>
    <w:rsid w:val="00FC3687"/>
    <w:rPr>
      <w:rFonts w:ascii="Calibri" w:hAnsi="Calibri"/>
      <w:color w:val="0072C3"/>
      <w:sz w:val="20"/>
    </w:rPr>
  </w:style>
  <w:style w:type="paragraph" w:customStyle="1" w:styleId="DotPoint2">
    <w:name w:val="Dot Point 2"/>
    <w:basedOn w:val="ListParagraph"/>
    <w:link w:val="DotPoint2Char"/>
    <w:qFormat/>
    <w:rsid w:val="00C1340F"/>
    <w:pPr>
      <w:spacing w:before="0" w:after="120"/>
      <w:ind w:left="1080" w:hanging="360"/>
      <w:contextualSpacing w:val="0"/>
    </w:pPr>
  </w:style>
  <w:style w:type="paragraph" w:customStyle="1" w:styleId="DotPoint3">
    <w:name w:val="Dot Point 3"/>
    <w:basedOn w:val="ListParagraph"/>
    <w:qFormat/>
    <w:rsid w:val="00C1340F"/>
    <w:pPr>
      <w:tabs>
        <w:tab w:val="num" w:pos="360"/>
      </w:tabs>
      <w:spacing w:after="120"/>
      <w:ind w:left="1800" w:hanging="180"/>
      <w:contextualSpacing w:val="0"/>
    </w:pPr>
    <w:rPr>
      <w:rFonts w:asciiTheme="minorHAnsi" w:eastAsia="Times New Roman" w:hAnsiTheme="minorHAnsi" w:cstheme="minorHAnsi"/>
    </w:rPr>
  </w:style>
  <w:style w:type="character" w:customStyle="1" w:styleId="ListParagraphChar">
    <w:name w:val="List Paragraph Char"/>
    <w:basedOn w:val="DefaultParagraphFont"/>
    <w:link w:val="ListParagraph"/>
    <w:uiPriority w:val="34"/>
    <w:rsid w:val="00C1340F"/>
    <w:rPr>
      <w:rFonts w:ascii="Calibri" w:hAnsi="Calibri"/>
    </w:rPr>
  </w:style>
  <w:style w:type="character" w:customStyle="1" w:styleId="DotPoint2Char">
    <w:name w:val="Dot Point 2 Char"/>
    <w:basedOn w:val="ListParagraphChar"/>
    <w:link w:val="DotPoint2"/>
    <w:rsid w:val="00C1340F"/>
    <w:rPr>
      <w:rFonts w:ascii="Calibri" w:hAnsi="Calibri"/>
    </w:rPr>
  </w:style>
  <w:style w:type="character" w:customStyle="1" w:styleId="CommentTextChar">
    <w:name w:val="Comment Text Char"/>
    <w:basedOn w:val="DefaultParagraphFont"/>
    <w:link w:val="CommentText"/>
    <w:uiPriority w:val="99"/>
    <w:semiHidden/>
    <w:rsid w:val="00B50A1B"/>
    <w:rPr>
      <w:rFonts w:ascii="Calibri" w:hAnsi="Calibri"/>
      <w:sz w:val="20"/>
      <w:szCs w:val="20"/>
    </w:rPr>
  </w:style>
  <w:style w:type="character" w:customStyle="1" w:styleId="FootnoteTextChar">
    <w:name w:val="Footnote Text Char"/>
    <w:basedOn w:val="DefaultParagraphFont"/>
    <w:link w:val="FootnoteText"/>
    <w:uiPriority w:val="99"/>
    <w:rsid w:val="00790268"/>
    <w:rPr>
      <w:rFonts w:ascii="Calibri" w:hAnsi="Calibri"/>
      <w:sz w:val="20"/>
      <w:szCs w:val="20"/>
    </w:rPr>
  </w:style>
  <w:style w:type="paragraph" w:styleId="Revision">
    <w:name w:val="Revision"/>
    <w:hidden/>
    <w:uiPriority w:val="99"/>
    <w:semiHidden/>
    <w:rsid w:val="002424AB"/>
    <w:pPr>
      <w:spacing w:before="0" w:after="0"/>
      <w:ind w:left="0" w:firstLine="0"/>
    </w:pPr>
    <w:rPr>
      <w:rFonts w:ascii="Calibri" w:hAnsi="Calibri"/>
    </w:rPr>
  </w:style>
  <w:style w:type="paragraph" w:customStyle="1" w:styleId="copyrighttextStyles">
    <w:name w:val="copyright text (Styles)"/>
    <w:basedOn w:val="Normal"/>
    <w:next w:val="Normal"/>
    <w:uiPriority w:val="99"/>
    <w:rsid w:val="008A135A"/>
    <w:pPr>
      <w:widowControl w:val="0"/>
      <w:suppressAutoHyphens/>
      <w:autoSpaceDE w:val="0"/>
      <w:autoSpaceDN w:val="0"/>
      <w:adjustRightInd w:val="0"/>
      <w:spacing w:before="17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uiPriority w:val="99"/>
    <w:rsid w:val="00FC3687"/>
    <w:pPr>
      <w:keepNext/>
      <w:widowControl w:val="0"/>
      <w:suppressAutoHyphens/>
      <w:autoSpaceDE w:val="0"/>
      <w:autoSpaceDN w:val="0"/>
      <w:adjustRightInd w:val="0"/>
      <w:spacing w:before="454" w:line="320" w:lineRule="atLeast"/>
      <w:textAlignment w:val="center"/>
    </w:pPr>
    <w:rPr>
      <w:rFonts w:ascii="Arial" w:eastAsia="Times New Roman" w:hAnsi="Arial" w:cs="Geogrotesque-Light"/>
      <w:color w:val="0072B9"/>
      <w:sz w:val="33"/>
      <w:szCs w:val="33"/>
    </w:rPr>
  </w:style>
  <w:style w:type="character" w:customStyle="1" w:styleId="Heading4Char">
    <w:name w:val="Heading 4 Char"/>
    <w:basedOn w:val="DefaultParagraphFont"/>
    <w:link w:val="Heading4"/>
    <w:uiPriority w:val="9"/>
    <w:rsid w:val="00010C91"/>
    <w:rPr>
      <w:rFonts w:ascii="Cambria" w:eastAsiaTheme="majorEastAsia" w:hAnsi="Cambria" w:cstheme="majorBidi"/>
      <w:b/>
      <w:bCs/>
      <w:iCs/>
    </w:rPr>
  </w:style>
  <w:style w:type="paragraph" w:customStyle="1" w:styleId="Boxsub-headingQUESTION">
    <w:name w:val="Box sub-heading QUESTION"/>
    <w:basedOn w:val="Boxsub-heading"/>
    <w:next w:val="BoxtextQUESTION"/>
    <w:qFormat/>
    <w:rsid w:val="00DC2BD3"/>
    <w:pPr>
      <w:pBdr>
        <w:top w:val="single" w:sz="4" w:space="8" w:color="005491"/>
        <w:left w:val="single" w:sz="4" w:space="8" w:color="005491"/>
        <w:bottom w:val="single" w:sz="4" w:space="8" w:color="005491"/>
        <w:right w:val="single" w:sz="4" w:space="0" w:color="005491"/>
      </w:pBdr>
      <w:shd w:val="clear" w:color="auto" w:fill="005491"/>
      <w:spacing w:before="0" w:after="0"/>
    </w:pPr>
    <w:rPr>
      <w:color w:val="FFFFFF" w:themeColor="background1"/>
    </w:rPr>
  </w:style>
  <w:style w:type="paragraph" w:customStyle="1" w:styleId="BoxtextQUESTION">
    <w:name w:val="Box text QUESTION"/>
    <w:basedOn w:val="Boxtext"/>
    <w:qFormat/>
    <w:rsid w:val="00DC2BD3"/>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spacing w:before="0"/>
    </w:pPr>
  </w:style>
  <w:style w:type="paragraph" w:customStyle="1" w:styleId="BoxtextQUESTIONITALICS">
    <w:name w:val="Box text QUESTION ITALICS"/>
    <w:basedOn w:val="BoxtextQUESTION"/>
    <w:qFormat/>
    <w:rsid w:val="00DC2BD3"/>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5590">
      <w:bodyDiv w:val="1"/>
      <w:marLeft w:val="0"/>
      <w:marRight w:val="0"/>
      <w:marTop w:val="0"/>
      <w:marBottom w:val="0"/>
      <w:divBdr>
        <w:top w:val="none" w:sz="0" w:space="0" w:color="auto"/>
        <w:left w:val="none" w:sz="0" w:space="0" w:color="auto"/>
        <w:bottom w:val="none" w:sz="0" w:space="0" w:color="auto"/>
        <w:right w:val="none" w:sz="0" w:space="0" w:color="auto"/>
      </w:divBdr>
    </w:div>
    <w:div w:id="89594517">
      <w:bodyDiv w:val="1"/>
      <w:marLeft w:val="0"/>
      <w:marRight w:val="0"/>
      <w:marTop w:val="0"/>
      <w:marBottom w:val="0"/>
      <w:divBdr>
        <w:top w:val="none" w:sz="0" w:space="0" w:color="auto"/>
        <w:left w:val="none" w:sz="0" w:space="0" w:color="auto"/>
        <w:bottom w:val="none" w:sz="0" w:space="0" w:color="auto"/>
        <w:right w:val="none" w:sz="0" w:space="0" w:color="auto"/>
      </w:divBdr>
      <w:divsChild>
        <w:div w:id="1187869197">
          <w:marLeft w:val="0"/>
          <w:marRight w:val="0"/>
          <w:marTop w:val="0"/>
          <w:marBottom w:val="0"/>
          <w:divBdr>
            <w:top w:val="none" w:sz="0" w:space="0" w:color="auto"/>
            <w:left w:val="none" w:sz="0" w:space="0" w:color="auto"/>
            <w:bottom w:val="none" w:sz="0" w:space="0" w:color="auto"/>
            <w:right w:val="none" w:sz="0" w:space="0" w:color="auto"/>
          </w:divBdr>
          <w:divsChild>
            <w:div w:id="302151897">
              <w:marLeft w:val="0"/>
              <w:marRight w:val="0"/>
              <w:marTop w:val="0"/>
              <w:marBottom w:val="0"/>
              <w:divBdr>
                <w:top w:val="none" w:sz="0" w:space="0" w:color="auto"/>
                <w:left w:val="none" w:sz="0" w:space="0" w:color="auto"/>
                <w:bottom w:val="none" w:sz="0" w:space="0" w:color="auto"/>
                <w:right w:val="none" w:sz="0" w:space="0" w:color="auto"/>
              </w:divBdr>
              <w:divsChild>
                <w:div w:id="1881475353">
                  <w:marLeft w:val="0"/>
                  <w:marRight w:val="0"/>
                  <w:marTop w:val="0"/>
                  <w:marBottom w:val="0"/>
                  <w:divBdr>
                    <w:top w:val="none" w:sz="0" w:space="0" w:color="auto"/>
                    <w:left w:val="none" w:sz="0" w:space="0" w:color="auto"/>
                    <w:bottom w:val="none" w:sz="0" w:space="0" w:color="auto"/>
                    <w:right w:val="none" w:sz="0" w:space="0" w:color="auto"/>
                  </w:divBdr>
                  <w:divsChild>
                    <w:div w:id="1134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2892">
      <w:bodyDiv w:val="1"/>
      <w:marLeft w:val="0"/>
      <w:marRight w:val="0"/>
      <w:marTop w:val="0"/>
      <w:marBottom w:val="0"/>
      <w:divBdr>
        <w:top w:val="none" w:sz="0" w:space="0" w:color="auto"/>
        <w:left w:val="none" w:sz="0" w:space="0" w:color="auto"/>
        <w:bottom w:val="none" w:sz="0" w:space="0" w:color="auto"/>
        <w:right w:val="none" w:sz="0" w:space="0" w:color="auto"/>
      </w:divBdr>
    </w:div>
    <w:div w:id="548110304">
      <w:bodyDiv w:val="1"/>
      <w:marLeft w:val="0"/>
      <w:marRight w:val="0"/>
      <w:marTop w:val="0"/>
      <w:marBottom w:val="0"/>
      <w:divBdr>
        <w:top w:val="none" w:sz="0" w:space="0" w:color="auto"/>
        <w:left w:val="none" w:sz="0" w:space="0" w:color="auto"/>
        <w:bottom w:val="none" w:sz="0" w:space="0" w:color="auto"/>
        <w:right w:val="none" w:sz="0" w:space="0" w:color="auto"/>
      </w:divBdr>
      <w:divsChild>
        <w:div w:id="14311038">
          <w:marLeft w:val="0"/>
          <w:marRight w:val="0"/>
          <w:marTop w:val="0"/>
          <w:marBottom w:val="0"/>
          <w:divBdr>
            <w:top w:val="none" w:sz="0" w:space="0" w:color="auto"/>
            <w:left w:val="none" w:sz="0" w:space="0" w:color="auto"/>
            <w:bottom w:val="none" w:sz="0" w:space="0" w:color="auto"/>
            <w:right w:val="none" w:sz="0" w:space="0" w:color="auto"/>
          </w:divBdr>
          <w:divsChild>
            <w:div w:id="1451436225">
              <w:marLeft w:val="0"/>
              <w:marRight w:val="0"/>
              <w:marTop w:val="0"/>
              <w:marBottom w:val="0"/>
              <w:divBdr>
                <w:top w:val="none" w:sz="0" w:space="0" w:color="auto"/>
                <w:left w:val="none" w:sz="0" w:space="0" w:color="auto"/>
                <w:bottom w:val="none" w:sz="0" w:space="0" w:color="auto"/>
                <w:right w:val="none" w:sz="0" w:space="0" w:color="auto"/>
              </w:divBdr>
              <w:divsChild>
                <w:div w:id="526673042">
                  <w:marLeft w:val="0"/>
                  <w:marRight w:val="0"/>
                  <w:marTop w:val="0"/>
                  <w:marBottom w:val="0"/>
                  <w:divBdr>
                    <w:top w:val="none" w:sz="0" w:space="0" w:color="auto"/>
                    <w:left w:val="none" w:sz="0" w:space="0" w:color="auto"/>
                    <w:bottom w:val="none" w:sz="0" w:space="0" w:color="auto"/>
                    <w:right w:val="none" w:sz="0" w:space="0" w:color="auto"/>
                  </w:divBdr>
                  <w:divsChild>
                    <w:div w:id="777721752">
                      <w:marLeft w:val="0"/>
                      <w:marRight w:val="0"/>
                      <w:marTop w:val="0"/>
                      <w:marBottom w:val="0"/>
                      <w:divBdr>
                        <w:top w:val="none" w:sz="0" w:space="0" w:color="auto"/>
                        <w:left w:val="none" w:sz="0" w:space="0" w:color="auto"/>
                        <w:bottom w:val="none" w:sz="0" w:space="0" w:color="auto"/>
                        <w:right w:val="none" w:sz="0" w:space="0" w:color="auto"/>
                      </w:divBdr>
                      <w:divsChild>
                        <w:div w:id="1351882228">
                          <w:marLeft w:val="0"/>
                          <w:marRight w:val="0"/>
                          <w:marTop w:val="0"/>
                          <w:marBottom w:val="0"/>
                          <w:divBdr>
                            <w:top w:val="none" w:sz="0" w:space="0" w:color="auto"/>
                            <w:left w:val="none" w:sz="0" w:space="0" w:color="auto"/>
                            <w:bottom w:val="none" w:sz="0" w:space="0" w:color="auto"/>
                            <w:right w:val="none" w:sz="0" w:space="0" w:color="auto"/>
                          </w:divBdr>
                          <w:divsChild>
                            <w:div w:id="9616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286324">
      <w:bodyDiv w:val="1"/>
      <w:marLeft w:val="0"/>
      <w:marRight w:val="0"/>
      <w:marTop w:val="0"/>
      <w:marBottom w:val="0"/>
      <w:divBdr>
        <w:top w:val="none" w:sz="0" w:space="0" w:color="auto"/>
        <w:left w:val="none" w:sz="0" w:space="0" w:color="auto"/>
        <w:bottom w:val="none" w:sz="0" w:space="0" w:color="auto"/>
        <w:right w:val="none" w:sz="0" w:space="0" w:color="auto"/>
      </w:divBdr>
    </w:div>
    <w:div w:id="679744597">
      <w:bodyDiv w:val="1"/>
      <w:marLeft w:val="0"/>
      <w:marRight w:val="0"/>
      <w:marTop w:val="0"/>
      <w:marBottom w:val="0"/>
      <w:divBdr>
        <w:top w:val="none" w:sz="0" w:space="0" w:color="auto"/>
        <w:left w:val="none" w:sz="0" w:space="0" w:color="auto"/>
        <w:bottom w:val="none" w:sz="0" w:space="0" w:color="auto"/>
        <w:right w:val="none" w:sz="0" w:space="0" w:color="auto"/>
      </w:divBdr>
    </w:div>
    <w:div w:id="699862380">
      <w:bodyDiv w:val="1"/>
      <w:marLeft w:val="0"/>
      <w:marRight w:val="0"/>
      <w:marTop w:val="0"/>
      <w:marBottom w:val="0"/>
      <w:divBdr>
        <w:top w:val="none" w:sz="0" w:space="0" w:color="auto"/>
        <w:left w:val="none" w:sz="0" w:space="0" w:color="auto"/>
        <w:bottom w:val="none" w:sz="0" w:space="0" w:color="auto"/>
        <w:right w:val="none" w:sz="0" w:space="0" w:color="auto"/>
      </w:divBdr>
      <w:divsChild>
        <w:div w:id="1141776224">
          <w:marLeft w:val="0"/>
          <w:marRight w:val="0"/>
          <w:marTop w:val="0"/>
          <w:marBottom w:val="0"/>
          <w:divBdr>
            <w:top w:val="none" w:sz="0" w:space="0" w:color="auto"/>
            <w:left w:val="none" w:sz="0" w:space="0" w:color="auto"/>
            <w:bottom w:val="none" w:sz="0" w:space="0" w:color="auto"/>
            <w:right w:val="none" w:sz="0" w:space="0" w:color="auto"/>
          </w:divBdr>
          <w:divsChild>
            <w:div w:id="213927279">
              <w:marLeft w:val="0"/>
              <w:marRight w:val="0"/>
              <w:marTop w:val="0"/>
              <w:marBottom w:val="0"/>
              <w:divBdr>
                <w:top w:val="none" w:sz="0" w:space="0" w:color="auto"/>
                <w:left w:val="none" w:sz="0" w:space="0" w:color="auto"/>
                <w:bottom w:val="none" w:sz="0" w:space="0" w:color="auto"/>
                <w:right w:val="none" w:sz="0" w:space="0" w:color="auto"/>
              </w:divBdr>
              <w:divsChild>
                <w:div w:id="11347651">
                  <w:marLeft w:val="0"/>
                  <w:marRight w:val="0"/>
                  <w:marTop w:val="0"/>
                  <w:marBottom w:val="0"/>
                  <w:divBdr>
                    <w:top w:val="none" w:sz="0" w:space="0" w:color="auto"/>
                    <w:left w:val="none" w:sz="0" w:space="0" w:color="auto"/>
                    <w:bottom w:val="none" w:sz="0" w:space="0" w:color="auto"/>
                    <w:right w:val="none" w:sz="0" w:space="0" w:color="auto"/>
                  </w:divBdr>
                  <w:divsChild>
                    <w:div w:id="1558467339">
                      <w:marLeft w:val="0"/>
                      <w:marRight w:val="0"/>
                      <w:marTop w:val="0"/>
                      <w:marBottom w:val="0"/>
                      <w:divBdr>
                        <w:top w:val="none" w:sz="0" w:space="0" w:color="auto"/>
                        <w:left w:val="none" w:sz="0" w:space="0" w:color="auto"/>
                        <w:bottom w:val="none" w:sz="0" w:space="0" w:color="auto"/>
                        <w:right w:val="none" w:sz="0" w:space="0" w:color="auto"/>
                      </w:divBdr>
                      <w:divsChild>
                        <w:div w:id="134297026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24107">
      <w:bodyDiv w:val="1"/>
      <w:marLeft w:val="0"/>
      <w:marRight w:val="0"/>
      <w:marTop w:val="0"/>
      <w:marBottom w:val="0"/>
      <w:divBdr>
        <w:top w:val="none" w:sz="0" w:space="0" w:color="auto"/>
        <w:left w:val="none" w:sz="0" w:space="0" w:color="auto"/>
        <w:bottom w:val="none" w:sz="0" w:space="0" w:color="auto"/>
        <w:right w:val="none" w:sz="0" w:space="0" w:color="auto"/>
      </w:divBdr>
      <w:divsChild>
        <w:div w:id="838736492">
          <w:marLeft w:val="0"/>
          <w:marRight w:val="0"/>
          <w:marTop w:val="0"/>
          <w:marBottom w:val="0"/>
          <w:divBdr>
            <w:top w:val="none" w:sz="0" w:space="0" w:color="auto"/>
            <w:left w:val="none" w:sz="0" w:space="0" w:color="auto"/>
            <w:bottom w:val="none" w:sz="0" w:space="0" w:color="auto"/>
            <w:right w:val="none" w:sz="0" w:space="0" w:color="auto"/>
          </w:divBdr>
          <w:divsChild>
            <w:div w:id="693652630">
              <w:marLeft w:val="0"/>
              <w:marRight w:val="0"/>
              <w:marTop w:val="0"/>
              <w:marBottom w:val="0"/>
              <w:divBdr>
                <w:top w:val="none" w:sz="0" w:space="0" w:color="auto"/>
                <w:left w:val="none" w:sz="0" w:space="0" w:color="auto"/>
                <w:bottom w:val="none" w:sz="0" w:space="0" w:color="auto"/>
                <w:right w:val="none" w:sz="0" w:space="0" w:color="auto"/>
              </w:divBdr>
              <w:divsChild>
                <w:div w:id="507064688">
                  <w:marLeft w:val="0"/>
                  <w:marRight w:val="0"/>
                  <w:marTop w:val="0"/>
                  <w:marBottom w:val="0"/>
                  <w:divBdr>
                    <w:top w:val="none" w:sz="0" w:space="0" w:color="auto"/>
                    <w:left w:val="none" w:sz="0" w:space="0" w:color="auto"/>
                    <w:bottom w:val="none" w:sz="0" w:space="0" w:color="auto"/>
                    <w:right w:val="none" w:sz="0" w:space="0" w:color="auto"/>
                  </w:divBdr>
                  <w:divsChild>
                    <w:div w:id="167600973">
                      <w:marLeft w:val="0"/>
                      <w:marRight w:val="0"/>
                      <w:marTop w:val="45"/>
                      <w:marBottom w:val="0"/>
                      <w:divBdr>
                        <w:top w:val="none" w:sz="0" w:space="0" w:color="auto"/>
                        <w:left w:val="none" w:sz="0" w:space="0" w:color="auto"/>
                        <w:bottom w:val="none" w:sz="0" w:space="0" w:color="auto"/>
                        <w:right w:val="none" w:sz="0" w:space="0" w:color="auto"/>
                      </w:divBdr>
                      <w:divsChild>
                        <w:div w:id="1436441587">
                          <w:marLeft w:val="0"/>
                          <w:marRight w:val="0"/>
                          <w:marTop w:val="0"/>
                          <w:marBottom w:val="0"/>
                          <w:divBdr>
                            <w:top w:val="none" w:sz="0" w:space="0" w:color="auto"/>
                            <w:left w:val="none" w:sz="0" w:space="0" w:color="auto"/>
                            <w:bottom w:val="none" w:sz="0" w:space="0" w:color="auto"/>
                            <w:right w:val="none" w:sz="0" w:space="0" w:color="auto"/>
                          </w:divBdr>
                          <w:divsChild>
                            <w:div w:id="495267385">
                              <w:marLeft w:val="2070"/>
                              <w:marRight w:val="3810"/>
                              <w:marTop w:val="0"/>
                              <w:marBottom w:val="0"/>
                              <w:divBdr>
                                <w:top w:val="none" w:sz="0" w:space="0" w:color="auto"/>
                                <w:left w:val="none" w:sz="0" w:space="0" w:color="auto"/>
                                <w:bottom w:val="none" w:sz="0" w:space="0" w:color="auto"/>
                                <w:right w:val="none" w:sz="0" w:space="0" w:color="auto"/>
                              </w:divBdr>
                              <w:divsChild>
                                <w:div w:id="1260916424">
                                  <w:marLeft w:val="0"/>
                                  <w:marRight w:val="0"/>
                                  <w:marTop w:val="0"/>
                                  <w:marBottom w:val="0"/>
                                  <w:divBdr>
                                    <w:top w:val="none" w:sz="0" w:space="0" w:color="auto"/>
                                    <w:left w:val="none" w:sz="0" w:space="0" w:color="auto"/>
                                    <w:bottom w:val="none" w:sz="0" w:space="0" w:color="auto"/>
                                    <w:right w:val="none" w:sz="0" w:space="0" w:color="auto"/>
                                  </w:divBdr>
                                  <w:divsChild>
                                    <w:div w:id="808790551">
                                      <w:marLeft w:val="0"/>
                                      <w:marRight w:val="0"/>
                                      <w:marTop w:val="0"/>
                                      <w:marBottom w:val="0"/>
                                      <w:divBdr>
                                        <w:top w:val="none" w:sz="0" w:space="0" w:color="auto"/>
                                        <w:left w:val="none" w:sz="0" w:space="0" w:color="auto"/>
                                        <w:bottom w:val="none" w:sz="0" w:space="0" w:color="auto"/>
                                        <w:right w:val="none" w:sz="0" w:space="0" w:color="auto"/>
                                      </w:divBdr>
                                      <w:divsChild>
                                        <w:div w:id="1401051070">
                                          <w:marLeft w:val="0"/>
                                          <w:marRight w:val="0"/>
                                          <w:marTop w:val="0"/>
                                          <w:marBottom w:val="0"/>
                                          <w:divBdr>
                                            <w:top w:val="none" w:sz="0" w:space="0" w:color="auto"/>
                                            <w:left w:val="none" w:sz="0" w:space="0" w:color="auto"/>
                                            <w:bottom w:val="none" w:sz="0" w:space="0" w:color="auto"/>
                                            <w:right w:val="none" w:sz="0" w:space="0" w:color="auto"/>
                                          </w:divBdr>
                                          <w:divsChild>
                                            <w:div w:id="15161285">
                                              <w:marLeft w:val="0"/>
                                              <w:marRight w:val="0"/>
                                              <w:marTop w:val="0"/>
                                              <w:marBottom w:val="0"/>
                                              <w:divBdr>
                                                <w:top w:val="none" w:sz="0" w:space="0" w:color="auto"/>
                                                <w:left w:val="none" w:sz="0" w:space="0" w:color="auto"/>
                                                <w:bottom w:val="none" w:sz="0" w:space="0" w:color="auto"/>
                                                <w:right w:val="none" w:sz="0" w:space="0" w:color="auto"/>
                                              </w:divBdr>
                                              <w:divsChild>
                                                <w:div w:id="364524701">
                                                  <w:marLeft w:val="0"/>
                                                  <w:marRight w:val="0"/>
                                                  <w:marTop w:val="0"/>
                                                  <w:marBottom w:val="0"/>
                                                  <w:divBdr>
                                                    <w:top w:val="none" w:sz="0" w:space="0" w:color="auto"/>
                                                    <w:left w:val="none" w:sz="0" w:space="0" w:color="auto"/>
                                                    <w:bottom w:val="none" w:sz="0" w:space="0" w:color="auto"/>
                                                    <w:right w:val="none" w:sz="0" w:space="0" w:color="auto"/>
                                                  </w:divBdr>
                                                  <w:divsChild>
                                                    <w:div w:id="1299070540">
                                                      <w:marLeft w:val="0"/>
                                                      <w:marRight w:val="0"/>
                                                      <w:marTop w:val="0"/>
                                                      <w:marBottom w:val="0"/>
                                                      <w:divBdr>
                                                        <w:top w:val="none" w:sz="0" w:space="0" w:color="auto"/>
                                                        <w:left w:val="none" w:sz="0" w:space="0" w:color="auto"/>
                                                        <w:bottom w:val="none" w:sz="0" w:space="0" w:color="auto"/>
                                                        <w:right w:val="none" w:sz="0" w:space="0" w:color="auto"/>
                                                      </w:divBdr>
                                                      <w:divsChild>
                                                        <w:div w:id="1895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629134">
      <w:bodyDiv w:val="1"/>
      <w:marLeft w:val="0"/>
      <w:marRight w:val="0"/>
      <w:marTop w:val="0"/>
      <w:marBottom w:val="0"/>
      <w:divBdr>
        <w:top w:val="none" w:sz="0" w:space="0" w:color="auto"/>
        <w:left w:val="none" w:sz="0" w:space="0" w:color="auto"/>
        <w:bottom w:val="none" w:sz="0" w:space="0" w:color="auto"/>
        <w:right w:val="none" w:sz="0" w:space="0" w:color="auto"/>
      </w:divBdr>
      <w:divsChild>
        <w:div w:id="73627811">
          <w:marLeft w:val="0"/>
          <w:marRight w:val="0"/>
          <w:marTop w:val="0"/>
          <w:marBottom w:val="0"/>
          <w:divBdr>
            <w:top w:val="none" w:sz="0" w:space="0" w:color="auto"/>
            <w:left w:val="none" w:sz="0" w:space="0" w:color="auto"/>
            <w:bottom w:val="none" w:sz="0" w:space="0" w:color="auto"/>
            <w:right w:val="none" w:sz="0" w:space="0" w:color="auto"/>
          </w:divBdr>
          <w:divsChild>
            <w:div w:id="1238831155">
              <w:marLeft w:val="0"/>
              <w:marRight w:val="0"/>
              <w:marTop w:val="0"/>
              <w:marBottom w:val="0"/>
              <w:divBdr>
                <w:top w:val="none" w:sz="0" w:space="0" w:color="auto"/>
                <w:left w:val="none" w:sz="0" w:space="0" w:color="auto"/>
                <w:bottom w:val="none" w:sz="0" w:space="0" w:color="auto"/>
                <w:right w:val="none" w:sz="0" w:space="0" w:color="auto"/>
              </w:divBdr>
              <w:divsChild>
                <w:div w:id="346566488">
                  <w:marLeft w:val="0"/>
                  <w:marRight w:val="0"/>
                  <w:marTop w:val="0"/>
                  <w:marBottom w:val="0"/>
                  <w:divBdr>
                    <w:top w:val="none" w:sz="0" w:space="0" w:color="auto"/>
                    <w:left w:val="none" w:sz="0" w:space="0" w:color="auto"/>
                    <w:bottom w:val="none" w:sz="0" w:space="0" w:color="auto"/>
                    <w:right w:val="none" w:sz="0" w:space="0" w:color="auto"/>
                  </w:divBdr>
                  <w:divsChild>
                    <w:div w:id="1998418249">
                      <w:marLeft w:val="0"/>
                      <w:marRight w:val="0"/>
                      <w:marTop w:val="0"/>
                      <w:marBottom w:val="0"/>
                      <w:divBdr>
                        <w:top w:val="none" w:sz="0" w:space="0" w:color="auto"/>
                        <w:left w:val="none" w:sz="0" w:space="0" w:color="auto"/>
                        <w:bottom w:val="none" w:sz="0" w:space="0" w:color="auto"/>
                        <w:right w:val="none" w:sz="0" w:space="0" w:color="auto"/>
                      </w:divBdr>
                      <w:divsChild>
                        <w:div w:id="470514940">
                          <w:marLeft w:val="0"/>
                          <w:marRight w:val="1200"/>
                          <w:marTop w:val="300"/>
                          <w:marBottom w:val="0"/>
                          <w:divBdr>
                            <w:top w:val="none" w:sz="0" w:space="0" w:color="auto"/>
                            <w:left w:val="none" w:sz="0" w:space="0" w:color="auto"/>
                            <w:bottom w:val="none" w:sz="0" w:space="0" w:color="auto"/>
                            <w:right w:val="none" w:sz="0" w:space="0" w:color="auto"/>
                          </w:divBdr>
                          <w:divsChild>
                            <w:div w:id="12634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404542">
      <w:bodyDiv w:val="1"/>
      <w:marLeft w:val="0"/>
      <w:marRight w:val="0"/>
      <w:marTop w:val="0"/>
      <w:marBottom w:val="0"/>
      <w:divBdr>
        <w:top w:val="none" w:sz="0" w:space="0" w:color="auto"/>
        <w:left w:val="none" w:sz="0" w:space="0" w:color="auto"/>
        <w:bottom w:val="none" w:sz="0" w:space="0" w:color="auto"/>
        <w:right w:val="none" w:sz="0" w:space="0" w:color="auto"/>
      </w:divBdr>
      <w:divsChild>
        <w:div w:id="478033158">
          <w:marLeft w:val="0"/>
          <w:marRight w:val="0"/>
          <w:marTop w:val="0"/>
          <w:marBottom w:val="0"/>
          <w:divBdr>
            <w:top w:val="none" w:sz="0" w:space="0" w:color="auto"/>
            <w:left w:val="none" w:sz="0" w:space="0" w:color="auto"/>
            <w:bottom w:val="none" w:sz="0" w:space="0" w:color="auto"/>
            <w:right w:val="none" w:sz="0" w:space="0" w:color="auto"/>
          </w:divBdr>
          <w:divsChild>
            <w:div w:id="1707633385">
              <w:marLeft w:val="0"/>
              <w:marRight w:val="0"/>
              <w:marTop w:val="0"/>
              <w:marBottom w:val="0"/>
              <w:divBdr>
                <w:top w:val="none" w:sz="0" w:space="0" w:color="auto"/>
                <w:left w:val="none" w:sz="0" w:space="0" w:color="auto"/>
                <w:bottom w:val="none" w:sz="0" w:space="0" w:color="auto"/>
                <w:right w:val="none" w:sz="0" w:space="0" w:color="auto"/>
              </w:divBdr>
              <w:divsChild>
                <w:div w:id="1583831306">
                  <w:marLeft w:val="0"/>
                  <w:marRight w:val="0"/>
                  <w:marTop w:val="0"/>
                  <w:marBottom w:val="0"/>
                  <w:divBdr>
                    <w:top w:val="none" w:sz="0" w:space="0" w:color="auto"/>
                    <w:left w:val="none" w:sz="0" w:space="0" w:color="auto"/>
                    <w:bottom w:val="none" w:sz="0" w:space="0" w:color="auto"/>
                    <w:right w:val="none" w:sz="0" w:space="0" w:color="auto"/>
                  </w:divBdr>
                  <w:divsChild>
                    <w:div w:id="1094401828">
                      <w:marLeft w:val="0"/>
                      <w:marRight w:val="0"/>
                      <w:marTop w:val="0"/>
                      <w:marBottom w:val="0"/>
                      <w:divBdr>
                        <w:top w:val="none" w:sz="0" w:space="0" w:color="auto"/>
                        <w:left w:val="none" w:sz="0" w:space="0" w:color="auto"/>
                        <w:bottom w:val="none" w:sz="0" w:space="0" w:color="auto"/>
                        <w:right w:val="none" w:sz="0" w:space="0" w:color="auto"/>
                      </w:divBdr>
                      <w:divsChild>
                        <w:div w:id="27722368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671970">
      <w:bodyDiv w:val="1"/>
      <w:marLeft w:val="0"/>
      <w:marRight w:val="0"/>
      <w:marTop w:val="0"/>
      <w:marBottom w:val="0"/>
      <w:divBdr>
        <w:top w:val="none" w:sz="0" w:space="0" w:color="auto"/>
        <w:left w:val="none" w:sz="0" w:space="0" w:color="auto"/>
        <w:bottom w:val="none" w:sz="0" w:space="0" w:color="auto"/>
        <w:right w:val="none" w:sz="0" w:space="0" w:color="auto"/>
      </w:divBdr>
    </w:div>
    <w:div w:id="1105542875">
      <w:bodyDiv w:val="1"/>
      <w:marLeft w:val="0"/>
      <w:marRight w:val="0"/>
      <w:marTop w:val="0"/>
      <w:marBottom w:val="0"/>
      <w:divBdr>
        <w:top w:val="none" w:sz="0" w:space="0" w:color="auto"/>
        <w:left w:val="none" w:sz="0" w:space="0" w:color="auto"/>
        <w:bottom w:val="none" w:sz="0" w:space="0" w:color="auto"/>
        <w:right w:val="none" w:sz="0" w:space="0" w:color="auto"/>
      </w:divBdr>
    </w:div>
    <w:div w:id="1163164907">
      <w:bodyDiv w:val="1"/>
      <w:marLeft w:val="0"/>
      <w:marRight w:val="0"/>
      <w:marTop w:val="0"/>
      <w:marBottom w:val="0"/>
      <w:divBdr>
        <w:top w:val="none" w:sz="0" w:space="0" w:color="auto"/>
        <w:left w:val="none" w:sz="0" w:space="0" w:color="auto"/>
        <w:bottom w:val="none" w:sz="0" w:space="0" w:color="auto"/>
        <w:right w:val="none" w:sz="0" w:space="0" w:color="auto"/>
      </w:divBdr>
    </w:div>
    <w:div w:id="1165902111">
      <w:bodyDiv w:val="1"/>
      <w:marLeft w:val="0"/>
      <w:marRight w:val="0"/>
      <w:marTop w:val="0"/>
      <w:marBottom w:val="0"/>
      <w:divBdr>
        <w:top w:val="none" w:sz="0" w:space="0" w:color="auto"/>
        <w:left w:val="none" w:sz="0" w:space="0" w:color="auto"/>
        <w:bottom w:val="none" w:sz="0" w:space="0" w:color="auto"/>
        <w:right w:val="none" w:sz="0" w:space="0" w:color="auto"/>
      </w:divBdr>
    </w:div>
    <w:div w:id="1216165501">
      <w:bodyDiv w:val="1"/>
      <w:marLeft w:val="0"/>
      <w:marRight w:val="0"/>
      <w:marTop w:val="0"/>
      <w:marBottom w:val="0"/>
      <w:divBdr>
        <w:top w:val="none" w:sz="0" w:space="0" w:color="auto"/>
        <w:left w:val="none" w:sz="0" w:space="0" w:color="auto"/>
        <w:bottom w:val="none" w:sz="0" w:space="0" w:color="auto"/>
        <w:right w:val="none" w:sz="0" w:space="0" w:color="auto"/>
      </w:divBdr>
    </w:div>
    <w:div w:id="1369404929">
      <w:bodyDiv w:val="1"/>
      <w:marLeft w:val="0"/>
      <w:marRight w:val="0"/>
      <w:marTop w:val="0"/>
      <w:marBottom w:val="0"/>
      <w:divBdr>
        <w:top w:val="none" w:sz="0" w:space="0" w:color="auto"/>
        <w:left w:val="none" w:sz="0" w:space="0" w:color="auto"/>
        <w:bottom w:val="none" w:sz="0" w:space="0" w:color="auto"/>
        <w:right w:val="none" w:sz="0" w:space="0" w:color="auto"/>
      </w:divBdr>
    </w:div>
    <w:div w:id="1583182622">
      <w:bodyDiv w:val="1"/>
      <w:marLeft w:val="0"/>
      <w:marRight w:val="0"/>
      <w:marTop w:val="0"/>
      <w:marBottom w:val="0"/>
      <w:divBdr>
        <w:top w:val="none" w:sz="0" w:space="0" w:color="auto"/>
        <w:left w:val="none" w:sz="0" w:space="0" w:color="auto"/>
        <w:bottom w:val="none" w:sz="0" w:space="0" w:color="auto"/>
        <w:right w:val="none" w:sz="0" w:space="0" w:color="auto"/>
      </w:divBdr>
    </w:div>
    <w:div w:id="1641381816">
      <w:bodyDiv w:val="1"/>
      <w:marLeft w:val="0"/>
      <w:marRight w:val="0"/>
      <w:marTop w:val="0"/>
      <w:marBottom w:val="0"/>
      <w:divBdr>
        <w:top w:val="none" w:sz="0" w:space="0" w:color="auto"/>
        <w:left w:val="none" w:sz="0" w:space="0" w:color="auto"/>
        <w:bottom w:val="none" w:sz="0" w:space="0" w:color="auto"/>
        <w:right w:val="none" w:sz="0" w:space="0" w:color="auto"/>
      </w:divBdr>
      <w:divsChild>
        <w:div w:id="1697848811">
          <w:marLeft w:val="0"/>
          <w:marRight w:val="0"/>
          <w:marTop w:val="0"/>
          <w:marBottom w:val="0"/>
          <w:divBdr>
            <w:top w:val="none" w:sz="0" w:space="0" w:color="auto"/>
            <w:left w:val="none" w:sz="0" w:space="0" w:color="auto"/>
            <w:bottom w:val="none" w:sz="0" w:space="0" w:color="auto"/>
            <w:right w:val="none" w:sz="0" w:space="0" w:color="auto"/>
          </w:divBdr>
          <w:divsChild>
            <w:div w:id="1745031122">
              <w:marLeft w:val="0"/>
              <w:marRight w:val="0"/>
              <w:marTop w:val="0"/>
              <w:marBottom w:val="0"/>
              <w:divBdr>
                <w:top w:val="none" w:sz="0" w:space="0" w:color="auto"/>
                <w:left w:val="none" w:sz="0" w:space="0" w:color="auto"/>
                <w:bottom w:val="none" w:sz="0" w:space="0" w:color="auto"/>
                <w:right w:val="none" w:sz="0" w:space="0" w:color="auto"/>
              </w:divBdr>
              <w:divsChild>
                <w:div w:id="584070581">
                  <w:marLeft w:val="0"/>
                  <w:marRight w:val="0"/>
                  <w:marTop w:val="0"/>
                  <w:marBottom w:val="0"/>
                  <w:divBdr>
                    <w:top w:val="none" w:sz="0" w:space="0" w:color="auto"/>
                    <w:left w:val="none" w:sz="0" w:space="0" w:color="auto"/>
                    <w:bottom w:val="none" w:sz="0" w:space="0" w:color="auto"/>
                    <w:right w:val="none" w:sz="0" w:space="0" w:color="auto"/>
                  </w:divBdr>
                  <w:divsChild>
                    <w:div w:id="234246708">
                      <w:marLeft w:val="0"/>
                      <w:marRight w:val="0"/>
                      <w:marTop w:val="0"/>
                      <w:marBottom w:val="0"/>
                      <w:divBdr>
                        <w:top w:val="none" w:sz="0" w:space="0" w:color="auto"/>
                        <w:left w:val="none" w:sz="0" w:space="0" w:color="auto"/>
                        <w:bottom w:val="none" w:sz="0" w:space="0" w:color="auto"/>
                        <w:right w:val="none" w:sz="0" w:space="0" w:color="auto"/>
                      </w:divBdr>
                      <w:divsChild>
                        <w:div w:id="1959140374">
                          <w:marLeft w:val="0"/>
                          <w:marRight w:val="0"/>
                          <w:marTop w:val="0"/>
                          <w:marBottom w:val="0"/>
                          <w:divBdr>
                            <w:top w:val="none" w:sz="0" w:space="0" w:color="auto"/>
                            <w:left w:val="none" w:sz="0" w:space="0" w:color="auto"/>
                            <w:bottom w:val="none" w:sz="0" w:space="0" w:color="auto"/>
                            <w:right w:val="none" w:sz="0" w:space="0" w:color="auto"/>
                          </w:divBdr>
                          <w:divsChild>
                            <w:div w:id="699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03322">
      <w:bodyDiv w:val="1"/>
      <w:marLeft w:val="0"/>
      <w:marRight w:val="0"/>
      <w:marTop w:val="0"/>
      <w:marBottom w:val="0"/>
      <w:divBdr>
        <w:top w:val="none" w:sz="0" w:space="0" w:color="auto"/>
        <w:left w:val="none" w:sz="0" w:space="0" w:color="auto"/>
        <w:bottom w:val="none" w:sz="0" w:space="0" w:color="auto"/>
        <w:right w:val="none" w:sz="0" w:space="0" w:color="auto"/>
      </w:divBdr>
    </w:div>
    <w:div w:id="1770003967">
      <w:bodyDiv w:val="1"/>
      <w:marLeft w:val="0"/>
      <w:marRight w:val="0"/>
      <w:marTop w:val="0"/>
      <w:marBottom w:val="0"/>
      <w:divBdr>
        <w:top w:val="none" w:sz="0" w:space="0" w:color="auto"/>
        <w:left w:val="none" w:sz="0" w:space="0" w:color="auto"/>
        <w:bottom w:val="none" w:sz="0" w:space="0" w:color="auto"/>
        <w:right w:val="none" w:sz="0" w:space="0" w:color="auto"/>
      </w:divBdr>
    </w:div>
    <w:div w:id="1816488618">
      <w:bodyDiv w:val="1"/>
      <w:marLeft w:val="0"/>
      <w:marRight w:val="0"/>
      <w:marTop w:val="0"/>
      <w:marBottom w:val="0"/>
      <w:divBdr>
        <w:top w:val="none" w:sz="0" w:space="0" w:color="auto"/>
        <w:left w:val="none" w:sz="0" w:space="0" w:color="auto"/>
        <w:bottom w:val="none" w:sz="0" w:space="0" w:color="auto"/>
        <w:right w:val="none" w:sz="0" w:space="0" w:color="auto"/>
      </w:divBdr>
      <w:divsChild>
        <w:div w:id="1275287397">
          <w:marLeft w:val="0"/>
          <w:marRight w:val="0"/>
          <w:marTop w:val="0"/>
          <w:marBottom w:val="0"/>
          <w:divBdr>
            <w:top w:val="none" w:sz="0" w:space="0" w:color="auto"/>
            <w:left w:val="none" w:sz="0" w:space="0" w:color="auto"/>
            <w:bottom w:val="none" w:sz="0" w:space="0" w:color="auto"/>
            <w:right w:val="none" w:sz="0" w:space="0" w:color="auto"/>
          </w:divBdr>
          <w:divsChild>
            <w:div w:id="546529986">
              <w:marLeft w:val="0"/>
              <w:marRight w:val="0"/>
              <w:marTop w:val="0"/>
              <w:marBottom w:val="0"/>
              <w:divBdr>
                <w:top w:val="none" w:sz="0" w:space="0" w:color="auto"/>
                <w:left w:val="none" w:sz="0" w:space="0" w:color="auto"/>
                <w:bottom w:val="none" w:sz="0" w:space="0" w:color="auto"/>
                <w:right w:val="none" w:sz="0" w:space="0" w:color="auto"/>
              </w:divBdr>
              <w:divsChild>
                <w:div w:id="196743694">
                  <w:marLeft w:val="0"/>
                  <w:marRight w:val="0"/>
                  <w:marTop w:val="100"/>
                  <w:marBottom w:val="100"/>
                  <w:divBdr>
                    <w:top w:val="none" w:sz="0" w:space="0" w:color="auto"/>
                    <w:left w:val="none" w:sz="0" w:space="0" w:color="auto"/>
                    <w:bottom w:val="none" w:sz="0" w:space="0" w:color="auto"/>
                    <w:right w:val="none" w:sz="0" w:space="0" w:color="auto"/>
                  </w:divBdr>
                  <w:divsChild>
                    <w:div w:id="729116186">
                      <w:marLeft w:val="0"/>
                      <w:marRight w:val="0"/>
                      <w:marTop w:val="0"/>
                      <w:marBottom w:val="0"/>
                      <w:divBdr>
                        <w:top w:val="none" w:sz="0" w:space="0" w:color="auto"/>
                        <w:left w:val="none" w:sz="0" w:space="0" w:color="auto"/>
                        <w:bottom w:val="none" w:sz="0" w:space="0" w:color="auto"/>
                        <w:right w:val="none" w:sz="0" w:space="0" w:color="auto"/>
                      </w:divBdr>
                      <w:divsChild>
                        <w:div w:id="1633904044">
                          <w:marLeft w:val="0"/>
                          <w:marRight w:val="0"/>
                          <w:marTop w:val="0"/>
                          <w:marBottom w:val="0"/>
                          <w:divBdr>
                            <w:top w:val="none" w:sz="0" w:space="0" w:color="auto"/>
                            <w:left w:val="none" w:sz="0" w:space="0" w:color="auto"/>
                            <w:bottom w:val="none" w:sz="0" w:space="0" w:color="auto"/>
                            <w:right w:val="none" w:sz="0" w:space="0" w:color="auto"/>
                          </w:divBdr>
                          <w:divsChild>
                            <w:div w:id="292565755">
                              <w:marLeft w:val="0"/>
                              <w:marRight w:val="0"/>
                              <w:marTop w:val="0"/>
                              <w:marBottom w:val="0"/>
                              <w:divBdr>
                                <w:top w:val="none" w:sz="0" w:space="0" w:color="auto"/>
                                <w:left w:val="none" w:sz="0" w:space="0" w:color="auto"/>
                                <w:bottom w:val="none" w:sz="0" w:space="0" w:color="auto"/>
                                <w:right w:val="none" w:sz="0" w:space="0" w:color="auto"/>
                              </w:divBdr>
                              <w:divsChild>
                                <w:div w:id="203710985">
                                  <w:marLeft w:val="0"/>
                                  <w:marRight w:val="0"/>
                                  <w:marTop w:val="0"/>
                                  <w:marBottom w:val="0"/>
                                  <w:divBdr>
                                    <w:top w:val="none" w:sz="0" w:space="0" w:color="auto"/>
                                    <w:left w:val="none" w:sz="0" w:space="0" w:color="auto"/>
                                    <w:bottom w:val="none" w:sz="0" w:space="0" w:color="auto"/>
                                    <w:right w:val="none" w:sz="0" w:space="0" w:color="auto"/>
                                  </w:divBdr>
                                  <w:divsChild>
                                    <w:div w:id="2067990982">
                                      <w:marLeft w:val="0"/>
                                      <w:marRight w:val="0"/>
                                      <w:marTop w:val="0"/>
                                      <w:marBottom w:val="0"/>
                                      <w:divBdr>
                                        <w:top w:val="none" w:sz="0" w:space="0" w:color="auto"/>
                                        <w:left w:val="none" w:sz="0" w:space="0" w:color="auto"/>
                                        <w:bottom w:val="none" w:sz="0" w:space="0" w:color="auto"/>
                                        <w:right w:val="none" w:sz="0" w:space="0" w:color="auto"/>
                                      </w:divBdr>
                                      <w:divsChild>
                                        <w:div w:id="1461804338">
                                          <w:marLeft w:val="0"/>
                                          <w:marRight w:val="0"/>
                                          <w:marTop w:val="0"/>
                                          <w:marBottom w:val="360"/>
                                          <w:divBdr>
                                            <w:top w:val="none" w:sz="0" w:space="0" w:color="auto"/>
                                            <w:left w:val="none" w:sz="0" w:space="0" w:color="auto"/>
                                            <w:bottom w:val="none" w:sz="0" w:space="0" w:color="auto"/>
                                            <w:right w:val="none" w:sz="0" w:space="0" w:color="auto"/>
                                          </w:divBdr>
                                          <w:divsChild>
                                            <w:div w:id="1411123793">
                                              <w:marLeft w:val="0"/>
                                              <w:marRight w:val="0"/>
                                              <w:marTop w:val="0"/>
                                              <w:marBottom w:val="0"/>
                                              <w:divBdr>
                                                <w:top w:val="none" w:sz="0" w:space="0" w:color="auto"/>
                                                <w:left w:val="none" w:sz="0" w:space="0" w:color="auto"/>
                                                <w:bottom w:val="none" w:sz="0" w:space="0" w:color="auto"/>
                                                <w:right w:val="none" w:sz="0" w:space="0" w:color="auto"/>
                                              </w:divBdr>
                                              <w:divsChild>
                                                <w:div w:id="921720376">
                                                  <w:marLeft w:val="0"/>
                                                  <w:marRight w:val="0"/>
                                                  <w:marTop w:val="0"/>
                                                  <w:marBottom w:val="0"/>
                                                  <w:divBdr>
                                                    <w:top w:val="none" w:sz="0" w:space="0" w:color="auto"/>
                                                    <w:left w:val="none" w:sz="0" w:space="0" w:color="auto"/>
                                                    <w:bottom w:val="none" w:sz="0" w:space="0" w:color="auto"/>
                                                    <w:right w:val="none" w:sz="0" w:space="0" w:color="auto"/>
                                                  </w:divBdr>
                                                  <w:divsChild>
                                                    <w:div w:id="545487255">
                                                      <w:marLeft w:val="5370"/>
                                                      <w:marRight w:val="0"/>
                                                      <w:marTop w:val="120"/>
                                                      <w:marBottom w:val="0"/>
                                                      <w:divBdr>
                                                        <w:top w:val="none" w:sz="0" w:space="0" w:color="auto"/>
                                                        <w:left w:val="none" w:sz="0" w:space="0" w:color="auto"/>
                                                        <w:bottom w:val="none" w:sz="0" w:space="0" w:color="auto"/>
                                                        <w:right w:val="none" w:sz="0" w:space="0" w:color="auto"/>
                                                      </w:divBdr>
                                                      <w:divsChild>
                                                        <w:div w:id="359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061267">
      <w:bodyDiv w:val="1"/>
      <w:marLeft w:val="0"/>
      <w:marRight w:val="0"/>
      <w:marTop w:val="0"/>
      <w:marBottom w:val="0"/>
      <w:divBdr>
        <w:top w:val="none" w:sz="0" w:space="0" w:color="auto"/>
        <w:left w:val="none" w:sz="0" w:space="0" w:color="auto"/>
        <w:bottom w:val="none" w:sz="0" w:space="0" w:color="auto"/>
        <w:right w:val="none" w:sz="0" w:space="0" w:color="auto"/>
      </w:divBdr>
    </w:div>
    <w:div w:id="2003118502">
      <w:bodyDiv w:val="1"/>
      <w:marLeft w:val="0"/>
      <w:marRight w:val="0"/>
      <w:marTop w:val="0"/>
      <w:marBottom w:val="0"/>
      <w:divBdr>
        <w:top w:val="none" w:sz="0" w:space="0" w:color="auto"/>
        <w:left w:val="none" w:sz="0" w:space="0" w:color="auto"/>
        <w:bottom w:val="none" w:sz="0" w:space="0" w:color="auto"/>
        <w:right w:val="none" w:sz="0" w:space="0" w:color="auto"/>
      </w:divBdr>
    </w:div>
    <w:div w:id="2142730026">
      <w:bodyDiv w:val="1"/>
      <w:marLeft w:val="0"/>
      <w:marRight w:val="0"/>
      <w:marTop w:val="0"/>
      <w:marBottom w:val="0"/>
      <w:divBdr>
        <w:top w:val="none" w:sz="0" w:space="0" w:color="auto"/>
        <w:left w:val="none" w:sz="0" w:space="0" w:color="auto"/>
        <w:bottom w:val="none" w:sz="0" w:space="0" w:color="auto"/>
        <w:right w:val="none" w:sz="0" w:space="0" w:color="auto"/>
      </w:divBdr>
    </w:div>
    <w:div w:id="214368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cid:image001.jpg@01CF53E2.F599DED0"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communications.gov.au/broadband/national_broadband_network/cost-benefit_analysis_and_review_of_regu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BCDE Corporate Colours">
      <a:dk1>
        <a:srgbClr val="00728F"/>
      </a:dk1>
      <a:lt1>
        <a:sysClr val="window" lastClr="FFFFFF"/>
      </a:lt1>
      <a:dk2>
        <a:srgbClr val="B7DDE8"/>
      </a:dk2>
      <a:lt2>
        <a:srgbClr val="DBEEF3"/>
      </a:lt2>
      <a:accent1>
        <a:srgbClr val="00728F"/>
      </a:accent1>
      <a:accent2>
        <a:srgbClr val="B7DDE8"/>
      </a:accent2>
      <a:accent3>
        <a:srgbClr val="DBEEF3"/>
      </a:accent3>
      <a:accent4>
        <a:srgbClr val="92CDDC"/>
      </a:accent4>
      <a:accent5>
        <a:srgbClr val="31859B"/>
      </a:accent5>
      <a:accent6>
        <a:srgbClr val="64B8CE"/>
      </a:accent6>
      <a:hlink>
        <a:srgbClr val="0000FF"/>
      </a:hlink>
      <a:folHlink>
        <a:srgbClr val="800080"/>
      </a:folHlink>
    </a:clrScheme>
    <a:fontScheme name="DBCDE Corporate Fonts">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UDF_String_39 xmlns="4597da67-68a3-4e9d-8803-ba3e1787ab6c" xsi:nil="true"/>
    <TaxCatchAll xmlns="4597da67-68a3-4e9d-8803-ba3e1787ab6c"/>
    <me786d0e3c9949dc83d6a9826d3f7afb xmlns="4597da67-68a3-4e9d-8803-ba3e1787ab6c">
      <Terms xmlns="http://schemas.microsoft.com/office/infopath/2007/PartnerControls"/>
    </me786d0e3c9949dc83d6a9826d3f7afb>
    <e65fcc6ef396426b9c231bd6b3bc54de xmlns="4597da67-68a3-4e9d-8803-ba3e1787ab6c">
      <Terms xmlns="http://schemas.microsoft.com/office/infopath/2007/PartnerControls"/>
    </e65fcc6ef396426b9c231bd6b3bc54de>
    <trimRootDocACLCanUpdateDocument xmlns="4597da67-68a3-4e9d-8803-ba3e1787ab6c">Inherit</trimRootDocACLCanUpdateDocument>
    <TrimUDF_String_40 xmlns="4597da67-68a3-4e9d-8803-ba3e1787ab6c" xsi:nil="true"/>
    <l30152c64bc5409cb0d6af5fc7998329 xmlns="4597da67-68a3-4e9d-8803-ba3e1787ab6c">
      <Terms xmlns="http://schemas.microsoft.com/office/infopath/2007/PartnerControls"/>
    </l30152c64bc5409cb0d6af5fc7998329>
    <dd9c7627a75f4720a6ccce58a35e4d75 xmlns="4597da67-68a3-4e9d-8803-ba3e1787ab6c">
      <Terms xmlns="http://schemas.microsoft.com/office/infopath/2007/PartnerControls"/>
    </dd9c7627a75f4720a6ccce58a35e4d75>
    <hab31d4ae2264d5c8e77fd86c07e7635 xmlns="4597da67-68a3-4e9d-8803-ba3e1787ab6c">
      <Terms xmlns="http://schemas.microsoft.com/office/infopath/2007/PartnerControls"/>
    </hab31d4ae2264d5c8e77fd86c07e7635>
    <trimRootDocSecurityCaveats xmlns="4597da67-68a3-4e9d-8803-ba3e1787ab6c">
      <Value>Departmental Staff</Value>
    </trimRootDocSecurityCaveats>
    <trimRootDocACLCanModifyAccess xmlns="4597da67-68a3-4e9d-8803-ba3e1787ab6c">Inherit</trimRootDocACLCanModifyAccess>
    <l7f7762656034748af4098221ba10b64 xmlns="4597da67-68a3-4e9d-8803-ba3e1787ab6c">
      <Terms xmlns="http://schemas.microsoft.com/office/infopath/2007/PartnerControls"/>
    </l7f7762656034748af4098221ba10b64>
    <a26f7cb41fae41ebb6c8e377b7c30d71 xmlns="4597da67-68a3-4e9d-8803-ba3e1787ab6c">
      <Terms xmlns="http://schemas.microsoft.com/office/infopath/2007/PartnerControls"/>
    </a26f7cb41fae41ebb6c8e377b7c30d71>
    <e74c999a0f514bafbaad1ae53c56eac2 xmlns="4597da67-68a3-4e9d-8803-ba3e1787ab6c">
      <Terms xmlns="http://schemas.microsoft.com/office/infopath/2007/PartnerControls"/>
    </e74c999a0f514bafbaad1ae53c56eac2>
    <trimRootDocURI xmlns="4597da67-68a3-4e9d-8803-ba3e1787ab6c">4003265</trimRootDocURI>
    <trimRootDocNotes xmlns="4597da67-68a3-4e9d-8803-ba3e1787ab6c" xsi:nil="true"/>
    <TrimUDF_String_696 xmlns="4597da67-68a3-4e9d-8803-ba3e1787ab6c" xsi:nil="true"/>
    <trimRootDocACLCanContributeDocuments xmlns="4597da67-68a3-4e9d-8803-ba3e1787ab6c">Inherit</trimRootDocACLCanContributeDocuments>
    <TrimUDF_Text_698 xmlns="4597da67-68a3-4e9d-8803-ba3e1787ab6c" xsi:nil="true"/>
    <ie56bdfdc4a44ef997c05b4ed8c67594 xmlns="4597da67-68a3-4e9d-8803-ba3e1787ab6c">
      <Terms xmlns="http://schemas.microsoft.com/office/infopath/2007/PartnerControls"/>
    </ie56bdfdc4a44ef997c05b4ed8c67594>
    <trimRootDocParentURI xmlns="4597da67-68a3-4e9d-8803-ba3e1787ab6c" xsi:nil="true"/>
    <trimRootDocACLCanUpdateMetadata xmlns="4597da67-68a3-4e9d-8803-ba3e1787ab6c">Inherit</trimRootDocACLCanUpdateMetadata>
    <trimRootDocSecurityLevel xmlns="4597da67-68a3-4e9d-8803-ba3e1787ab6c">For Official Use Only</trimRootDocSecurityLevel>
    <trimRootDocACLCanViewMetadata xmlns="4597da67-68a3-4e9d-8803-ba3e1787ab6c">Inherit</trimRootDocACLCanViewMetadata>
    <TrimUDF_Text_706 xmlns="4597da67-68a3-4e9d-8803-ba3e1787ab6c" xsi:nil="true"/>
    <trimRootDocACLCanViewDocument xmlns="4597da67-68a3-4e9d-8803-ba3e1787ab6c">Inherit</trimRootDocACLCanViewDocument>
    <c1aa94c1bcce43cc9138ccb9c7bf6e69 xmlns="4597da67-68a3-4e9d-8803-ba3e1787ab6c">
      <Terms xmlns="http://schemas.microsoft.com/office/infopath/2007/PartnerControls"/>
    </c1aa94c1bcce43cc9138ccb9c7bf6e69>
  </documentManagement>
</p:properties>
</file>

<file path=customXml/item2.xml><?xml version="1.0" encoding="utf-8"?>
<ct:contentTypeSchema xmlns:ct="http://schemas.microsoft.com/office/2006/metadata/contentType" xmlns:ma="http://schemas.microsoft.com/office/2006/metadata/properties/metaAttributes" ct:_="" ma:_="" ma:contentTypeName="DEPT DOCUMENT" ma:contentTypeID="0x010100407620DDFF47524F86BCF55EDD39464301001B6D38D5AD799C46BECDDABB90D604BF" ma:contentTypeVersion="18" ma:contentTypeDescription="106" ma:contentTypeScope="" ma:versionID="185ee56f260e0ee7240ff012724303be">
  <xsd:schema xmlns:xsd="http://www.w3.org/2001/XMLSchema" xmlns:xs="http://www.w3.org/2001/XMLSchema" xmlns:p="http://schemas.microsoft.com/office/2006/metadata/properties" xmlns:ns2="4597da67-68a3-4e9d-8803-ba3e1787ab6c" targetNamespace="http://schemas.microsoft.com/office/2006/metadata/properties" ma:root="true" ma:fieldsID="7565b05217e68dd819d60f5503df44cc"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trimRootDocACLCanViewMetadata" minOccurs="0"/>
                <xsd:element ref="ns2:trimRootDocACLCanUpdateDocument" minOccurs="0"/>
                <xsd:element ref="ns2:trimRootDocACLCanUpdateMetadata" minOccurs="0"/>
                <xsd:element ref="ns2:trimRootDocACLCanModifyAccess" minOccurs="0"/>
                <xsd:element ref="ns2:trimRootDocNotes" minOccurs="0"/>
                <xsd:element ref="ns2:hab31d4ae2264d5c8e77fd86c07e7635" minOccurs="0"/>
                <xsd:element ref="ns2:c1aa94c1bcce43cc9138ccb9c7bf6e69" minOccurs="0"/>
                <xsd:element ref="ns2:e65fcc6ef396426b9c231bd6b3bc54de" minOccurs="0"/>
                <xsd:element ref="ns2:dd9c7627a75f4720a6ccce58a35e4d75" minOccurs="0"/>
                <xsd:element ref="ns2:trimRootDocACLCanContributeDocuments" minOccurs="0"/>
                <xsd:element ref="ns2:l30152c64bc5409cb0d6af5fc7998329" minOccurs="0"/>
                <xsd:element ref="ns2:TaxCatchAll" minOccurs="0"/>
                <xsd:element ref="ns2:ie56bdfdc4a44ef997c05b4ed8c67594" minOccurs="0"/>
                <xsd:element ref="ns2:TaxCatchAllLabel" minOccurs="0"/>
                <xsd:element ref="ns2:me786d0e3c9949dc83d6a9826d3f7afb" minOccurs="0"/>
                <xsd:element ref="ns2:e74c999a0f514bafbaad1ae53c56eac2" minOccurs="0"/>
                <xsd:element ref="ns2:l7f7762656034748af4098221ba10b64" minOccurs="0"/>
                <xsd:element ref="ns2:a26f7cb41fae41ebb6c8e377b7c30d71" minOccurs="0"/>
                <xsd:element ref="ns2:TrimUDF_String_39" minOccurs="0"/>
                <xsd:element ref="ns2:TrimUDF_String_40" minOccurs="0"/>
                <xsd:element ref="ns2:TrimUDF_String_696" minOccurs="0"/>
                <xsd:element ref="ns2:TrimUDF_Text_698" minOccurs="0"/>
                <xsd:element ref="ns2:TrimUDF_Text_7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2" nillable="true" ma:displayName="URI" ma:hidden="true" ma:internalName="trimRootDocURI" ma:readOnly="false">
      <xsd:simpleType>
        <xsd:restriction base="dms:Text">
          <xsd:maxLength value="255"/>
        </xsd:restriction>
      </xsd:simpleType>
    </xsd:element>
    <xsd:element name="trimRootDocParentURI" ma:index="3" nillable="true" ma:displayName="Parent URI" ma:internalName="trimRootDocParentURI" ma:readOnly="false">
      <xsd:simpleType>
        <xsd:restriction base="dms:Number"/>
      </xsd:simpleType>
    </xsd:element>
    <xsd:element name="trimRootDocSecurityLevel" ma:index="4" nillable="true" ma:displayName="Security Level" ma:default="For Official Use Only" ma:format="Dropdown" ma:internalName="trimRootDocSecurityLevel" ma:readOnly="false">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5" nillable="true" ma:displayName="Security Caveats" ma:default="Departmental Staff" ma:internalName="trimRootDocSecurityCaveats" ma:readOnly="false">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6" nillable="true" ma:displayName="Can View Document" ma:format="RadioButtons" ma:internalName="trimRootDocACLCanViewDocument" ma:readOnly="false">
      <xsd:simpleType>
        <xsd:restriction base="dms:Choice">
          <xsd:enumeration value="Inherit"/>
          <xsd:enumeration value="Everyone"/>
          <xsd:enumeration value="Custom"/>
        </xsd:restriction>
      </xsd:simpleType>
    </xsd:element>
    <xsd:element name="trimRootDocACLCanViewMetadata" ma:index="8" nillable="true" ma:displayName="Can View Metadata" ma:format="RadioButtons" ma:internalName="trimRootDocACLCanViewMetadata" ma:readOnly="false">
      <xsd:simpleType>
        <xsd:restriction base="dms:Choice">
          <xsd:enumeration value="Inherit"/>
          <xsd:enumeration value="Everyone"/>
          <xsd:enumeration value="Custom"/>
        </xsd:restriction>
      </xsd:simpleType>
    </xsd:element>
    <xsd:element name="trimRootDocACLCanUpdateDocument" ma:index="10" nillable="true" ma:displayName="Can Update Document" ma:format="RadioButtons" ma:internalName="trimRootDocACLCanUpdateDocument" ma:readOnly="false">
      <xsd:simpleType>
        <xsd:restriction base="dms:Choice">
          <xsd:enumeration value="Inherit"/>
          <xsd:enumeration value="Everyone"/>
          <xsd:enumeration value="Custom"/>
        </xsd:restriction>
      </xsd:simpleType>
    </xsd:element>
    <xsd:element name="trimRootDocACLCanUpdateMetadata" ma:index="12" nillable="true" ma:displayName="Can Update Metadata" ma:format="RadioButtons" ma:internalName="trimRootDocACLCanUpdateMetadata" ma:readOnly="false">
      <xsd:simpleType>
        <xsd:restriction base="dms:Choice">
          <xsd:enumeration value="Inherit"/>
          <xsd:enumeration value="Everyone"/>
          <xsd:enumeration value="Custom"/>
        </xsd:restriction>
      </xsd:simpleType>
    </xsd:element>
    <xsd:element name="trimRootDocACLCanModifyAccess" ma:index="14" nillable="true" ma:displayName="Can Modify Access" ma:format="RadioButtons" ma:internalName="trimRootDocACLCanModifyAccess" ma:readOnly="false">
      <xsd:simpleType>
        <xsd:restriction base="dms:Choice">
          <xsd:enumeration value="Inherit"/>
          <xsd:enumeration value="Everyone"/>
          <xsd:enumeration value="Custom"/>
        </xsd:restriction>
      </xsd:simpleType>
    </xsd:element>
    <xsd:element name="trimRootDocNotes" ma:index="16" nillable="true" ma:displayName="Notes" ma:internalName="trimRootDocNotes" ma:readOnly="false">
      <xsd:simpleType>
        <xsd:restriction base="dms:Note"/>
      </xsd:simpleType>
    </xsd:element>
    <xsd:element name="hab31d4ae2264d5c8e77fd86c07e7635" ma:index="18" nillable="true" ma:taxonomy="true" ma:internalName="hab31d4ae2264d5c8e77fd86c07e7635" ma:taxonomyFieldName="trimRootDocACLCanViewMetadata_List" ma:displayName="Can View Metadata List" ma:readOnly="false"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c1aa94c1bcce43cc9138ccb9c7bf6e69" ma:index="21" nillable="true" ma:taxonomy="true" ma:internalName="c1aa94c1bcce43cc9138ccb9c7bf6e69" ma:taxonomyFieldName="trimRootDocACLCanUpdateDocument_List" ma:displayName="Can Update Document List" ma:readOnly="false"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65fcc6ef396426b9c231bd6b3bc54de" ma:index="24" nillable="true" ma:taxonomy="true" ma:internalName="e65fcc6ef396426b9c231bd6b3bc54de" ma:taxonomyFieldName="trimRootDocACLCanUpdateMetadata_List" ma:displayName="Can Update Metadata List" ma:readOnly="false"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dd9c7627a75f4720a6ccce58a35e4d75" ma:index="25" nillable="true" ma:taxonomy="true" ma:internalName="dd9c7627a75f4720a6ccce58a35e4d75" ma:taxonomyFieldName="trimRootDocACLCanViewDocument_List" ma:displayName="Can View Document List" ma:readOnly="false"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ie56bdfdc4a44ef997c05b4ed8c67594" ma:index="30" nillable="true" ma:taxonomy="true" ma:internalName="ie56bdfdc4a44ef997c05b4ed8c67594" ma:taxonomyFieldName="trimRootDocACLCanModifyAccess_List" ma:displayName="Can Modify Access List" ma:readOnly="false"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Label" ma:index="32"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me786d0e3c9949dc83d6a9826d3f7afb" ma:index="33" nillable="true" ma:taxonomy="true" ma:internalName="me786d0e3c9949dc83d6a9826d3f7afb" ma:taxonomyFieldName="trimRootDocOwnerLocation" ma:displayName="Owner" ma:readOnly="false"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readOnly="false"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element name="TrimUDF_String_39" ma:index="41" nillable="true" ma:displayName="Document Type" ma:format="Dropdown" ma:hidden="true" ma:internalName="TrimUDF_String_39" ma:readOnly="false">
      <xsd:simpleType>
        <xsd:restriction base="dms:Choice">
          <xsd:enumeration value="COMMUNITY RELATIONS"/>
          <xsd:enumeration value="EQUIPMENT, STORES AND VECHICLES"/>
          <xsd:enumeration value="FINANCIAL MANAGEMENT"/>
          <xsd:enumeration value="GOVERNMENT AND IT &amp; T"/>
          <xsd:enumeration value="GOVERNMENT RELATIONS"/>
          <xsd:enumeration value="INDUSTRY DEVELOPMENT"/>
          <xsd:enumeration value="INFORMATION MANAGEMENT"/>
          <xsd:enumeration value="INFORMATION SYSTEMS"/>
          <xsd:enumeration value="LEGAL SERVICES"/>
          <xsd:enumeration value="PROPERTY MANAGEMENT"/>
          <xsd:enumeration value="RESEARCH AND STATISTICS"/>
          <xsd:enumeration value="STRATEGIC MANAGEMENT"/>
        </xsd:restriction>
      </xsd:simpleType>
    </xsd:element>
    <xsd:element name="TrimUDF_String_40" ma:index="42" nillable="true" ma:displayName="Classification 2" ma:format="Dropdown" ma:hidden="true" ma:internalName="TrimUDF_String_40" ma:readOnly="false">
      <xsd:simpleType>
        <xsd:restriction base="dms:Choice">
          <xsd:enumeration value="ACCESS AND EQUITY"/>
          <xsd:enumeration value="ACQUISITION AND DISPOSAL"/>
          <xsd:enumeration value="ASSET MANAGEMENT"/>
          <xsd:enumeration value="AUDITS"/>
          <xsd:enumeration value="BUDGETING"/>
          <xsd:enumeration value="BUSINESS IMPROVEMENT"/>
          <xsd:enumeration value="INTERGOVERNMENT LIAISON"/>
          <xsd:enumeration value="LEASING"/>
          <xsd:enumeration value="LEGAL ADVICE"/>
          <xsd:enumeration value="MAINTENANCE"/>
          <xsd:enumeration value="MEDIA RELATIONS"/>
          <xsd:enumeration value="PRIVACY"/>
          <xsd:enumeration value="PROJECTS"/>
          <xsd:enumeration value="PUBLIC REACTION"/>
          <xsd:enumeration value="REVIEWS"/>
          <xsd:enumeration value="RISK MANAGEMENT"/>
          <xsd:enumeration value="SECURITY"/>
          <xsd:enumeration value="STATISTICS"/>
        </xsd:restriction>
      </xsd:simpleType>
    </xsd:element>
    <xsd:element name="TrimUDF_String_696" ma:index="43" nillable="true" ma:displayName="Delete" ma:format="Dropdown" ma:hidden="true" ma:internalName="TrimUDF_String_696" ma:readOnly="false">
      <xsd:simpleType>
        <xsd:restriction base="dms:Choice">
          <xsd:enumeration value="Copy"/>
          <xsd:enumeration value="Draft"/>
          <xsd:enumeration value="Personal"/>
          <xsd:enumeration value="Published"/>
          <xsd:enumeration value="Transitory"/>
          <xsd:enumeration value="Working Paper"/>
        </xsd:restriction>
      </xsd:simpleType>
    </xsd:element>
    <xsd:element name="TrimUDF_Text_698" ma:index="44" nillable="true" ma:displayName="IMS Display" ma:hidden="true" ma:internalName="TrimUDF_Text_698" ma:readOnly="false">
      <xsd:simpleType>
        <xsd:restriction base="dms:Note"/>
      </xsd:simpleType>
    </xsd:element>
    <xsd:element name="TrimUDF_Text_706" ma:index="45" nillable="true" ma:displayName="Published" ma:hidden="true" ma:internalName="TrimUDF_Text_706"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0BCE3-4AE9-451F-AABC-9D6FFE9FDB35}">
  <ds:schemaRefs>
    <ds:schemaRef ds:uri="4597da67-68a3-4e9d-8803-ba3e1787ab6c"/>
    <ds:schemaRef ds:uri="http://schemas.microsoft.com/office/2006/metadata/propertie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B78253B4-7390-4103-8506-8F35E037F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76034-9C51-438B-A0CD-8AD32B8BE0B1}">
  <ds:schemaRefs>
    <ds:schemaRef ds:uri="http://schemas.microsoft.com/sharepoint/v3/contenttype/forms"/>
  </ds:schemaRefs>
</ds:datastoreItem>
</file>

<file path=customXml/itemProps4.xml><?xml version="1.0" encoding="utf-8"?>
<ds:datastoreItem xmlns:ds="http://schemas.openxmlformats.org/officeDocument/2006/customXml" ds:itemID="{0828F99C-62E5-4E66-8F87-50EED890D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4548</Words>
  <Characters>25924</Characters>
  <Application>Microsoft Office Word</Application>
  <DocSecurity>4</DocSecurity>
  <Lines>216</Lines>
  <Paragraphs>60</Paragraphs>
  <ScaleCrop>false</ScaleCrop>
  <HeadingPairs>
    <vt:vector size="2" baseType="variant">
      <vt:variant>
        <vt:lpstr>Title</vt:lpstr>
      </vt:variant>
      <vt:variant>
        <vt:i4>1</vt:i4>
      </vt:variant>
    </vt:vector>
  </HeadingPairs>
  <TitlesOfParts>
    <vt:vector size="1" baseType="lpstr">
      <vt:lpstr>Telecommunications Regulatory and Structural Reform in Department Template</vt:lpstr>
    </vt:vector>
  </TitlesOfParts>
  <Company>DBCDE</Company>
  <LinksUpToDate>false</LinksUpToDate>
  <CharactersWithSpaces>30412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Telecommunications Regulatory and Structural Reform in Department Template</dc:title>
  <dc:subject>Triple, Zero, review, discussion, paper</dc:subject>
  <dc:creator>Sarah Christie</dc:creator>
  <dc:description>Review of the Triple Zero National Call Operator - Discussion Paper</dc:description>
  <cp:lastModifiedBy>Chua, Shu-Ling</cp:lastModifiedBy>
  <cp:revision>2</cp:revision>
  <cp:lastPrinted>2014-04-16T23:53:00Z</cp:lastPrinted>
  <dcterms:created xsi:type="dcterms:W3CDTF">2015-11-29T22:42:00Z</dcterms:created>
  <dcterms:modified xsi:type="dcterms:W3CDTF">2015-11-29T22:42:00Z</dcterms:modified>
  <cp:category>Other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ContentTypeId">
    <vt:lpwstr>0x010100407620DDFF47524F86BCF55EDD394643010019E00E38CBD7094495F643406AE40ABA</vt:lpwstr>
  </property>
  <property fmtid="{D5CDD505-2E9C-101B-9397-08002B2CF9AE}" pid="3" name="ContentType">
    <vt:lpwstr>DEPT DOCUMENT</vt:lpwstr>
  </property>
  <property fmtid="{D5CDD505-2E9C-101B-9397-08002B2CF9AE}" pid="4" name="SelectedContainerURI">
    <vt:lpwstr>2832026</vt:lpwstr>
  </property>
  <property fmtid="{D5CDD505-2E9C-101B-9397-08002B2CF9AE}" pid="5" name="ContentTypeId">
    <vt:lpwstr>0x010100407620DDFF47524F86BCF55EDD39464301001B6D38D5AD799C46BECDDABB90D604BF</vt:lpwstr>
  </property>
  <property fmtid="{D5CDD505-2E9C-101B-9397-08002B2CF9AE}" pid="6" name="TrimRevisionNumber">
    <vt:i4>27</vt:i4>
  </property>
  <property fmtid="{D5CDD505-2E9C-101B-9397-08002B2CF9AE}" pid="7" name="trimRootDocClassification">
    <vt:lpwstr/>
  </property>
  <property fmtid="{D5CDD505-2E9C-101B-9397-08002B2CF9AE}" pid="8" name="trimRootDocAssigneeLocation">
    <vt:lpwstr/>
  </property>
  <property fmtid="{D5CDD505-2E9C-101B-9397-08002B2CF9AE}" pid="9" name="trimRootDocACLCanUpdateMetadata_List">
    <vt:lpwstr/>
  </property>
  <property fmtid="{D5CDD505-2E9C-101B-9397-08002B2CF9AE}" pid="10" name="trimRootDocOtherContactLocation">
    <vt:lpwstr/>
  </property>
  <property fmtid="{D5CDD505-2E9C-101B-9397-08002B2CF9AE}" pid="11" name="trimRootDocACLCanModifyAccess_List">
    <vt:lpwstr/>
  </property>
  <property fmtid="{D5CDD505-2E9C-101B-9397-08002B2CF9AE}" pid="12" name="trimRootDocACLCanUpdateDocument_List">
    <vt:lpwstr/>
  </property>
  <property fmtid="{D5CDD505-2E9C-101B-9397-08002B2CF9AE}" pid="13" name="trimRootDocACLCanViewMetadata_List">
    <vt:lpwstr/>
  </property>
  <property fmtid="{D5CDD505-2E9C-101B-9397-08002B2CF9AE}" pid="14" name="trimRootDocACLCanViewDocument_List">
    <vt:lpwstr/>
  </property>
  <property fmtid="{D5CDD505-2E9C-101B-9397-08002B2CF9AE}" pid="15" name="trimRootDocOwnerLocation">
    <vt:lpwstr/>
  </property>
  <property fmtid="{D5CDD505-2E9C-101B-9397-08002B2CF9AE}" pid="16" name="trimRootDocACLCanContributeDocuments_List">
    <vt:lpwstr/>
  </property>
</Properties>
</file>