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6DD2C" w14:textId="77777777" w:rsidR="00C61801" w:rsidRPr="00866A71" w:rsidRDefault="00C61801" w:rsidP="00665016">
      <w:pPr>
        <w:pStyle w:val="DBCDElogo"/>
      </w:pPr>
      <w:bookmarkStart w:id="0" w:name="_GoBack"/>
      <w:bookmarkEnd w:id="0"/>
    </w:p>
    <w:p w14:paraId="2FF6DD2D" w14:textId="77777777" w:rsidR="003F5B96" w:rsidRDefault="003F5B96" w:rsidP="002C4110">
      <w:pPr>
        <w:pStyle w:val="Titleheading"/>
        <w:jc w:val="center"/>
      </w:pPr>
      <w:r>
        <w:t>Spectrum Review</w:t>
      </w:r>
    </w:p>
    <w:p w14:paraId="2FF6DD2E" w14:textId="16724B68" w:rsidR="003F5B96" w:rsidRDefault="001928F6" w:rsidP="002C4110">
      <w:pPr>
        <w:pStyle w:val="Titleheading"/>
        <w:jc w:val="center"/>
      </w:pPr>
      <w:r>
        <w:t xml:space="preserve">Potential </w:t>
      </w:r>
      <w:r w:rsidR="005E4845">
        <w:t>R</w:t>
      </w:r>
      <w:r>
        <w:t xml:space="preserve">eform </w:t>
      </w:r>
      <w:r w:rsidR="005E4845">
        <w:t>D</w:t>
      </w:r>
      <w:r>
        <w:t>irections</w:t>
      </w:r>
    </w:p>
    <w:p w14:paraId="2FF6DD2F" w14:textId="77777777" w:rsidR="003F5B96" w:rsidRDefault="003F5B96" w:rsidP="002C4110">
      <w:pPr>
        <w:pStyle w:val="Titlesub-heading"/>
        <w:jc w:val="center"/>
      </w:pPr>
    </w:p>
    <w:p w14:paraId="2FF6DD30" w14:textId="77777777" w:rsidR="003F5B96" w:rsidRDefault="003F5B96" w:rsidP="002C4110">
      <w:pPr>
        <w:pStyle w:val="Titlesub-heading"/>
        <w:jc w:val="center"/>
      </w:pPr>
    </w:p>
    <w:p w14:paraId="2FF6DD31" w14:textId="77777777" w:rsidR="003F5B96" w:rsidRDefault="003F5B96" w:rsidP="002C4110">
      <w:pPr>
        <w:pStyle w:val="Titlesub-heading"/>
        <w:tabs>
          <w:tab w:val="left" w:pos="1332"/>
        </w:tabs>
        <w:jc w:val="center"/>
      </w:pPr>
    </w:p>
    <w:p w14:paraId="2FF6DD32" w14:textId="77777777" w:rsidR="003F5B96" w:rsidRDefault="003F5B96" w:rsidP="002C4110">
      <w:pPr>
        <w:pStyle w:val="Titlesub-heading"/>
        <w:jc w:val="center"/>
      </w:pPr>
    </w:p>
    <w:p w14:paraId="2FF6DD33" w14:textId="77777777" w:rsidR="003F5B96" w:rsidRDefault="003F5B96" w:rsidP="002C4110">
      <w:pPr>
        <w:pStyle w:val="Titlesub-heading"/>
        <w:jc w:val="center"/>
      </w:pPr>
    </w:p>
    <w:p w14:paraId="2FF6DD34" w14:textId="77777777" w:rsidR="003F5B96" w:rsidRDefault="003F5B96" w:rsidP="002C4110">
      <w:pPr>
        <w:pStyle w:val="Titlesub-heading"/>
        <w:jc w:val="center"/>
      </w:pPr>
    </w:p>
    <w:p w14:paraId="2FF6DD35" w14:textId="77777777" w:rsidR="003F5B96" w:rsidRDefault="003F5B96" w:rsidP="002C4110">
      <w:pPr>
        <w:pStyle w:val="Titlesub-heading"/>
        <w:jc w:val="center"/>
      </w:pPr>
    </w:p>
    <w:p w14:paraId="2FF6DD36" w14:textId="77777777" w:rsidR="003F5B96" w:rsidRDefault="003F5B96" w:rsidP="002C4110">
      <w:pPr>
        <w:pStyle w:val="Titlesub-heading"/>
        <w:jc w:val="center"/>
      </w:pPr>
    </w:p>
    <w:p w14:paraId="2FF6DD37" w14:textId="77777777" w:rsidR="003F5B96" w:rsidRDefault="003F5B96" w:rsidP="002C4110">
      <w:pPr>
        <w:pStyle w:val="Titlesub-heading"/>
        <w:jc w:val="center"/>
      </w:pPr>
    </w:p>
    <w:p w14:paraId="2FF6DD38" w14:textId="77777777" w:rsidR="003F5B96" w:rsidRDefault="003F5B96" w:rsidP="002C4110">
      <w:pPr>
        <w:pStyle w:val="Titlesub-heading"/>
        <w:jc w:val="center"/>
      </w:pPr>
    </w:p>
    <w:p w14:paraId="2FF6DD39" w14:textId="39C39E49" w:rsidR="003F5B96" w:rsidRDefault="003F5B96" w:rsidP="002C4110">
      <w:pPr>
        <w:pStyle w:val="Titlesub-heading"/>
        <w:jc w:val="center"/>
      </w:pPr>
      <w:r>
        <w:t>Consultation</w:t>
      </w:r>
      <w:r w:rsidR="005E4845">
        <w:t xml:space="preserve"> Paper</w:t>
      </w:r>
    </w:p>
    <w:p w14:paraId="2FF6DD3A" w14:textId="48EB15A4" w:rsidR="003F5B96" w:rsidRDefault="00026E0D" w:rsidP="002C4110">
      <w:pPr>
        <w:pStyle w:val="Titledate"/>
        <w:jc w:val="center"/>
      </w:pPr>
      <w:r>
        <w:t>November</w:t>
      </w:r>
      <w:r w:rsidR="003F5B96">
        <w:t xml:space="preserve"> 2014</w:t>
      </w:r>
    </w:p>
    <w:p w14:paraId="2FF6DD3B" w14:textId="77777777" w:rsidR="009C1549" w:rsidRPr="00866A71" w:rsidRDefault="003F5B96" w:rsidP="002C4110">
      <w:pPr>
        <w:jc w:val="center"/>
      </w:pPr>
      <w:r>
        <w:br w:type="page"/>
      </w:r>
    </w:p>
    <w:sdt>
      <w:sdtPr>
        <w:rPr>
          <w:rFonts w:ascii="Calibri" w:eastAsiaTheme="minorHAnsi" w:hAnsi="Calibri" w:cstheme="minorBidi"/>
          <w:bCs w:val="0"/>
          <w:color w:val="auto"/>
          <w:sz w:val="22"/>
          <w:szCs w:val="22"/>
        </w:rPr>
        <w:id w:val="47277832"/>
        <w:docPartObj>
          <w:docPartGallery w:val="Table of Contents"/>
          <w:docPartUnique/>
        </w:docPartObj>
      </w:sdtPr>
      <w:sdtEndPr>
        <w:rPr>
          <w:b/>
          <w:noProof/>
        </w:rPr>
      </w:sdtEndPr>
      <w:sdtContent>
        <w:p w14:paraId="2FF6DD3C" w14:textId="77777777" w:rsidR="009C1289" w:rsidRDefault="009C1289">
          <w:pPr>
            <w:pStyle w:val="TOCHeading"/>
          </w:pPr>
          <w:r>
            <w:t>Table of Contents</w:t>
          </w:r>
        </w:p>
        <w:p w14:paraId="5FD4135F" w14:textId="77777777" w:rsidR="00042D26" w:rsidRDefault="009C1289">
          <w:pPr>
            <w:pStyle w:val="TOC1"/>
            <w:rPr>
              <w:rFonts w:asciiTheme="minorHAnsi" w:eastAsiaTheme="minorEastAsia" w:hAnsiTheme="minorHAnsi"/>
              <w:color w:val="auto"/>
              <w:sz w:val="22"/>
              <w:lang w:eastAsia="en-AU"/>
            </w:rPr>
          </w:pPr>
          <w:r>
            <w:fldChar w:fldCharType="begin"/>
          </w:r>
          <w:r>
            <w:instrText xml:space="preserve"> TOC \o "1-3" \h \z \u </w:instrText>
          </w:r>
          <w:r>
            <w:fldChar w:fldCharType="separate"/>
          </w:r>
          <w:hyperlink w:anchor="_Toc401237560" w:history="1">
            <w:r w:rsidR="00042D26" w:rsidRPr="00D62CAE">
              <w:rPr>
                <w:rStyle w:val="Hyperlink"/>
              </w:rPr>
              <w:t>Introduction and Context</w:t>
            </w:r>
            <w:r w:rsidR="00042D26">
              <w:rPr>
                <w:webHidden/>
              </w:rPr>
              <w:tab/>
            </w:r>
            <w:r w:rsidR="00042D26">
              <w:rPr>
                <w:webHidden/>
              </w:rPr>
              <w:fldChar w:fldCharType="begin"/>
            </w:r>
            <w:r w:rsidR="00042D26">
              <w:rPr>
                <w:webHidden/>
              </w:rPr>
              <w:instrText xml:space="preserve"> PAGEREF _Toc401237560 \h </w:instrText>
            </w:r>
            <w:r w:rsidR="00042D26">
              <w:rPr>
                <w:webHidden/>
              </w:rPr>
            </w:r>
            <w:r w:rsidR="00042D26">
              <w:rPr>
                <w:webHidden/>
              </w:rPr>
              <w:fldChar w:fldCharType="separate"/>
            </w:r>
            <w:r w:rsidR="00042D26">
              <w:rPr>
                <w:webHidden/>
              </w:rPr>
              <w:t>3</w:t>
            </w:r>
            <w:r w:rsidR="00042D26">
              <w:rPr>
                <w:webHidden/>
              </w:rPr>
              <w:fldChar w:fldCharType="end"/>
            </w:r>
          </w:hyperlink>
        </w:p>
        <w:p w14:paraId="65F8090A" w14:textId="77777777" w:rsidR="00042D26" w:rsidRDefault="00FB2BB4">
          <w:pPr>
            <w:pStyle w:val="TOC1"/>
            <w:rPr>
              <w:rFonts w:asciiTheme="minorHAnsi" w:eastAsiaTheme="minorEastAsia" w:hAnsiTheme="minorHAnsi"/>
              <w:color w:val="auto"/>
              <w:sz w:val="22"/>
              <w:lang w:eastAsia="en-AU"/>
            </w:rPr>
          </w:pPr>
          <w:hyperlink w:anchor="_Toc401237561" w:history="1">
            <w:r w:rsidR="00042D26" w:rsidRPr="00D62CAE">
              <w:rPr>
                <w:rStyle w:val="Hyperlink"/>
              </w:rPr>
              <w:t>Economics of spectrum</w:t>
            </w:r>
            <w:r w:rsidR="00042D26">
              <w:rPr>
                <w:webHidden/>
              </w:rPr>
              <w:tab/>
            </w:r>
            <w:r w:rsidR="00042D26">
              <w:rPr>
                <w:webHidden/>
              </w:rPr>
              <w:fldChar w:fldCharType="begin"/>
            </w:r>
            <w:r w:rsidR="00042D26">
              <w:rPr>
                <w:webHidden/>
              </w:rPr>
              <w:instrText xml:space="preserve"> PAGEREF _Toc401237561 \h </w:instrText>
            </w:r>
            <w:r w:rsidR="00042D26">
              <w:rPr>
                <w:webHidden/>
              </w:rPr>
            </w:r>
            <w:r w:rsidR="00042D26">
              <w:rPr>
                <w:webHidden/>
              </w:rPr>
              <w:fldChar w:fldCharType="separate"/>
            </w:r>
            <w:r w:rsidR="00042D26">
              <w:rPr>
                <w:webHidden/>
              </w:rPr>
              <w:t>3</w:t>
            </w:r>
            <w:r w:rsidR="00042D26">
              <w:rPr>
                <w:webHidden/>
              </w:rPr>
              <w:fldChar w:fldCharType="end"/>
            </w:r>
          </w:hyperlink>
        </w:p>
        <w:p w14:paraId="777FA330" w14:textId="77777777" w:rsidR="00042D26" w:rsidRDefault="00FB2BB4">
          <w:pPr>
            <w:pStyle w:val="TOC2"/>
            <w:rPr>
              <w:rFonts w:asciiTheme="minorHAnsi" w:eastAsiaTheme="minorEastAsia" w:hAnsiTheme="minorHAnsi"/>
              <w:noProof/>
              <w:lang w:eastAsia="en-AU"/>
            </w:rPr>
          </w:pPr>
          <w:hyperlink w:anchor="_Toc401237562" w:history="1">
            <w:r w:rsidR="00042D26" w:rsidRPr="00D62CAE">
              <w:rPr>
                <w:rStyle w:val="Hyperlink"/>
                <w:noProof/>
              </w:rPr>
              <w:t>International context</w:t>
            </w:r>
            <w:r w:rsidR="00042D26">
              <w:rPr>
                <w:noProof/>
                <w:webHidden/>
              </w:rPr>
              <w:tab/>
            </w:r>
            <w:r w:rsidR="00042D26">
              <w:rPr>
                <w:noProof/>
                <w:webHidden/>
              </w:rPr>
              <w:fldChar w:fldCharType="begin"/>
            </w:r>
            <w:r w:rsidR="00042D26">
              <w:rPr>
                <w:noProof/>
                <w:webHidden/>
              </w:rPr>
              <w:instrText xml:space="preserve"> PAGEREF _Toc401237562 \h </w:instrText>
            </w:r>
            <w:r w:rsidR="00042D26">
              <w:rPr>
                <w:noProof/>
                <w:webHidden/>
              </w:rPr>
            </w:r>
            <w:r w:rsidR="00042D26">
              <w:rPr>
                <w:noProof/>
                <w:webHidden/>
              </w:rPr>
              <w:fldChar w:fldCharType="separate"/>
            </w:r>
            <w:r w:rsidR="00042D26">
              <w:rPr>
                <w:noProof/>
                <w:webHidden/>
              </w:rPr>
              <w:t>4</w:t>
            </w:r>
            <w:r w:rsidR="00042D26">
              <w:rPr>
                <w:noProof/>
                <w:webHidden/>
              </w:rPr>
              <w:fldChar w:fldCharType="end"/>
            </w:r>
          </w:hyperlink>
        </w:p>
        <w:p w14:paraId="76A4717A" w14:textId="77777777" w:rsidR="00042D26" w:rsidRDefault="00FB2BB4">
          <w:pPr>
            <w:pStyle w:val="TOC1"/>
            <w:rPr>
              <w:rFonts w:asciiTheme="minorHAnsi" w:eastAsiaTheme="minorEastAsia" w:hAnsiTheme="minorHAnsi"/>
              <w:color w:val="auto"/>
              <w:sz w:val="22"/>
              <w:lang w:eastAsia="en-AU"/>
            </w:rPr>
          </w:pPr>
          <w:hyperlink w:anchor="_Toc401237563" w:history="1">
            <w:r w:rsidR="00042D26" w:rsidRPr="00D62CAE">
              <w:rPr>
                <w:rStyle w:val="Hyperlink"/>
              </w:rPr>
              <w:t>Stakeholder Feedback and Principles for Reform</w:t>
            </w:r>
            <w:r w:rsidR="00042D26">
              <w:rPr>
                <w:webHidden/>
              </w:rPr>
              <w:tab/>
            </w:r>
            <w:r w:rsidR="00042D26">
              <w:rPr>
                <w:webHidden/>
              </w:rPr>
              <w:fldChar w:fldCharType="begin"/>
            </w:r>
            <w:r w:rsidR="00042D26">
              <w:rPr>
                <w:webHidden/>
              </w:rPr>
              <w:instrText xml:space="preserve"> PAGEREF _Toc401237563 \h </w:instrText>
            </w:r>
            <w:r w:rsidR="00042D26">
              <w:rPr>
                <w:webHidden/>
              </w:rPr>
            </w:r>
            <w:r w:rsidR="00042D26">
              <w:rPr>
                <w:webHidden/>
              </w:rPr>
              <w:fldChar w:fldCharType="separate"/>
            </w:r>
            <w:r w:rsidR="00042D26">
              <w:rPr>
                <w:webHidden/>
              </w:rPr>
              <w:t>5</w:t>
            </w:r>
            <w:r w:rsidR="00042D26">
              <w:rPr>
                <w:webHidden/>
              </w:rPr>
              <w:fldChar w:fldCharType="end"/>
            </w:r>
          </w:hyperlink>
        </w:p>
        <w:p w14:paraId="1DA25E11" w14:textId="77777777" w:rsidR="00042D26" w:rsidRDefault="00FB2BB4">
          <w:pPr>
            <w:pStyle w:val="TOC1"/>
            <w:rPr>
              <w:rFonts w:asciiTheme="minorHAnsi" w:eastAsiaTheme="minorEastAsia" w:hAnsiTheme="minorHAnsi"/>
              <w:color w:val="auto"/>
              <w:sz w:val="22"/>
              <w:lang w:eastAsia="en-AU"/>
            </w:rPr>
          </w:pPr>
          <w:hyperlink w:anchor="_Toc401237564" w:history="1">
            <w:r w:rsidR="00042D26" w:rsidRPr="00D62CAE">
              <w:rPr>
                <w:rStyle w:val="Hyperlink"/>
              </w:rPr>
              <w:t>Potential Reform Proposals</w:t>
            </w:r>
            <w:r w:rsidR="00042D26">
              <w:rPr>
                <w:webHidden/>
              </w:rPr>
              <w:tab/>
            </w:r>
            <w:r w:rsidR="00042D26">
              <w:rPr>
                <w:webHidden/>
              </w:rPr>
              <w:fldChar w:fldCharType="begin"/>
            </w:r>
            <w:r w:rsidR="00042D26">
              <w:rPr>
                <w:webHidden/>
              </w:rPr>
              <w:instrText xml:space="preserve"> PAGEREF _Toc401237564 \h </w:instrText>
            </w:r>
            <w:r w:rsidR="00042D26">
              <w:rPr>
                <w:webHidden/>
              </w:rPr>
            </w:r>
            <w:r w:rsidR="00042D26">
              <w:rPr>
                <w:webHidden/>
              </w:rPr>
              <w:fldChar w:fldCharType="separate"/>
            </w:r>
            <w:r w:rsidR="00042D26">
              <w:rPr>
                <w:webHidden/>
              </w:rPr>
              <w:t>6</w:t>
            </w:r>
            <w:r w:rsidR="00042D26">
              <w:rPr>
                <w:webHidden/>
              </w:rPr>
              <w:fldChar w:fldCharType="end"/>
            </w:r>
          </w:hyperlink>
        </w:p>
        <w:p w14:paraId="78FF78AE" w14:textId="77777777" w:rsidR="00042D26" w:rsidRDefault="00FB2BB4">
          <w:pPr>
            <w:pStyle w:val="TOC2"/>
            <w:rPr>
              <w:rFonts w:asciiTheme="minorHAnsi" w:eastAsiaTheme="minorEastAsia" w:hAnsiTheme="minorHAnsi"/>
              <w:noProof/>
              <w:lang w:eastAsia="en-AU"/>
            </w:rPr>
          </w:pPr>
          <w:hyperlink w:anchor="_Toc401237565" w:history="1">
            <w:r w:rsidR="00042D26" w:rsidRPr="00D62CAE">
              <w:rPr>
                <w:rStyle w:val="Hyperlink"/>
                <w:noProof/>
              </w:rPr>
              <w:t>Policy framework</w:t>
            </w:r>
            <w:r w:rsidR="00042D26">
              <w:rPr>
                <w:noProof/>
                <w:webHidden/>
              </w:rPr>
              <w:tab/>
            </w:r>
            <w:r w:rsidR="00042D26">
              <w:rPr>
                <w:noProof/>
                <w:webHidden/>
              </w:rPr>
              <w:fldChar w:fldCharType="begin"/>
            </w:r>
            <w:r w:rsidR="00042D26">
              <w:rPr>
                <w:noProof/>
                <w:webHidden/>
              </w:rPr>
              <w:instrText xml:space="preserve"> PAGEREF _Toc401237565 \h </w:instrText>
            </w:r>
            <w:r w:rsidR="00042D26">
              <w:rPr>
                <w:noProof/>
                <w:webHidden/>
              </w:rPr>
            </w:r>
            <w:r w:rsidR="00042D26">
              <w:rPr>
                <w:noProof/>
                <w:webHidden/>
              </w:rPr>
              <w:fldChar w:fldCharType="separate"/>
            </w:r>
            <w:r w:rsidR="00042D26">
              <w:rPr>
                <w:noProof/>
                <w:webHidden/>
              </w:rPr>
              <w:t>6</w:t>
            </w:r>
            <w:r w:rsidR="00042D26">
              <w:rPr>
                <w:noProof/>
                <w:webHidden/>
              </w:rPr>
              <w:fldChar w:fldCharType="end"/>
            </w:r>
          </w:hyperlink>
        </w:p>
        <w:p w14:paraId="7BC5A87D" w14:textId="77777777" w:rsidR="00042D26" w:rsidRDefault="00FB2BB4">
          <w:pPr>
            <w:pStyle w:val="TOC2"/>
            <w:rPr>
              <w:rFonts w:asciiTheme="minorHAnsi" w:eastAsiaTheme="minorEastAsia" w:hAnsiTheme="minorHAnsi"/>
              <w:noProof/>
              <w:lang w:eastAsia="en-AU"/>
            </w:rPr>
          </w:pPr>
          <w:hyperlink w:anchor="_Toc401237566" w:history="1">
            <w:r w:rsidR="00042D26" w:rsidRPr="00D62CAE">
              <w:rPr>
                <w:rStyle w:val="Hyperlink"/>
                <w:noProof/>
              </w:rPr>
              <w:t>Single licensing framework</w:t>
            </w:r>
            <w:r w:rsidR="00042D26">
              <w:rPr>
                <w:noProof/>
                <w:webHidden/>
              </w:rPr>
              <w:tab/>
            </w:r>
            <w:r w:rsidR="00042D26">
              <w:rPr>
                <w:noProof/>
                <w:webHidden/>
              </w:rPr>
              <w:fldChar w:fldCharType="begin"/>
            </w:r>
            <w:r w:rsidR="00042D26">
              <w:rPr>
                <w:noProof/>
                <w:webHidden/>
              </w:rPr>
              <w:instrText xml:space="preserve"> PAGEREF _Toc401237566 \h </w:instrText>
            </w:r>
            <w:r w:rsidR="00042D26">
              <w:rPr>
                <w:noProof/>
                <w:webHidden/>
              </w:rPr>
            </w:r>
            <w:r w:rsidR="00042D26">
              <w:rPr>
                <w:noProof/>
                <w:webHidden/>
              </w:rPr>
              <w:fldChar w:fldCharType="separate"/>
            </w:r>
            <w:r w:rsidR="00042D26">
              <w:rPr>
                <w:noProof/>
                <w:webHidden/>
              </w:rPr>
              <w:t>7</w:t>
            </w:r>
            <w:r w:rsidR="00042D26">
              <w:rPr>
                <w:noProof/>
                <w:webHidden/>
              </w:rPr>
              <w:fldChar w:fldCharType="end"/>
            </w:r>
          </w:hyperlink>
        </w:p>
        <w:p w14:paraId="68DDB839" w14:textId="77777777" w:rsidR="00042D26" w:rsidRDefault="00FB2BB4">
          <w:pPr>
            <w:pStyle w:val="TOC2"/>
            <w:rPr>
              <w:rFonts w:asciiTheme="minorHAnsi" w:eastAsiaTheme="minorEastAsia" w:hAnsiTheme="minorHAnsi"/>
              <w:noProof/>
              <w:lang w:eastAsia="en-AU"/>
            </w:rPr>
          </w:pPr>
          <w:hyperlink w:anchor="_Toc401237567" w:history="1">
            <w:r w:rsidR="00042D26" w:rsidRPr="00D62CAE">
              <w:rPr>
                <w:rStyle w:val="Hyperlink"/>
                <w:noProof/>
              </w:rPr>
              <w:t>Allocation and reallocation</w:t>
            </w:r>
            <w:r w:rsidR="00042D26">
              <w:rPr>
                <w:noProof/>
                <w:webHidden/>
              </w:rPr>
              <w:tab/>
            </w:r>
            <w:r w:rsidR="00042D26">
              <w:rPr>
                <w:noProof/>
                <w:webHidden/>
              </w:rPr>
              <w:fldChar w:fldCharType="begin"/>
            </w:r>
            <w:r w:rsidR="00042D26">
              <w:rPr>
                <w:noProof/>
                <w:webHidden/>
              </w:rPr>
              <w:instrText xml:space="preserve"> PAGEREF _Toc401237567 \h </w:instrText>
            </w:r>
            <w:r w:rsidR="00042D26">
              <w:rPr>
                <w:noProof/>
                <w:webHidden/>
              </w:rPr>
            </w:r>
            <w:r w:rsidR="00042D26">
              <w:rPr>
                <w:noProof/>
                <w:webHidden/>
              </w:rPr>
              <w:fldChar w:fldCharType="separate"/>
            </w:r>
            <w:r w:rsidR="00042D26">
              <w:rPr>
                <w:noProof/>
                <w:webHidden/>
              </w:rPr>
              <w:t>8</w:t>
            </w:r>
            <w:r w:rsidR="00042D26">
              <w:rPr>
                <w:noProof/>
                <w:webHidden/>
              </w:rPr>
              <w:fldChar w:fldCharType="end"/>
            </w:r>
          </w:hyperlink>
        </w:p>
        <w:p w14:paraId="1CF14371" w14:textId="77777777" w:rsidR="00042D26" w:rsidRDefault="00FB2BB4">
          <w:pPr>
            <w:pStyle w:val="TOC2"/>
            <w:rPr>
              <w:rFonts w:asciiTheme="minorHAnsi" w:eastAsiaTheme="minorEastAsia" w:hAnsiTheme="minorHAnsi"/>
              <w:noProof/>
              <w:lang w:eastAsia="en-AU"/>
            </w:rPr>
          </w:pPr>
          <w:hyperlink w:anchor="_Toc401237568" w:history="1">
            <w:r w:rsidR="00042D26" w:rsidRPr="00D62CAE">
              <w:rPr>
                <w:rStyle w:val="Hyperlink"/>
                <w:noProof/>
              </w:rPr>
              <w:t>Pricing and market information</w:t>
            </w:r>
            <w:r w:rsidR="00042D26">
              <w:rPr>
                <w:noProof/>
                <w:webHidden/>
              </w:rPr>
              <w:tab/>
            </w:r>
            <w:r w:rsidR="00042D26">
              <w:rPr>
                <w:noProof/>
                <w:webHidden/>
              </w:rPr>
              <w:fldChar w:fldCharType="begin"/>
            </w:r>
            <w:r w:rsidR="00042D26">
              <w:rPr>
                <w:noProof/>
                <w:webHidden/>
              </w:rPr>
              <w:instrText xml:space="preserve"> PAGEREF _Toc401237568 \h </w:instrText>
            </w:r>
            <w:r w:rsidR="00042D26">
              <w:rPr>
                <w:noProof/>
                <w:webHidden/>
              </w:rPr>
            </w:r>
            <w:r w:rsidR="00042D26">
              <w:rPr>
                <w:noProof/>
                <w:webHidden/>
              </w:rPr>
              <w:fldChar w:fldCharType="separate"/>
            </w:r>
            <w:r w:rsidR="00042D26">
              <w:rPr>
                <w:noProof/>
                <w:webHidden/>
              </w:rPr>
              <w:t>8</w:t>
            </w:r>
            <w:r w:rsidR="00042D26">
              <w:rPr>
                <w:noProof/>
                <w:webHidden/>
              </w:rPr>
              <w:fldChar w:fldCharType="end"/>
            </w:r>
          </w:hyperlink>
        </w:p>
        <w:p w14:paraId="6EB50CA1" w14:textId="77777777" w:rsidR="00042D26" w:rsidRDefault="00FB2BB4">
          <w:pPr>
            <w:pStyle w:val="TOC2"/>
            <w:rPr>
              <w:rFonts w:asciiTheme="minorHAnsi" w:eastAsiaTheme="minorEastAsia" w:hAnsiTheme="minorHAnsi"/>
              <w:noProof/>
              <w:lang w:eastAsia="en-AU"/>
            </w:rPr>
          </w:pPr>
          <w:hyperlink w:anchor="_Toc401237569" w:history="1">
            <w:r w:rsidR="00042D26" w:rsidRPr="00D62CAE">
              <w:rPr>
                <w:rStyle w:val="Hyperlink"/>
                <w:noProof/>
              </w:rPr>
              <w:t>Compensation</w:t>
            </w:r>
            <w:r w:rsidR="00042D26">
              <w:rPr>
                <w:noProof/>
                <w:webHidden/>
              </w:rPr>
              <w:tab/>
            </w:r>
            <w:r w:rsidR="00042D26">
              <w:rPr>
                <w:noProof/>
                <w:webHidden/>
              </w:rPr>
              <w:fldChar w:fldCharType="begin"/>
            </w:r>
            <w:r w:rsidR="00042D26">
              <w:rPr>
                <w:noProof/>
                <w:webHidden/>
              </w:rPr>
              <w:instrText xml:space="preserve"> PAGEREF _Toc401237569 \h </w:instrText>
            </w:r>
            <w:r w:rsidR="00042D26">
              <w:rPr>
                <w:noProof/>
                <w:webHidden/>
              </w:rPr>
            </w:r>
            <w:r w:rsidR="00042D26">
              <w:rPr>
                <w:noProof/>
                <w:webHidden/>
              </w:rPr>
              <w:fldChar w:fldCharType="separate"/>
            </w:r>
            <w:r w:rsidR="00042D26">
              <w:rPr>
                <w:noProof/>
                <w:webHidden/>
              </w:rPr>
              <w:t>10</w:t>
            </w:r>
            <w:r w:rsidR="00042D26">
              <w:rPr>
                <w:noProof/>
                <w:webHidden/>
              </w:rPr>
              <w:fldChar w:fldCharType="end"/>
            </w:r>
          </w:hyperlink>
        </w:p>
        <w:p w14:paraId="32B280BD" w14:textId="77777777" w:rsidR="00042D26" w:rsidRDefault="00FB2BB4">
          <w:pPr>
            <w:pStyle w:val="TOC2"/>
            <w:rPr>
              <w:rFonts w:asciiTheme="minorHAnsi" w:eastAsiaTheme="minorEastAsia" w:hAnsiTheme="minorHAnsi"/>
              <w:noProof/>
              <w:lang w:eastAsia="en-AU"/>
            </w:rPr>
          </w:pPr>
          <w:hyperlink w:anchor="_Toc401237570" w:history="1">
            <w:r w:rsidR="00042D26" w:rsidRPr="00D62CAE">
              <w:rPr>
                <w:rStyle w:val="Hyperlink"/>
                <w:noProof/>
              </w:rPr>
              <w:t>User involvement in spectrum management</w:t>
            </w:r>
            <w:r w:rsidR="00042D26">
              <w:rPr>
                <w:noProof/>
                <w:webHidden/>
              </w:rPr>
              <w:tab/>
            </w:r>
            <w:r w:rsidR="00042D26">
              <w:rPr>
                <w:noProof/>
                <w:webHidden/>
              </w:rPr>
              <w:fldChar w:fldCharType="begin"/>
            </w:r>
            <w:r w:rsidR="00042D26">
              <w:rPr>
                <w:noProof/>
                <w:webHidden/>
              </w:rPr>
              <w:instrText xml:space="preserve"> PAGEREF _Toc401237570 \h </w:instrText>
            </w:r>
            <w:r w:rsidR="00042D26">
              <w:rPr>
                <w:noProof/>
                <w:webHidden/>
              </w:rPr>
            </w:r>
            <w:r w:rsidR="00042D26">
              <w:rPr>
                <w:noProof/>
                <w:webHidden/>
              </w:rPr>
              <w:fldChar w:fldCharType="separate"/>
            </w:r>
            <w:r w:rsidR="00042D26">
              <w:rPr>
                <w:noProof/>
                <w:webHidden/>
              </w:rPr>
              <w:t>11</w:t>
            </w:r>
            <w:r w:rsidR="00042D26">
              <w:rPr>
                <w:noProof/>
                <w:webHidden/>
              </w:rPr>
              <w:fldChar w:fldCharType="end"/>
            </w:r>
          </w:hyperlink>
        </w:p>
        <w:p w14:paraId="05019D11" w14:textId="77777777" w:rsidR="00042D26" w:rsidRDefault="00FB2BB4">
          <w:pPr>
            <w:pStyle w:val="TOC2"/>
            <w:rPr>
              <w:rFonts w:asciiTheme="minorHAnsi" w:eastAsiaTheme="minorEastAsia" w:hAnsiTheme="minorHAnsi"/>
              <w:noProof/>
              <w:lang w:eastAsia="en-AU"/>
            </w:rPr>
          </w:pPr>
          <w:hyperlink w:anchor="_Toc401237571" w:history="1">
            <w:r w:rsidR="00042D26" w:rsidRPr="00D62CAE">
              <w:rPr>
                <w:rStyle w:val="Hyperlink"/>
                <w:noProof/>
              </w:rPr>
              <w:t>Technical regulation</w:t>
            </w:r>
            <w:r w:rsidR="00042D26">
              <w:rPr>
                <w:noProof/>
                <w:webHidden/>
              </w:rPr>
              <w:tab/>
            </w:r>
            <w:r w:rsidR="00042D26">
              <w:rPr>
                <w:noProof/>
                <w:webHidden/>
              </w:rPr>
              <w:fldChar w:fldCharType="begin"/>
            </w:r>
            <w:r w:rsidR="00042D26">
              <w:rPr>
                <w:noProof/>
                <w:webHidden/>
              </w:rPr>
              <w:instrText xml:space="preserve"> PAGEREF _Toc401237571 \h </w:instrText>
            </w:r>
            <w:r w:rsidR="00042D26">
              <w:rPr>
                <w:noProof/>
                <w:webHidden/>
              </w:rPr>
            </w:r>
            <w:r w:rsidR="00042D26">
              <w:rPr>
                <w:noProof/>
                <w:webHidden/>
              </w:rPr>
              <w:fldChar w:fldCharType="separate"/>
            </w:r>
            <w:r w:rsidR="00042D26">
              <w:rPr>
                <w:noProof/>
                <w:webHidden/>
              </w:rPr>
              <w:t>11</w:t>
            </w:r>
            <w:r w:rsidR="00042D26">
              <w:rPr>
                <w:noProof/>
                <w:webHidden/>
              </w:rPr>
              <w:fldChar w:fldCharType="end"/>
            </w:r>
          </w:hyperlink>
        </w:p>
        <w:p w14:paraId="29F356D1" w14:textId="77777777" w:rsidR="00042D26" w:rsidRDefault="00FB2BB4">
          <w:pPr>
            <w:pStyle w:val="TOC2"/>
            <w:rPr>
              <w:rFonts w:asciiTheme="minorHAnsi" w:eastAsiaTheme="minorEastAsia" w:hAnsiTheme="minorHAnsi"/>
              <w:noProof/>
              <w:lang w:eastAsia="en-AU"/>
            </w:rPr>
          </w:pPr>
          <w:hyperlink w:anchor="_Toc401237572" w:history="1">
            <w:r w:rsidR="00042D26" w:rsidRPr="00D62CAE">
              <w:rPr>
                <w:rStyle w:val="Hyperlink"/>
                <w:noProof/>
              </w:rPr>
              <w:t>Compliance and enforcement</w:t>
            </w:r>
            <w:r w:rsidR="00042D26">
              <w:rPr>
                <w:noProof/>
                <w:webHidden/>
              </w:rPr>
              <w:tab/>
            </w:r>
            <w:r w:rsidR="00042D26">
              <w:rPr>
                <w:noProof/>
                <w:webHidden/>
              </w:rPr>
              <w:fldChar w:fldCharType="begin"/>
            </w:r>
            <w:r w:rsidR="00042D26">
              <w:rPr>
                <w:noProof/>
                <w:webHidden/>
              </w:rPr>
              <w:instrText xml:space="preserve"> PAGEREF _Toc401237572 \h </w:instrText>
            </w:r>
            <w:r w:rsidR="00042D26">
              <w:rPr>
                <w:noProof/>
                <w:webHidden/>
              </w:rPr>
            </w:r>
            <w:r w:rsidR="00042D26">
              <w:rPr>
                <w:noProof/>
                <w:webHidden/>
              </w:rPr>
              <w:fldChar w:fldCharType="separate"/>
            </w:r>
            <w:r w:rsidR="00042D26">
              <w:rPr>
                <w:noProof/>
                <w:webHidden/>
              </w:rPr>
              <w:t>12</w:t>
            </w:r>
            <w:r w:rsidR="00042D26">
              <w:rPr>
                <w:noProof/>
                <w:webHidden/>
              </w:rPr>
              <w:fldChar w:fldCharType="end"/>
            </w:r>
          </w:hyperlink>
        </w:p>
        <w:p w14:paraId="775647E5" w14:textId="77777777" w:rsidR="00042D26" w:rsidRDefault="00FB2BB4">
          <w:pPr>
            <w:pStyle w:val="TOC2"/>
            <w:rPr>
              <w:rFonts w:asciiTheme="minorHAnsi" w:eastAsiaTheme="minorEastAsia" w:hAnsiTheme="minorHAnsi"/>
              <w:noProof/>
              <w:lang w:eastAsia="en-AU"/>
            </w:rPr>
          </w:pPr>
          <w:hyperlink w:anchor="_Toc401237573" w:history="1">
            <w:r w:rsidR="00042D26" w:rsidRPr="00D62CAE">
              <w:rPr>
                <w:rStyle w:val="Hyperlink"/>
                <w:noProof/>
              </w:rPr>
              <w:t>Moving spectrum to its highest value use</w:t>
            </w:r>
            <w:r w:rsidR="00042D26">
              <w:rPr>
                <w:noProof/>
                <w:webHidden/>
              </w:rPr>
              <w:tab/>
            </w:r>
            <w:r w:rsidR="00042D26">
              <w:rPr>
                <w:noProof/>
                <w:webHidden/>
              </w:rPr>
              <w:fldChar w:fldCharType="begin"/>
            </w:r>
            <w:r w:rsidR="00042D26">
              <w:rPr>
                <w:noProof/>
                <w:webHidden/>
              </w:rPr>
              <w:instrText xml:space="preserve"> PAGEREF _Toc401237573 \h </w:instrText>
            </w:r>
            <w:r w:rsidR="00042D26">
              <w:rPr>
                <w:noProof/>
                <w:webHidden/>
              </w:rPr>
            </w:r>
            <w:r w:rsidR="00042D26">
              <w:rPr>
                <w:noProof/>
                <w:webHidden/>
              </w:rPr>
              <w:fldChar w:fldCharType="separate"/>
            </w:r>
            <w:r w:rsidR="00042D26">
              <w:rPr>
                <w:noProof/>
                <w:webHidden/>
              </w:rPr>
              <w:t>13</w:t>
            </w:r>
            <w:r w:rsidR="00042D26">
              <w:rPr>
                <w:noProof/>
                <w:webHidden/>
              </w:rPr>
              <w:fldChar w:fldCharType="end"/>
            </w:r>
          </w:hyperlink>
        </w:p>
        <w:p w14:paraId="44111055" w14:textId="77777777" w:rsidR="00042D26" w:rsidRDefault="00FB2BB4">
          <w:pPr>
            <w:pStyle w:val="TOC1"/>
            <w:rPr>
              <w:rFonts w:asciiTheme="minorHAnsi" w:eastAsiaTheme="minorEastAsia" w:hAnsiTheme="minorHAnsi"/>
              <w:color w:val="auto"/>
              <w:sz w:val="22"/>
              <w:lang w:eastAsia="en-AU"/>
            </w:rPr>
          </w:pPr>
          <w:hyperlink w:anchor="_Toc401237574" w:history="1">
            <w:r w:rsidR="00042D26" w:rsidRPr="00D62CAE">
              <w:rPr>
                <w:rStyle w:val="Hyperlink"/>
              </w:rPr>
              <w:t>Case Studies</w:t>
            </w:r>
            <w:r w:rsidR="00042D26">
              <w:rPr>
                <w:webHidden/>
              </w:rPr>
              <w:tab/>
            </w:r>
            <w:r w:rsidR="00042D26">
              <w:rPr>
                <w:webHidden/>
              </w:rPr>
              <w:fldChar w:fldCharType="begin"/>
            </w:r>
            <w:r w:rsidR="00042D26">
              <w:rPr>
                <w:webHidden/>
              </w:rPr>
              <w:instrText xml:space="preserve"> PAGEREF _Toc401237574 \h </w:instrText>
            </w:r>
            <w:r w:rsidR="00042D26">
              <w:rPr>
                <w:webHidden/>
              </w:rPr>
            </w:r>
            <w:r w:rsidR="00042D26">
              <w:rPr>
                <w:webHidden/>
              </w:rPr>
              <w:fldChar w:fldCharType="separate"/>
            </w:r>
            <w:r w:rsidR="00042D26">
              <w:rPr>
                <w:webHidden/>
              </w:rPr>
              <w:t>14</w:t>
            </w:r>
            <w:r w:rsidR="00042D26">
              <w:rPr>
                <w:webHidden/>
              </w:rPr>
              <w:fldChar w:fldCharType="end"/>
            </w:r>
          </w:hyperlink>
        </w:p>
        <w:p w14:paraId="5DAC552F" w14:textId="77777777" w:rsidR="00042D26" w:rsidRDefault="00FB2BB4">
          <w:pPr>
            <w:pStyle w:val="TOC1"/>
            <w:rPr>
              <w:rFonts w:asciiTheme="minorHAnsi" w:eastAsiaTheme="minorEastAsia" w:hAnsiTheme="minorHAnsi"/>
              <w:color w:val="auto"/>
              <w:sz w:val="22"/>
              <w:lang w:eastAsia="en-AU"/>
            </w:rPr>
          </w:pPr>
          <w:hyperlink w:anchor="_Toc401237575" w:history="1">
            <w:r w:rsidR="00042D26" w:rsidRPr="00D62CAE">
              <w:rPr>
                <w:rStyle w:val="Hyperlink"/>
              </w:rPr>
              <w:t>Questions for Stakeholders</w:t>
            </w:r>
            <w:r w:rsidR="00042D26">
              <w:rPr>
                <w:webHidden/>
              </w:rPr>
              <w:tab/>
            </w:r>
            <w:r w:rsidR="00042D26">
              <w:rPr>
                <w:webHidden/>
              </w:rPr>
              <w:fldChar w:fldCharType="begin"/>
            </w:r>
            <w:r w:rsidR="00042D26">
              <w:rPr>
                <w:webHidden/>
              </w:rPr>
              <w:instrText xml:space="preserve"> PAGEREF _Toc401237575 \h </w:instrText>
            </w:r>
            <w:r w:rsidR="00042D26">
              <w:rPr>
                <w:webHidden/>
              </w:rPr>
            </w:r>
            <w:r w:rsidR="00042D26">
              <w:rPr>
                <w:webHidden/>
              </w:rPr>
              <w:fldChar w:fldCharType="separate"/>
            </w:r>
            <w:r w:rsidR="00042D26">
              <w:rPr>
                <w:webHidden/>
              </w:rPr>
              <w:t>16</w:t>
            </w:r>
            <w:r w:rsidR="00042D26">
              <w:rPr>
                <w:webHidden/>
              </w:rPr>
              <w:fldChar w:fldCharType="end"/>
            </w:r>
          </w:hyperlink>
        </w:p>
        <w:p w14:paraId="374CD0C7" w14:textId="77777777" w:rsidR="00042D26" w:rsidRDefault="00FB2BB4">
          <w:pPr>
            <w:pStyle w:val="TOC1"/>
            <w:rPr>
              <w:rFonts w:asciiTheme="minorHAnsi" w:eastAsiaTheme="minorEastAsia" w:hAnsiTheme="minorHAnsi"/>
              <w:color w:val="auto"/>
              <w:sz w:val="22"/>
              <w:lang w:eastAsia="en-AU"/>
            </w:rPr>
          </w:pPr>
          <w:hyperlink w:anchor="_Toc401237576" w:history="1">
            <w:r w:rsidR="00042D26" w:rsidRPr="00D62CAE">
              <w:rPr>
                <w:rStyle w:val="Hyperlink"/>
              </w:rPr>
              <w:t>How to Provide Comment</w:t>
            </w:r>
            <w:r w:rsidR="00042D26">
              <w:rPr>
                <w:webHidden/>
              </w:rPr>
              <w:tab/>
            </w:r>
            <w:r w:rsidR="00042D26">
              <w:rPr>
                <w:webHidden/>
              </w:rPr>
              <w:fldChar w:fldCharType="begin"/>
            </w:r>
            <w:r w:rsidR="00042D26">
              <w:rPr>
                <w:webHidden/>
              </w:rPr>
              <w:instrText xml:space="preserve"> PAGEREF _Toc401237576 \h </w:instrText>
            </w:r>
            <w:r w:rsidR="00042D26">
              <w:rPr>
                <w:webHidden/>
              </w:rPr>
            </w:r>
            <w:r w:rsidR="00042D26">
              <w:rPr>
                <w:webHidden/>
              </w:rPr>
              <w:fldChar w:fldCharType="separate"/>
            </w:r>
            <w:r w:rsidR="00042D26">
              <w:rPr>
                <w:webHidden/>
              </w:rPr>
              <w:t>17</w:t>
            </w:r>
            <w:r w:rsidR="00042D26">
              <w:rPr>
                <w:webHidden/>
              </w:rPr>
              <w:fldChar w:fldCharType="end"/>
            </w:r>
          </w:hyperlink>
        </w:p>
        <w:p w14:paraId="2FF6DD50" w14:textId="77777777" w:rsidR="009C1289" w:rsidRDefault="009C1289">
          <w:r>
            <w:rPr>
              <w:b/>
              <w:bCs/>
              <w:noProof/>
            </w:rPr>
            <w:fldChar w:fldCharType="end"/>
          </w:r>
        </w:p>
      </w:sdtContent>
    </w:sdt>
    <w:p w14:paraId="2FF6DD51" w14:textId="77777777" w:rsidR="00C61801" w:rsidRPr="009B32C8" w:rsidRDefault="00C61801" w:rsidP="00D556C4">
      <w:r>
        <w:br w:type="page"/>
      </w:r>
    </w:p>
    <w:p w14:paraId="2FF6DD52" w14:textId="2D2F9852" w:rsidR="001928F6" w:rsidRDefault="001928F6" w:rsidP="001928F6">
      <w:pPr>
        <w:pStyle w:val="Heading1"/>
        <w:ind w:left="907" w:hanging="907"/>
      </w:pPr>
      <w:bookmarkStart w:id="1" w:name="_Toc396405694"/>
      <w:bookmarkStart w:id="2" w:name="_Toc401237560"/>
      <w:r>
        <w:lastRenderedPageBreak/>
        <w:t>Introduction</w:t>
      </w:r>
      <w:bookmarkEnd w:id="1"/>
      <w:r w:rsidR="009239A4">
        <w:t xml:space="preserve"> and Context</w:t>
      </w:r>
      <w:bookmarkEnd w:id="2"/>
    </w:p>
    <w:p w14:paraId="4149381B" w14:textId="1FF27B76" w:rsidR="00D71C4E" w:rsidRPr="00D135B8" w:rsidRDefault="00D71C4E" w:rsidP="00D71C4E">
      <w:pPr>
        <w:pStyle w:val="BodyText"/>
        <w:spacing w:before="120" w:after="120"/>
      </w:pPr>
      <w:r w:rsidRPr="00D135B8">
        <w:t>On 23 May 2014 the Minister for Communications, the Hon Malcolm Turnbull MP, announced a review of spectrum policy arrangements</w:t>
      </w:r>
      <w:r>
        <w:t>.</w:t>
      </w:r>
      <w:r w:rsidRPr="00D135B8">
        <w:t xml:space="preserve"> The review is an </w:t>
      </w:r>
      <w:r>
        <w:t xml:space="preserve">opportunity to </w:t>
      </w:r>
      <w:r w:rsidRPr="00D135B8">
        <w:t xml:space="preserve">boost innovation and productivity </w:t>
      </w:r>
      <w:r>
        <w:t xml:space="preserve">with resulting </w:t>
      </w:r>
      <w:r w:rsidRPr="00D135B8">
        <w:t xml:space="preserve">benefits </w:t>
      </w:r>
      <w:r>
        <w:t xml:space="preserve">to </w:t>
      </w:r>
      <w:r w:rsidRPr="00D135B8">
        <w:t>the broader community. It is also part of the Government’s commitment to streamlining regulation and cutting red tape.</w:t>
      </w:r>
    </w:p>
    <w:p w14:paraId="764E9AEA" w14:textId="014E846A" w:rsidR="004C2AE6" w:rsidRDefault="00D71C4E" w:rsidP="004C2AE6">
      <w:pPr>
        <w:pStyle w:val="BodyText"/>
        <w:spacing w:before="120" w:after="120"/>
      </w:pPr>
      <w:r w:rsidRPr="00D135B8">
        <w:t xml:space="preserve">The Department of Communications (the Department) is undertaking the review in conjunction with the Australian Communications and Media Authority (ACMA). </w:t>
      </w:r>
      <w:r w:rsidR="004C2AE6" w:rsidRPr="00D135B8">
        <w:t>Terms of Reference for the review were released with the Minister’s announcement along with an issues paper seeking stakeholder feedback</w:t>
      </w:r>
      <w:r w:rsidR="004C2AE6">
        <w:t>.</w:t>
      </w:r>
      <w:r w:rsidR="004C2AE6">
        <w:rPr>
          <w:rStyle w:val="FootnoteReference"/>
        </w:rPr>
        <w:footnoteReference w:id="2"/>
      </w:r>
      <w:r w:rsidR="00452DE0">
        <w:t xml:space="preserve"> </w:t>
      </w:r>
      <w:r w:rsidRPr="00D135B8">
        <w:t xml:space="preserve">The review will report to the Minister </w:t>
      </w:r>
      <w:r w:rsidR="00580B00">
        <w:t>in</w:t>
      </w:r>
      <w:r>
        <w:t xml:space="preserve"> early 2015.</w:t>
      </w:r>
      <w:r w:rsidRPr="00D135B8">
        <w:t xml:space="preserve"> </w:t>
      </w:r>
      <w:r w:rsidR="004C2AE6">
        <w:t xml:space="preserve">Implementation of reforms </w:t>
      </w:r>
      <w:r w:rsidR="009239A4">
        <w:t xml:space="preserve">will likely </w:t>
      </w:r>
      <w:r w:rsidR="004C2AE6">
        <w:t xml:space="preserve">commence in 2015 but the Department is seeking feedback from stakeholders on sequencing and timing. </w:t>
      </w:r>
    </w:p>
    <w:p w14:paraId="77CCBC50" w14:textId="03237F6A" w:rsidR="007A0B9B" w:rsidRDefault="00D71C4E" w:rsidP="007A0B9B">
      <w:pPr>
        <w:pStyle w:val="BodyText"/>
        <w:spacing w:before="120" w:after="120"/>
      </w:pPr>
      <w:r w:rsidRPr="00D135B8">
        <w:t xml:space="preserve">This paper </w:t>
      </w:r>
      <w:r w:rsidR="00DF42FC">
        <w:t>provides</w:t>
      </w:r>
      <w:r w:rsidR="00DF42FC" w:rsidRPr="00D135B8">
        <w:t xml:space="preserve"> </w:t>
      </w:r>
      <w:r w:rsidRPr="00D135B8">
        <w:t xml:space="preserve">context and </w:t>
      </w:r>
      <w:r w:rsidR="007A0B9B">
        <w:t xml:space="preserve">suggests some </w:t>
      </w:r>
      <w:r w:rsidRPr="00D135B8">
        <w:t xml:space="preserve">reform principles and </w:t>
      </w:r>
      <w:r w:rsidR="007A0B9B">
        <w:t>options</w:t>
      </w:r>
      <w:r w:rsidRPr="00D135B8">
        <w:t xml:space="preserve"> for discussion. </w:t>
      </w:r>
      <w:r w:rsidR="007A0B9B">
        <w:t>These have been prepared after consideration of s</w:t>
      </w:r>
      <w:r>
        <w:t>takeholder feedback on the issues paper</w:t>
      </w:r>
      <w:r w:rsidR="007A0B9B">
        <w:t>.</w:t>
      </w:r>
    </w:p>
    <w:p w14:paraId="0BABF696" w14:textId="11E9CAD4" w:rsidR="00D71C4E" w:rsidRPr="00D135B8" w:rsidRDefault="00D71C4E" w:rsidP="007A0B9B">
      <w:pPr>
        <w:pStyle w:val="BodyText"/>
        <w:spacing w:before="120" w:after="120"/>
      </w:pPr>
      <w:r w:rsidRPr="00D135B8">
        <w:t xml:space="preserve">The proposals </w:t>
      </w:r>
      <w:r>
        <w:t xml:space="preserve">are not intended to cover the full range of possible </w:t>
      </w:r>
      <w:r w:rsidR="00DF42FC">
        <w:t xml:space="preserve">reforms </w:t>
      </w:r>
      <w:r>
        <w:t xml:space="preserve">and feedback as to amendments or additional proposals is welcome. The proposals </w:t>
      </w:r>
      <w:r w:rsidRPr="00D135B8">
        <w:t xml:space="preserve">do not represent the final views of the Department or the views of the Australian Government.  </w:t>
      </w:r>
    </w:p>
    <w:p w14:paraId="2FF6DD5B" w14:textId="77777777" w:rsidR="00447D03" w:rsidRPr="00AE329F" w:rsidRDefault="00447D03" w:rsidP="00E81373">
      <w:pPr>
        <w:pStyle w:val="Heading1"/>
      </w:pPr>
      <w:bookmarkStart w:id="3" w:name="_Toc401237561"/>
      <w:r w:rsidRPr="00AE329F">
        <w:rPr>
          <w:sz w:val="26"/>
          <w:szCs w:val="26"/>
        </w:rPr>
        <w:t>Economics of spectrum</w:t>
      </w:r>
      <w:bookmarkEnd w:id="3"/>
    </w:p>
    <w:p w14:paraId="18110415" w14:textId="77777777" w:rsidR="005E4845" w:rsidRPr="00447D03" w:rsidRDefault="005E4845" w:rsidP="005E4845">
      <w:pPr>
        <w:pStyle w:val="BodyText"/>
        <w:spacing w:before="120" w:after="120"/>
      </w:pPr>
      <w:r w:rsidRPr="00447D03">
        <w:t xml:space="preserve">Spectrum is a major contributor to economic and social wellbeing. </w:t>
      </w:r>
      <w:r>
        <w:t>For example, t</w:t>
      </w:r>
      <w:r w:rsidRPr="00447D03">
        <w:t xml:space="preserve">he ACMA’s April 2014 </w:t>
      </w:r>
      <w:r w:rsidRPr="00447D03">
        <w:rPr>
          <w:i/>
        </w:rPr>
        <w:t>Economic impacts of mobile broadband</w:t>
      </w:r>
      <w:r w:rsidRPr="00447D03">
        <w:t xml:space="preserve"> report</w:t>
      </w:r>
      <w:r>
        <w:rPr>
          <w:rStyle w:val="FootnoteReference"/>
        </w:rPr>
        <w:footnoteReference w:id="3"/>
      </w:r>
      <w:r w:rsidRPr="00447D03">
        <w:t xml:space="preserve"> estimated that mobile broadband increased Australia’s economic growth rate by</w:t>
      </w:r>
      <w:r>
        <w:t xml:space="preserve"> 0.28 per cent each year from 2007-2013. This equates to an economic contribution of </w:t>
      </w:r>
      <w:r w:rsidRPr="00447D03">
        <w:t xml:space="preserve">$33.8 billion </w:t>
      </w:r>
      <w:r>
        <w:t>by mobile broadband over this period, primarily through productivity improvements. Mobile broadband is only one of a large number of uses that the radiofrequency spectrum supports.</w:t>
      </w:r>
    </w:p>
    <w:p w14:paraId="55CC3B36" w14:textId="77777777" w:rsidR="005E4845" w:rsidRDefault="005E4845" w:rsidP="005E4845">
      <w:pPr>
        <w:spacing w:before="120" w:after="120"/>
      </w:pPr>
      <w:r w:rsidRPr="00447D03">
        <w:t>Internationally, there are similar examples of the importance of spectrum. A 2012 study</w:t>
      </w:r>
      <w:r>
        <w:rPr>
          <w:rStyle w:val="FootnoteReference"/>
        </w:rPr>
        <w:footnoteReference w:id="4"/>
      </w:r>
      <w:r w:rsidRPr="00447D03">
        <w:t xml:space="preserve"> on the economic value of radiofrequency spectrum in the United Kingdom (UK), found that spectrum added £52 billion (AUD$90 billion) to UK gross domestic product in 2011. </w:t>
      </w:r>
    </w:p>
    <w:p w14:paraId="4C7760E8" w14:textId="17085BD0" w:rsidR="004C0A8C" w:rsidRPr="00447D03" w:rsidRDefault="004C0A8C" w:rsidP="005E4845">
      <w:pPr>
        <w:spacing w:before="120" w:after="120"/>
      </w:pPr>
      <w:r w:rsidRPr="00447D03">
        <w:t>Spectrum is a finite natural resource with relatively unique characteristics: it is a ‘commons’ good where the actions of one user can impact the experience of others</w:t>
      </w:r>
      <w:r>
        <w:t xml:space="preserve"> (</w:t>
      </w:r>
      <w:r w:rsidR="006B1A65">
        <w:t>for example</w:t>
      </w:r>
      <w:r w:rsidR="00513E88">
        <w:t>,</w:t>
      </w:r>
      <w:r w:rsidR="007A0B9B">
        <w:t xml:space="preserve"> by degrading the use by </w:t>
      </w:r>
      <w:r>
        <w:t>others through congestion and interference)</w:t>
      </w:r>
      <w:r w:rsidRPr="00447D03">
        <w:t xml:space="preserve">, and users cannot be excluded from use </w:t>
      </w:r>
      <w:r>
        <w:t xml:space="preserve">except </w:t>
      </w:r>
      <w:r w:rsidRPr="00447D03">
        <w:t xml:space="preserve">through allocation and licensing arrangements. </w:t>
      </w:r>
      <w:r>
        <w:t>S</w:t>
      </w:r>
      <w:r w:rsidRPr="00447D03">
        <w:t>pectrum is very responsive to changes in technologies and innovations</w:t>
      </w:r>
      <w:r>
        <w:t>, and</w:t>
      </w:r>
      <w:r w:rsidRPr="00447D03">
        <w:t xml:space="preserve"> can support many different uses and applications </w:t>
      </w:r>
      <w:r>
        <w:t>as different</w:t>
      </w:r>
      <w:r w:rsidRPr="00447D03">
        <w:t xml:space="preserve"> band</w:t>
      </w:r>
      <w:r>
        <w:t>s have</w:t>
      </w:r>
      <w:r w:rsidRPr="00447D03">
        <w:t xml:space="preserve"> different characteri</w:t>
      </w:r>
      <w:r>
        <w:t>stics (</w:t>
      </w:r>
      <w:r w:rsidR="006B1A65">
        <w:t>for example</w:t>
      </w:r>
      <w:r w:rsidR="00513E88">
        <w:t>,</w:t>
      </w:r>
      <w:r>
        <w:t xml:space="preserve"> propagation)</w:t>
      </w:r>
      <w:r w:rsidRPr="00447D03">
        <w:t xml:space="preserve">. </w:t>
      </w:r>
    </w:p>
    <w:p w14:paraId="74A84B12" w14:textId="77777777" w:rsidR="00F603C4" w:rsidRDefault="00F603C4" w:rsidP="004C0A8C">
      <w:pPr>
        <w:spacing w:before="120" w:after="120"/>
      </w:pPr>
    </w:p>
    <w:p w14:paraId="0A2D20F0" w14:textId="77777777" w:rsidR="00360D6F" w:rsidRDefault="00360D6F" w:rsidP="004C0A8C">
      <w:pPr>
        <w:spacing w:before="120" w:after="120"/>
      </w:pPr>
    </w:p>
    <w:p w14:paraId="1ACD7BE0" w14:textId="0AAEFFC7" w:rsidR="004C0A8C" w:rsidRPr="00447D03" w:rsidRDefault="004C0A8C" w:rsidP="004C0A8C">
      <w:pPr>
        <w:spacing w:before="120" w:after="120"/>
      </w:pPr>
      <w:r w:rsidRPr="00447D03">
        <w:lastRenderedPageBreak/>
        <w:t xml:space="preserve">To maximise the economic and social return </w:t>
      </w:r>
      <w:r w:rsidR="007A0B9B">
        <w:t>from</w:t>
      </w:r>
      <w:r w:rsidRPr="00447D03">
        <w:t xml:space="preserve"> spectrum, and </w:t>
      </w:r>
      <w:r>
        <w:t xml:space="preserve">thereby </w:t>
      </w:r>
      <w:r w:rsidRPr="00447D03">
        <w:t xml:space="preserve">promote national wellbeing, arrangements </w:t>
      </w:r>
      <w:r>
        <w:t xml:space="preserve">should </w:t>
      </w:r>
      <w:r w:rsidRPr="00447D03">
        <w:t xml:space="preserve">support efficient allocation and use. Economic efficiency – allocative, dynamic and productive </w:t>
      </w:r>
      <w:r>
        <w:t>(or spectral)</w:t>
      </w:r>
      <w:r w:rsidRPr="00447D03">
        <w:t xml:space="preserve"> efficiency – means allocating spectrum to its highest value use (both economic and social), on price and access terms </w:t>
      </w:r>
      <w:r w:rsidR="00D13447">
        <w:t>that</w:t>
      </w:r>
      <w:r w:rsidR="00D13447" w:rsidRPr="00447D03">
        <w:t xml:space="preserve"> </w:t>
      </w:r>
      <w:r w:rsidRPr="00447D03">
        <w:t xml:space="preserve">reflect its ongoing opportunity cost and incentivises efficient use and reallocation to more productive uses. </w:t>
      </w:r>
    </w:p>
    <w:p w14:paraId="581600D0" w14:textId="67712860" w:rsidR="004C0A8C" w:rsidRPr="00447D03" w:rsidRDefault="004C0A8C" w:rsidP="004C0A8C">
      <w:pPr>
        <w:spacing w:before="120" w:after="120"/>
      </w:pPr>
      <w:r>
        <w:t>In general, t</w:t>
      </w:r>
      <w:r w:rsidRPr="00447D03">
        <w:t>his is</w:t>
      </w:r>
      <w:r>
        <w:t xml:space="preserve"> best</w:t>
      </w:r>
      <w:r w:rsidRPr="00447D03">
        <w:t xml:space="preserve"> supported by an active and deep trading market with transparent and accessible information</w:t>
      </w:r>
      <w:r>
        <w:t xml:space="preserve">. There should be </w:t>
      </w:r>
      <w:r w:rsidRPr="00447D03">
        <w:t xml:space="preserve">flexible, light-touch regulation to manage interference and other potential </w:t>
      </w:r>
      <w:r w:rsidR="00EB73EB">
        <w:t xml:space="preserve">market </w:t>
      </w:r>
      <w:r w:rsidRPr="00447D03">
        <w:t>failures (</w:t>
      </w:r>
      <w:r w:rsidR="00EB73EB">
        <w:t>for example,</w:t>
      </w:r>
      <w:r w:rsidRPr="00447D03">
        <w:t xml:space="preserve"> anti-competitive conduct)</w:t>
      </w:r>
      <w:r>
        <w:t>.</w:t>
      </w:r>
      <w:r w:rsidRPr="00447D03">
        <w:t xml:space="preserve"> </w:t>
      </w:r>
    </w:p>
    <w:p w14:paraId="387FF142" w14:textId="77777777" w:rsidR="00B8072F" w:rsidRDefault="00EB73EB" w:rsidP="004C0A8C">
      <w:pPr>
        <w:spacing w:before="120" w:after="120"/>
      </w:pPr>
      <w:r>
        <w:t>The</w:t>
      </w:r>
      <w:r w:rsidR="004C0A8C" w:rsidRPr="00447D03">
        <w:t xml:space="preserve"> spectrum</w:t>
      </w:r>
      <w:r>
        <w:t xml:space="preserve"> management</w:t>
      </w:r>
      <w:r w:rsidR="004C0A8C" w:rsidRPr="00447D03">
        <w:t xml:space="preserve"> framework in Australia is a ‘mix’ of approaches between centralised planning, allocation and interference management; </w:t>
      </w:r>
      <w:r w:rsidR="004C0A8C">
        <w:t>‘</w:t>
      </w:r>
      <w:r w:rsidR="004C0A8C" w:rsidRPr="00447D03">
        <w:t>marketisation</w:t>
      </w:r>
      <w:r w:rsidR="004C0A8C">
        <w:t>’</w:t>
      </w:r>
      <w:r w:rsidR="004C0A8C" w:rsidRPr="00447D03">
        <w:t xml:space="preserve"> through tradable licences and conditions of access and reuse; and open-access arrangements for more flexible and localised services. </w:t>
      </w:r>
    </w:p>
    <w:p w14:paraId="5F2A0D7E" w14:textId="3078BA27" w:rsidR="004C0A8C" w:rsidRDefault="004C0A8C" w:rsidP="004C0A8C">
      <w:pPr>
        <w:spacing w:before="120" w:after="120"/>
      </w:pPr>
      <w:r w:rsidRPr="00447D03">
        <w:t xml:space="preserve">The capacity to achieve economic efficiency </w:t>
      </w:r>
      <w:r w:rsidR="005B799B">
        <w:t xml:space="preserve">with existing arrangements </w:t>
      </w:r>
      <w:r w:rsidRPr="00447D03">
        <w:t xml:space="preserve">is constrained by several factors: </w:t>
      </w:r>
    </w:p>
    <w:p w14:paraId="6B54841F" w14:textId="7002C55C" w:rsidR="004C0A8C" w:rsidRDefault="004C0A8C" w:rsidP="004C0A8C">
      <w:pPr>
        <w:pStyle w:val="BodyText"/>
        <w:numPr>
          <w:ilvl w:val="0"/>
          <w:numId w:val="24"/>
        </w:numPr>
        <w:spacing w:before="120" w:after="120"/>
      </w:pPr>
      <w:r w:rsidRPr="00447D03">
        <w:t xml:space="preserve">parts of the framework are </w:t>
      </w:r>
      <w:r>
        <w:t>administratively burdensome</w:t>
      </w:r>
      <w:r w:rsidRPr="00447D03">
        <w:t xml:space="preserve"> </w:t>
      </w:r>
      <w:r w:rsidR="009923D9">
        <w:t>and display limited flexibility</w:t>
      </w:r>
      <w:r w:rsidR="00B8072F">
        <w:t>;</w:t>
      </w:r>
      <w:r w:rsidRPr="00447D03">
        <w:t xml:space="preserve"> </w:t>
      </w:r>
    </w:p>
    <w:p w14:paraId="245D81F0" w14:textId="355A438C" w:rsidR="004C0A8C" w:rsidRDefault="004C0A8C" w:rsidP="004C0A8C">
      <w:pPr>
        <w:pStyle w:val="BodyText"/>
        <w:numPr>
          <w:ilvl w:val="0"/>
          <w:numId w:val="24"/>
        </w:numPr>
        <w:spacing w:before="120" w:after="120"/>
      </w:pPr>
      <w:r w:rsidRPr="00447D03">
        <w:t>current market mechanisms (</w:t>
      </w:r>
      <w:r w:rsidR="006B1A65">
        <w:t>for example</w:t>
      </w:r>
      <w:r w:rsidR="00513E88">
        <w:t>,</w:t>
      </w:r>
      <w:r w:rsidRPr="00447D03">
        <w:t xml:space="preserve"> pricing and allocation processes) </w:t>
      </w:r>
      <w:r>
        <w:t xml:space="preserve">do not adequately reflect the changing value of spectrum over licence timeframes or are </w:t>
      </w:r>
      <w:r w:rsidR="00707307">
        <w:t xml:space="preserve">not </w:t>
      </w:r>
      <w:r>
        <w:t>flexible enough to accommodate emerging uses and technologies</w:t>
      </w:r>
      <w:r w:rsidR="00B8072F">
        <w:t>; and</w:t>
      </w:r>
      <w:r w:rsidR="00707307">
        <w:t xml:space="preserve"> </w:t>
      </w:r>
      <w:r w:rsidRPr="00447D03">
        <w:t xml:space="preserve"> </w:t>
      </w:r>
    </w:p>
    <w:p w14:paraId="324EA496" w14:textId="58DA6231" w:rsidR="004C0A8C" w:rsidRPr="00447D03" w:rsidRDefault="009239A4" w:rsidP="004C0A8C">
      <w:pPr>
        <w:pStyle w:val="BodyText"/>
        <w:numPr>
          <w:ilvl w:val="0"/>
          <w:numId w:val="24"/>
        </w:numPr>
        <w:spacing w:before="120" w:after="120"/>
      </w:pPr>
      <w:r>
        <w:t xml:space="preserve">there is a lack </w:t>
      </w:r>
      <w:r w:rsidR="00EB73EB">
        <w:t xml:space="preserve">of strong incentives for maximising </w:t>
      </w:r>
      <w:r w:rsidR="00E31D08">
        <w:t xml:space="preserve">the </w:t>
      </w:r>
      <w:r w:rsidR="00EB73EB">
        <w:t>use of allocated spectrum</w:t>
      </w:r>
      <w:r w:rsidR="004C0A8C" w:rsidRPr="00447D03">
        <w:t xml:space="preserve">. </w:t>
      </w:r>
    </w:p>
    <w:p w14:paraId="2FF6DD63" w14:textId="77777777" w:rsidR="00447D03" w:rsidRPr="00447D03" w:rsidRDefault="00447D03" w:rsidP="00447D03">
      <w:pPr>
        <w:pStyle w:val="Heading2"/>
        <w:numPr>
          <w:ilvl w:val="1"/>
          <w:numId w:val="0"/>
        </w:numPr>
        <w:ind w:left="907" w:hanging="907"/>
      </w:pPr>
      <w:bookmarkStart w:id="4" w:name="_Toc401237562"/>
      <w:r w:rsidRPr="00447D03">
        <w:t>International context</w:t>
      </w:r>
      <w:bookmarkEnd w:id="4"/>
    </w:p>
    <w:p w14:paraId="37FBC0E1" w14:textId="6A414356" w:rsidR="0027535D" w:rsidRPr="00447D03" w:rsidRDefault="0027535D" w:rsidP="0027535D">
      <w:pPr>
        <w:spacing w:before="120" w:after="120"/>
      </w:pPr>
      <w:r w:rsidRPr="00447D03">
        <w:t xml:space="preserve">Spectrum </w:t>
      </w:r>
      <w:r w:rsidR="00E31D08">
        <w:t xml:space="preserve">management </w:t>
      </w:r>
      <w:r w:rsidRPr="00447D03">
        <w:t xml:space="preserve">also has an international dimension. Spectrum is planned through the International Telecommunication Union (ITU), with the Australian Radiofrequency Spectrum Plan reflecting these frequency allocations, with a number of Australia-specific variations. </w:t>
      </w:r>
    </w:p>
    <w:p w14:paraId="40EA9330" w14:textId="76973B6C" w:rsidR="00B8072F" w:rsidRDefault="0027535D" w:rsidP="0027535D">
      <w:pPr>
        <w:spacing w:before="120" w:after="120"/>
      </w:pPr>
      <w:r w:rsidRPr="00447D03">
        <w:t xml:space="preserve">Making internationally harmonised allocations limits the potential for interference between services and across international borders, and </w:t>
      </w:r>
      <w:r>
        <w:t>supports</w:t>
      </w:r>
      <w:r w:rsidRPr="00447D03">
        <w:t xml:space="preserve"> the efficient operation of international activities such as air and sea travel. International harmonisation also provides access to economies of scale and scope in technology manufacturing and interoperability of equipment, and exposure to key international innovations in </w:t>
      </w:r>
      <w:r>
        <w:t xml:space="preserve">technology and </w:t>
      </w:r>
      <w:r w:rsidRPr="00447D03">
        <w:t>spectrum management</w:t>
      </w:r>
      <w:r w:rsidR="005B799B">
        <w:t>. The rapid global adoption of advanced mobile communications technologies such as LTE exemplifies the benefits of international harmonisation.</w:t>
      </w:r>
    </w:p>
    <w:p w14:paraId="502355B3" w14:textId="4CF5E3EB" w:rsidR="009239A4" w:rsidRDefault="0027535D" w:rsidP="0027535D">
      <w:pPr>
        <w:spacing w:before="120" w:after="120"/>
      </w:pPr>
      <w:r w:rsidRPr="00447D03">
        <w:t xml:space="preserve">Australia’s relative remoteness provides some discretion on international harmonisation and coordination decisions (there are exceptions, such as satellite frequency coordination), </w:t>
      </w:r>
      <w:r w:rsidR="00B8072F">
        <w:t xml:space="preserve">but  </w:t>
      </w:r>
      <w:r>
        <w:t xml:space="preserve">the </w:t>
      </w:r>
      <w:r w:rsidR="00B8072F">
        <w:t>benefits of</w:t>
      </w:r>
      <w:r w:rsidR="009239A4">
        <w:t xml:space="preserve"> this</w:t>
      </w:r>
      <w:r w:rsidR="00B8072F">
        <w:t xml:space="preserve"> </w:t>
      </w:r>
      <w:r w:rsidRPr="00447D03">
        <w:t xml:space="preserve">flexibility </w:t>
      </w:r>
      <w:r w:rsidR="009239A4">
        <w:t xml:space="preserve">still </w:t>
      </w:r>
      <w:r w:rsidR="00B8072F">
        <w:t>need to be assessed against the costs of moving away from international harmonisation</w:t>
      </w:r>
      <w:r w:rsidRPr="00447D03">
        <w:t xml:space="preserve">. </w:t>
      </w:r>
    </w:p>
    <w:p w14:paraId="0505CFB4" w14:textId="77777777" w:rsidR="009239A4" w:rsidRDefault="009239A4">
      <w:pPr>
        <w:spacing w:after="120"/>
        <w:ind w:left="1021" w:hanging="1021"/>
      </w:pPr>
      <w:r>
        <w:br w:type="page"/>
      </w:r>
    </w:p>
    <w:p w14:paraId="1AA4B19D" w14:textId="12D3D781" w:rsidR="00DE4F3E" w:rsidRDefault="009239A4" w:rsidP="00DE4F3E">
      <w:pPr>
        <w:pStyle w:val="Heading1"/>
        <w:ind w:left="907" w:hanging="907"/>
      </w:pPr>
      <w:bookmarkStart w:id="5" w:name="_Toc400958062"/>
      <w:bookmarkStart w:id="6" w:name="_Toc401237563"/>
      <w:bookmarkStart w:id="7" w:name="_Toc396405696"/>
      <w:r>
        <w:lastRenderedPageBreak/>
        <w:t xml:space="preserve">Stakeholder Feedback and </w:t>
      </w:r>
      <w:r w:rsidR="00DE4F3E">
        <w:t xml:space="preserve">Principles for </w:t>
      </w:r>
      <w:r>
        <w:t>R</w:t>
      </w:r>
      <w:r w:rsidR="00DE4F3E">
        <w:t>eform</w:t>
      </w:r>
      <w:bookmarkEnd w:id="5"/>
      <w:bookmarkEnd w:id="6"/>
    </w:p>
    <w:p w14:paraId="62ECDF6D" w14:textId="77777777" w:rsidR="009239A4" w:rsidRDefault="009239A4" w:rsidP="009239A4">
      <w:r>
        <w:t xml:space="preserve">Feedback to the Department indicates that spectrum users want a simpler framework and greater efficiency and flexibility of spectrum use to enable technology and service innovation. Stakeholders also sought improved certainty in arrangements to support investment decisions, particularly certainty in respect to the terms and conditions of spectrum access (for example, renewal arrangements and interference protection).  </w:t>
      </w:r>
    </w:p>
    <w:p w14:paraId="34443E80" w14:textId="77777777" w:rsidR="009239A4" w:rsidRDefault="009239A4" w:rsidP="009239A4">
      <w:pPr>
        <w:spacing w:before="120"/>
      </w:pPr>
      <w:r>
        <w:t>Users want allocation decisions to be based on overall public benefit – including the less easily quantifiable social benefits as well as economic benefit.</w:t>
      </w:r>
    </w:p>
    <w:p w14:paraId="391E8F8A" w14:textId="723C3178" w:rsidR="009239A4" w:rsidRDefault="009239A4" w:rsidP="009239A4">
      <w:pPr>
        <w:spacing w:before="120"/>
      </w:pPr>
      <w:r>
        <w:t>The need to engage internationally to influence international spectrum pl</w:t>
      </w:r>
      <w:r w:rsidR="00F603C4">
        <w:t xml:space="preserve">anning processes and a greater </w:t>
      </w:r>
      <w:r>
        <w:t>focus on interference protection and compliance and enforcement were also key themes. Stakeholders also sought greater clarity around the different roles of industry, the ACMA and the Minister.</w:t>
      </w:r>
    </w:p>
    <w:p w14:paraId="3B3EA050" w14:textId="4DE3C90F" w:rsidR="00DE4F3E" w:rsidRDefault="00DE4F3E" w:rsidP="00DE4F3E">
      <w:pPr>
        <w:pStyle w:val="BodyText"/>
        <w:spacing w:before="120" w:after="120"/>
      </w:pPr>
      <w:r>
        <w:t xml:space="preserve">The following principles </w:t>
      </w:r>
      <w:r w:rsidR="009239A4">
        <w:t xml:space="preserve">were developed after taking into account stakeholder feedback and considering the </w:t>
      </w:r>
      <w:r>
        <w:t>terms of reference</w:t>
      </w:r>
      <w:r w:rsidR="00F603C4">
        <w:t>.</w:t>
      </w:r>
      <w:r>
        <w:t xml:space="preserve"> The</w:t>
      </w:r>
      <w:r w:rsidR="00B8072F">
        <w:t xml:space="preserve">se principles </w:t>
      </w:r>
      <w:r>
        <w:t xml:space="preserve">have been used to guide development of proposals in this paper. </w:t>
      </w:r>
    </w:p>
    <w:p w14:paraId="6C98F374" w14:textId="77777777" w:rsidR="00DE4F3E" w:rsidRDefault="00DE4F3E" w:rsidP="00DE4F3E">
      <w:pPr>
        <w:pStyle w:val="BodyText"/>
        <w:spacing w:before="120" w:after="120"/>
      </w:pPr>
      <w:r>
        <w:t>Reforms should:</w:t>
      </w:r>
    </w:p>
    <w:p w14:paraId="42C0938A" w14:textId="67088D21" w:rsidR="00DE4F3E" w:rsidRDefault="00DE4F3E" w:rsidP="00DE4F3E">
      <w:pPr>
        <w:pStyle w:val="BodyText"/>
        <w:numPr>
          <w:ilvl w:val="0"/>
          <w:numId w:val="24"/>
        </w:numPr>
        <w:spacing w:before="120" w:after="120"/>
      </w:pPr>
      <w:r>
        <w:t>provide a clear and transparent policy framework and direction, within th</w:t>
      </w:r>
      <w:r w:rsidR="00B8072F">
        <w:t>e bounds of which the ACMA sho</w:t>
      </w:r>
      <w:r>
        <w:t>uld have broad discretion over the options available to it to manage the spectrum and enable a greater role for users (</w:t>
      </w:r>
      <w:r w:rsidRPr="00871748">
        <w:rPr>
          <w:b/>
        </w:rPr>
        <w:t>transparency</w:t>
      </w:r>
      <w:r>
        <w:t>)</w:t>
      </w:r>
      <w:r w:rsidR="00B8072F">
        <w:t>;</w:t>
      </w:r>
    </w:p>
    <w:p w14:paraId="70E8EC46" w14:textId="4E1B116A" w:rsidR="00DE4F3E" w:rsidRDefault="00DE4F3E" w:rsidP="00DE4F3E">
      <w:pPr>
        <w:pStyle w:val="BodyText"/>
        <w:numPr>
          <w:ilvl w:val="0"/>
          <w:numId w:val="24"/>
        </w:numPr>
        <w:spacing w:before="120" w:after="120"/>
      </w:pPr>
      <w:r>
        <w:t>promote efficient allocation and use of spectrum – by making use of market principles and mechanisms as the preferred approach and providing licensees with the freedom and incentives to make optimal choices about their spectrum use (</w:t>
      </w:r>
      <w:r w:rsidRPr="00871748">
        <w:rPr>
          <w:b/>
        </w:rPr>
        <w:t>efficiency</w:t>
      </w:r>
      <w:r>
        <w:t>)</w:t>
      </w:r>
      <w:r w:rsidR="00B8072F">
        <w:t>;</w:t>
      </w:r>
    </w:p>
    <w:p w14:paraId="32BD1CC9" w14:textId="7F77F4F5" w:rsidR="00DE4F3E" w:rsidRDefault="00DE4F3E" w:rsidP="00DE4F3E">
      <w:pPr>
        <w:pStyle w:val="BodyText"/>
        <w:numPr>
          <w:ilvl w:val="0"/>
          <w:numId w:val="24"/>
        </w:numPr>
        <w:spacing w:before="120" w:after="120"/>
      </w:pPr>
      <w:r>
        <w:t>ensure arrangements are as flexible as possible to promote choice and innovation (</w:t>
      </w:r>
      <w:r w:rsidRPr="00871748">
        <w:rPr>
          <w:b/>
        </w:rPr>
        <w:t>flexibility</w:t>
      </w:r>
      <w:r>
        <w:t>)</w:t>
      </w:r>
      <w:r w:rsidR="00B8072F">
        <w:t>;</w:t>
      </w:r>
    </w:p>
    <w:p w14:paraId="1C061F51" w14:textId="7B712B19" w:rsidR="00DE4F3E" w:rsidRDefault="00DE4F3E" w:rsidP="00DE4F3E">
      <w:pPr>
        <w:pStyle w:val="BodyText"/>
        <w:numPr>
          <w:ilvl w:val="0"/>
          <w:numId w:val="24"/>
        </w:numPr>
        <w:spacing w:before="120" w:after="120"/>
      </w:pPr>
      <w:r>
        <w:t xml:space="preserve">provide confidence about </w:t>
      </w:r>
      <w:r w:rsidRPr="00B4475C">
        <w:t>regulatory arrangements and spectrum access terms and conditions</w:t>
      </w:r>
      <w:r>
        <w:t xml:space="preserve"> and promote international harmonisation in Australia’s interests (</w:t>
      </w:r>
      <w:r w:rsidRPr="00871748">
        <w:rPr>
          <w:b/>
        </w:rPr>
        <w:t>certainty</w:t>
      </w:r>
      <w:r>
        <w:t>)</w:t>
      </w:r>
      <w:r w:rsidR="00B8072F">
        <w:t>; and</w:t>
      </w:r>
    </w:p>
    <w:p w14:paraId="53D96D4D" w14:textId="7F983CEF" w:rsidR="009239A4" w:rsidRDefault="00DE4F3E" w:rsidP="009239A4">
      <w:pPr>
        <w:pStyle w:val="BodyText"/>
        <w:numPr>
          <w:ilvl w:val="0"/>
          <w:numId w:val="24"/>
        </w:numPr>
        <w:spacing w:before="120" w:after="120"/>
      </w:pPr>
      <w:r>
        <w:t>create a framework that is simpler, easier to understand and uses the least cost regulation required to achieve the objective (</w:t>
      </w:r>
      <w:r w:rsidRPr="00871748">
        <w:rPr>
          <w:b/>
        </w:rPr>
        <w:t>simplicity</w:t>
      </w:r>
      <w:r>
        <w:t>).</w:t>
      </w:r>
    </w:p>
    <w:p w14:paraId="1146EB6E" w14:textId="77777777" w:rsidR="009239A4" w:rsidRDefault="009239A4" w:rsidP="00E81373">
      <w:pPr>
        <w:pStyle w:val="BodyText"/>
        <w:spacing w:before="120" w:after="120"/>
        <w:jc w:val="both"/>
      </w:pPr>
      <w:r>
        <w:t xml:space="preserve">The reforms as a whole should seek to maximise public benefit by improving overall efficiency and effectiveness of spectrum policy and management in line with these principles. </w:t>
      </w:r>
    </w:p>
    <w:p w14:paraId="0E669AA2" w14:textId="6A651068" w:rsidR="009239A4" w:rsidRDefault="009239A4">
      <w:pPr>
        <w:spacing w:after="120"/>
        <w:ind w:left="1021" w:hanging="1021"/>
      </w:pPr>
      <w:r>
        <w:br w:type="page"/>
      </w:r>
    </w:p>
    <w:p w14:paraId="42334816" w14:textId="77777777" w:rsidR="009239A4" w:rsidRDefault="009239A4" w:rsidP="00E81373">
      <w:pPr>
        <w:pStyle w:val="BodyText"/>
        <w:spacing w:before="120" w:after="120"/>
        <w:ind w:left="360"/>
      </w:pPr>
    </w:p>
    <w:p w14:paraId="2FF6DD78" w14:textId="111DC0D7" w:rsidR="001928F6" w:rsidRDefault="001928F6" w:rsidP="009C1289">
      <w:pPr>
        <w:pStyle w:val="Heading1"/>
        <w:ind w:left="907" w:hanging="907"/>
      </w:pPr>
      <w:bookmarkStart w:id="8" w:name="_Toc401237564"/>
      <w:r>
        <w:t xml:space="preserve">Potential </w:t>
      </w:r>
      <w:r w:rsidR="009239A4">
        <w:t>R</w:t>
      </w:r>
      <w:r>
        <w:t xml:space="preserve">eform </w:t>
      </w:r>
      <w:r w:rsidR="009239A4">
        <w:t>P</w:t>
      </w:r>
      <w:r w:rsidR="00AC34E7">
        <w:t>roposals</w:t>
      </w:r>
      <w:bookmarkEnd w:id="7"/>
      <w:bookmarkEnd w:id="8"/>
    </w:p>
    <w:p w14:paraId="02EC5268" w14:textId="4C041187" w:rsidR="00E31D08" w:rsidRDefault="00E31D08" w:rsidP="00E31D08">
      <w:pPr>
        <w:pStyle w:val="BodyText"/>
        <w:spacing w:before="120" w:after="120"/>
      </w:pPr>
      <w:bookmarkStart w:id="9" w:name="_Toc396405697"/>
      <w:r w:rsidRPr="00447D03">
        <w:t>Th</w:t>
      </w:r>
      <w:r>
        <w:t xml:space="preserve">e </w:t>
      </w:r>
      <w:r w:rsidRPr="00447D03">
        <w:t xml:space="preserve">proposals in this paper seek </w:t>
      </w:r>
      <w:r>
        <w:t xml:space="preserve">to </w:t>
      </w:r>
      <w:r w:rsidRPr="00447D03">
        <w:t xml:space="preserve">support a more efficient, responsive and sustainable spectrum market. </w:t>
      </w:r>
      <w:r>
        <w:t>T</w:t>
      </w:r>
      <w:r w:rsidRPr="00447D03">
        <w:t>his should be one that enables spectrum to move to its highest value use, with cost-reflective pricing</w:t>
      </w:r>
      <w:r>
        <w:t xml:space="preserve"> (incorporating opportunity cost)</w:t>
      </w:r>
      <w:r w:rsidRPr="00447D03">
        <w:t xml:space="preserve">, </w:t>
      </w:r>
      <w:r w:rsidR="00B8072F">
        <w:t xml:space="preserve">opportunities for </w:t>
      </w:r>
      <w:r w:rsidRPr="00447D03">
        <w:t>active secondary markets and targeted ‘fit</w:t>
      </w:r>
      <w:r>
        <w:t>-for-purpose</w:t>
      </w:r>
      <w:r w:rsidRPr="00447D03">
        <w:t xml:space="preserve">’ regulation. </w:t>
      </w:r>
    </w:p>
    <w:p w14:paraId="1103A77B" w14:textId="3907C5D6" w:rsidR="00A555B1" w:rsidRPr="00F66D0C" w:rsidRDefault="00A555B1" w:rsidP="00A555B1">
      <w:pPr>
        <w:pStyle w:val="BodyText"/>
        <w:spacing w:before="120" w:after="120"/>
      </w:pPr>
      <w:r>
        <w:t>It will be important to maintain certainty for incumbent spectrum users throughout the review process and beyond. Where changes are proposed, techniques such as transition plans, grandfathering of existing licences and early reviews of new arrangements will be used</w:t>
      </w:r>
      <w:r w:rsidR="009239A4">
        <w:t>.</w:t>
      </w:r>
      <w:r>
        <w:t xml:space="preserve"> </w:t>
      </w:r>
    </w:p>
    <w:p w14:paraId="2FF6DD79" w14:textId="77777777" w:rsidR="001928F6" w:rsidRDefault="00DA6CD9" w:rsidP="001928F6">
      <w:pPr>
        <w:pStyle w:val="Heading2"/>
        <w:numPr>
          <w:ilvl w:val="1"/>
          <w:numId w:val="0"/>
        </w:numPr>
        <w:ind w:left="907" w:hanging="907"/>
      </w:pPr>
      <w:bookmarkStart w:id="10" w:name="_Toc401237565"/>
      <w:r>
        <w:t xml:space="preserve">Policy </w:t>
      </w:r>
      <w:r w:rsidR="001928F6" w:rsidRPr="00E81185">
        <w:t>framework</w:t>
      </w:r>
      <w:bookmarkEnd w:id="9"/>
      <w:bookmarkEnd w:id="10"/>
    </w:p>
    <w:p w14:paraId="2FF6DD7A" w14:textId="77777777" w:rsidR="0070165B" w:rsidRPr="00170974" w:rsidRDefault="0070165B" w:rsidP="00170974">
      <w:pPr>
        <w:pStyle w:val="Bodytext-Indent"/>
        <w:ind w:left="0"/>
        <w:rPr>
          <w:b/>
          <w:color w:val="32859D" w:themeColor="text2" w:themeShade="80"/>
        </w:rPr>
      </w:pPr>
      <w:bookmarkStart w:id="11" w:name="_Toc399223273"/>
      <w:bookmarkStart w:id="12" w:name="_Toc399422691"/>
      <w:bookmarkStart w:id="13" w:name="_Toc400017404"/>
      <w:bookmarkStart w:id="14" w:name="_Toc400018067"/>
      <w:bookmarkStart w:id="15" w:name="_Toc400441471"/>
      <w:r w:rsidRPr="00170974">
        <w:rPr>
          <w:b/>
          <w:color w:val="32859D" w:themeColor="text2" w:themeShade="80"/>
        </w:rPr>
        <w:t xml:space="preserve">Proposal </w:t>
      </w:r>
      <w:r w:rsidR="00AC34E7" w:rsidRPr="00170974">
        <w:rPr>
          <w:b/>
          <w:color w:val="32859D" w:themeColor="text2" w:themeShade="80"/>
        </w:rPr>
        <w:t>1</w:t>
      </w:r>
      <w:r w:rsidRPr="00170974">
        <w:rPr>
          <w:b/>
          <w:color w:val="32859D" w:themeColor="text2" w:themeShade="80"/>
        </w:rPr>
        <w:t>: I</w:t>
      </w:r>
      <w:r w:rsidR="002B25EA" w:rsidRPr="00170974">
        <w:rPr>
          <w:b/>
          <w:color w:val="32859D" w:themeColor="text2" w:themeShade="80"/>
        </w:rPr>
        <w:t>mplement a clear</w:t>
      </w:r>
      <w:r w:rsidRPr="00170974">
        <w:rPr>
          <w:b/>
          <w:color w:val="32859D" w:themeColor="text2" w:themeShade="80"/>
        </w:rPr>
        <w:t xml:space="preserve"> and simplified framework of policy accountability</w:t>
      </w:r>
      <w:bookmarkEnd w:id="11"/>
      <w:bookmarkEnd w:id="12"/>
      <w:bookmarkEnd w:id="13"/>
      <w:bookmarkEnd w:id="14"/>
      <w:bookmarkEnd w:id="15"/>
    </w:p>
    <w:p w14:paraId="2FF6DD7B" w14:textId="2DE01D55" w:rsidR="001268CC" w:rsidRPr="0007595E" w:rsidRDefault="003F46A4" w:rsidP="003E446B">
      <w:pPr>
        <w:pStyle w:val="BodyText"/>
        <w:numPr>
          <w:ilvl w:val="0"/>
          <w:numId w:val="25"/>
        </w:numPr>
        <w:spacing w:before="120" w:after="120"/>
        <w:rPr>
          <w:i/>
        </w:rPr>
      </w:pPr>
      <w:bookmarkStart w:id="16" w:name="_Toc396405700"/>
      <w:r w:rsidRPr="0007595E">
        <w:rPr>
          <w:i/>
        </w:rPr>
        <w:t>Minister to publicly issue over-arching policy statements</w:t>
      </w:r>
      <w:r w:rsidR="00D1508A">
        <w:rPr>
          <w:i/>
        </w:rPr>
        <w:t>,</w:t>
      </w:r>
      <w:r w:rsidRPr="0007595E">
        <w:rPr>
          <w:i/>
        </w:rPr>
        <w:t xml:space="preserve"> </w:t>
      </w:r>
      <w:r w:rsidR="00D1508A">
        <w:rPr>
          <w:i/>
        </w:rPr>
        <w:t xml:space="preserve">against </w:t>
      </w:r>
      <w:r w:rsidR="0055190D">
        <w:rPr>
          <w:i/>
        </w:rPr>
        <w:t>which</w:t>
      </w:r>
      <w:r w:rsidR="0093023F" w:rsidRPr="0007595E">
        <w:rPr>
          <w:i/>
        </w:rPr>
        <w:t xml:space="preserve"> the </w:t>
      </w:r>
      <w:r w:rsidRPr="0007595E">
        <w:rPr>
          <w:i/>
        </w:rPr>
        <w:t xml:space="preserve">ACMA </w:t>
      </w:r>
      <w:r w:rsidR="00A34250">
        <w:rPr>
          <w:i/>
        </w:rPr>
        <w:t>must act consistently.</w:t>
      </w:r>
    </w:p>
    <w:p w14:paraId="2FF6DD7C" w14:textId="017553DF" w:rsidR="003F46A4" w:rsidRPr="0007595E" w:rsidRDefault="003F46A4" w:rsidP="003E446B">
      <w:pPr>
        <w:pStyle w:val="BodyText"/>
        <w:numPr>
          <w:ilvl w:val="0"/>
          <w:numId w:val="25"/>
        </w:numPr>
        <w:spacing w:before="120" w:after="120"/>
        <w:rPr>
          <w:i/>
        </w:rPr>
      </w:pPr>
      <w:r w:rsidRPr="0007595E">
        <w:rPr>
          <w:i/>
        </w:rPr>
        <w:t>Minister to have direction powers</w:t>
      </w:r>
      <w:r w:rsidR="00CA7BD7">
        <w:rPr>
          <w:i/>
        </w:rPr>
        <w:t xml:space="preserve"> in the Radiocommunications Act</w:t>
      </w:r>
      <w:r w:rsidRPr="0007595E">
        <w:rPr>
          <w:i/>
        </w:rPr>
        <w:t xml:space="preserve"> to enable </w:t>
      </w:r>
      <w:r w:rsidR="00354143">
        <w:rPr>
          <w:i/>
        </w:rPr>
        <w:t xml:space="preserve">Ministerial </w:t>
      </w:r>
      <w:r w:rsidR="00354143" w:rsidRPr="0007595E">
        <w:rPr>
          <w:i/>
        </w:rPr>
        <w:t>interven</w:t>
      </w:r>
      <w:r w:rsidR="00354143">
        <w:rPr>
          <w:i/>
        </w:rPr>
        <w:t>tion</w:t>
      </w:r>
      <w:r w:rsidR="00CA7BD7">
        <w:rPr>
          <w:i/>
        </w:rPr>
        <w:t xml:space="preserve"> for specific purposes</w:t>
      </w:r>
      <w:r w:rsidRPr="0007595E">
        <w:rPr>
          <w:i/>
        </w:rPr>
        <w:t xml:space="preserve"> </w:t>
      </w:r>
      <w:r w:rsidR="00CA7BD7">
        <w:rPr>
          <w:i/>
        </w:rPr>
        <w:t>such as</w:t>
      </w:r>
      <w:r w:rsidRPr="0007595E">
        <w:rPr>
          <w:i/>
        </w:rPr>
        <w:t xml:space="preserve"> to reserve </w:t>
      </w:r>
      <w:r w:rsidR="00D76774">
        <w:rPr>
          <w:i/>
        </w:rPr>
        <w:t>spectrum in a plan,</w:t>
      </w:r>
      <w:r w:rsidRPr="0007595E">
        <w:rPr>
          <w:i/>
        </w:rPr>
        <w:t xml:space="preserve"> allocate </w:t>
      </w:r>
      <w:r w:rsidR="00EC6DD8">
        <w:rPr>
          <w:i/>
        </w:rPr>
        <w:t xml:space="preserve">or reallocate </w:t>
      </w:r>
      <w:r w:rsidRPr="0007595E">
        <w:rPr>
          <w:i/>
        </w:rPr>
        <w:t>spectrum</w:t>
      </w:r>
      <w:r w:rsidR="00A34250">
        <w:rPr>
          <w:i/>
        </w:rPr>
        <w:t>.</w:t>
      </w:r>
    </w:p>
    <w:p w14:paraId="2FF6DD7D" w14:textId="5A8A2DD3" w:rsidR="003F46A4" w:rsidRPr="0007595E" w:rsidRDefault="00CA5DF7" w:rsidP="003E446B">
      <w:pPr>
        <w:pStyle w:val="BodyText"/>
        <w:numPr>
          <w:ilvl w:val="0"/>
          <w:numId w:val="25"/>
        </w:numPr>
        <w:spacing w:before="120" w:after="120"/>
        <w:rPr>
          <w:i/>
        </w:rPr>
      </w:pPr>
      <w:r>
        <w:rPr>
          <w:i/>
        </w:rPr>
        <w:t xml:space="preserve">The </w:t>
      </w:r>
      <w:r w:rsidR="003F46A4" w:rsidRPr="0007595E">
        <w:rPr>
          <w:i/>
        </w:rPr>
        <w:t>ACMA to be required to notify the Minister of certain decisions and provide an annual work program and key priorities over a three-five year timeframe</w:t>
      </w:r>
      <w:r w:rsidR="00A34250">
        <w:rPr>
          <w:i/>
        </w:rPr>
        <w:t>.</w:t>
      </w:r>
    </w:p>
    <w:p w14:paraId="2FF6DD7E" w14:textId="253DA7A1" w:rsidR="000B33DF" w:rsidRDefault="000B33DF" w:rsidP="000B33DF">
      <w:pPr>
        <w:pStyle w:val="BodyText"/>
        <w:spacing w:before="120" w:after="120"/>
      </w:pPr>
      <w:r>
        <w:t>The i</w:t>
      </w:r>
      <w:r w:rsidR="00BE1646">
        <w:t>ntention is to establish a clear</w:t>
      </w:r>
      <w:r w:rsidR="000F46E9">
        <w:t>,</w:t>
      </w:r>
      <w:r w:rsidR="00BE1646">
        <w:t xml:space="preserve"> </w:t>
      </w:r>
      <w:r>
        <w:t xml:space="preserve">transparent </w:t>
      </w:r>
      <w:r w:rsidR="000F46E9">
        <w:t xml:space="preserve">and future looking </w:t>
      </w:r>
      <w:r>
        <w:t xml:space="preserve">policy decision-making framework </w:t>
      </w:r>
      <w:r w:rsidR="005B799B">
        <w:t xml:space="preserve">with </w:t>
      </w:r>
      <w:r>
        <w:t>clear roles and responsibilities for the Minister and the ACMA</w:t>
      </w:r>
      <w:r w:rsidR="00977896">
        <w:t xml:space="preserve"> in spectrum management</w:t>
      </w:r>
      <w:r>
        <w:t>. Decisions with significant public policy implications (</w:t>
      </w:r>
      <w:r w:rsidR="00C71051">
        <w:t>for example</w:t>
      </w:r>
      <w:r w:rsidR="00513E88">
        <w:t>,</w:t>
      </w:r>
      <w:r>
        <w:t xml:space="preserve"> those involving major government policy initiatives and </w:t>
      </w:r>
      <w:r w:rsidR="004043D3">
        <w:t xml:space="preserve">major </w:t>
      </w:r>
      <w:r>
        <w:t>spectr</w:t>
      </w:r>
      <w:r w:rsidR="00977896">
        <w:t xml:space="preserve">um allocations) </w:t>
      </w:r>
      <w:r w:rsidR="00FF1ABF">
        <w:t>would</w:t>
      </w:r>
      <w:r>
        <w:t xml:space="preserve"> remain in the Minister</w:t>
      </w:r>
      <w:r w:rsidR="00D1508A">
        <w:t>’s</w:t>
      </w:r>
      <w:r>
        <w:t xml:space="preserve"> control and </w:t>
      </w:r>
      <w:r w:rsidR="00BC204D">
        <w:t>day to day management of the spectrum consistent with government policy</w:t>
      </w:r>
      <w:r>
        <w:t xml:space="preserve"> would be the responsibility of </w:t>
      </w:r>
      <w:r w:rsidR="004C0C98">
        <w:t>the ACMA</w:t>
      </w:r>
      <w:r>
        <w:t>.</w:t>
      </w:r>
    </w:p>
    <w:p w14:paraId="2FF6DD7F" w14:textId="4C9E27F7" w:rsidR="000B33DF" w:rsidRDefault="00A727B0" w:rsidP="000B33DF">
      <w:pPr>
        <w:pStyle w:val="BodyText"/>
        <w:spacing w:before="120" w:after="120"/>
      </w:pPr>
      <w:r>
        <w:t>Ministerial policy s</w:t>
      </w:r>
      <w:r w:rsidR="000B33DF">
        <w:t>tatements could be broad or specific</w:t>
      </w:r>
      <w:r w:rsidR="00E31D08">
        <w:t>, for example,</w:t>
      </w:r>
      <w:r w:rsidR="000B33DF">
        <w:t xml:space="preserve"> set out the government’s policy goals for spectrum management, or focus on a particular issue or policy initiative. Policy statements </w:t>
      </w:r>
      <w:r w:rsidR="009239A4">
        <w:t xml:space="preserve">would be published, </w:t>
      </w:r>
      <w:r w:rsidR="000B33DF">
        <w:t xml:space="preserve">may be of limited or no set duration </w:t>
      </w:r>
      <w:r w:rsidR="00A0524A">
        <w:t>and</w:t>
      </w:r>
      <w:r w:rsidR="000B33DF">
        <w:t xml:space="preserve"> </w:t>
      </w:r>
      <w:r w:rsidR="0055190D">
        <w:t>c</w:t>
      </w:r>
      <w:r w:rsidR="000B33DF">
        <w:t xml:space="preserve">ould be </w:t>
      </w:r>
      <w:r w:rsidR="00707307">
        <w:t>updated or withdrawn at any time</w:t>
      </w:r>
      <w:r w:rsidR="000B33DF">
        <w:t xml:space="preserve">. </w:t>
      </w:r>
      <w:r w:rsidR="00D543A7">
        <w:t xml:space="preserve">Statements initially would provide guidance on implementing key elements of the new framework, </w:t>
      </w:r>
      <w:r w:rsidR="00260E88">
        <w:t>for example</w:t>
      </w:r>
      <w:r w:rsidR="00513E88">
        <w:t xml:space="preserve">, </w:t>
      </w:r>
      <w:r w:rsidR="00CA7BD7">
        <w:t>implem</w:t>
      </w:r>
      <w:r w:rsidR="00F64899">
        <w:t>entation of a</w:t>
      </w:r>
      <w:r w:rsidR="00D543A7">
        <w:t xml:space="preserve"> s</w:t>
      </w:r>
      <w:r>
        <w:t xml:space="preserve">ingle licensing framework, and </w:t>
      </w:r>
      <w:r w:rsidR="00D543A7" w:rsidRPr="00A727B0">
        <w:t>establish a whole of government and economy spectrum policy</w:t>
      </w:r>
      <w:r w:rsidR="00F15148">
        <w:t xml:space="preserve"> </w:t>
      </w:r>
      <w:r w:rsidR="00D543A7" w:rsidRPr="00A727B0">
        <w:t>similar to the UK spectrum strategy.</w:t>
      </w:r>
      <w:r w:rsidR="004043D3">
        <w:t xml:space="preserve"> </w:t>
      </w:r>
    </w:p>
    <w:p w14:paraId="2FF6DD80" w14:textId="6B42BA2F" w:rsidR="000B33DF" w:rsidRDefault="0055190D" w:rsidP="000B33DF">
      <w:pPr>
        <w:pStyle w:val="BodyText"/>
        <w:spacing w:before="120" w:after="120"/>
      </w:pPr>
      <w:r>
        <w:t xml:space="preserve">It is anticipated </w:t>
      </w:r>
      <w:r w:rsidR="00CA7BD7">
        <w:t xml:space="preserve">that, having set the policy direction, </w:t>
      </w:r>
      <w:r w:rsidR="000B33DF">
        <w:t>Ministerial intervention using the</w:t>
      </w:r>
      <w:r w:rsidR="00AC34E7">
        <w:t xml:space="preserve"> </w:t>
      </w:r>
      <w:r w:rsidR="00707307">
        <w:t xml:space="preserve">specific </w:t>
      </w:r>
      <w:r w:rsidR="000B33DF">
        <w:t>direction powers would be on an exception basis.</w:t>
      </w:r>
      <w:r w:rsidR="003266EE">
        <w:t xml:space="preserve"> If the Minister were to intervene, this would be undertaken in a transparent manner </w:t>
      </w:r>
      <w:r w:rsidR="006F7FFB">
        <w:t>and directions would be made public</w:t>
      </w:r>
      <w:r w:rsidR="003266EE">
        <w:t>.</w:t>
      </w:r>
      <w:r w:rsidR="00D70A1E">
        <w:t xml:space="preserve"> </w:t>
      </w:r>
      <w:r w:rsidR="00F64899">
        <w:t>D</w:t>
      </w:r>
      <w:r w:rsidR="00D70A1E">
        <w:t>irection power</w:t>
      </w:r>
      <w:r w:rsidR="00F64899">
        <w:t>s</w:t>
      </w:r>
      <w:r w:rsidR="00AC34E7">
        <w:t xml:space="preserve"> </w:t>
      </w:r>
      <w:r w:rsidR="00D70A1E">
        <w:t>would</w:t>
      </w:r>
      <w:r w:rsidR="00F64899">
        <w:t xml:space="preserve"> continue to</w:t>
      </w:r>
      <w:r w:rsidR="00D70A1E">
        <w:t xml:space="preserve"> remain available to the Minister to direct </w:t>
      </w:r>
      <w:r w:rsidR="00F64899">
        <w:t xml:space="preserve">the </w:t>
      </w:r>
      <w:r w:rsidR="00D70A1E">
        <w:t xml:space="preserve">ACMA </w:t>
      </w:r>
      <w:r w:rsidR="00F64899">
        <w:t xml:space="preserve">on </w:t>
      </w:r>
      <w:r w:rsidR="005B799B">
        <w:t xml:space="preserve">the exercise of its </w:t>
      </w:r>
      <w:r w:rsidR="00D70A1E">
        <w:t xml:space="preserve">spectrum management </w:t>
      </w:r>
      <w:r w:rsidR="005B799B">
        <w:t xml:space="preserve">powers and </w:t>
      </w:r>
      <w:r w:rsidR="00D70A1E">
        <w:t>functions</w:t>
      </w:r>
      <w:r w:rsidR="00F64899">
        <w:t>.</w:t>
      </w:r>
    </w:p>
    <w:p w14:paraId="2FF6DD81" w14:textId="0861F612" w:rsidR="00AE329F" w:rsidRDefault="00CA7BD7" w:rsidP="003852CF">
      <w:pPr>
        <w:pStyle w:val="BodyText"/>
        <w:spacing w:before="120" w:after="120"/>
      </w:pPr>
      <w:r>
        <w:t xml:space="preserve">The ACMA annual work program would clearly set out the ACMA’s priorities and how these will be implemented. </w:t>
      </w:r>
      <w:r w:rsidR="000B33DF">
        <w:t>When preparing its annual work program the ACMA would consult</w:t>
      </w:r>
      <w:r w:rsidR="00F64899">
        <w:t xml:space="preserve"> with stakeholders</w:t>
      </w:r>
      <w:r w:rsidR="000B33DF">
        <w:t xml:space="preserve"> on its contents before providing it to the Minister. The Minister would have the ability to require amendments to the work program</w:t>
      </w:r>
      <w:r w:rsidR="003205DF">
        <w:t xml:space="preserve">, request additional information and </w:t>
      </w:r>
      <w:r w:rsidR="000B33DF">
        <w:t xml:space="preserve">indicate issues of interest or where </w:t>
      </w:r>
      <w:r w:rsidR="005A518A">
        <w:t xml:space="preserve">Ministerial </w:t>
      </w:r>
      <w:r w:rsidR="000B33DF">
        <w:t xml:space="preserve">intervention may be required. </w:t>
      </w:r>
      <w:bookmarkEnd w:id="16"/>
    </w:p>
    <w:p w14:paraId="3129D15A" w14:textId="77777777" w:rsidR="00AE329F" w:rsidRDefault="00AE329F">
      <w:pPr>
        <w:spacing w:after="120"/>
        <w:ind w:left="1021" w:hanging="1021"/>
      </w:pPr>
      <w:r>
        <w:br w:type="page"/>
      </w:r>
    </w:p>
    <w:p w14:paraId="2FF6DD83" w14:textId="77777777" w:rsidR="001928F6" w:rsidRDefault="00BA5A21" w:rsidP="003852CF">
      <w:pPr>
        <w:pStyle w:val="Heading2"/>
      </w:pPr>
      <w:bookmarkStart w:id="17" w:name="_Toc401237566"/>
      <w:r>
        <w:t>Single licensing framework</w:t>
      </w:r>
      <w:bookmarkEnd w:id="17"/>
    </w:p>
    <w:p w14:paraId="2FF6DD84" w14:textId="183D3F39" w:rsidR="0033225F" w:rsidRPr="00D22BC2" w:rsidRDefault="00671530" w:rsidP="00170974">
      <w:pPr>
        <w:pStyle w:val="Bodytext-Indent"/>
        <w:ind w:left="0"/>
        <w:rPr>
          <w:b/>
          <w:color w:val="32859D" w:themeColor="text2" w:themeShade="80"/>
        </w:rPr>
      </w:pPr>
      <w:bookmarkStart w:id="18" w:name="_Toc399422694"/>
      <w:bookmarkStart w:id="19" w:name="_Toc400017406"/>
      <w:bookmarkStart w:id="20" w:name="_Toc400018069"/>
      <w:bookmarkStart w:id="21" w:name="_Toc400441473"/>
      <w:r w:rsidRPr="00D22BC2">
        <w:rPr>
          <w:b/>
          <w:color w:val="32859D" w:themeColor="text2" w:themeShade="80"/>
        </w:rPr>
        <w:t xml:space="preserve">Proposal </w:t>
      </w:r>
      <w:r w:rsidR="008A253A" w:rsidRPr="00D22BC2">
        <w:rPr>
          <w:b/>
          <w:color w:val="32859D" w:themeColor="text2" w:themeShade="80"/>
        </w:rPr>
        <w:t>2</w:t>
      </w:r>
      <w:r w:rsidRPr="00D22BC2">
        <w:rPr>
          <w:b/>
          <w:color w:val="32859D" w:themeColor="text2" w:themeShade="80"/>
        </w:rPr>
        <w:t>: Establish a single licensing framework</w:t>
      </w:r>
      <w:bookmarkEnd w:id="18"/>
      <w:bookmarkEnd w:id="19"/>
      <w:bookmarkEnd w:id="20"/>
      <w:bookmarkEnd w:id="21"/>
    </w:p>
    <w:p w14:paraId="2FF6DD85" w14:textId="69731293" w:rsidR="00944B65" w:rsidRDefault="00944B65" w:rsidP="003E446B">
      <w:pPr>
        <w:pStyle w:val="BodyText"/>
        <w:numPr>
          <w:ilvl w:val="0"/>
          <w:numId w:val="25"/>
        </w:numPr>
        <w:spacing w:before="120" w:after="120"/>
        <w:rPr>
          <w:i/>
        </w:rPr>
      </w:pPr>
      <w:r w:rsidRPr="00944B65">
        <w:rPr>
          <w:i/>
        </w:rPr>
        <w:t xml:space="preserve">Establish a single licensing framework by </w:t>
      </w:r>
      <w:r w:rsidR="00497EC2">
        <w:rPr>
          <w:i/>
        </w:rPr>
        <w:t>consolidating</w:t>
      </w:r>
      <w:r w:rsidRPr="00944B65">
        <w:rPr>
          <w:i/>
        </w:rPr>
        <w:t xml:space="preserve"> the three licence categories (apparatus, class and spectrum) and </w:t>
      </w:r>
      <w:r w:rsidR="00D1508A" w:rsidRPr="00944B65">
        <w:rPr>
          <w:i/>
        </w:rPr>
        <w:t>provid</w:t>
      </w:r>
      <w:r w:rsidR="00D1508A">
        <w:rPr>
          <w:i/>
        </w:rPr>
        <w:t>e</w:t>
      </w:r>
      <w:r w:rsidR="00D1508A" w:rsidRPr="00944B65">
        <w:rPr>
          <w:i/>
        </w:rPr>
        <w:t xml:space="preserve"> </w:t>
      </w:r>
      <w:r w:rsidRPr="00944B65">
        <w:rPr>
          <w:i/>
        </w:rPr>
        <w:t xml:space="preserve">the ACMA with flexibility to set </w:t>
      </w:r>
      <w:r w:rsidR="00716C19">
        <w:rPr>
          <w:i/>
        </w:rPr>
        <w:t xml:space="preserve">licence </w:t>
      </w:r>
      <w:r w:rsidRPr="00944B65">
        <w:rPr>
          <w:i/>
        </w:rPr>
        <w:t>parameters, for example, to include band frequency, payment</w:t>
      </w:r>
      <w:r w:rsidR="005B799B">
        <w:rPr>
          <w:i/>
        </w:rPr>
        <w:t xml:space="preserve">, </w:t>
      </w:r>
      <w:r w:rsidRPr="00944B65">
        <w:rPr>
          <w:i/>
        </w:rPr>
        <w:t>sharing</w:t>
      </w:r>
      <w:r w:rsidR="005B799B">
        <w:rPr>
          <w:i/>
        </w:rPr>
        <w:t xml:space="preserve"> and trading</w:t>
      </w:r>
      <w:r w:rsidRPr="00944B65">
        <w:rPr>
          <w:i/>
        </w:rPr>
        <w:t xml:space="preserve"> arrangements.</w:t>
      </w:r>
    </w:p>
    <w:p w14:paraId="2FF6DD86" w14:textId="77777777" w:rsidR="00944B65" w:rsidRPr="00944B65" w:rsidRDefault="00944B65" w:rsidP="003E446B">
      <w:pPr>
        <w:pStyle w:val="BodyText"/>
        <w:numPr>
          <w:ilvl w:val="0"/>
          <w:numId w:val="25"/>
        </w:numPr>
        <w:spacing w:before="120" w:after="120"/>
        <w:rPr>
          <w:i/>
        </w:rPr>
      </w:pPr>
      <w:r w:rsidRPr="00944B65">
        <w:rPr>
          <w:i/>
        </w:rPr>
        <w:t>Tenure of licences to be a parameter, with a maximum term</w:t>
      </w:r>
      <w:r w:rsidR="001F5CA7">
        <w:rPr>
          <w:i/>
        </w:rPr>
        <w:t xml:space="preserve"> of 15 years to be</w:t>
      </w:r>
      <w:r w:rsidRPr="00944B65">
        <w:rPr>
          <w:i/>
        </w:rPr>
        <w:t xml:space="preserve"> specified in the leg</w:t>
      </w:r>
      <w:r w:rsidR="001F5CA7">
        <w:rPr>
          <w:i/>
        </w:rPr>
        <w:t>islation.</w:t>
      </w:r>
    </w:p>
    <w:p w14:paraId="2FF6DD87" w14:textId="2B521303" w:rsidR="00944B65" w:rsidRDefault="00944B65" w:rsidP="003E446B">
      <w:pPr>
        <w:pStyle w:val="BodyText"/>
        <w:numPr>
          <w:ilvl w:val="0"/>
          <w:numId w:val="25"/>
        </w:numPr>
        <w:spacing w:before="120" w:after="120"/>
        <w:rPr>
          <w:i/>
        </w:rPr>
      </w:pPr>
      <w:r w:rsidRPr="00944B65">
        <w:rPr>
          <w:i/>
        </w:rPr>
        <w:t xml:space="preserve">Renewal of licences to also be a parameter. If the licence provides for a presumption of renewal, the legislation </w:t>
      </w:r>
      <w:r w:rsidR="00C62A5A">
        <w:rPr>
          <w:i/>
        </w:rPr>
        <w:t xml:space="preserve">would </w:t>
      </w:r>
      <w:r w:rsidRPr="00944B65">
        <w:rPr>
          <w:i/>
        </w:rPr>
        <w:t>specify the circumstances under whic</w:t>
      </w:r>
      <w:r w:rsidR="001F5CA7">
        <w:rPr>
          <w:i/>
        </w:rPr>
        <w:t xml:space="preserve">h </w:t>
      </w:r>
      <w:r w:rsidR="00CA5DF7">
        <w:rPr>
          <w:i/>
        </w:rPr>
        <w:t xml:space="preserve">the </w:t>
      </w:r>
      <w:r w:rsidR="001F5CA7">
        <w:rPr>
          <w:i/>
        </w:rPr>
        <w:t>ACMA is not required to renew</w:t>
      </w:r>
      <w:r w:rsidRPr="00944B65">
        <w:rPr>
          <w:i/>
        </w:rPr>
        <w:t>.</w:t>
      </w:r>
    </w:p>
    <w:p w14:paraId="28274533" w14:textId="2B536272" w:rsidR="00F64899" w:rsidRDefault="00F64899" w:rsidP="00144D25">
      <w:pPr>
        <w:pStyle w:val="BodyText"/>
        <w:spacing w:before="120" w:after="120"/>
      </w:pPr>
      <w:r>
        <w:t>Under this proposal a</w:t>
      </w:r>
      <w:r w:rsidR="00144D25">
        <w:t xml:space="preserve"> single licensing framework would replace the</w:t>
      </w:r>
      <w:r w:rsidR="00144D25" w:rsidRPr="000F4CA5">
        <w:t xml:space="preserve"> </w:t>
      </w:r>
      <w:r w:rsidR="00144D25">
        <w:t xml:space="preserve">current three licence </w:t>
      </w:r>
      <w:r w:rsidR="005B799B">
        <w:t xml:space="preserve">categories </w:t>
      </w:r>
      <w:r w:rsidR="00144D25">
        <w:t xml:space="preserve">(being </w:t>
      </w:r>
      <w:r w:rsidR="00144D25" w:rsidRPr="000F4CA5">
        <w:t>class,</w:t>
      </w:r>
      <w:r w:rsidR="00144D25">
        <w:t xml:space="preserve"> apparatus and spectrum licence</w:t>
      </w:r>
      <w:r w:rsidR="00144D25" w:rsidRPr="000F4CA5">
        <w:t>s</w:t>
      </w:r>
      <w:r w:rsidR="00144D25">
        <w:t xml:space="preserve">). The legislation would not specify licence </w:t>
      </w:r>
      <w:r w:rsidR="005B799B">
        <w:t>categories</w:t>
      </w:r>
      <w:r w:rsidR="00144D25">
        <w:t xml:space="preserve">. Instead, it would provide the ACMA with maximum flexibility to design licences around a set of </w:t>
      </w:r>
      <w:r w:rsidR="00144D25" w:rsidRPr="000F4CA5">
        <w:t xml:space="preserve">prescribed </w:t>
      </w:r>
      <w:r w:rsidR="00144D25">
        <w:t xml:space="preserve">parameters which would be specified in legislation – </w:t>
      </w:r>
      <w:r w:rsidR="00144D25" w:rsidRPr="000F4CA5">
        <w:t xml:space="preserve">such as </w:t>
      </w:r>
      <w:r w:rsidR="00144D25">
        <w:t>frequency and geographic location, licence term</w:t>
      </w:r>
      <w:r w:rsidR="00144D25" w:rsidRPr="000F4CA5">
        <w:t>, renewal</w:t>
      </w:r>
      <w:r w:rsidR="00144D25">
        <w:t xml:space="preserve"> presumptions</w:t>
      </w:r>
      <w:r w:rsidR="00144D25" w:rsidRPr="000F4CA5">
        <w:t>, power limits</w:t>
      </w:r>
      <w:r w:rsidR="0035010C">
        <w:t xml:space="preserve"> and other factors that describe how the device or service can be operated</w:t>
      </w:r>
      <w:r w:rsidR="00144D25">
        <w:t>, spectrum sharing or exclusivity</w:t>
      </w:r>
      <w:r w:rsidR="00144D25" w:rsidRPr="000F4CA5">
        <w:t xml:space="preserve"> and pricing</w:t>
      </w:r>
      <w:r w:rsidR="00144D25">
        <w:t xml:space="preserve">. </w:t>
      </w:r>
    </w:p>
    <w:p w14:paraId="0D93B684" w14:textId="6C5E6A1A" w:rsidR="00144D25" w:rsidRDefault="00144D25" w:rsidP="00144D25">
      <w:pPr>
        <w:pStyle w:val="BodyText"/>
        <w:spacing w:before="120" w:after="120"/>
      </w:pPr>
      <w:r>
        <w:t xml:space="preserve">This </w:t>
      </w:r>
      <w:r w:rsidR="00F64899">
        <w:t xml:space="preserve">approach </w:t>
      </w:r>
      <w:r>
        <w:t xml:space="preserve">is intended to break down the ‘hard’ legislative barriers between licence </w:t>
      </w:r>
      <w:r w:rsidR="0035010C">
        <w:t xml:space="preserve">categories </w:t>
      </w:r>
      <w:r>
        <w:t xml:space="preserve">(especially apparatus and spectrum </w:t>
      </w:r>
      <w:r w:rsidR="0035010C">
        <w:t>licences</w:t>
      </w:r>
      <w:r>
        <w:t>) and provide the ACMA with the tools to respond more effectively to challenges as technologies continue to develop and demand for spectrum increases.</w:t>
      </w:r>
      <w:r w:rsidR="007E2C03">
        <w:t xml:space="preserve"> Breaking down these barriers </w:t>
      </w:r>
      <w:r w:rsidR="00F64899">
        <w:t>increases flexibility including to standardis</w:t>
      </w:r>
      <w:r w:rsidR="00010547">
        <w:t>e</w:t>
      </w:r>
      <w:r w:rsidR="00F64899">
        <w:t xml:space="preserve"> some </w:t>
      </w:r>
      <w:r w:rsidR="007E2C03">
        <w:t xml:space="preserve">spectrum access rights </w:t>
      </w:r>
      <w:r w:rsidR="00010547">
        <w:t>an</w:t>
      </w:r>
      <w:r w:rsidR="00F64899">
        <w:t xml:space="preserve">d therefore </w:t>
      </w:r>
      <w:r w:rsidR="007E2C03">
        <w:t>facilitating secondary trading of licences</w:t>
      </w:r>
      <w:r w:rsidR="00F64899">
        <w:t xml:space="preserve">. There will also be </w:t>
      </w:r>
      <w:r w:rsidR="0035010C">
        <w:t xml:space="preserve">reduction </w:t>
      </w:r>
      <w:r w:rsidR="00F64899">
        <w:t xml:space="preserve">of </w:t>
      </w:r>
      <w:r w:rsidR="00A67332">
        <w:t>red tape</w:t>
      </w:r>
      <w:r w:rsidR="00F64899">
        <w:t xml:space="preserve"> associated with managing </w:t>
      </w:r>
      <w:r w:rsidR="0035010C">
        <w:t>the licensing and allocation of three licence categories</w:t>
      </w:r>
      <w:r w:rsidR="007E2C03">
        <w:t>.</w:t>
      </w:r>
    </w:p>
    <w:p w14:paraId="76CD9BF9" w14:textId="36A52DF3" w:rsidR="00144D25" w:rsidRDefault="00EB444F" w:rsidP="00144D25">
      <w:pPr>
        <w:pStyle w:val="BodyText"/>
        <w:spacing w:before="120" w:after="120"/>
      </w:pPr>
      <w:r>
        <w:t xml:space="preserve">Implementation of </w:t>
      </w:r>
      <w:r w:rsidR="00F64899">
        <w:t xml:space="preserve">the proposed new </w:t>
      </w:r>
      <w:r w:rsidR="00144D25">
        <w:t>licensing framework</w:t>
      </w:r>
      <w:r>
        <w:t xml:space="preserve"> would be progressive and consultative, and </w:t>
      </w:r>
      <w:r w:rsidR="00F64899">
        <w:t xml:space="preserve">where required guided through Government </w:t>
      </w:r>
      <w:r>
        <w:t>policy statements.</w:t>
      </w:r>
      <w:r w:rsidR="00144D25">
        <w:t xml:space="preserve"> </w:t>
      </w:r>
      <w:r>
        <w:t>T</w:t>
      </w:r>
      <w:r w:rsidR="00144D25">
        <w:t xml:space="preserve">he ACMA would </w:t>
      </w:r>
      <w:r>
        <w:t xml:space="preserve">report on progress through its annual work program. </w:t>
      </w:r>
      <w:r w:rsidR="00D97E56">
        <w:t>It is anticipated that the ACMA would</w:t>
      </w:r>
      <w:r>
        <w:t xml:space="preserve"> </w:t>
      </w:r>
      <w:r w:rsidR="00144D25">
        <w:t xml:space="preserve">specify ‘standard’ licensing conditions to provide guidance to spectrum users and consistency of treatment. The ACMA would also have the capacity to develop bespoke solutions where necessary.  </w:t>
      </w:r>
      <w:r w:rsidR="009239A4">
        <w:t>T</w:t>
      </w:r>
      <w:r w:rsidR="00144D25">
        <w:t>he intention</w:t>
      </w:r>
      <w:r w:rsidR="009239A4">
        <w:t xml:space="preserve"> is </w:t>
      </w:r>
      <w:r w:rsidR="00144D25">
        <w:t xml:space="preserve">to ensure the </w:t>
      </w:r>
      <w:r w:rsidR="00D97E56">
        <w:t xml:space="preserve">licensing framework </w:t>
      </w:r>
      <w:r w:rsidR="00144D25">
        <w:t>is simplified and the number of required legislative instruments is kept to a minimum.</w:t>
      </w:r>
    </w:p>
    <w:p w14:paraId="48E59E3C" w14:textId="24D77CD5" w:rsidR="00144D25" w:rsidRPr="001F5CA7" w:rsidRDefault="00144D25" w:rsidP="00144D25">
      <w:pPr>
        <w:pStyle w:val="BodyText"/>
        <w:spacing w:before="120" w:after="120"/>
      </w:pPr>
      <w:r>
        <w:t>A maximum licence term, proposed as 15 years, would be specified in the legislation. This is equivalent to the current maximum</w:t>
      </w:r>
      <w:r w:rsidR="00F64899">
        <w:t xml:space="preserve"> term for spectrum licences. This </w:t>
      </w:r>
      <w:r w:rsidR="0035010C">
        <w:t xml:space="preserve">period </w:t>
      </w:r>
      <w:r w:rsidR="00F64899">
        <w:t xml:space="preserve">is proposed to </w:t>
      </w:r>
      <w:r>
        <w:t>strike a balance between providing investment confidence and flexibility to enable spectrum to be replanned so that it moves to the most beneficial use (internationally maximum licence terms range between 10 and 25 years). Within the constraint of policy directions / guidance the ACMA would have the discretion</w:t>
      </w:r>
      <w:r w:rsidRPr="001F5CA7">
        <w:t xml:space="preserve"> to select </w:t>
      </w:r>
      <w:r>
        <w:t>licence terms up to the maximum that are appropriate to the</w:t>
      </w:r>
      <w:r w:rsidRPr="001F5CA7">
        <w:t xml:space="preserve"> licence purpose, suit technology </w:t>
      </w:r>
      <w:r w:rsidR="004043D3">
        <w:t xml:space="preserve">and investment </w:t>
      </w:r>
      <w:r w:rsidRPr="001F5CA7">
        <w:t>cycle</w:t>
      </w:r>
      <w:r>
        <w:t>s</w:t>
      </w:r>
      <w:r w:rsidRPr="001F5CA7">
        <w:t xml:space="preserve"> and allow for planning changes</w:t>
      </w:r>
      <w:r>
        <w:t>. Changes of use</w:t>
      </w:r>
      <w:r w:rsidR="00707307">
        <w:t xml:space="preserve"> </w:t>
      </w:r>
      <w:r w:rsidR="00EB444F">
        <w:t>and</w:t>
      </w:r>
      <w:r w:rsidR="00707307">
        <w:t xml:space="preserve"> replanning </w:t>
      </w:r>
      <w:r w:rsidR="00EB444F">
        <w:t>of spectrum</w:t>
      </w:r>
      <w:r>
        <w:t xml:space="preserve"> would </w:t>
      </w:r>
      <w:r w:rsidRPr="001F5CA7">
        <w:t>primarily be managed through appropriate use of licence terms.</w:t>
      </w:r>
      <w:r>
        <w:t xml:space="preserve"> </w:t>
      </w:r>
    </w:p>
    <w:p w14:paraId="2BF44A86" w14:textId="4426C023" w:rsidR="00144D25" w:rsidRDefault="00144D25" w:rsidP="00144D25">
      <w:pPr>
        <w:spacing w:before="120" w:after="120"/>
      </w:pPr>
      <w:r>
        <w:t>It is proposed that renewal of licence</w:t>
      </w:r>
      <w:r w:rsidR="0035010C">
        <w:t>s</w:t>
      </w:r>
      <w:r>
        <w:t xml:space="preserve"> </w:t>
      </w:r>
      <w:r w:rsidR="00C62A5A">
        <w:t xml:space="preserve">would </w:t>
      </w:r>
      <w:r>
        <w:t xml:space="preserve">also be a parameter. The legislation </w:t>
      </w:r>
      <w:r w:rsidR="00C62A5A">
        <w:t xml:space="preserve">would </w:t>
      </w:r>
      <w:r>
        <w:t>specify circumstances where the ACMA is not required to renew a licence in the event the licence provides for a presumption of renewal. Grounds not to renew could include</w:t>
      </w:r>
      <w:r w:rsidRPr="006708E2">
        <w:t xml:space="preserve"> </w:t>
      </w:r>
      <w:r>
        <w:t xml:space="preserve">that </w:t>
      </w:r>
      <w:r w:rsidRPr="006708E2">
        <w:t xml:space="preserve">replanning </w:t>
      </w:r>
      <w:r>
        <w:t xml:space="preserve">is </w:t>
      </w:r>
      <w:r w:rsidRPr="006708E2">
        <w:t xml:space="preserve">required, </w:t>
      </w:r>
      <w:r>
        <w:t>the licensee is unable to demonstrate effective use of the spectrum</w:t>
      </w:r>
      <w:r w:rsidRPr="006708E2">
        <w:t xml:space="preserve">, </w:t>
      </w:r>
      <w:r>
        <w:t xml:space="preserve">there has been a </w:t>
      </w:r>
      <w:r w:rsidRPr="006708E2">
        <w:t>breach of licence conditions</w:t>
      </w:r>
      <w:r>
        <w:t xml:space="preserve"> </w:t>
      </w:r>
      <w:r w:rsidRPr="006708E2">
        <w:t>or renewal</w:t>
      </w:r>
      <w:r>
        <w:t xml:space="preserve"> is </w:t>
      </w:r>
      <w:r w:rsidRPr="006708E2">
        <w:t>otherwise not in the public interest</w:t>
      </w:r>
      <w:r>
        <w:t xml:space="preserve">.  </w:t>
      </w:r>
      <w:r w:rsidR="0035010C">
        <w:t xml:space="preserve">Specified grounds could be complemented by a general Ministerial power to determine additional grounds. </w:t>
      </w:r>
      <w:r>
        <w:t xml:space="preserve">Specifying grounds in the legislation </w:t>
      </w:r>
      <w:r w:rsidR="00C62A5A">
        <w:t xml:space="preserve">would </w:t>
      </w:r>
      <w:r>
        <w:t>provide transparency and certainty for users, as well as flexibility to enable replanning. No compensation would be payable if the ACMA decides not to renew a licence.</w:t>
      </w:r>
    </w:p>
    <w:p w14:paraId="2FF6DD8C" w14:textId="77777777" w:rsidR="00DF26D2" w:rsidRDefault="00DF26D2" w:rsidP="00BA5A21">
      <w:pPr>
        <w:pStyle w:val="Heading2"/>
        <w:numPr>
          <w:ilvl w:val="1"/>
          <w:numId w:val="0"/>
        </w:numPr>
        <w:ind w:left="907" w:hanging="907"/>
      </w:pPr>
      <w:bookmarkStart w:id="22" w:name="_Toc401237567"/>
      <w:r>
        <w:t>Allocation</w:t>
      </w:r>
      <w:r w:rsidR="00EA1144">
        <w:t xml:space="preserve"> and reallocation</w:t>
      </w:r>
      <w:bookmarkEnd w:id="22"/>
    </w:p>
    <w:p w14:paraId="2FF6DD8D" w14:textId="1DA5C826" w:rsidR="00BA5A21" w:rsidRPr="00170974" w:rsidRDefault="00DF26D2" w:rsidP="00170974">
      <w:pPr>
        <w:pStyle w:val="Bodytext-Indent"/>
        <w:ind w:left="0"/>
        <w:rPr>
          <w:b/>
          <w:color w:val="32859D" w:themeColor="text2" w:themeShade="80"/>
        </w:rPr>
      </w:pPr>
      <w:bookmarkStart w:id="23" w:name="_Toc399422696"/>
      <w:bookmarkStart w:id="24" w:name="_Toc400017408"/>
      <w:bookmarkStart w:id="25" w:name="_Toc400018071"/>
      <w:bookmarkStart w:id="26" w:name="_Toc400441475"/>
      <w:r w:rsidRPr="00170974">
        <w:rPr>
          <w:b/>
          <w:color w:val="32859D" w:themeColor="text2" w:themeShade="80"/>
        </w:rPr>
        <w:t xml:space="preserve">Proposal </w:t>
      </w:r>
      <w:r w:rsidR="008A253A" w:rsidRPr="00170974">
        <w:rPr>
          <w:b/>
          <w:color w:val="32859D" w:themeColor="text2" w:themeShade="80"/>
        </w:rPr>
        <w:t>3</w:t>
      </w:r>
      <w:r w:rsidRPr="00170974">
        <w:rPr>
          <w:b/>
          <w:color w:val="32859D" w:themeColor="text2" w:themeShade="80"/>
        </w:rPr>
        <w:t xml:space="preserve">: More flexible allocation </w:t>
      </w:r>
      <w:r w:rsidR="00EA1144" w:rsidRPr="00170974">
        <w:rPr>
          <w:b/>
          <w:color w:val="32859D" w:themeColor="text2" w:themeShade="80"/>
        </w:rPr>
        <w:t xml:space="preserve">and reallocation </w:t>
      </w:r>
      <w:r w:rsidRPr="00170974">
        <w:rPr>
          <w:b/>
          <w:color w:val="32859D" w:themeColor="text2" w:themeShade="80"/>
        </w:rPr>
        <w:t>processes</w:t>
      </w:r>
      <w:bookmarkEnd w:id="23"/>
      <w:bookmarkEnd w:id="24"/>
      <w:bookmarkEnd w:id="25"/>
      <w:bookmarkEnd w:id="26"/>
      <w:r w:rsidR="00BA5A21" w:rsidRPr="00170974">
        <w:rPr>
          <w:b/>
          <w:color w:val="32859D" w:themeColor="text2" w:themeShade="80"/>
        </w:rPr>
        <w:t xml:space="preserve"> </w:t>
      </w:r>
    </w:p>
    <w:p w14:paraId="2FF6DD8E" w14:textId="40E8BB52" w:rsidR="00F94124" w:rsidRDefault="00332BBB" w:rsidP="00F94124">
      <w:pPr>
        <w:pStyle w:val="ListParagraph"/>
        <w:numPr>
          <w:ilvl w:val="0"/>
          <w:numId w:val="30"/>
        </w:numPr>
        <w:spacing w:after="200" w:line="276" w:lineRule="auto"/>
        <w:rPr>
          <w:i/>
        </w:rPr>
      </w:pPr>
      <w:r>
        <w:rPr>
          <w:i/>
        </w:rPr>
        <w:t xml:space="preserve">Provide </w:t>
      </w:r>
      <w:r w:rsidR="00C67557">
        <w:rPr>
          <w:i/>
        </w:rPr>
        <w:t xml:space="preserve">the </w:t>
      </w:r>
      <w:r w:rsidR="00F94124">
        <w:rPr>
          <w:i/>
        </w:rPr>
        <w:t xml:space="preserve">ACMA </w:t>
      </w:r>
      <w:r>
        <w:rPr>
          <w:i/>
        </w:rPr>
        <w:t>with greater flexibility</w:t>
      </w:r>
      <w:r w:rsidR="00F94124">
        <w:rPr>
          <w:i/>
        </w:rPr>
        <w:t xml:space="preserve"> to determine the most appropriate allocation process </w:t>
      </w:r>
      <w:r w:rsidR="00497EC2">
        <w:rPr>
          <w:i/>
        </w:rPr>
        <w:t>and method.</w:t>
      </w:r>
    </w:p>
    <w:p w14:paraId="2FF6DD8F" w14:textId="7283AF4B" w:rsidR="00DF26D2" w:rsidRDefault="00C67557" w:rsidP="00F94124">
      <w:pPr>
        <w:pStyle w:val="ListParagraph"/>
        <w:numPr>
          <w:ilvl w:val="0"/>
          <w:numId w:val="30"/>
        </w:numPr>
        <w:spacing w:before="0" w:after="200" w:line="276" w:lineRule="auto"/>
        <w:rPr>
          <w:i/>
        </w:rPr>
      </w:pPr>
      <w:r>
        <w:rPr>
          <w:i/>
        </w:rPr>
        <w:t xml:space="preserve">The </w:t>
      </w:r>
      <w:r w:rsidR="00DF26D2">
        <w:rPr>
          <w:i/>
        </w:rPr>
        <w:t>ACMA’s annual work program to specify timing of allocation processes</w:t>
      </w:r>
      <w:r w:rsidR="006C0342">
        <w:rPr>
          <w:i/>
        </w:rPr>
        <w:t xml:space="preserve"> and </w:t>
      </w:r>
      <w:r w:rsidR="00402712">
        <w:rPr>
          <w:i/>
        </w:rPr>
        <w:t xml:space="preserve">the </w:t>
      </w:r>
      <w:r w:rsidR="006C0342">
        <w:rPr>
          <w:i/>
        </w:rPr>
        <w:t>ACMA to report against these.</w:t>
      </w:r>
    </w:p>
    <w:p w14:paraId="2FF6DD90" w14:textId="046E6C0E" w:rsidR="00CC578D" w:rsidRDefault="00C67557" w:rsidP="00F94124">
      <w:pPr>
        <w:pStyle w:val="ListParagraph"/>
        <w:numPr>
          <w:ilvl w:val="0"/>
          <w:numId w:val="30"/>
        </w:numPr>
        <w:spacing w:before="0" w:after="200" w:line="276" w:lineRule="auto"/>
        <w:rPr>
          <w:i/>
        </w:rPr>
      </w:pPr>
      <w:r>
        <w:rPr>
          <w:i/>
        </w:rPr>
        <w:t xml:space="preserve">Allow the </w:t>
      </w:r>
      <w:r w:rsidR="00F94124">
        <w:rPr>
          <w:i/>
        </w:rPr>
        <w:t xml:space="preserve">ACMA to </w:t>
      </w:r>
      <w:r w:rsidR="006C0342">
        <w:rPr>
          <w:i/>
        </w:rPr>
        <w:t xml:space="preserve">reallocate spectrum without the need for a Ministerial determination. </w:t>
      </w:r>
    </w:p>
    <w:p w14:paraId="2FF6DD91" w14:textId="77777777" w:rsidR="00F94124" w:rsidRDefault="00332BBB" w:rsidP="006C10FE">
      <w:pPr>
        <w:pStyle w:val="ListParagraph"/>
        <w:numPr>
          <w:ilvl w:val="0"/>
          <w:numId w:val="30"/>
        </w:numPr>
        <w:spacing w:before="0" w:after="200" w:line="276" w:lineRule="auto"/>
        <w:rPr>
          <w:i/>
        </w:rPr>
      </w:pPr>
      <w:r>
        <w:rPr>
          <w:i/>
        </w:rPr>
        <w:t>Manage c</w:t>
      </w:r>
      <w:r w:rsidR="006C0342" w:rsidRPr="00CC578D">
        <w:rPr>
          <w:i/>
        </w:rPr>
        <w:t>hanges of use by setting appropriate licence terms that allow for replanning.</w:t>
      </w:r>
      <w:r w:rsidR="002320BF">
        <w:rPr>
          <w:i/>
        </w:rPr>
        <w:t xml:space="preserve"> </w:t>
      </w:r>
    </w:p>
    <w:p w14:paraId="2FF6DD92" w14:textId="3B6701FF" w:rsidR="00F94124" w:rsidRPr="000333CD" w:rsidRDefault="00332BBB" w:rsidP="00F94124">
      <w:pPr>
        <w:pStyle w:val="ListParagraph"/>
        <w:numPr>
          <w:ilvl w:val="0"/>
          <w:numId w:val="30"/>
        </w:numPr>
        <w:spacing w:before="120" w:after="120" w:line="276" w:lineRule="auto"/>
        <w:rPr>
          <w:i/>
        </w:rPr>
      </w:pPr>
      <w:r>
        <w:rPr>
          <w:i/>
        </w:rPr>
        <w:t xml:space="preserve">Authorise </w:t>
      </w:r>
      <w:r w:rsidR="00C67557">
        <w:rPr>
          <w:i/>
        </w:rPr>
        <w:t xml:space="preserve">the </w:t>
      </w:r>
      <w:r w:rsidR="00F94124">
        <w:rPr>
          <w:i/>
        </w:rPr>
        <w:t>ACMA to allocate encumbered spectrum enabling incumbent users to continue operating in the band following reallocation</w:t>
      </w:r>
      <w:r w:rsidR="006C0342">
        <w:rPr>
          <w:i/>
        </w:rPr>
        <w:t>.</w:t>
      </w:r>
    </w:p>
    <w:p w14:paraId="2FF6DD93" w14:textId="38447673" w:rsidR="00402712" w:rsidRDefault="00332BBB" w:rsidP="00F94124">
      <w:pPr>
        <w:spacing w:before="120" w:after="120"/>
      </w:pPr>
      <w:r>
        <w:t>The move to</w:t>
      </w:r>
      <w:r w:rsidR="00402712">
        <w:t xml:space="preserve"> a single licensing framework </w:t>
      </w:r>
      <w:r w:rsidR="00C62A5A">
        <w:t xml:space="preserve">would </w:t>
      </w:r>
      <w:r>
        <w:t>substantially assist with st</w:t>
      </w:r>
      <w:r w:rsidR="0035010C">
        <w:t>r</w:t>
      </w:r>
      <w:r>
        <w:t xml:space="preserve">eamlining the </w:t>
      </w:r>
      <w:r w:rsidR="002B4A0B">
        <w:t xml:space="preserve">allocation and reallocation processes that are </w:t>
      </w:r>
      <w:r>
        <w:t xml:space="preserve">currently </w:t>
      </w:r>
      <w:r w:rsidR="002B4A0B">
        <w:t>specific to the</w:t>
      </w:r>
      <w:r>
        <w:t xml:space="preserve"> particular</w:t>
      </w:r>
      <w:r w:rsidR="002B4A0B">
        <w:t xml:space="preserve"> licence </w:t>
      </w:r>
      <w:r w:rsidR="0035010C">
        <w:t>category</w:t>
      </w:r>
      <w:r w:rsidR="00402712">
        <w:t xml:space="preserve">. </w:t>
      </w:r>
      <w:r>
        <w:t xml:space="preserve">For example, this </w:t>
      </w:r>
      <w:r w:rsidR="00C62A5A">
        <w:t xml:space="preserve">would </w:t>
      </w:r>
      <w:r>
        <w:t>remove the need for the existing detailed legislative process required to convert an apparatus licence into a spectrum licence.</w:t>
      </w:r>
      <w:r w:rsidR="00826034">
        <w:t xml:space="preserve"> Instead, replanning and reallocation would be </w:t>
      </w:r>
      <w:r w:rsidR="0035010C">
        <w:t xml:space="preserve">facilitated </w:t>
      </w:r>
      <w:r w:rsidR="00826034">
        <w:t>through the appropriate use of licence terms.</w:t>
      </w:r>
    </w:p>
    <w:p w14:paraId="2FF6DD94" w14:textId="6289D826" w:rsidR="001D7024" w:rsidRDefault="00332BBB" w:rsidP="00F94124">
      <w:pPr>
        <w:spacing w:before="120" w:after="120"/>
      </w:pPr>
      <w:r>
        <w:t xml:space="preserve">The allocation process </w:t>
      </w:r>
      <w:r w:rsidR="00C67557">
        <w:t>w</w:t>
      </w:r>
      <w:r>
        <w:t xml:space="preserve">ould be further improved by the </w:t>
      </w:r>
      <w:r w:rsidR="00826034">
        <w:t>proposal to give</w:t>
      </w:r>
      <w:r w:rsidR="001D7024">
        <w:t xml:space="preserve"> </w:t>
      </w:r>
      <w:r w:rsidR="00402712">
        <w:t>the</w:t>
      </w:r>
      <w:r w:rsidR="001D7024">
        <w:t xml:space="preserve"> ACMA </w:t>
      </w:r>
      <w:r w:rsidR="00402712">
        <w:t xml:space="preserve">the discretion to </w:t>
      </w:r>
      <w:r w:rsidR="00826034">
        <w:t>determine the allocation mechanism and process it deems appropriate.  Whilst the ACMA already has some flexibility in re</w:t>
      </w:r>
      <w:r w:rsidR="00740CE1">
        <w:t>s</w:t>
      </w:r>
      <w:r w:rsidR="00826034">
        <w:t>pect to the spectrum licence allocation process (for example</w:t>
      </w:r>
      <w:r w:rsidR="000F4014">
        <w:t>,</w:t>
      </w:r>
      <w:r w:rsidR="00826034">
        <w:t xml:space="preserve"> by auction, tender or administrative allocation), with the single licensing framework this </w:t>
      </w:r>
      <w:r w:rsidR="00C62A5A">
        <w:t xml:space="preserve">would </w:t>
      </w:r>
      <w:r w:rsidR="00826034">
        <w:t xml:space="preserve">extend to all licences. </w:t>
      </w:r>
      <w:r w:rsidR="00546DF1">
        <w:t>P</w:t>
      </w:r>
      <w:r w:rsidR="00826034">
        <w:t xml:space="preserve">roviding </w:t>
      </w:r>
      <w:r w:rsidR="00CA5DF7">
        <w:t xml:space="preserve">the </w:t>
      </w:r>
      <w:r w:rsidR="00826034">
        <w:t xml:space="preserve">ACMA with greater flexibility to determine the allocation process </w:t>
      </w:r>
      <w:r w:rsidR="00C62A5A">
        <w:t xml:space="preserve">would </w:t>
      </w:r>
      <w:r w:rsidR="00546DF1">
        <w:t xml:space="preserve">also </w:t>
      </w:r>
      <w:r w:rsidR="00826034">
        <w:t>enable it to select other alternatives, such as incentive auctions.</w:t>
      </w:r>
      <w:r w:rsidR="001D7024">
        <w:t xml:space="preserve"> </w:t>
      </w:r>
    </w:p>
    <w:p w14:paraId="0FDE899C" w14:textId="2BD2EB51" w:rsidR="00546DF1" w:rsidRDefault="001D7024" w:rsidP="00F94124">
      <w:pPr>
        <w:spacing w:before="120" w:after="120"/>
      </w:pPr>
      <w:r>
        <w:t xml:space="preserve">Rather than specifying an allocation period in legislation, the ACMA would be required to specify </w:t>
      </w:r>
      <w:r w:rsidR="0014257C">
        <w:t xml:space="preserve">allocation </w:t>
      </w:r>
      <w:r>
        <w:t>timing in the procedures it develops for particular allocations, and to set a target for the timing of proposed allocations and reallocations in its annual work program against which it would report. Th</w:t>
      </w:r>
      <w:r w:rsidR="000C4F3F">
        <w:t>e latter arrangement</w:t>
      </w:r>
      <w:r>
        <w:t xml:space="preserve"> would provide </w:t>
      </w:r>
      <w:r w:rsidR="00EC6DD8">
        <w:t>guidance to spectrum users and government on how long these processes are expected to take</w:t>
      </w:r>
      <w:r>
        <w:t xml:space="preserve"> </w:t>
      </w:r>
      <w:r w:rsidR="0014257C">
        <w:t>and</w:t>
      </w:r>
      <w:r>
        <w:t xml:space="preserve"> accountability if timing diverges from </w:t>
      </w:r>
      <w:r w:rsidR="0035010C">
        <w:t>estimates.</w:t>
      </w:r>
    </w:p>
    <w:p w14:paraId="2FF6DD96" w14:textId="1D2315D1" w:rsidR="001D7024" w:rsidRDefault="00F94124" w:rsidP="00F94124">
      <w:pPr>
        <w:spacing w:before="120" w:after="120"/>
      </w:pPr>
      <w:r w:rsidRPr="00B0365A">
        <w:t>The ACMA</w:t>
      </w:r>
      <w:r>
        <w:t xml:space="preserve"> </w:t>
      </w:r>
      <w:r w:rsidR="00C67557">
        <w:t>would</w:t>
      </w:r>
      <w:r>
        <w:t xml:space="preserve"> have the authority to re</w:t>
      </w:r>
      <w:r w:rsidR="001D7024">
        <w:t xml:space="preserve">allocate spectrum </w:t>
      </w:r>
      <w:r>
        <w:t>without Ministerial involvement</w:t>
      </w:r>
      <w:r w:rsidR="00EC6DD8">
        <w:t>, a</w:t>
      </w:r>
      <w:r w:rsidR="001D7024">
        <w:t xml:space="preserve">lthough the Minister would have the ability to direct </w:t>
      </w:r>
      <w:r w:rsidR="0035010C">
        <w:t xml:space="preserve">the ACMA </w:t>
      </w:r>
      <w:r w:rsidR="001D7024">
        <w:t xml:space="preserve">on this issue if considered </w:t>
      </w:r>
      <w:r w:rsidR="007D766A">
        <w:t>appropriate</w:t>
      </w:r>
      <w:r w:rsidR="001D7024">
        <w:t>.</w:t>
      </w:r>
      <w:r>
        <w:t xml:space="preserve"> </w:t>
      </w:r>
    </w:p>
    <w:p w14:paraId="2FF6DD97" w14:textId="245795B6" w:rsidR="000A12BB" w:rsidRDefault="00BE1DB8" w:rsidP="000A12BB">
      <w:pPr>
        <w:spacing w:before="120" w:after="120"/>
      </w:pPr>
      <w:r>
        <w:t>T</w:t>
      </w:r>
      <w:r w:rsidR="00F94124">
        <w:t xml:space="preserve">he ACMA </w:t>
      </w:r>
      <w:r w:rsidR="002B4A0B">
        <w:t xml:space="preserve">would </w:t>
      </w:r>
      <w:r>
        <w:t>also</w:t>
      </w:r>
      <w:r w:rsidR="002B4A0B">
        <w:t xml:space="preserve"> </w:t>
      </w:r>
      <w:r w:rsidR="00826034">
        <w:t>have the a</w:t>
      </w:r>
      <w:r w:rsidR="009239A4">
        <w:t xml:space="preserve">uthority </w:t>
      </w:r>
      <w:r w:rsidR="002B4A0B">
        <w:t>to</w:t>
      </w:r>
      <w:r w:rsidR="00F94124">
        <w:t xml:space="preserve"> allocate licences that are encumbered</w:t>
      </w:r>
      <w:r w:rsidR="00360D6F">
        <w:t xml:space="preserve"> </w:t>
      </w:r>
      <w:r w:rsidR="00F94124">
        <w:t>that is</w:t>
      </w:r>
      <w:r w:rsidR="00A84A77">
        <w:t>,</w:t>
      </w:r>
      <w:r w:rsidR="00F94124">
        <w:t xml:space="preserve"> sell licences with incumbent users and devices in place. This approach </w:t>
      </w:r>
      <w:r w:rsidR="00EC6DD8">
        <w:t>is</w:t>
      </w:r>
      <w:r w:rsidR="00826034">
        <w:t xml:space="preserve"> not intended to alter incumbents</w:t>
      </w:r>
      <w:r w:rsidR="00740CE1">
        <w:t>’</w:t>
      </w:r>
      <w:r w:rsidR="00826034">
        <w:t xml:space="preserve"> existing rights </w:t>
      </w:r>
      <w:r w:rsidR="00A84A77">
        <w:t xml:space="preserve">(that is, licensees would not have their licensing arrangements changed during the licence term) </w:t>
      </w:r>
      <w:r w:rsidR="00826034">
        <w:t>but rather</w:t>
      </w:r>
      <w:r w:rsidR="00F94124">
        <w:t xml:space="preserve"> </w:t>
      </w:r>
      <w:r w:rsidR="00EC6DD8">
        <w:t xml:space="preserve">provide flexibility for </w:t>
      </w:r>
      <w:r w:rsidR="00826034">
        <w:t xml:space="preserve">both existing and future </w:t>
      </w:r>
      <w:r w:rsidR="00EC6DD8">
        <w:t>spectrum users</w:t>
      </w:r>
      <w:r w:rsidR="00740CE1">
        <w:t xml:space="preserve"> to encourage higher value use of the spectrum. This </w:t>
      </w:r>
      <w:r w:rsidR="00C62A5A">
        <w:t xml:space="preserve">would </w:t>
      </w:r>
      <w:r w:rsidR="00740CE1">
        <w:t>also</w:t>
      </w:r>
      <w:r w:rsidR="00EC6DD8">
        <w:t xml:space="preserve"> provid</w:t>
      </w:r>
      <w:r w:rsidR="00740CE1">
        <w:t>e</w:t>
      </w:r>
      <w:r w:rsidR="00F94124">
        <w:t xml:space="preserve"> </w:t>
      </w:r>
      <w:r w:rsidR="0035010C">
        <w:t>for the emergence of</w:t>
      </w:r>
      <w:r w:rsidR="00F94124">
        <w:t xml:space="preserve"> private band managers</w:t>
      </w:r>
      <w:r w:rsidR="00A84A77">
        <w:t xml:space="preserve"> (see Case Study 2)</w:t>
      </w:r>
      <w:r w:rsidR="00F94124">
        <w:t xml:space="preserve">. </w:t>
      </w:r>
    </w:p>
    <w:p w14:paraId="2FF6DD98" w14:textId="37152E9E" w:rsidR="000A12BB" w:rsidRDefault="006778DC" w:rsidP="000A12BB">
      <w:pPr>
        <w:pStyle w:val="Heading2"/>
        <w:numPr>
          <w:ilvl w:val="1"/>
          <w:numId w:val="0"/>
        </w:numPr>
        <w:ind w:left="907" w:hanging="907"/>
      </w:pPr>
      <w:bookmarkStart w:id="27" w:name="_Toc401237568"/>
      <w:r>
        <w:t>P</w:t>
      </w:r>
      <w:r w:rsidR="00BA5A21">
        <w:t>ric</w:t>
      </w:r>
      <w:r>
        <w:t>ing</w:t>
      </w:r>
      <w:r w:rsidR="00064734">
        <w:t xml:space="preserve"> and market information</w:t>
      </w:r>
      <w:bookmarkEnd w:id="27"/>
    </w:p>
    <w:p w14:paraId="2FF6DD9E" w14:textId="7ACC4B1A" w:rsidR="00064734" w:rsidRPr="00170974" w:rsidRDefault="00064734" w:rsidP="00170974">
      <w:pPr>
        <w:pStyle w:val="Bodytext-Indent"/>
        <w:ind w:left="0"/>
        <w:rPr>
          <w:b/>
          <w:color w:val="32859D" w:themeColor="text2" w:themeShade="80"/>
        </w:rPr>
      </w:pPr>
      <w:bookmarkStart w:id="28" w:name="_Toc400017411"/>
      <w:bookmarkStart w:id="29" w:name="_Toc400018074"/>
      <w:bookmarkStart w:id="30" w:name="_Toc400441478"/>
      <w:r w:rsidRPr="00170974">
        <w:rPr>
          <w:b/>
          <w:color w:val="32859D" w:themeColor="text2" w:themeShade="80"/>
        </w:rPr>
        <w:t xml:space="preserve">Proposal </w:t>
      </w:r>
      <w:r w:rsidR="008A253A" w:rsidRPr="00170974">
        <w:rPr>
          <w:b/>
          <w:color w:val="32859D" w:themeColor="text2" w:themeShade="80"/>
        </w:rPr>
        <w:t>4</w:t>
      </w:r>
      <w:r w:rsidRPr="00170974">
        <w:rPr>
          <w:b/>
          <w:color w:val="32859D" w:themeColor="text2" w:themeShade="80"/>
        </w:rPr>
        <w:t xml:space="preserve">: </w:t>
      </w:r>
      <w:r w:rsidR="003C1E63">
        <w:rPr>
          <w:b/>
          <w:color w:val="32859D" w:themeColor="text2" w:themeShade="80"/>
        </w:rPr>
        <w:t xml:space="preserve">Establish a more transparent and </w:t>
      </w:r>
      <w:r w:rsidR="004229F8">
        <w:rPr>
          <w:b/>
          <w:color w:val="32859D" w:themeColor="text2" w:themeShade="80"/>
        </w:rPr>
        <w:t>flexible</w:t>
      </w:r>
      <w:r w:rsidR="003C1E63">
        <w:rPr>
          <w:b/>
          <w:color w:val="32859D" w:themeColor="text2" w:themeShade="80"/>
        </w:rPr>
        <w:t xml:space="preserve"> approach for spectrum pricing to promote efficient use and re-use of spectrum </w:t>
      </w:r>
      <w:bookmarkEnd w:id="28"/>
      <w:bookmarkEnd w:id="29"/>
      <w:bookmarkEnd w:id="30"/>
    </w:p>
    <w:p w14:paraId="1CEA15DE" w14:textId="7191EE3C" w:rsidR="003C1E63" w:rsidRDefault="003C1E63" w:rsidP="00064734">
      <w:pPr>
        <w:pStyle w:val="BodyText"/>
        <w:numPr>
          <w:ilvl w:val="0"/>
          <w:numId w:val="25"/>
        </w:numPr>
        <w:spacing w:before="120" w:after="120"/>
        <w:rPr>
          <w:i/>
        </w:rPr>
      </w:pPr>
      <w:r>
        <w:rPr>
          <w:i/>
        </w:rPr>
        <w:t>Prices for spectrum to be market-based, with the ability for Ministerial intervention to determine otherwise on an exception basis</w:t>
      </w:r>
      <w:r w:rsidR="00BA2597">
        <w:rPr>
          <w:i/>
        </w:rPr>
        <w:t>.</w:t>
      </w:r>
    </w:p>
    <w:p w14:paraId="09367AE9" w14:textId="58FE4139" w:rsidR="003C1E63" w:rsidRDefault="003C1E63" w:rsidP="00064734">
      <w:pPr>
        <w:pStyle w:val="BodyText"/>
        <w:numPr>
          <w:ilvl w:val="0"/>
          <w:numId w:val="25"/>
        </w:numPr>
        <w:spacing w:before="120" w:after="120"/>
        <w:rPr>
          <w:i/>
        </w:rPr>
      </w:pPr>
      <w:r w:rsidRPr="003C1E63">
        <w:rPr>
          <w:i/>
        </w:rPr>
        <w:t xml:space="preserve">Pricing for </w:t>
      </w:r>
      <w:r w:rsidR="0035010C">
        <w:rPr>
          <w:i/>
        </w:rPr>
        <w:t>administrative</w:t>
      </w:r>
      <w:r w:rsidRPr="003C1E63">
        <w:rPr>
          <w:i/>
        </w:rPr>
        <w:t xml:space="preserve"> allocations of spectrum to be reviewed, simplified and made consistent and transparent</w:t>
      </w:r>
      <w:r w:rsidR="00BA2597">
        <w:rPr>
          <w:i/>
        </w:rPr>
        <w:t>.</w:t>
      </w:r>
    </w:p>
    <w:p w14:paraId="0FBEB3AF" w14:textId="2D190631" w:rsidR="003C1E63" w:rsidRPr="00064734" w:rsidRDefault="00721EA7" w:rsidP="003C1E63">
      <w:pPr>
        <w:spacing w:before="120" w:after="120"/>
        <w:rPr>
          <w:rFonts w:asciiTheme="minorHAnsi" w:hAnsiTheme="minorHAnsi" w:cstheme="minorHAnsi"/>
        </w:rPr>
      </w:pPr>
      <w:r>
        <w:rPr>
          <w:rFonts w:asciiTheme="minorHAnsi" w:hAnsiTheme="minorHAnsi" w:cstheme="minorHAnsi"/>
        </w:rPr>
        <w:t>Market-determined</w:t>
      </w:r>
      <w:r w:rsidR="009C15C4">
        <w:rPr>
          <w:rFonts w:asciiTheme="minorHAnsi" w:hAnsiTheme="minorHAnsi" w:cstheme="minorHAnsi"/>
        </w:rPr>
        <w:t xml:space="preserve"> or market-equivalent</w:t>
      </w:r>
      <w:r>
        <w:rPr>
          <w:rFonts w:asciiTheme="minorHAnsi" w:hAnsiTheme="minorHAnsi" w:cstheme="minorHAnsi"/>
        </w:rPr>
        <w:t xml:space="preserve"> p</w:t>
      </w:r>
      <w:r w:rsidR="00064734" w:rsidRPr="00064734">
        <w:rPr>
          <w:rFonts w:asciiTheme="minorHAnsi" w:hAnsiTheme="minorHAnsi" w:cstheme="minorHAnsi"/>
        </w:rPr>
        <w:t xml:space="preserve">rices play </w:t>
      </w:r>
      <w:r>
        <w:rPr>
          <w:rFonts w:asciiTheme="minorHAnsi" w:hAnsiTheme="minorHAnsi" w:cstheme="minorHAnsi"/>
        </w:rPr>
        <w:t>a key</w:t>
      </w:r>
      <w:r w:rsidR="00064734" w:rsidRPr="00064734">
        <w:rPr>
          <w:rFonts w:asciiTheme="minorHAnsi" w:hAnsiTheme="minorHAnsi" w:cstheme="minorHAnsi"/>
        </w:rPr>
        <w:t xml:space="preserve"> role in determining </w:t>
      </w:r>
      <w:r w:rsidR="00E62108">
        <w:rPr>
          <w:rFonts w:asciiTheme="minorHAnsi" w:hAnsiTheme="minorHAnsi" w:cstheme="minorHAnsi"/>
        </w:rPr>
        <w:t xml:space="preserve">spectrum </w:t>
      </w:r>
      <w:r w:rsidR="00064734" w:rsidRPr="00064734">
        <w:rPr>
          <w:rFonts w:asciiTheme="minorHAnsi" w:hAnsiTheme="minorHAnsi" w:cstheme="minorHAnsi"/>
        </w:rPr>
        <w:t>value and driving efficient use and reuse</w:t>
      </w:r>
      <w:r w:rsidR="00E62108">
        <w:rPr>
          <w:rFonts w:asciiTheme="minorHAnsi" w:hAnsiTheme="minorHAnsi" w:cstheme="minorHAnsi"/>
        </w:rPr>
        <w:t xml:space="preserve"> of spectrum</w:t>
      </w:r>
      <w:r w:rsidR="00064734" w:rsidRPr="00064734">
        <w:rPr>
          <w:rFonts w:asciiTheme="minorHAnsi" w:hAnsiTheme="minorHAnsi" w:cstheme="minorHAnsi"/>
        </w:rPr>
        <w:t xml:space="preserve">. </w:t>
      </w:r>
      <w:r w:rsidR="009C15C4">
        <w:rPr>
          <w:rFonts w:asciiTheme="minorHAnsi" w:hAnsiTheme="minorHAnsi" w:cstheme="minorHAnsi"/>
        </w:rPr>
        <w:t>Prices for spectrum should in general be market-based</w:t>
      </w:r>
      <w:r w:rsidR="003C1E63">
        <w:rPr>
          <w:rFonts w:asciiTheme="minorHAnsi" w:hAnsiTheme="minorHAnsi" w:cstheme="minorHAnsi"/>
        </w:rPr>
        <w:t xml:space="preserve"> to incentivise efficient use and encourage spectrum to move to its highest value use</w:t>
      </w:r>
      <w:r w:rsidR="009C15C4">
        <w:rPr>
          <w:rFonts w:asciiTheme="minorHAnsi" w:hAnsiTheme="minorHAnsi" w:cstheme="minorHAnsi"/>
        </w:rPr>
        <w:t>.</w:t>
      </w:r>
      <w:r w:rsidR="00050E95">
        <w:rPr>
          <w:rFonts w:asciiTheme="minorHAnsi" w:hAnsiTheme="minorHAnsi" w:cstheme="minorHAnsi"/>
        </w:rPr>
        <w:t xml:space="preserve"> Incentivising greater movement of spectrum in this way has the potential to increase secondary trading of spectrum. </w:t>
      </w:r>
      <w:r w:rsidR="009C15C4">
        <w:rPr>
          <w:rFonts w:asciiTheme="minorHAnsi" w:hAnsiTheme="minorHAnsi" w:cstheme="minorHAnsi"/>
        </w:rPr>
        <w:t xml:space="preserve">However, a reformed framework should provide for exceptions to </w:t>
      </w:r>
      <w:r w:rsidR="00050E95">
        <w:rPr>
          <w:rFonts w:asciiTheme="minorHAnsi" w:hAnsiTheme="minorHAnsi" w:cstheme="minorHAnsi"/>
        </w:rPr>
        <w:t>the market-based approach</w:t>
      </w:r>
      <w:r w:rsidR="009C15C4">
        <w:rPr>
          <w:rFonts w:asciiTheme="minorHAnsi" w:hAnsiTheme="minorHAnsi" w:cstheme="minorHAnsi"/>
        </w:rPr>
        <w:t xml:space="preserve"> on a case by case basis where there is a </w:t>
      </w:r>
      <w:r w:rsidR="0035010C">
        <w:rPr>
          <w:rFonts w:asciiTheme="minorHAnsi" w:hAnsiTheme="minorHAnsi" w:cstheme="minorHAnsi"/>
        </w:rPr>
        <w:t xml:space="preserve">sound </w:t>
      </w:r>
      <w:r w:rsidR="009C15C4">
        <w:rPr>
          <w:rFonts w:asciiTheme="minorHAnsi" w:hAnsiTheme="minorHAnsi" w:cstheme="minorHAnsi"/>
        </w:rPr>
        <w:t xml:space="preserve">public interest rationale. </w:t>
      </w:r>
    </w:p>
    <w:p w14:paraId="47FFA24F" w14:textId="42FE352A" w:rsidR="003C1E63" w:rsidRPr="003852CF" w:rsidRDefault="00050E95" w:rsidP="003C1E63">
      <w:pPr>
        <w:spacing w:before="120" w:after="120"/>
        <w:rPr>
          <w:rFonts w:asciiTheme="minorHAnsi" w:hAnsiTheme="minorHAnsi" w:cstheme="minorHAnsi"/>
        </w:rPr>
      </w:pPr>
      <w:r>
        <w:rPr>
          <w:rFonts w:asciiTheme="minorHAnsi" w:hAnsiTheme="minorHAnsi" w:cstheme="minorHAnsi"/>
        </w:rPr>
        <w:t xml:space="preserve">Under a reformed framework, </w:t>
      </w:r>
      <w:r w:rsidR="009239A4">
        <w:rPr>
          <w:rFonts w:asciiTheme="minorHAnsi" w:hAnsiTheme="minorHAnsi" w:cstheme="minorHAnsi"/>
        </w:rPr>
        <w:t xml:space="preserve">and subject to issued Government policy statements, </w:t>
      </w:r>
      <w:r>
        <w:rPr>
          <w:rFonts w:asciiTheme="minorHAnsi" w:hAnsiTheme="minorHAnsi" w:cstheme="minorHAnsi"/>
        </w:rPr>
        <w:t>d</w:t>
      </w:r>
      <w:r w:rsidR="003C1E63" w:rsidRPr="00064734">
        <w:rPr>
          <w:rFonts w:asciiTheme="minorHAnsi" w:hAnsiTheme="minorHAnsi" w:cstheme="minorHAnsi"/>
        </w:rPr>
        <w:t xml:space="preserve">ecisions on pricing would be the responsibility of the ACMA. The Minister would </w:t>
      </w:r>
      <w:r w:rsidR="003C1E63">
        <w:rPr>
          <w:rFonts w:asciiTheme="minorHAnsi" w:hAnsiTheme="minorHAnsi" w:cstheme="minorHAnsi"/>
        </w:rPr>
        <w:t>have the</w:t>
      </w:r>
      <w:r w:rsidR="003C1E63" w:rsidRPr="00064734">
        <w:rPr>
          <w:rFonts w:asciiTheme="minorHAnsi" w:hAnsiTheme="minorHAnsi" w:cstheme="minorHAnsi"/>
        </w:rPr>
        <w:t xml:space="preserve"> ability to set </w:t>
      </w:r>
      <w:r w:rsidR="0035010C">
        <w:rPr>
          <w:rFonts w:asciiTheme="minorHAnsi" w:hAnsiTheme="minorHAnsi" w:cstheme="minorHAnsi"/>
        </w:rPr>
        <w:t>prices</w:t>
      </w:r>
      <w:r w:rsidR="003C1E63">
        <w:rPr>
          <w:rFonts w:asciiTheme="minorHAnsi" w:hAnsiTheme="minorHAnsi" w:cstheme="minorHAnsi"/>
        </w:rPr>
        <w:t xml:space="preserve"> (as is the case under the current </w:t>
      </w:r>
      <w:r w:rsidR="0035010C">
        <w:rPr>
          <w:rFonts w:asciiTheme="minorHAnsi" w:hAnsiTheme="minorHAnsi" w:cstheme="minorHAnsi"/>
        </w:rPr>
        <w:t xml:space="preserve">spectrum licensing </w:t>
      </w:r>
      <w:r w:rsidR="003C1E63">
        <w:rPr>
          <w:rFonts w:asciiTheme="minorHAnsi" w:hAnsiTheme="minorHAnsi" w:cstheme="minorHAnsi"/>
        </w:rPr>
        <w:t>framework)</w:t>
      </w:r>
      <w:r w:rsidR="003C1E63" w:rsidRPr="00064734">
        <w:rPr>
          <w:rFonts w:asciiTheme="minorHAnsi" w:hAnsiTheme="minorHAnsi" w:cstheme="minorHAnsi"/>
        </w:rPr>
        <w:t xml:space="preserve">, </w:t>
      </w:r>
      <w:r w:rsidR="00BB7F9A">
        <w:rPr>
          <w:rFonts w:asciiTheme="minorHAnsi" w:hAnsiTheme="minorHAnsi" w:cstheme="minorHAnsi"/>
        </w:rPr>
        <w:t>with the expectation that this</w:t>
      </w:r>
      <w:r w:rsidR="003C1E63" w:rsidRPr="00064734">
        <w:rPr>
          <w:rFonts w:asciiTheme="minorHAnsi" w:hAnsiTheme="minorHAnsi" w:cstheme="minorHAnsi"/>
        </w:rPr>
        <w:t xml:space="preserve"> </w:t>
      </w:r>
      <w:r>
        <w:rPr>
          <w:rFonts w:asciiTheme="minorHAnsi" w:hAnsiTheme="minorHAnsi" w:cstheme="minorHAnsi"/>
        </w:rPr>
        <w:t>would be on an exception basis</w:t>
      </w:r>
      <w:r w:rsidR="003C1E63" w:rsidRPr="00064734">
        <w:rPr>
          <w:rFonts w:asciiTheme="minorHAnsi" w:hAnsiTheme="minorHAnsi" w:cstheme="minorHAnsi"/>
        </w:rPr>
        <w:t xml:space="preserve">. </w:t>
      </w:r>
    </w:p>
    <w:p w14:paraId="2FF6DDA1" w14:textId="63BF0FE7" w:rsidR="00064734" w:rsidRPr="00064734" w:rsidRDefault="009C15C4" w:rsidP="00064734">
      <w:pPr>
        <w:spacing w:before="120" w:after="120"/>
        <w:rPr>
          <w:rFonts w:asciiTheme="minorHAnsi" w:hAnsiTheme="minorHAnsi" w:cstheme="minorHAnsi"/>
        </w:rPr>
      </w:pPr>
      <w:r>
        <w:rPr>
          <w:rFonts w:asciiTheme="minorHAnsi" w:hAnsiTheme="minorHAnsi" w:cstheme="minorHAnsi"/>
        </w:rPr>
        <w:t xml:space="preserve">It is </w:t>
      </w:r>
      <w:r w:rsidR="003C1E63">
        <w:rPr>
          <w:rFonts w:asciiTheme="minorHAnsi" w:hAnsiTheme="minorHAnsi" w:cstheme="minorHAnsi"/>
        </w:rPr>
        <w:t xml:space="preserve">also </w:t>
      </w:r>
      <w:r>
        <w:rPr>
          <w:rFonts w:asciiTheme="minorHAnsi" w:hAnsiTheme="minorHAnsi" w:cstheme="minorHAnsi"/>
        </w:rPr>
        <w:t>proposed that a review of</w:t>
      </w:r>
      <w:r w:rsidR="00064734" w:rsidRPr="00064734">
        <w:rPr>
          <w:rFonts w:asciiTheme="minorHAnsi" w:hAnsiTheme="minorHAnsi" w:cstheme="minorHAnsi"/>
        </w:rPr>
        <w:t xml:space="preserve"> pricing for </w:t>
      </w:r>
      <w:r w:rsidR="0035010C">
        <w:rPr>
          <w:rFonts w:asciiTheme="minorHAnsi" w:hAnsiTheme="minorHAnsi" w:cstheme="minorHAnsi"/>
        </w:rPr>
        <w:t>administrative</w:t>
      </w:r>
      <w:r w:rsidR="00064734" w:rsidRPr="00064734">
        <w:rPr>
          <w:rFonts w:asciiTheme="minorHAnsi" w:hAnsiTheme="minorHAnsi" w:cstheme="minorHAnsi"/>
        </w:rPr>
        <w:t xml:space="preserve"> allocations </w:t>
      </w:r>
      <w:r>
        <w:rPr>
          <w:rFonts w:asciiTheme="minorHAnsi" w:hAnsiTheme="minorHAnsi" w:cstheme="minorHAnsi"/>
        </w:rPr>
        <w:t xml:space="preserve">be undertaken with the </w:t>
      </w:r>
      <w:r w:rsidR="007D766A">
        <w:rPr>
          <w:rFonts w:asciiTheme="minorHAnsi" w:hAnsiTheme="minorHAnsi" w:cstheme="minorHAnsi"/>
        </w:rPr>
        <w:t>object</w:t>
      </w:r>
      <w:r w:rsidR="00546DF1">
        <w:rPr>
          <w:rFonts w:asciiTheme="minorHAnsi" w:hAnsiTheme="minorHAnsi" w:cstheme="minorHAnsi"/>
        </w:rPr>
        <w:t xml:space="preserve">ive </w:t>
      </w:r>
      <w:r>
        <w:rPr>
          <w:rFonts w:asciiTheme="minorHAnsi" w:hAnsiTheme="minorHAnsi" w:cstheme="minorHAnsi"/>
        </w:rPr>
        <w:t xml:space="preserve">of putting in place a methodology </w:t>
      </w:r>
      <w:r w:rsidR="00064734" w:rsidRPr="00064734">
        <w:rPr>
          <w:rFonts w:asciiTheme="minorHAnsi" w:hAnsiTheme="minorHAnsi" w:cstheme="minorHAnsi"/>
        </w:rPr>
        <w:t>that is simple, transparent</w:t>
      </w:r>
      <w:r w:rsidR="0035010C">
        <w:rPr>
          <w:rFonts w:asciiTheme="minorHAnsi" w:hAnsiTheme="minorHAnsi" w:cstheme="minorHAnsi"/>
        </w:rPr>
        <w:t>,</w:t>
      </w:r>
      <w:r w:rsidR="00064734" w:rsidRPr="00064734">
        <w:rPr>
          <w:rFonts w:asciiTheme="minorHAnsi" w:hAnsiTheme="minorHAnsi" w:cstheme="minorHAnsi"/>
        </w:rPr>
        <w:t xml:space="preserve"> cost-reflective</w:t>
      </w:r>
      <w:r w:rsidR="0035010C">
        <w:rPr>
          <w:rFonts w:asciiTheme="minorHAnsi" w:hAnsiTheme="minorHAnsi" w:cstheme="minorHAnsi"/>
        </w:rPr>
        <w:t xml:space="preserve"> and provides appropriate incentives for spectrum to move to its highest value use</w:t>
      </w:r>
      <w:r w:rsidR="00064734" w:rsidRPr="00064734">
        <w:rPr>
          <w:rFonts w:asciiTheme="minorHAnsi" w:hAnsiTheme="minorHAnsi" w:cstheme="minorHAnsi"/>
        </w:rPr>
        <w:t xml:space="preserve">. </w:t>
      </w:r>
    </w:p>
    <w:p w14:paraId="2FF6DDA2" w14:textId="24436320" w:rsidR="00064734" w:rsidRPr="00064734" w:rsidRDefault="00064734" w:rsidP="00064734">
      <w:pPr>
        <w:spacing w:before="120" w:after="120"/>
        <w:rPr>
          <w:rFonts w:asciiTheme="minorHAnsi" w:hAnsiTheme="minorHAnsi" w:cstheme="minorHAnsi"/>
        </w:rPr>
      </w:pPr>
      <w:r w:rsidRPr="00064734">
        <w:rPr>
          <w:rFonts w:asciiTheme="minorHAnsi" w:hAnsiTheme="minorHAnsi" w:cstheme="minorHAnsi"/>
        </w:rPr>
        <w:t xml:space="preserve">This </w:t>
      </w:r>
      <w:r w:rsidR="009C15C4">
        <w:rPr>
          <w:rFonts w:asciiTheme="minorHAnsi" w:hAnsiTheme="minorHAnsi" w:cstheme="minorHAnsi"/>
        </w:rPr>
        <w:t>review</w:t>
      </w:r>
      <w:r w:rsidR="009C15C4" w:rsidRPr="00064734">
        <w:rPr>
          <w:rFonts w:asciiTheme="minorHAnsi" w:hAnsiTheme="minorHAnsi" w:cstheme="minorHAnsi"/>
        </w:rPr>
        <w:t xml:space="preserve"> </w:t>
      </w:r>
      <w:r w:rsidRPr="00064734">
        <w:rPr>
          <w:rFonts w:asciiTheme="minorHAnsi" w:hAnsiTheme="minorHAnsi" w:cstheme="minorHAnsi"/>
        </w:rPr>
        <w:t>should explore costing options</w:t>
      </w:r>
      <w:r w:rsidR="0035010C">
        <w:rPr>
          <w:rFonts w:asciiTheme="minorHAnsi" w:hAnsiTheme="minorHAnsi" w:cstheme="minorHAnsi"/>
        </w:rPr>
        <w:t xml:space="preserve"> and valuation approaches</w:t>
      </w:r>
      <w:r w:rsidRPr="00064734">
        <w:rPr>
          <w:rFonts w:asciiTheme="minorHAnsi" w:hAnsiTheme="minorHAnsi" w:cstheme="minorHAnsi"/>
        </w:rPr>
        <w:t xml:space="preserve"> (</w:t>
      </w:r>
      <w:r w:rsidR="00C71051">
        <w:rPr>
          <w:rFonts w:asciiTheme="minorHAnsi" w:hAnsiTheme="minorHAnsi" w:cstheme="minorHAnsi"/>
        </w:rPr>
        <w:t>for example</w:t>
      </w:r>
      <w:r w:rsidR="000F4014">
        <w:rPr>
          <w:rFonts w:asciiTheme="minorHAnsi" w:hAnsiTheme="minorHAnsi" w:cstheme="minorHAnsi"/>
        </w:rPr>
        <w:t>,</w:t>
      </w:r>
      <w:r w:rsidRPr="00064734">
        <w:rPr>
          <w:rFonts w:asciiTheme="minorHAnsi" w:hAnsiTheme="minorHAnsi" w:cstheme="minorHAnsi"/>
        </w:rPr>
        <w:t xml:space="preserve"> opportunity cost pricing</w:t>
      </w:r>
      <w:r w:rsidR="000F4014">
        <w:rPr>
          <w:rFonts w:asciiTheme="minorHAnsi" w:hAnsiTheme="minorHAnsi" w:cstheme="minorHAnsi"/>
        </w:rPr>
        <w:t xml:space="preserve"> </w:t>
      </w:r>
      <w:r w:rsidR="00BD4EBA">
        <w:rPr>
          <w:rFonts w:asciiTheme="minorHAnsi" w:hAnsiTheme="minorHAnsi" w:cstheme="minorHAnsi"/>
        </w:rPr>
        <w:t xml:space="preserve">or other forms of </w:t>
      </w:r>
      <w:r w:rsidR="009C15C4">
        <w:rPr>
          <w:rFonts w:asciiTheme="minorHAnsi" w:hAnsiTheme="minorHAnsi" w:cstheme="minorHAnsi"/>
        </w:rPr>
        <w:t xml:space="preserve">administered </w:t>
      </w:r>
      <w:r w:rsidRPr="00064734">
        <w:rPr>
          <w:rFonts w:asciiTheme="minorHAnsi" w:hAnsiTheme="minorHAnsi" w:cstheme="minorHAnsi"/>
        </w:rPr>
        <w:t xml:space="preserve">incentive pricing), how </w:t>
      </w:r>
      <w:r w:rsidR="009C15C4">
        <w:rPr>
          <w:rFonts w:asciiTheme="minorHAnsi" w:hAnsiTheme="minorHAnsi" w:cstheme="minorHAnsi"/>
        </w:rPr>
        <w:t xml:space="preserve">the costs of spectrum management </w:t>
      </w:r>
      <w:r w:rsidRPr="00064734">
        <w:rPr>
          <w:rFonts w:asciiTheme="minorHAnsi" w:hAnsiTheme="minorHAnsi" w:cstheme="minorHAnsi"/>
        </w:rPr>
        <w:t xml:space="preserve">(including any relevant taxes) should be recouped, and mechanisms for enabling the </w:t>
      </w:r>
      <w:r w:rsidR="009C15C4">
        <w:rPr>
          <w:rFonts w:asciiTheme="minorHAnsi" w:hAnsiTheme="minorHAnsi" w:cstheme="minorHAnsi"/>
        </w:rPr>
        <w:t>chang</w:t>
      </w:r>
      <w:r w:rsidR="009C15C4" w:rsidRPr="00064734">
        <w:rPr>
          <w:rFonts w:asciiTheme="minorHAnsi" w:hAnsiTheme="minorHAnsi" w:cstheme="minorHAnsi"/>
        </w:rPr>
        <w:t xml:space="preserve">ing </w:t>
      </w:r>
      <w:r w:rsidRPr="00064734">
        <w:rPr>
          <w:rFonts w:asciiTheme="minorHAnsi" w:hAnsiTheme="minorHAnsi" w:cstheme="minorHAnsi"/>
        </w:rPr>
        <w:t>‘</w:t>
      </w:r>
      <w:r w:rsidR="009C15C4">
        <w:rPr>
          <w:rFonts w:asciiTheme="minorHAnsi" w:hAnsiTheme="minorHAnsi" w:cstheme="minorHAnsi"/>
        </w:rPr>
        <w:t xml:space="preserve">market </w:t>
      </w:r>
      <w:r w:rsidRPr="00064734">
        <w:rPr>
          <w:rFonts w:asciiTheme="minorHAnsi" w:hAnsiTheme="minorHAnsi" w:cstheme="minorHAnsi"/>
        </w:rPr>
        <w:t xml:space="preserve">value’ of that spectrum allocation to be progressively reflected in charges for access and use. An output </w:t>
      </w:r>
      <w:r w:rsidR="009C15C4">
        <w:rPr>
          <w:rFonts w:asciiTheme="minorHAnsi" w:hAnsiTheme="minorHAnsi" w:cstheme="minorHAnsi"/>
        </w:rPr>
        <w:t>of this process</w:t>
      </w:r>
      <w:r w:rsidRPr="00064734">
        <w:rPr>
          <w:rFonts w:asciiTheme="minorHAnsi" w:hAnsiTheme="minorHAnsi" w:cstheme="minorHAnsi"/>
        </w:rPr>
        <w:t xml:space="preserve"> </w:t>
      </w:r>
      <w:r w:rsidR="00C62A5A">
        <w:rPr>
          <w:rFonts w:asciiTheme="minorHAnsi" w:hAnsiTheme="minorHAnsi" w:cstheme="minorHAnsi"/>
        </w:rPr>
        <w:t>would</w:t>
      </w:r>
      <w:r w:rsidR="00C62A5A" w:rsidRPr="00064734">
        <w:rPr>
          <w:rFonts w:asciiTheme="minorHAnsi" w:hAnsiTheme="minorHAnsi" w:cstheme="minorHAnsi"/>
        </w:rPr>
        <w:t xml:space="preserve"> </w:t>
      </w:r>
      <w:r w:rsidRPr="00064734">
        <w:rPr>
          <w:rFonts w:asciiTheme="minorHAnsi" w:hAnsiTheme="minorHAnsi" w:cstheme="minorHAnsi"/>
        </w:rPr>
        <w:t xml:space="preserve">be a pricing policy for </w:t>
      </w:r>
      <w:r w:rsidR="00BD4EBA">
        <w:rPr>
          <w:rFonts w:asciiTheme="minorHAnsi" w:hAnsiTheme="minorHAnsi" w:cstheme="minorHAnsi"/>
        </w:rPr>
        <w:t>administrative</w:t>
      </w:r>
      <w:r w:rsidRPr="00064734">
        <w:rPr>
          <w:rFonts w:asciiTheme="minorHAnsi" w:hAnsiTheme="minorHAnsi" w:cstheme="minorHAnsi"/>
        </w:rPr>
        <w:t xml:space="preserve"> </w:t>
      </w:r>
      <w:r w:rsidR="009C15C4">
        <w:rPr>
          <w:rFonts w:asciiTheme="minorHAnsi" w:hAnsiTheme="minorHAnsi" w:cstheme="minorHAnsi"/>
        </w:rPr>
        <w:t>allocations</w:t>
      </w:r>
      <w:r w:rsidR="009C15C4" w:rsidRPr="00064734">
        <w:rPr>
          <w:rFonts w:asciiTheme="minorHAnsi" w:hAnsiTheme="minorHAnsi" w:cstheme="minorHAnsi"/>
        </w:rPr>
        <w:t xml:space="preserve"> </w:t>
      </w:r>
      <w:r w:rsidRPr="00064734">
        <w:rPr>
          <w:rFonts w:asciiTheme="minorHAnsi" w:hAnsiTheme="minorHAnsi" w:cstheme="minorHAnsi"/>
        </w:rPr>
        <w:t xml:space="preserve">that provides greater transparency </w:t>
      </w:r>
      <w:r w:rsidR="009C15C4">
        <w:rPr>
          <w:rFonts w:asciiTheme="minorHAnsi" w:hAnsiTheme="minorHAnsi" w:cstheme="minorHAnsi"/>
        </w:rPr>
        <w:t>for spectrum users</w:t>
      </w:r>
      <w:r w:rsidRPr="00064734">
        <w:rPr>
          <w:rFonts w:asciiTheme="minorHAnsi" w:hAnsiTheme="minorHAnsi" w:cstheme="minorHAnsi"/>
        </w:rPr>
        <w:t xml:space="preserve">. </w:t>
      </w:r>
    </w:p>
    <w:p w14:paraId="2FF6DDA4" w14:textId="7650C511" w:rsidR="00064734" w:rsidRPr="00170974" w:rsidRDefault="00064734" w:rsidP="00170974">
      <w:pPr>
        <w:pStyle w:val="Bodytext-Indent"/>
        <w:ind w:left="0"/>
        <w:rPr>
          <w:b/>
          <w:color w:val="32859D" w:themeColor="text2" w:themeShade="80"/>
        </w:rPr>
      </w:pPr>
      <w:bookmarkStart w:id="31" w:name="_Toc400017412"/>
      <w:bookmarkStart w:id="32" w:name="_Toc400018075"/>
      <w:bookmarkStart w:id="33" w:name="_Toc400441479"/>
      <w:r w:rsidRPr="00170974">
        <w:rPr>
          <w:b/>
          <w:color w:val="32859D" w:themeColor="text2" w:themeShade="80"/>
        </w:rPr>
        <w:t xml:space="preserve">Proposal </w:t>
      </w:r>
      <w:r w:rsidR="008A253A" w:rsidRPr="00170974">
        <w:rPr>
          <w:b/>
          <w:color w:val="32859D" w:themeColor="text2" w:themeShade="80"/>
        </w:rPr>
        <w:t>5</w:t>
      </w:r>
      <w:r w:rsidRPr="00170974">
        <w:rPr>
          <w:b/>
          <w:color w:val="32859D" w:themeColor="text2" w:themeShade="80"/>
        </w:rPr>
        <w:t>: Structuring payment schedules for licences</w:t>
      </w:r>
      <w:bookmarkEnd w:id="31"/>
      <w:bookmarkEnd w:id="32"/>
      <w:bookmarkEnd w:id="33"/>
    </w:p>
    <w:p w14:paraId="2FF6DDA5" w14:textId="09682F45" w:rsidR="00064734" w:rsidRPr="00064734" w:rsidRDefault="00BA2597" w:rsidP="00064734">
      <w:pPr>
        <w:pStyle w:val="BodyText"/>
        <w:numPr>
          <w:ilvl w:val="0"/>
          <w:numId w:val="25"/>
        </w:numPr>
        <w:spacing w:before="120" w:after="120"/>
        <w:rPr>
          <w:i/>
        </w:rPr>
      </w:pPr>
      <w:r>
        <w:rPr>
          <w:i/>
        </w:rPr>
        <w:t>Provide flexibilit</w:t>
      </w:r>
      <w:r w:rsidRPr="00064734">
        <w:rPr>
          <w:i/>
        </w:rPr>
        <w:t xml:space="preserve">y </w:t>
      </w:r>
      <w:r>
        <w:rPr>
          <w:i/>
        </w:rPr>
        <w:t xml:space="preserve">in </w:t>
      </w:r>
      <w:r w:rsidR="00064734" w:rsidRPr="00064734">
        <w:rPr>
          <w:i/>
        </w:rPr>
        <w:t>the timing and approach for payment of licence</w:t>
      </w:r>
      <w:r>
        <w:rPr>
          <w:i/>
        </w:rPr>
        <w:t xml:space="preserve"> fee</w:t>
      </w:r>
      <w:r w:rsidR="00064734" w:rsidRPr="00064734">
        <w:rPr>
          <w:i/>
        </w:rPr>
        <w:t xml:space="preserve">s. </w:t>
      </w:r>
    </w:p>
    <w:p w14:paraId="1D649C7C" w14:textId="5937B4AD" w:rsidR="00FF33B5" w:rsidRDefault="00FF33B5" w:rsidP="00332F2D">
      <w:pPr>
        <w:spacing w:before="120" w:after="120"/>
      </w:pPr>
      <w:r>
        <w:t>Fee payment structure</w:t>
      </w:r>
      <w:r w:rsidR="00BD4EBA">
        <w:t>s</w:t>
      </w:r>
      <w:r>
        <w:t xml:space="preserve"> and timing </w:t>
      </w:r>
      <w:r w:rsidR="009239A4">
        <w:t xml:space="preserve">currently </w:t>
      </w:r>
      <w:r>
        <w:t xml:space="preserve">differ between licence </w:t>
      </w:r>
      <w:r w:rsidR="0035010C">
        <w:t>categories</w:t>
      </w:r>
      <w:r>
        <w:t xml:space="preserve">, with </w:t>
      </w:r>
      <w:r w:rsidR="00BD4EBA">
        <w:t xml:space="preserve">class licences not generally subject to fees and </w:t>
      </w:r>
      <w:r>
        <w:t xml:space="preserve">apparatus licences usually paid for annually, although some licensees do choose to pay for longer periods in advance </w:t>
      </w:r>
      <w:r w:rsidR="00BD4EBA">
        <w:t>for security of tenure</w:t>
      </w:r>
      <w:r>
        <w:t>. The majority of spectrum licence fees are paid in advance for the full term, with a small annual licence tax collecting indirect costs.</w:t>
      </w:r>
      <w:r w:rsidR="00F603C4">
        <w:t xml:space="preserve"> </w:t>
      </w:r>
    </w:p>
    <w:p w14:paraId="192FC7BB" w14:textId="64E1EB6D" w:rsidR="00FF33B5" w:rsidRDefault="00FF33B5" w:rsidP="00FF33B5">
      <w:pPr>
        <w:pStyle w:val="BodyText"/>
        <w:spacing w:before="120" w:after="120"/>
      </w:pPr>
      <w:r>
        <w:t>It is proposed that under a reformed framework the ACMA would have the flexibility to determine payment structures and timing</w:t>
      </w:r>
      <w:r w:rsidR="00BD4EBA">
        <w:t xml:space="preserve"> where licence fees are paid</w:t>
      </w:r>
      <w:r>
        <w:t xml:space="preserve">. This would be a parameter or condition of the licence. </w:t>
      </w:r>
      <w:r>
        <w:rPr>
          <w:rFonts w:asciiTheme="minorHAnsi" w:eastAsia="Times New Roman" w:hAnsiTheme="minorHAnsi" w:cstheme="minorHAnsi"/>
        </w:rPr>
        <w:t>The Minister would also have the ability to provide policy guidance to the ACMA on structuring of payments, for example, by indicating that particular licences would be subject to upfront or annualised payments.</w:t>
      </w:r>
    </w:p>
    <w:p w14:paraId="37D40409" w14:textId="4ACF2889" w:rsidR="00FF33B5" w:rsidRDefault="00FF33B5" w:rsidP="00FF33B5">
      <w:pPr>
        <w:pStyle w:val="BodyText"/>
        <w:spacing w:before="120" w:after="120"/>
      </w:pPr>
      <w:r>
        <w:t>There are advantages to both upfront and annual payments. Annual payments have the benefit of providing a lower barrier to market entry and a yearly incentive to consider whether the licence remains valuable. Upfront payments provide greater cost certainty for licensees, less market disruption, less risk to the Commonwealth and the possibility of avoiding scarcity-based price rises during the term of the licence. Retaining flexibility allows the most appropriate approach to be adopted to fit the circumstances.</w:t>
      </w:r>
    </w:p>
    <w:p w14:paraId="2FF6DDA8" w14:textId="4A11AA62" w:rsidR="003D1033" w:rsidRPr="00170974" w:rsidRDefault="003D1033" w:rsidP="00170974">
      <w:pPr>
        <w:pStyle w:val="Bodytext-Indent"/>
        <w:ind w:left="0"/>
        <w:rPr>
          <w:b/>
          <w:color w:val="32859D" w:themeColor="text2" w:themeShade="80"/>
        </w:rPr>
      </w:pPr>
      <w:bookmarkStart w:id="34" w:name="_Toc399422702"/>
      <w:bookmarkStart w:id="35" w:name="_Toc400017413"/>
      <w:bookmarkStart w:id="36" w:name="_Toc400018076"/>
      <w:bookmarkStart w:id="37" w:name="_Toc400441480"/>
      <w:r w:rsidRPr="00170974">
        <w:rPr>
          <w:b/>
          <w:color w:val="32859D" w:themeColor="text2" w:themeShade="80"/>
        </w:rPr>
        <w:t xml:space="preserve">Proposal </w:t>
      </w:r>
      <w:r w:rsidR="008A253A" w:rsidRPr="00170974">
        <w:rPr>
          <w:b/>
          <w:color w:val="32859D" w:themeColor="text2" w:themeShade="80"/>
        </w:rPr>
        <w:t>6</w:t>
      </w:r>
      <w:r w:rsidRPr="00170974">
        <w:rPr>
          <w:b/>
          <w:color w:val="32859D" w:themeColor="text2" w:themeShade="80"/>
        </w:rPr>
        <w:t xml:space="preserve">: </w:t>
      </w:r>
      <w:r w:rsidR="00CA5DF7" w:rsidRPr="00170974">
        <w:rPr>
          <w:b/>
          <w:color w:val="32859D" w:themeColor="text2" w:themeShade="80"/>
        </w:rPr>
        <w:t xml:space="preserve">The </w:t>
      </w:r>
      <w:r w:rsidRPr="00170974">
        <w:rPr>
          <w:b/>
          <w:color w:val="32859D" w:themeColor="text2" w:themeShade="80"/>
        </w:rPr>
        <w:t xml:space="preserve">ACMA to </w:t>
      </w:r>
      <w:bookmarkEnd w:id="34"/>
      <w:bookmarkEnd w:id="35"/>
      <w:bookmarkEnd w:id="36"/>
      <w:bookmarkEnd w:id="37"/>
      <w:r w:rsidR="00EC7B0F">
        <w:rPr>
          <w:b/>
          <w:color w:val="32859D" w:themeColor="text2" w:themeShade="80"/>
        </w:rPr>
        <w:t xml:space="preserve">take an open data approach to </w:t>
      </w:r>
      <w:r w:rsidR="00186335">
        <w:rPr>
          <w:b/>
          <w:color w:val="32859D" w:themeColor="text2" w:themeShade="80"/>
        </w:rPr>
        <w:t>sub</w:t>
      </w:r>
      <w:r w:rsidR="00BD4EBA">
        <w:rPr>
          <w:b/>
          <w:color w:val="32859D" w:themeColor="text2" w:themeShade="80"/>
        </w:rPr>
        <w:t>s</w:t>
      </w:r>
      <w:r w:rsidR="00EC7B0F">
        <w:rPr>
          <w:b/>
          <w:color w:val="32859D" w:themeColor="text2" w:themeShade="80"/>
        </w:rPr>
        <w:t xml:space="preserve">tantially improve the range, </w:t>
      </w:r>
      <w:r w:rsidR="00186335">
        <w:rPr>
          <w:b/>
          <w:color w:val="32859D" w:themeColor="text2" w:themeShade="80"/>
        </w:rPr>
        <w:t xml:space="preserve">availability </w:t>
      </w:r>
      <w:r w:rsidR="00EC7B0F">
        <w:rPr>
          <w:b/>
          <w:color w:val="32859D" w:themeColor="text2" w:themeShade="80"/>
        </w:rPr>
        <w:t xml:space="preserve">and quality </w:t>
      </w:r>
      <w:r w:rsidR="00186335">
        <w:rPr>
          <w:b/>
          <w:color w:val="32859D" w:themeColor="text2" w:themeShade="80"/>
        </w:rPr>
        <w:t xml:space="preserve">of information </w:t>
      </w:r>
      <w:r w:rsidR="00EC7B0F">
        <w:rPr>
          <w:b/>
          <w:color w:val="32859D" w:themeColor="text2" w:themeShade="80"/>
        </w:rPr>
        <w:t xml:space="preserve">provided </w:t>
      </w:r>
      <w:r w:rsidR="00186335">
        <w:rPr>
          <w:b/>
          <w:color w:val="32859D" w:themeColor="text2" w:themeShade="80"/>
        </w:rPr>
        <w:t>to support an efficient spectrum market</w:t>
      </w:r>
    </w:p>
    <w:p w14:paraId="2FF6DDA9" w14:textId="281DE242" w:rsidR="003D1033" w:rsidRDefault="00CA5DF7" w:rsidP="00186335">
      <w:pPr>
        <w:pStyle w:val="ListParagraph"/>
        <w:numPr>
          <w:ilvl w:val="0"/>
          <w:numId w:val="30"/>
        </w:numPr>
        <w:spacing w:before="0" w:after="200" w:line="276" w:lineRule="auto"/>
        <w:rPr>
          <w:i/>
        </w:rPr>
      </w:pPr>
      <w:r>
        <w:rPr>
          <w:i/>
        </w:rPr>
        <w:t xml:space="preserve">The </w:t>
      </w:r>
      <w:r w:rsidR="003D1033">
        <w:rPr>
          <w:i/>
        </w:rPr>
        <w:t xml:space="preserve">ACMA to report to the Minister </w:t>
      </w:r>
      <w:r w:rsidR="00EC7B0F">
        <w:rPr>
          <w:i/>
        </w:rPr>
        <w:t>through its annual work program on its efforts to improve and maintain the range, availability and quality of information to support the spectrum market</w:t>
      </w:r>
      <w:r w:rsidR="00A34250">
        <w:rPr>
          <w:i/>
        </w:rPr>
        <w:t>.</w:t>
      </w:r>
    </w:p>
    <w:p w14:paraId="0075DBBF" w14:textId="37F09C8B" w:rsidR="00834FDD" w:rsidRPr="00871748" w:rsidRDefault="00834FDD" w:rsidP="00834FDD">
      <w:pPr>
        <w:pStyle w:val="ListParagraph"/>
        <w:numPr>
          <w:ilvl w:val="0"/>
          <w:numId w:val="30"/>
        </w:numPr>
        <w:spacing w:before="120" w:after="120" w:line="276" w:lineRule="auto"/>
        <w:rPr>
          <w:i/>
        </w:rPr>
      </w:pPr>
      <w:r>
        <w:rPr>
          <w:i/>
        </w:rPr>
        <w:t xml:space="preserve">Provide </w:t>
      </w:r>
      <w:r w:rsidRPr="00453E3E">
        <w:rPr>
          <w:i/>
        </w:rPr>
        <w:t>the ACMA</w:t>
      </w:r>
      <w:r>
        <w:rPr>
          <w:i/>
        </w:rPr>
        <w:t xml:space="preserve"> with authority </w:t>
      </w:r>
      <w:r w:rsidRPr="00453E3E">
        <w:rPr>
          <w:i/>
        </w:rPr>
        <w:t xml:space="preserve">to collect information </w:t>
      </w:r>
      <w:r w:rsidRPr="00453E3E">
        <w:rPr>
          <w:rFonts w:eastAsia="Times New Roman"/>
          <w:i/>
        </w:rPr>
        <w:t>from industry relevant to the performance of its functions and exercise of its powers</w:t>
      </w:r>
      <w:r w:rsidR="00684422">
        <w:rPr>
          <w:rFonts w:eastAsia="Times New Roman"/>
          <w:i/>
        </w:rPr>
        <w:t>.</w:t>
      </w:r>
      <w:r w:rsidRPr="00453E3E">
        <w:rPr>
          <w:rFonts w:eastAsia="Times New Roman"/>
          <w:i/>
        </w:rPr>
        <w:t xml:space="preserve"> </w:t>
      </w:r>
    </w:p>
    <w:p w14:paraId="70762BA9" w14:textId="77777777" w:rsidR="00834FDD" w:rsidRPr="00186335" w:rsidRDefault="00834FDD" w:rsidP="00E81373">
      <w:pPr>
        <w:pStyle w:val="ListParagraph"/>
        <w:spacing w:before="0" w:after="200" w:line="276" w:lineRule="auto"/>
        <w:ind w:left="360"/>
        <w:rPr>
          <w:i/>
        </w:rPr>
      </w:pPr>
    </w:p>
    <w:p w14:paraId="2FF6DDAA" w14:textId="14153173" w:rsidR="003D1033" w:rsidRDefault="00F73D0E" w:rsidP="003D1033">
      <w:pPr>
        <w:spacing w:before="120" w:after="120"/>
      </w:pPr>
      <w:r>
        <w:t>E</w:t>
      </w:r>
      <w:r w:rsidR="003D1033">
        <w:t xml:space="preserve">fficient </w:t>
      </w:r>
      <w:r>
        <w:t>markets</w:t>
      </w:r>
      <w:r w:rsidR="003D1033">
        <w:t xml:space="preserve"> </w:t>
      </w:r>
      <w:r>
        <w:t>rely</w:t>
      </w:r>
      <w:r w:rsidR="00BE76D1">
        <w:t xml:space="preserve"> on timely </w:t>
      </w:r>
      <w:r w:rsidR="003D1033">
        <w:t xml:space="preserve">information being readily available on prices, preferences, market structures and conditions of access and use. For a market as dynamic and technology-driven as spectrum, </w:t>
      </w:r>
      <w:r>
        <w:t>i</w:t>
      </w:r>
      <w:r w:rsidR="003D1033">
        <w:t xml:space="preserve">mproved information availability and quality </w:t>
      </w:r>
      <w:r w:rsidR="00C62A5A">
        <w:t>w</w:t>
      </w:r>
      <w:r w:rsidR="00BE76D1">
        <w:t xml:space="preserve">ill </w:t>
      </w:r>
      <w:r w:rsidR="003D1033">
        <w:t xml:space="preserve">encourage more </w:t>
      </w:r>
      <w:r w:rsidR="00EC7B0F">
        <w:t xml:space="preserve">efficient </w:t>
      </w:r>
      <w:r w:rsidR="005334B1">
        <w:t xml:space="preserve">and effective </w:t>
      </w:r>
      <w:r w:rsidR="003D1033">
        <w:t xml:space="preserve">market operations and </w:t>
      </w:r>
      <w:r w:rsidR="00EC7B0F">
        <w:t>spectrum management by supporting</w:t>
      </w:r>
      <w:r w:rsidR="003D1033">
        <w:t xml:space="preserve"> improved planning, increased </w:t>
      </w:r>
      <w:r w:rsidR="00EC7B0F">
        <w:t xml:space="preserve">spectrum </w:t>
      </w:r>
      <w:r w:rsidR="003D1033">
        <w:t xml:space="preserve">sharing and </w:t>
      </w:r>
      <w:r w:rsidR="00050E95">
        <w:t xml:space="preserve">secondary </w:t>
      </w:r>
      <w:r w:rsidR="003D1033">
        <w:t>trading and new market entry.</w:t>
      </w:r>
      <w:r w:rsidR="00EF20BC">
        <w:t xml:space="preserve"> </w:t>
      </w:r>
    </w:p>
    <w:p w14:paraId="5981513D" w14:textId="0C16C1F3" w:rsidR="00EC7B0F" w:rsidRDefault="00EC7B0F" w:rsidP="000A12BB">
      <w:pPr>
        <w:spacing w:before="120" w:after="120"/>
      </w:pPr>
      <w:r>
        <w:t>It is proposed that the</w:t>
      </w:r>
      <w:r w:rsidR="003D1033">
        <w:t xml:space="preserve"> ACMA </w:t>
      </w:r>
      <w:r>
        <w:t xml:space="preserve">identify, in consultation with </w:t>
      </w:r>
      <w:r w:rsidR="00BE76D1">
        <w:t>the G</w:t>
      </w:r>
      <w:r>
        <w:t xml:space="preserve">overnment and spectrum users, the information needed to </w:t>
      </w:r>
      <w:r w:rsidR="005334B1">
        <w:t xml:space="preserve">support the spectrum market under a reformed </w:t>
      </w:r>
      <w:r>
        <w:t>spectrum management framework and work to improve the availability and quality of this information over time</w:t>
      </w:r>
      <w:r w:rsidR="003D1033">
        <w:t xml:space="preserve">. This would include </w:t>
      </w:r>
      <w:r>
        <w:t xml:space="preserve">the quality, accuracy and usability of </w:t>
      </w:r>
      <w:r w:rsidR="003D1033">
        <w:t xml:space="preserve">licensing information and conditions of use, pricing and allocation data, spectrum availability and user preference trends and statistics. </w:t>
      </w:r>
      <w:r w:rsidR="00B970CF">
        <w:t>This would be in the spirit of ‘open data’ where information is readily accessible to all, up-to-date and as interactive as possible.</w:t>
      </w:r>
    </w:p>
    <w:p w14:paraId="68B3C7DD" w14:textId="6CB50A6D" w:rsidR="00834FDD" w:rsidRPr="00E928D2" w:rsidRDefault="00EC7B0F" w:rsidP="000A12BB">
      <w:pPr>
        <w:spacing w:before="120" w:after="120"/>
      </w:pPr>
      <w:r>
        <w:t>Initially this would involve</w:t>
      </w:r>
      <w:r w:rsidR="003D1033">
        <w:t xml:space="preserve"> assess</w:t>
      </w:r>
      <w:r>
        <w:t>ing</w:t>
      </w:r>
      <w:r w:rsidR="003D1033">
        <w:t xml:space="preserve"> what information is available and required by users and the market, what options are available to enable that information to be disseminated and accessed, and recommendations for action and pathways for implementation. </w:t>
      </w:r>
      <w:r w:rsidR="00E928D2" w:rsidRPr="00E928D2">
        <w:t>The Department welcomes stakeholder suggestions for improving the information provided by the ACMA</w:t>
      </w:r>
      <w:r w:rsidR="00E928D2">
        <w:t>.</w:t>
      </w:r>
    </w:p>
    <w:p w14:paraId="53B696B8" w14:textId="7E476842" w:rsidR="00834FDD" w:rsidRPr="00EF20BC" w:rsidRDefault="00BD4EBA" w:rsidP="00EF20BC">
      <w:pPr>
        <w:spacing w:before="120" w:after="120"/>
      </w:pPr>
      <w:r>
        <w:t xml:space="preserve">The ACMA would be supported with a general information gathering power in order to access relevant data. </w:t>
      </w:r>
      <w:r w:rsidR="00834FDD" w:rsidRPr="00EF20BC">
        <w:t xml:space="preserve">Currently there is no provision in the </w:t>
      </w:r>
      <w:r w:rsidR="00834FDD" w:rsidRPr="00EF20BC">
        <w:rPr>
          <w:i/>
        </w:rPr>
        <w:t>Radiocommunications Act</w:t>
      </w:r>
      <w:r w:rsidR="00834FDD" w:rsidRPr="00EF20BC">
        <w:t xml:space="preserve"> (other than to obtain information by search warrant) which would enable the ACMA to acquire information from licensees/suppliers and other persons relevant to the performance or exercise of the ACMA’s radiocommunications functions or powers. In contrast, Part 27 of the </w:t>
      </w:r>
      <w:r w:rsidR="00834FDD" w:rsidRPr="00EF20BC">
        <w:rPr>
          <w:i/>
        </w:rPr>
        <w:t>Telecommunications Act 1997</w:t>
      </w:r>
      <w:r w:rsidR="00EF20BC">
        <w:t xml:space="preserve"> </w:t>
      </w:r>
      <w:r w:rsidR="00834FDD" w:rsidRPr="00EF20BC">
        <w:t xml:space="preserve">applies such a provision in respect to carriers and service providers (and other persons). </w:t>
      </w:r>
    </w:p>
    <w:p w14:paraId="0809C763" w14:textId="7DD27F29" w:rsidR="00834FDD" w:rsidRDefault="00834FDD" w:rsidP="00E81373">
      <w:pPr>
        <w:pStyle w:val="Default"/>
        <w:spacing w:before="120" w:after="120"/>
        <w:rPr>
          <w:rFonts w:cstheme="minorBidi"/>
          <w:color w:val="auto"/>
          <w:sz w:val="22"/>
          <w:szCs w:val="22"/>
        </w:rPr>
      </w:pPr>
      <w:r w:rsidRPr="00EF20BC">
        <w:rPr>
          <w:rFonts w:cstheme="minorBidi"/>
          <w:color w:val="auto"/>
          <w:sz w:val="22"/>
          <w:szCs w:val="22"/>
        </w:rPr>
        <w:t xml:space="preserve">It is therefore proposed to include such a provision in the </w:t>
      </w:r>
      <w:r w:rsidRPr="00EF20BC">
        <w:rPr>
          <w:rFonts w:cstheme="minorBidi"/>
          <w:i/>
          <w:color w:val="auto"/>
          <w:sz w:val="22"/>
          <w:szCs w:val="22"/>
        </w:rPr>
        <w:t>Radiocommunications Act</w:t>
      </w:r>
      <w:r w:rsidRPr="00EF20BC">
        <w:rPr>
          <w:rFonts w:cstheme="minorBidi"/>
          <w:color w:val="auto"/>
          <w:sz w:val="22"/>
          <w:szCs w:val="22"/>
        </w:rPr>
        <w:t>. This would assist in providing information for market participants but would also be of relevance to the ACMA’s regulation of radiocommunications devices. The complexity of the supply chain with multiple parties involved in importing devices, makes it increasingly challenging for the ACMA to identify each person involved in the process in the absence of, or ability to ask for, information when it is required.</w:t>
      </w:r>
    </w:p>
    <w:p w14:paraId="2FF6DDAC" w14:textId="77777777" w:rsidR="00BA5A21" w:rsidRDefault="00BA5A21" w:rsidP="00BA5A21">
      <w:pPr>
        <w:pStyle w:val="Heading2"/>
        <w:numPr>
          <w:ilvl w:val="1"/>
          <w:numId w:val="0"/>
        </w:numPr>
        <w:ind w:left="907" w:hanging="907"/>
      </w:pPr>
      <w:bookmarkStart w:id="38" w:name="_Toc401237569"/>
      <w:r>
        <w:t>Compensation</w:t>
      </w:r>
      <w:bookmarkEnd w:id="38"/>
    </w:p>
    <w:p w14:paraId="2FF6DDAD" w14:textId="5CEC5CE4" w:rsidR="002B25EA" w:rsidRPr="00170974" w:rsidRDefault="002B25EA" w:rsidP="00170974">
      <w:pPr>
        <w:pStyle w:val="Bodytext-Indent"/>
        <w:ind w:left="0"/>
        <w:rPr>
          <w:b/>
          <w:color w:val="32859D" w:themeColor="text2" w:themeShade="80"/>
        </w:rPr>
      </w:pPr>
      <w:bookmarkStart w:id="39" w:name="_Toc400017415"/>
      <w:bookmarkStart w:id="40" w:name="_Toc400018078"/>
      <w:bookmarkStart w:id="41" w:name="_Toc400441482"/>
      <w:bookmarkStart w:id="42" w:name="_Toc399223280"/>
      <w:bookmarkStart w:id="43" w:name="_Toc399422700"/>
      <w:r w:rsidRPr="00170974">
        <w:rPr>
          <w:b/>
          <w:color w:val="32859D" w:themeColor="text2" w:themeShade="80"/>
        </w:rPr>
        <w:t xml:space="preserve">Proposal </w:t>
      </w:r>
      <w:r w:rsidR="008A253A" w:rsidRPr="00170974">
        <w:rPr>
          <w:b/>
          <w:color w:val="32859D" w:themeColor="text2" w:themeShade="80"/>
        </w:rPr>
        <w:t>7</w:t>
      </w:r>
      <w:r w:rsidRPr="00170974">
        <w:rPr>
          <w:b/>
          <w:color w:val="32859D" w:themeColor="text2" w:themeShade="80"/>
        </w:rPr>
        <w:t xml:space="preserve">: </w:t>
      </w:r>
      <w:r w:rsidR="00740CE1" w:rsidRPr="00170974">
        <w:rPr>
          <w:b/>
          <w:color w:val="32859D" w:themeColor="text2" w:themeShade="80"/>
        </w:rPr>
        <w:t>Payment of c</w:t>
      </w:r>
      <w:r w:rsidRPr="00170974">
        <w:rPr>
          <w:b/>
          <w:color w:val="32859D" w:themeColor="text2" w:themeShade="80"/>
        </w:rPr>
        <w:t>omp</w:t>
      </w:r>
      <w:r w:rsidR="00CC62CA" w:rsidRPr="00170974">
        <w:rPr>
          <w:b/>
          <w:color w:val="32859D" w:themeColor="text2" w:themeShade="80"/>
        </w:rPr>
        <w:t xml:space="preserve">ensation </w:t>
      </w:r>
      <w:r w:rsidR="00740CE1" w:rsidRPr="00170974">
        <w:rPr>
          <w:b/>
          <w:color w:val="32859D" w:themeColor="text2" w:themeShade="80"/>
        </w:rPr>
        <w:t>for resuming</w:t>
      </w:r>
      <w:r w:rsidR="00CC62CA" w:rsidRPr="00170974">
        <w:rPr>
          <w:b/>
          <w:color w:val="32859D" w:themeColor="text2" w:themeShade="80"/>
        </w:rPr>
        <w:t xml:space="preserve"> a</w:t>
      </w:r>
      <w:r w:rsidR="00740CE1" w:rsidRPr="00170974">
        <w:rPr>
          <w:b/>
          <w:color w:val="32859D" w:themeColor="text2" w:themeShade="80"/>
        </w:rPr>
        <w:t>ll or part of a</w:t>
      </w:r>
      <w:r w:rsidR="00CC62CA" w:rsidRPr="00170974">
        <w:rPr>
          <w:b/>
          <w:color w:val="32859D" w:themeColor="text2" w:themeShade="80"/>
        </w:rPr>
        <w:t xml:space="preserve"> </w:t>
      </w:r>
      <w:r w:rsidRPr="00170974">
        <w:rPr>
          <w:b/>
          <w:color w:val="32859D" w:themeColor="text2" w:themeShade="80"/>
        </w:rPr>
        <w:t>licence</w:t>
      </w:r>
      <w:bookmarkEnd w:id="39"/>
      <w:bookmarkEnd w:id="40"/>
      <w:bookmarkEnd w:id="41"/>
      <w:r w:rsidRPr="00170974">
        <w:rPr>
          <w:b/>
          <w:color w:val="32859D" w:themeColor="text2" w:themeShade="80"/>
        </w:rPr>
        <w:t xml:space="preserve"> </w:t>
      </w:r>
      <w:bookmarkEnd w:id="42"/>
      <w:bookmarkEnd w:id="43"/>
    </w:p>
    <w:p w14:paraId="2FF6DDAE" w14:textId="547C8B3D" w:rsidR="00740CE1" w:rsidRDefault="00740CE1" w:rsidP="000E598D">
      <w:pPr>
        <w:pStyle w:val="ListParagraph"/>
        <w:numPr>
          <w:ilvl w:val="0"/>
          <w:numId w:val="30"/>
        </w:numPr>
        <w:spacing w:before="0" w:after="200" w:line="276" w:lineRule="auto"/>
        <w:rPr>
          <w:i/>
        </w:rPr>
      </w:pPr>
      <w:r w:rsidRPr="00AC34E7">
        <w:rPr>
          <w:i/>
        </w:rPr>
        <w:t>Provide for common compensation provisions for resumption of licences</w:t>
      </w:r>
      <w:r w:rsidR="00A34250">
        <w:rPr>
          <w:i/>
        </w:rPr>
        <w:t>.</w:t>
      </w:r>
    </w:p>
    <w:p w14:paraId="2FF6DDAF" w14:textId="1B16AE4F" w:rsidR="00740CE1" w:rsidRPr="00AC34E7" w:rsidRDefault="00740CE1" w:rsidP="000E598D">
      <w:pPr>
        <w:pStyle w:val="ListParagraph"/>
        <w:numPr>
          <w:ilvl w:val="0"/>
          <w:numId w:val="30"/>
        </w:numPr>
        <w:spacing w:before="0" w:after="200" w:line="276" w:lineRule="auto"/>
        <w:rPr>
          <w:i/>
        </w:rPr>
      </w:pPr>
      <w:r>
        <w:rPr>
          <w:i/>
        </w:rPr>
        <w:t xml:space="preserve">Whether compensation </w:t>
      </w:r>
      <w:r w:rsidR="00566A9C">
        <w:rPr>
          <w:i/>
        </w:rPr>
        <w:t xml:space="preserve">is </w:t>
      </w:r>
      <w:r>
        <w:rPr>
          <w:i/>
        </w:rPr>
        <w:t>payable in event of resumption to be a licence parameter</w:t>
      </w:r>
      <w:r w:rsidR="00A34250">
        <w:rPr>
          <w:i/>
        </w:rPr>
        <w:t>.</w:t>
      </w:r>
    </w:p>
    <w:p w14:paraId="2FF6DDB0" w14:textId="2C437215" w:rsidR="00B65C1F" w:rsidRDefault="001E361D" w:rsidP="0017028F">
      <w:pPr>
        <w:pStyle w:val="BodyText"/>
        <w:spacing w:before="120" w:after="120"/>
      </w:pPr>
      <w:r>
        <w:t xml:space="preserve">The </w:t>
      </w:r>
      <w:r w:rsidR="00740CE1">
        <w:t>ability to resume part or all of</w:t>
      </w:r>
      <w:r w:rsidR="003D1033">
        <w:t xml:space="preserve"> </w:t>
      </w:r>
      <w:r w:rsidR="00740CE1">
        <w:t>a</w:t>
      </w:r>
      <w:r w:rsidR="00B65C1F">
        <w:t xml:space="preserve"> spectrum</w:t>
      </w:r>
      <w:r w:rsidR="00740CE1">
        <w:t xml:space="preserve"> band</w:t>
      </w:r>
      <w:r w:rsidR="00B65C1F">
        <w:t xml:space="preserve"> </w:t>
      </w:r>
      <w:r>
        <w:t xml:space="preserve">during a licence term </w:t>
      </w:r>
      <w:r w:rsidR="00052C0C">
        <w:t>allows</w:t>
      </w:r>
      <w:r w:rsidR="00740CE1">
        <w:t xml:space="preserve"> the</w:t>
      </w:r>
      <w:r w:rsidR="00B65C1F">
        <w:t xml:space="preserve"> spectrum to be </w:t>
      </w:r>
      <w:r w:rsidR="00740CE1">
        <w:t xml:space="preserve">returned to the </w:t>
      </w:r>
      <w:r w:rsidR="00052C0C">
        <w:t>ACMA</w:t>
      </w:r>
      <w:r w:rsidR="00865E27">
        <w:t xml:space="preserve"> to enable it to replan and/or reallocate the spectrum depending on the need</w:t>
      </w:r>
      <w:r w:rsidR="00B65C1F">
        <w:t xml:space="preserve">. The requirement to provide compensation recognises and </w:t>
      </w:r>
      <w:r w:rsidR="00FF1ABF">
        <w:t>reimburses</w:t>
      </w:r>
      <w:r w:rsidR="00B65C1F">
        <w:t xml:space="preserve"> incumbents for the loss whe</w:t>
      </w:r>
      <w:r>
        <w:t>n</w:t>
      </w:r>
      <w:r w:rsidR="00B65C1F">
        <w:t xml:space="preserve"> licenses are </w:t>
      </w:r>
      <w:r>
        <w:t>resumed</w:t>
      </w:r>
      <w:r w:rsidR="00B65C1F">
        <w:t>.</w:t>
      </w:r>
    </w:p>
    <w:p w14:paraId="2FF6DDB1" w14:textId="1D7DC2FD" w:rsidR="00056F81" w:rsidRDefault="00865E27" w:rsidP="00702675">
      <w:pPr>
        <w:pStyle w:val="BodyText"/>
        <w:spacing w:before="120" w:after="120"/>
      </w:pPr>
      <w:r>
        <w:t>I</w:t>
      </w:r>
      <w:r w:rsidR="008D3AB9">
        <w:t xml:space="preserve">t </w:t>
      </w:r>
      <w:r w:rsidR="00D135EF">
        <w:t xml:space="preserve">is proposed that </w:t>
      </w:r>
      <w:r w:rsidR="007772E6">
        <w:t xml:space="preserve">the new framework include </w:t>
      </w:r>
      <w:r w:rsidR="000B002E">
        <w:t xml:space="preserve">the right to </w:t>
      </w:r>
      <w:r w:rsidR="00D135EF">
        <w:t xml:space="preserve">compensation </w:t>
      </w:r>
      <w:r w:rsidR="00BD4EBA">
        <w:t xml:space="preserve">in the event of resumption similar to that applying </w:t>
      </w:r>
      <w:r w:rsidR="00D135EF">
        <w:t>to spectrum licences</w:t>
      </w:r>
      <w:r w:rsidR="007772E6">
        <w:t xml:space="preserve"> under the current framework</w:t>
      </w:r>
      <w:r w:rsidR="00D135EF">
        <w:t>.</w:t>
      </w:r>
      <w:r w:rsidR="00BC5671">
        <w:t xml:space="preserve"> </w:t>
      </w:r>
      <w:r w:rsidR="00ED650E">
        <w:t xml:space="preserve">As is the case now, all or part of a licence may be resumed and resumption may be by agreement or </w:t>
      </w:r>
      <w:r w:rsidR="0024627A">
        <w:t xml:space="preserve">a </w:t>
      </w:r>
      <w:r w:rsidR="00ED650E">
        <w:t>compulsory</w:t>
      </w:r>
      <w:r w:rsidR="0024627A">
        <w:t xml:space="preserve"> process</w:t>
      </w:r>
      <w:r w:rsidR="00ED650E">
        <w:t>.</w:t>
      </w:r>
      <w:r w:rsidR="00056F81">
        <w:t xml:space="preserve"> </w:t>
      </w:r>
      <w:r w:rsidR="00ED650E">
        <w:t>Compensation</w:t>
      </w:r>
      <w:r w:rsidR="00BC5671">
        <w:t xml:space="preserve"> would </w:t>
      </w:r>
      <w:r w:rsidR="0024627A">
        <w:t xml:space="preserve">be for the market value of the licence and any loss, injury or damage suffered or expense reasonably incurred as a consequence of resumption. </w:t>
      </w:r>
    </w:p>
    <w:p w14:paraId="2FF6DDB2" w14:textId="560EE68C" w:rsidR="00702675" w:rsidRDefault="00865E27" w:rsidP="00702675">
      <w:pPr>
        <w:pStyle w:val="BodyText"/>
        <w:spacing w:before="120" w:after="120"/>
      </w:pPr>
      <w:r>
        <w:t>U</w:t>
      </w:r>
      <w:r w:rsidR="00056F81">
        <w:t xml:space="preserve">nder a single licensing framework, </w:t>
      </w:r>
      <w:r>
        <w:t>the right to</w:t>
      </w:r>
      <w:r w:rsidR="00056F81">
        <w:t xml:space="preserve"> compensation on resumption could potentially apply to a wider range of </w:t>
      </w:r>
      <w:r>
        <w:t>licensees</w:t>
      </w:r>
      <w:r w:rsidR="00056F81">
        <w:t xml:space="preserve"> tha</w:t>
      </w:r>
      <w:r>
        <w:t>n currently</w:t>
      </w:r>
      <w:r w:rsidR="00056F81">
        <w:t xml:space="preserve"> have a right to compensation. </w:t>
      </w:r>
      <w:r>
        <w:t xml:space="preserve">However, it is proposed that whether or not compensation is payable </w:t>
      </w:r>
      <w:r w:rsidR="00C62A5A">
        <w:t xml:space="preserve">would </w:t>
      </w:r>
      <w:r>
        <w:t>depend on the parameters of the particular licence, for example, the right to compensation may not apply to licences with terms of less than five years or instances where no licence fees are payable.</w:t>
      </w:r>
    </w:p>
    <w:p w14:paraId="2FF6DDB3" w14:textId="25BEB7A7" w:rsidR="003852CF" w:rsidRDefault="00865E27" w:rsidP="00865E27">
      <w:pPr>
        <w:pStyle w:val="BodyText"/>
        <w:spacing w:before="120" w:after="120"/>
      </w:pPr>
      <w:r>
        <w:t>It is anticipated u</w:t>
      </w:r>
      <w:r w:rsidRPr="0000106E">
        <w:t>nder the single licensing framework</w:t>
      </w:r>
      <w:r>
        <w:t xml:space="preserve"> that</w:t>
      </w:r>
      <w:r w:rsidRPr="0000106E">
        <w:t xml:space="preserve"> changes of use would primarily be managed through the setting of appropriate licence terms</w:t>
      </w:r>
      <w:r w:rsidR="00BD4EBA">
        <w:t xml:space="preserve"> both on initial allocation and on renewal where applicable</w:t>
      </w:r>
      <w:r w:rsidRPr="0000106E">
        <w:t>. As a result, the expectation is that there would be a limited need to resume licences and therefore for compensation to be paid.</w:t>
      </w:r>
    </w:p>
    <w:p w14:paraId="2FF6DDB4" w14:textId="77777777" w:rsidR="00BA5A21" w:rsidRDefault="00BA5A21" w:rsidP="00BA5A21">
      <w:pPr>
        <w:pStyle w:val="Heading2"/>
        <w:numPr>
          <w:ilvl w:val="1"/>
          <w:numId w:val="0"/>
        </w:numPr>
        <w:ind w:left="907" w:hanging="907"/>
      </w:pPr>
      <w:bookmarkStart w:id="44" w:name="_Toc401237570"/>
      <w:r>
        <w:t>User involvement in spectrum management</w:t>
      </w:r>
      <w:bookmarkEnd w:id="44"/>
    </w:p>
    <w:p w14:paraId="2FF6DDB5" w14:textId="4E048BE1" w:rsidR="00256C31" w:rsidRPr="00170974" w:rsidRDefault="00256C31" w:rsidP="00170974">
      <w:pPr>
        <w:pStyle w:val="Bodytext-Indent"/>
        <w:ind w:left="0"/>
        <w:rPr>
          <w:b/>
          <w:color w:val="32859D" w:themeColor="text2" w:themeShade="80"/>
        </w:rPr>
      </w:pPr>
      <w:bookmarkStart w:id="45" w:name="_Toc400017417"/>
      <w:bookmarkStart w:id="46" w:name="_Toc400018080"/>
      <w:bookmarkStart w:id="47" w:name="_Toc400441484"/>
      <w:bookmarkStart w:id="48" w:name="_Toc399223283"/>
      <w:bookmarkStart w:id="49" w:name="_Toc399422704"/>
      <w:r w:rsidRPr="00170974">
        <w:rPr>
          <w:b/>
          <w:color w:val="32859D" w:themeColor="text2" w:themeShade="80"/>
        </w:rPr>
        <w:t xml:space="preserve">Proposal </w:t>
      </w:r>
      <w:r w:rsidR="008A253A" w:rsidRPr="00170974">
        <w:rPr>
          <w:b/>
          <w:color w:val="32859D" w:themeColor="text2" w:themeShade="80"/>
        </w:rPr>
        <w:t>8</w:t>
      </w:r>
      <w:r w:rsidRPr="00170974">
        <w:rPr>
          <w:b/>
          <w:color w:val="32859D" w:themeColor="text2" w:themeShade="80"/>
        </w:rPr>
        <w:t>: Facilitate greater user involvement in spectrum management</w:t>
      </w:r>
      <w:bookmarkEnd w:id="45"/>
      <w:bookmarkEnd w:id="46"/>
      <w:bookmarkEnd w:id="47"/>
      <w:r w:rsidRPr="00170974">
        <w:rPr>
          <w:b/>
          <w:color w:val="32859D" w:themeColor="text2" w:themeShade="80"/>
        </w:rPr>
        <w:t xml:space="preserve"> </w:t>
      </w:r>
    </w:p>
    <w:p w14:paraId="2FF6DDB6" w14:textId="77C60E6F" w:rsidR="00256C31" w:rsidRPr="009445F8" w:rsidRDefault="00A34250" w:rsidP="009445F8">
      <w:pPr>
        <w:pStyle w:val="ListParagraph"/>
        <w:numPr>
          <w:ilvl w:val="0"/>
          <w:numId w:val="30"/>
        </w:numPr>
        <w:spacing w:before="0" w:after="200" w:line="276" w:lineRule="auto"/>
        <w:rPr>
          <w:i/>
        </w:rPr>
      </w:pPr>
      <w:bookmarkStart w:id="50" w:name="_Toc400017418"/>
      <w:bookmarkStart w:id="51" w:name="_Toc400018081"/>
      <w:r>
        <w:rPr>
          <w:i/>
        </w:rPr>
        <w:t>Allow</w:t>
      </w:r>
      <w:r w:rsidR="00256C31" w:rsidRPr="009445F8">
        <w:rPr>
          <w:i/>
        </w:rPr>
        <w:t xml:space="preserve"> </w:t>
      </w:r>
      <w:r w:rsidR="006017AE">
        <w:rPr>
          <w:i/>
        </w:rPr>
        <w:t xml:space="preserve">the </w:t>
      </w:r>
      <w:r w:rsidR="00256C31" w:rsidRPr="009445F8">
        <w:rPr>
          <w:i/>
        </w:rPr>
        <w:t>ACMA to delegate spectrum management functions to other entities</w:t>
      </w:r>
      <w:bookmarkEnd w:id="50"/>
      <w:bookmarkEnd w:id="51"/>
      <w:r>
        <w:rPr>
          <w:i/>
        </w:rPr>
        <w:t>.</w:t>
      </w:r>
    </w:p>
    <w:bookmarkEnd w:id="48"/>
    <w:bookmarkEnd w:id="49"/>
    <w:p w14:paraId="2FF6DDB7" w14:textId="26DA22EC" w:rsidR="00BF2DA8" w:rsidRDefault="00BE76D1" w:rsidP="00B83362">
      <w:pPr>
        <w:pStyle w:val="BodyText"/>
        <w:spacing w:before="120" w:after="120"/>
      </w:pPr>
      <w:r>
        <w:t>This proposal would a</w:t>
      </w:r>
      <w:r w:rsidR="005E05E2">
        <w:t>llow</w:t>
      </w:r>
      <w:r w:rsidR="00B65C1F">
        <w:t xml:space="preserve"> the ACMA to delegate its spectrum management functions </w:t>
      </w:r>
      <w:r>
        <w:t xml:space="preserve">with the intention of </w:t>
      </w:r>
      <w:r w:rsidR="00B65C1F">
        <w:t>enabl</w:t>
      </w:r>
      <w:r>
        <w:t>ing</w:t>
      </w:r>
      <w:r w:rsidR="00B65C1F">
        <w:t xml:space="preserve"> greater involvement of spectrum users and other ent</w:t>
      </w:r>
      <w:r>
        <w:t xml:space="preserve">ities in spectrum management and so </w:t>
      </w:r>
      <w:r w:rsidR="00B65C1F">
        <w:t>improve</w:t>
      </w:r>
      <w:r>
        <w:t>d</w:t>
      </w:r>
      <w:r w:rsidR="00B65C1F">
        <w:t xml:space="preserve"> flexibility and efficiency.</w:t>
      </w:r>
      <w:r w:rsidR="00AD7E06">
        <w:t xml:space="preserve"> This process may be used to support private band management or involvement of </w:t>
      </w:r>
      <w:r w:rsidR="00FB19C2">
        <w:t xml:space="preserve">other entities </w:t>
      </w:r>
      <w:r w:rsidR="00AD7E06">
        <w:t>in other parts of the framework</w:t>
      </w:r>
      <w:r w:rsidR="00FB19C2">
        <w:t xml:space="preserve">. </w:t>
      </w:r>
    </w:p>
    <w:p w14:paraId="2FF6DDB8" w14:textId="3F704F5E" w:rsidR="00B65C1F" w:rsidRDefault="00FB19C2" w:rsidP="00B83362">
      <w:pPr>
        <w:pStyle w:val="BodyText"/>
        <w:spacing w:before="120" w:after="120"/>
      </w:pPr>
      <w:r>
        <w:t>Currently the ACMA can make instruments to,</w:t>
      </w:r>
      <w:r w:rsidR="00072C1A">
        <w:t xml:space="preserve"> </w:t>
      </w:r>
      <w:r>
        <w:t xml:space="preserve">for example, accredit </w:t>
      </w:r>
      <w:r w:rsidR="00AD7E06">
        <w:t>persons</w:t>
      </w:r>
      <w:r>
        <w:t xml:space="preserve"> </w:t>
      </w:r>
      <w:r w:rsidR="00072C1A">
        <w:t>for frequency assignment purposes</w:t>
      </w:r>
      <w:r>
        <w:t xml:space="preserve">. This </w:t>
      </w:r>
      <w:r w:rsidR="004E2A59">
        <w:t xml:space="preserve">arrangement </w:t>
      </w:r>
      <w:r>
        <w:t>would conti</w:t>
      </w:r>
      <w:r w:rsidR="004E2A59">
        <w:t xml:space="preserve">nue under the new framework. The concept/model would be extended </w:t>
      </w:r>
      <w:r w:rsidR="00BF2DA8">
        <w:t xml:space="preserve">for </w:t>
      </w:r>
      <w:r>
        <w:t xml:space="preserve">the purposes of </w:t>
      </w:r>
      <w:r w:rsidR="00D06BBA">
        <w:t xml:space="preserve">allowing some of </w:t>
      </w:r>
      <w:r w:rsidR="006017AE">
        <w:t xml:space="preserve">the </w:t>
      </w:r>
      <w:r w:rsidR="00D06BBA">
        <w:t>ACMA’s functions to be performed by others such as</w:t>
      </w:r>
      <w:r>
        <w:t xml:space="preserve"> private band manager</w:t>
      </w:r>
      <w:r w:rsidR="004E2A59">
        <w:t>s</w:t>
      </w:r>
      <w:r w:rsidR="00AD7E06">
        <w:t>.</w:t>
      </w:r>
      <w:r w:rsidR="00072C1A">
        <w:t xml:space="preserve"> Functions to be devolved could include </w:t>
      </w:r>
      <w:r w:rsidR="008604FE">
        <w:t>planning, licensing, pricing, fee collection, interference management and dispute resolution</w:t>
      </w:r>
      <w:r w:rsidR="00072C1A">
        <w:t>.</w:t>
      </w:r>
    </w:p>
    <w:p w14:paraId="2FF6DDB9" w14:textId="52CF90EB" w:rsidR="00072C1A" w:rsidRDefault="00AD7E06" w:rsidP="005D0423">
      <w:pPr>
        <w:pStyle w:val="BodyText"/>
        <w:spacing w:before="120" w:after="120"/>
      </w:pPr>
      <w:r>
        <w:t>To put this into effec</w:t>
      </w:r>
      <w:r w:rsidR="00BE76D1">
        <w:t xml:space="preserve">t the ACMA would designate </w:t>
      </w:r>
      <w:r>
        <w:t xml:space="preserve">what roles or functions </w:t>
      </w:r>
      <w:r w:rsidR="00BD4EBA">
        <w:t xml:space="preserve">were </w:t>
      </w:r>
      <w:r>
        <w:t xml:space="preserve">to be delegated and any conditions that </w:t>
      </w:r>
      <w:r w:rsidR="00BD4EBA">
        <w:t>would</w:t>
      </w:r>
      <w:r>
        <w:t xml:space="preserve"> apply.</w:t>
      </w:r>
      <w:r w:rsidR="00A76309">
        <w:t xml:space="preserve"> </w:t>
      </w:r>
      <w:r w:rsidR="005D0423">
        <w:t xml:space="preserve">The ACMA would be responsible for monitoring and oversighting these arrangements to ensure the delegated functions </w:t>
      </w:r>
      <w:r w:rsidR="00BD4EBA">
        <w:t xml:space="preserve">were </w:t>
      </w:r>
      <w:r w:rsidR="005D0423">
        <w:t xml:space="preserve">performed </w:t>
      </w:r>
      <w:r w:rsidR="00BE76D1">
        <w:t>effectively</w:t>
      </w:r>
      <w:r w:rsidR="005D0423">
        <w:t xml:space="preserve">. </w:t>
      </w:r>
      <w:r w:rsidR="00A76309">
        <w:t xml:space="preserve">The ACMA would be able to </w:t>
      </w:r>
      <w:r w:rsidR="00FB19C2" w:rsidRPr="0043016C">
        <w:t>withdraw</w:t>
      </w:r>
      <w:r w:rsidR="00A76309" w:rsidRPr="0043016C">
        <w:t xml:space="preserve"> delegations</w:t>
      </w:r>
      <w:r w:rsidR="00A76309">
        <w:t xml:space="preserve"> for certain reasons</w:t>
      </w:r>
      <w:r w:rsidR="004C67D5">
        <w:t>, for example,</w:t>
      </w:r>
      <w:r w:rsidR="00A76309">
        <w:t xml:space="preserve"> </w:t>
      </w:r>
      <w:r w:rsidR="00FB19C2">
        <w:t>breaches of</w:t>
      </w:r>
      <w:r w:rsidR="00A76309">
        <w:t xml:space="preserve"> conditions</w:t>
      </w:r>
      <w:r w:rsidR="00C13225">
        <w:t xml:space="preserve"> or requirements</w:t>
      </w:r>
      <w:r w:rsidR="005614EC">
        <w:t>.</w:t>
      </w:r>
      <w:r w:rsidR="005D0423">
        <w:t xml:space="preserve"> </w:t>
      </w:r>
    </w:p>
    <w:p w14:paraId="2FF6DDBA" w14:textId="77777777" w:rsidR="00213CD2" w:rsidRDefault="00213CD2" w:rsidP="00213CD2">
      <w:pPr>
        <w:pStyle w:val="Heading2"/>
        <w:numPr>
          <w:ilvl w:val="1"/>
          <w:numId w:val="0"/>
        </w:numPr>
        <w:ind w:left="907" w:hanging="907"/>
      </w:pPr>
      <w:bookmarkStart w:id="52" w:name="_Toc401237571"/>
      <w:r>
        <w:t>Technical regulation</w:t>
      </w:r>
      <w:bookmarkEnd w:id="52"/>
    </w:p>
    <w:p w14:paraId="2FF6DDBB" w14:textId="4018084A" w:rsidR="00213CD2" w:rsidRPr="00170974" w:rsidRDefault="00213CD2" w:rsidP="00170974">
      <w:pPr>
        <w:pStyle w:val="Bodytext-Indent"/>
        <w:ind w:left="0"/>
        <w:rPr>
          <w:b/>
          <w:color w:val="32859D" w:themeColor="text2" w:themeShade="80"/>
        </w:rPr>
      </w:pPr>
      <w:bookmarkStart w:id="53" w:name="_Toc399422708"/>
      <w:bookmarkStart w:id="54" w:name="_Toc400017420"/>
      <w:bookmarkStart w:id="55" w:name="_Toc400018083"/>
      <w:bookmarkStart w:id="56" w:name="_Toc400441486"/>
      <w:r w:rsidRPr="00170974">
        <w:rPr>
          <w:b/>
          <w:color w:val="32859D" w:themeColor="text2" w:themeShade="80"/>
        </w:rPr>
        <w:t xml:space="preserve">Proposal </w:t>
      </w:r>
      <w:r w:rsidR="008A253A" w:rsidRPr="00170974">
        <w:rPr>
          <w:b/>
          <w:color w:val="32859D" w:themeColor="text2" w:themeShade="80"/>
        </w:rPr>
        <w:t>9</w:t>
      </w:r>
      <w:r w:rsidRPr="00170974">
        <w:rPr>
          <w:b/>
          <w:color w:val="32859D" w:themeColor="text2" w:themeShade="80"/>
        </w:rPr>
        <w:t xml:space="preserve">: </w:t>
      </w:r>
      <w:bookmarkEnd w:id="53"/>
      <w:bookmarkEnd w:id="54"/>
      <w:bookmarkEnd w:id="55"/>
      <w:bookmarkEnd w:id="56"/>
      <w:r w:rsidR="00532C12">
        <w:rPr>
          <w:b/>
          <w:color w:val="32859D" w:themeColor="text2" w:themeShade="80"/>
        </w:rPr>
        <w:t>Develop more principles-based device supply regulation</w:t>
      </w:r>
    </w:p>
    <w:p w14:paraId="4597B76B" w14:textId="10AA9A50" w:rsidR="00532C12" w:rsidRDefault="00532C12" w:rsidP="00532C12">
      <w:pPr>
        <w:pStyle w:val="ListParagraph"/>
        <w:numPr>
          <w:ilvl w:val="0"/>
          <w:numId w:val="43"/>
        </w:numPr>
        <w:spacing w:before="120" w:after="120" w:line="276" w:lineRule="auto"/>
        <w:rPr>
          <w:i/>
          <w:iCs/>
        </w:rPr>
      </w:pPr>
      <w:r>
        <w:rPr>
          <w:i/>
          <w:iCs/>
        </w:rPr>
        <w:t>Provide the ACMA with increased flexibility to construct device supply schemes approp</w:t>
      </w:r>
      <w:r w:rsidR="002D340F">
        <w:rPr>
          <w:i/>
          <w:iCs/>
        </w:rPr>
        <w:t>riate to specific circumstances.</w:t>
      </w:r>
    </w:p>
    <w:p w14:paraId="68646786" w14:textId="2D86F785" w:rsidR="00532C12" w:rsidRDefault="00532C12" w:rsidP="00532C12">
      <w:pPr>
        <w:pStyle w:val="ListParagraph"/>
        <w:numPr>
          <w:ilvl w:val="0"/>
          <w:numId w:val="43"/>
        </w:numPr>
        <w:autoSpaceDE w:val="0"/>
        <w:autoSpaceDN w:val="0"/>
        <w:spacing w:before="120" w:after="120"/>
      </w:pPr>
      <w:r>
        <w:rPr>
          <w:i/>
          <w:iCs/>
        </w:rPr>
        <w:t>Increase incentives for users and suppliers to manage risk and resolve interference and disputes in the market</w:t>
      </w:r>
      <w:r w:rsidR="002D340F">
        <w:rPr>
          <w:i/>
          <w:iCs/>
        </w:rPr>
        <w:t>.</w:t>
      </w:r>
      <w:r>
        <w:rPr>
          <w:i/>
          <w:iCs/>
        </w:rPr>
        <w:t xml:space="preserve"> </w:t>
      </w:r>
    </w:p>
    <w:p w14:paraId="6EE46FD8" w14:textId="72380565" w:rsidR="00532C12" w:rsidRDefault="00532C12" w:rsidP="00532C12">
      <w:pPr>
        <w:pStyle w:val="ListParagraph"/>
        <w:numPr>
          <w:ilvl w:val="0"/>
          <w:numId w:val="43"/>
        </w:numPr>
        <w:autoSpaceDE w:val="0"/>
        <w:autoSpaceDN w:val="0"/>
        <w:spacing w:before="120" w:after="120"/>
      </w:pPr>
      <w:r>
        <w:rPr>
          <w:i/>
          <w:iCs/>
        </w:rPr>
        <w:t>ACMA to develop and publish guidelines as to its dispute management process</w:t>
      </w:r>
      <w:r w:rsidR="00822F30">
        <w:rPr>
          <w:i/>
          <w:iCs/>
        </w:rPr>
        <w:t>.</w:t>
      </w:r>
    </w:p>
    <w:p w14:paraId="4CA3AE73" w14:textId="0D2356B4" w:rsidR="00532C12" w:rsidRDefault="00532C12" w:rsidP="00532C12">
      <w:pPr>
        <w:pStyle w:val="ListParagraph"/>
        <w:numPr>
          <w:ilvl w:val="0"/>
          <w:numId w:val="43"/>
        </w:numPr>
        <w:autoSpaceDE w:val="0"/>
        <w:autoSpaceDN w:val="0"/>
        <w:spacing w:before="120" w:after="120"/>
      </w:pPr>
      <w:r>
        <w:rPr>
          <w:i/>
          <w:iCs/>
        </w:rPr>
        <w:t>Minimise to the extent appropriate existing record-keeping and labelling requirements having regard to risk factors</w:t>
      </w:r>
      <w:r w:rsidR="002D340F">
        <w:rPr>
          <w:i/>
          <w:iCs/>
        </w:rPr>
        <w:t>.</w:t>
      </w:r>
    </w:p>
    <w:p w14:paraId="3E684AB8" w14:textId="26F6AA98" w:rsidR="00532C12" w:rsidRDefault="00532C12" w:rsidP="009F726D">
      <w:pPr>
        <w:pStyle w:val="ListParagraph"/>
        <w:numPr>
          <w:ilvl w:val="0"/>
          <w:numId w:val="43"/>
        </w:numPr>
        <w:autoSpaceDE w:val="0"/>
        <w:autoSpaceDN w:val="0"/>
        <w:spacing w:before="120" w:after="120"/>
        <w:ind w:left="357" w:hanging="357"/>
        <w:contextualSpacing w:val="0"/>
      </w:pPr>
      <w:r>
        <w:rPr>
          <w:i/>
          <w:iCs/>
        </w:rPr>
        <w:t xml:space="preserve">Reform the definitions relating to supply to </w:t>
      </w:r>
      <w:r w:rsidR="00972AFF">
        <w:rPr>
          <w:i/>
          <w:iCs/>
        </w:rPr>
        <w:t xml:space="preserve">oblige </w:t>
      </w:r>
      <w:r>
        <w:rPr>
          <w:i/>
          <w:iCs/>
        </w:rPr>
        <w:t xml:space="preserve">all persons in the supply chain </w:t>
      </w:r>
      <w:r w:rsidR="00972AFF">
        <w:rPr>
          <w:i/>
          <w:iCs/>
        </w:rPr>
        <w:t>to take reasonable steps to ensure that compliant devices are supplied to the Australian market</w:t>
      </w:r>
      <w:r>
        <w:rPr>
          <w:i/>
          <w:iCs/>
        </w:rPr>
        <w:t>.</w:t>
      </w:r>
    </w:p>
    <w:p w14:paraId="69B3DA51" w14:textId="01781D1A" w:rsidR="00AF550D" w:rsidRPr="00AF550D" w:rsidRDefault="00AF550D" w:rsidP="00AF550D">
      <w:pPr>
        <w:spacing w:before="120" w:after="120"/>
        <w:rPr>
          <w:rStyle w:val="Strong"/>
          <w:b w:val="0"/>
          <w:bCs w:val="0"/>
          <w:lang w:val="en"/>
        </w:rPr>
      </w:pPr>
      <w:r>
        <w:t>Device supply regulation has two primary objectives.  First, it provides an important strategy for managing interference (and provides users with confidence that products are fit for purpose).  Second, it manag</w:t>
      </w:r>
      <w:r w:rsidR="009239A4">
        <w:t>es</w:t>
      </w:r>
      <w:r>
        <w:t xml:space="preserve"> health and safety risks associated with radiocommunications devices. It is the area of the radiocommunications framework of </w:t>
      </w:r>
      <w:r w:rsidRPr="00AF550D">
        <w:rPr>
          <w:lang w:val="en"/>
        </w:rPr>
        <w:t xml:space="preserve">widest application as the vast majority of electrical and electronic products must comply whether they are mains or battery powered, </w:t>
      </w:r>
      <w:r w:rsidR="00972AFF">
        <w:rPr>
          <w:lang w:val="en"/>
        </w:rPr>
        <w:t xml:space="preserve">or </w:t>
      </w:r>
      <w:r w:rsidRPr="00AF550D">
        <w:rPr>
          <w:lang w:val="en"/>
        </w:rPr>
        <w:t>for consumer or commercial use.</w:t>
      </w:r>
      <w:r w:rsidRPr="00AF550D">
        <w:rPr>
          <w:rStyle w:val="Strong"/>
          <w:lang w:val="en"/>
        </w:rPr>
        <w:t xml:space="preserve"> </w:t>
      </w:r>
      <w:r w:rsidR="00822F30">
        <w:rPr>
          <w:rStyle w:val="Strong"/>
          <w:b w:val="0"/>
          <w:lang w:val="en"/>
        </w:rPr>
        <w:t xml:space="preserve">Currently the ACMA </w:t>
      </w:r>
      <w:r w:rsidR="009239A4" w:rsidRPr="00E53C58">
        <w:rPr>
          <w:rStyle w:val="Strong"/>
          <w:b w:val="0"/>
          <w:lang w:val="en"/>
        </w:rPr>
        <w:t>utilises a</w:t>
      </w:r>
      <w:r w:rsidR="009239A4">
        <w:rPr>
          <w:rStyle w:val="Strong"/>
          <w:lang w:val="en"/>
        </w:rPr>
        <w:t xml:space="preserve"> </w:t>
      </w:r>
      <w:r w:rsidRPr="00AF550D">
        <w:rPr>
          <w:rStyle w:val="Strong"/>
          <w:b w:val="0"/>
          <w:bCs w:val="0"/>
          <w:lang w:val="en"/>
        </w:rPr>
        <w:t>substantial amount of resources</w:t>
      </w:r>
      <w:r w:rsidR="009239A4">
        <w:rPr>
          <w:rStyle w:val="Strong"/>
          <w:b w:val="0"/>
          <w:bCs w:val="0"/>
          <w:lang w:val="en"/>
        </w:rPr>
        <w:t xml:space="preserve"> to moni</w:t>
      </w:r>
      <w:r w:rsidR="004966A0">
        <w:rPr>
          <w:rStyle w:val="Strong"/>
          <w:b w:val="0"/>
          <w:bCs w:val="0"/>
          <w:lang w:val="en"/>
        </w:rPr>
        <w:t xml:space="preserve">tor and resolve </w:t>
      </w:r>
      <w:r w:rsidRPr="00AF550D">
        <w:rPr>
          <w:rStyle w:val="Strong"/>
          <w:b w:val="0"/>
          <w:bCs w:val="0"/>
          <w:lang w:val="en"/>
        </w:rPr>
        <w:t xml:space="preserve">technical </w:t>
      </w:r>
      <w:r w:rsidR="009239A4">
        <w:rPr>
          <w:rStyle w:val="Strong"/>
          <w:b w:val="0"/>
          <w:bCs w:val="0"/>
          <w:lang w:val="en"/>
        </w:rPr>
        <w:t xml:space="preserve">issues / </w:t>
      </w:r>
      <w:r w:rsidRPr="00AF550D">
        <w:rPr>
          <w:rStyle w:val="Strong"/>
          <w:b w:val="0"/>
          <w:bCs w:val="0"/>
          <w:lang w:val="en"/>
        </w:rPr>
        <w:t>disputes</w:t>
      </w:r>
      <w:r w:rsidR="009239A4">
        <w:rPr>
          <w:rStyle w:val="Strong"/>
          <w:b w:val="0"/>
          <w:bCs w:val="0"/>
          <w:lang w:val="en"/>
        </w:rPr>
        <w:t>.</w:t>
      </w:r>
      <w:r w:rsidR="00E53C58">
        <w:rPr>
          <w:rStyle w:val="Strong"/>
          <w:b w:val="0"/>
          <w:bCs w:val="0"/>
          <w:lang w:val="en"/>
        </w:rPr>
        <w:t xml:space="preserve"> These resources to a large extent flow through to industry and therefore consumer costs.</w:t>
      </w:r>
      <w:r w:rsidR="009239A4">
        <w:rPr>
          <w:rStyle w:val="Strong"/>
          <w:b w:val="0"/>
          <w:bCs w:val="0"/>
          <w:lang w:val="en"/>
        </w:rPr>
        <w:t xml:space="preserve"> </w:t>
      </w:r>
    </w:p>
    <w:p w14:paraId="284E3D3E" w14:textId="77777777" w:rsidR="00C21E96" w:rsidRDefault="00C21E96" w:rsidP="00AF550D">
      <w:pPr>
        <w:spacing w:before="120" w:after="120"/>
      </w:pPr>
    </w:p>
    <w:p w14:paraId="451A0A08" w14:textId="77777777" w:rsidR="00C21E96" w:rsidRDefault="00C21E96" w:rsidP="00AF550D">
      <w:pPr>
        <w:spacing w:before="120" w:after="120"/>
      </w:pPr>
    </w:p>
    <w:p w14:paraId="3803F3E7" w14:textId="0B6BBE62" w:rsidR="009239A4" w:rsidRDefault="00AF550D" w:rsidP="00AF550D">
      <w:pPr>
        <w:spacing w:before="120" w:after="120"/>
      </w:pPr>
      <w:r>
        <w:t xml:space="preserve">Whilst the current regulatory scheme provides the ACMA with some flexibility, the </w:t>
      </w:r>
      <w:r w:rsidRPr="00AF550D">
        <w:rPr>
          <w:i/>
          <w:iCs/>
        </w:rPr>
        <w:t>Radiocommunications Act</w:t>
      </w:r>
      <w:r>
        <w:t xml:space="preserve"> remains relatively prescriptive. </w:t>
      </w:r>
      <w:r w:rsidR="009239A4">
        <w:t xml:space="preserve">The proposal is to move to a more principles-based </w:t>
      </w:r>
      <w:r w:rsidR="004966A0">
        <w:t xml:space="preserve">approach </w:t>
      </w:r>
      <w:r w:rsidR="009239A4">
        <w:t xml:space="preserve">involving the </w:t>
      </w:r>
      <w:r>
        <w:t>replace</w:t>
      </w:r>
      <w:r w:rsidR="009239A4">
        <w:t xml:space="preserve">ment of </w:t>
      </w:r>
      <w:r>
        <w:t xml:space="preserve">standards, labelling and record-keeping requirement provisions with the ability for the ACMA to construct device supply schemes appropriate to specific circumstances. The legislation would specify the scope of the ACMA’s powers (for example, provide for technical standards, operating requirements, labelling and record-keeping) and identify the objectives to be taken into consideration by the ACMA in applying the specific device supply schemes. </w:t>
      </w:r>
    </w:p>
    <w:p w14:paraId="33CB491E" w14:textId="43A625A9" w:rsidR="00AF550D" w:rsidRDefault="00AF550D" w:rsidP="00AF550D">
      <w:pPr>
        <w:spacing w:before="120" w:after="120"/>
      </w:pPr>
      <w:r>
        <w:t>The intention</w:t>
      </w:r>
      <w:r w:rsidR="009239A4">
        <w:t xml:space="preserve"> of this approach</w:t>
      </w:r>
      <w:r>
        <w:t xml:space="preserve"> is to increase the ACMA’s flexibility to enable it to devise schemes appropriate to the level of risk for the equipment and the type of supply chains. </w:t>
      </w:r>
      <w:r w:rsidR="009239A4">
        <w:t>T</w:t>
      </w:r>
      <w:r>
        <w:t xml:space="preserve">his </w:t>
      </w:r>
      <w:r w:rsidR="009239A4">
        <w:t>w</w:t>
      </w:r>
      <w:r>
        <w:t xml:space="preserve">ould enable the labelling requirements to be more consumer-focused, give the ACMA greater flexibility to exempt low-risk devices from compliance and target particular (rather than generic) supply chains. </w:t>
      </w:r>
    </w:p>
    <w:p w14:paraId="32F51D0C" w14:textId="2B2F173F" w:rsidR="00A675B9" w:rsidRDefault="00A675B9" w:rsidP="00A675B9">
      <w:pPr>
        <w:autoSpaceDE w:val="0"/>
        <w:autoSpaceDN w:val="0"/>
        <w:adjustRightInd w:val="0"/>
        <w:spacing w:before="120" w:after="120"/>
        <w:rPr>
          <w:rFonts w:cs="Calibri"/>
        </w:rPr>
      </w:pPr>
      <w:r>
        <w:rPr>
          <w:rFonts w:cs="Calibri"/>
        </w:rPr>
        <w:t xml:space="preserve">In order to reduce </w:t>
      </w:r>
      <w:r w:rsidR="009239A4">
        <w:rPr>
          <w:rFonts w:cs="Calibri"/>
        </w:rPr>
        <w:t xml:space="preserve">costs associated with </w:t>
      </w:r>
      <w:r>
        <w:rPr>
          <w:rFonts w:cs="Calibri"/>
        </w:rPr>
        <w:t>dispute</w:t>
      </w:r>
      <w:r w:rsidR="009239A4">
        <w:rPr>
          <w:rFonts w:cs="Calibri"/>
        </w:rPr>
        <w:t>s</w:t>
      </w:r>
      <w:r>
        <w:rPr>
          <w:rFonts w:cs="Calibri"/>
        </w:rPr>
        <w:t xml:space="preserve"> it is </w:t>
      </w:r>
      <w:r w:rsidR="00972AFF">
        <w:rPr>
          <w:rFonts w:cs="Calibri"/>
        </w:rPr>
        <w:t xml:space="preserve">also </w:t>
      </w:r>
      <w:r>
        <w:rPr>
          <w:rFonts w:cs="Calibri"/>
        </w:rPr>
        <w:t xml:space="preserve">proposed to </w:t>
      </w:r>
      <w:r w:rsidR="00972AFF">
        <w:rPr>
          <w:rFonts w:cs="Calibri"/>
        </w:rPr>
        <w:t xml:space="preserve">incentivise users and suppliers to resolve disputes between themselves. </w:t>
      </w:r>
      <w:r w:rsidR="009239A4">
        <w:rPr>
          <w:rFonts w:cs="Calibri"/>
        </w:rPr>
        <w:t xml:space="preserve">This could be facilitated by providing </w:t>
      </w:r>
      <w:r>
        <w:rPr>
          <w:rFonts w:cs="Calibri"/>
        </w:rPr>
        <w:t xml:space="preserve">the ACMA </w:t>
      </w:r>
      <w:r w:rsidR="009239A4">
        <w:rPr>
          <w:rFonts w:cs="Calibri"/>
        </w:rPr>
        <w:t>with the option to</w:t>
      </w:r>
      <w:r w:rsidR="00972AFF">
        <w:rPr>
          <w:rFonts w:cs="Calibri"/>
        </w:rPr>
        <w:t xml:space="preserve"> recover the costs of an investigation into interference/technical disputes from an offending party</w:t>
      </w:r>
      <w:r>
        <w:rPr>
          <w:rFonts w:cs="Calibri"/>
        </w:rPr>
        <w:t xml:space="preserve">.  </w:t>
      </w:r>
      <w:r w:rsidR="009239A4">
        <w:rPr>
          <w:rFonts w:cs="Calibri"/>
        </w:rPr>
        <w:t>T</w:t>
      </w:r>
      <w:r>
        <w:rPr>
          <w:rFonts w:cs="Calibri"/>
        </w:rPr>
        <w:t xml:space="preserve">he ACMA </w:t>
      </w:r>
      <w:r w:rsidR="009239A4">
        <w:rPr>
          <w:rFonts w:cs="Calibri"/>
        </w:rPr>
        <w:t xml:space="preserve">would </w:t>
      </w:r>
      <w:r>
        <w:rPr>
          <w:rFonts w:cs="Calibri"/>
        </w:rPr>
        <w:t xml:space="preserve">develop and publish guidelines setting out its dispute handling process. </w:t>
      </w:r>
      <w:r w:rsidR="00972AFF">
        <w:rPr>
          <w:rFonts w:cs="Calibri"/>
        </w:rPr>
        <w:t xml:space="preserve">It is also proposed, as part of the move to a single licensing framework, that the existing rights to commence civil action currently conferred on spectrum licensees (section 50 of the Act) to protect against interference would become a licence parameter and so could be extended to </w:t>
      </w:r>
      <w:r w:rsidR="009239A4">
        <w:rPr>
          <w:rFonts w:cs="Calibri"/>
        </w:rPr>
        <w:t xml:space="preserve">potentially all </w:t>
      </w:r>
      <w:r w:rsidR="00972AFF">
        <w:rPr>
          <w:rFonts w:cs="Calibri"/>
        </w:rPr>
        <w:t xml:space="preserve">licensees </w:t>
      </w:r>
      <w:r w:rsidR="009239A4">
        <w:rPr>
          <w:rFonts w:cs="Calibri"/>
        </w:rPr>
        <w:t>where</w:t>
      </w:r>
      <w:r w:rsidR="00972AFF">
        <w:rPr>
          <w:rFonts w:cs="Calibri"/>
        </w:rPr>
        <w:t xml:space="preserve"> appropriate.</w:t>
      </w:r>
      <w:r>
        <w:rPr>
          <w:rFonts w:cs="Calibri"/>
        </w:rPr>
        <w:t xml:space="preserve"> </w:t>
      </w:r>
    </w:p>
    <w:p w14:paraId="4F787479" w14:textId="5FCEC934" w:rsidR="00AF550D" w:rsidRDefault="00AF550D" w:rsidP="00AF550D">
      <w:pPr>
        <w:autoSpaceDE w:val="0"/>
        <w:autoSpaceDN w:val="0"/>
        <w:spacing w:before="120" w:after="120"/>
      </w:pPr>
      <w:r>
        <w:t xml:space="preserve">The last recommendation in respect to this proposal is to ensure all persons in the supply chain are responsible for compliance. The </w:t>
      </w:r>
      <w:r>
        <w:rPr>
          <w:i/>
          <w:iCs/>
        </w:rPr>
        <w:t>Radiocommunications Act</w:t>
      </w:r>
      <w:r>
        <w:t xml:space="preserve"> was introduced at a time when it was more readily able to identify the responsible persons in a supply chain in that a device was ordinarily either manufactu</w:t>
      </w:r>
      <w:r w:rsidR="00972AFF">
        <w:t>red in Australia or imported in</w:t>
      </w:r>
      <w:r>
        <w:t xml:space="preserve">to the country by a single entity. </w:t>
      </w:r>
      <w:r w:rsidR="00A20FBF">
        <w:t xml:space="preserve">Less </w:t>
      </w:r>
      <w:r>
        <w:t xml:space="preserve">equipment is </w:t>
      </w:r>
      <w:r w:rsidR="00A20FBF">
        <w:t xml:space="preserve">now </w:t>
      </w:r>
      <w:r>
        <w:t xml:space="preserve">manufactured in Australia and often multiple parties are involved in the importation process. </w:t>
      </w:r>
      <w:r w:rsidR="00A20FBF">
        <w:t>It is proposed to amend the</w:t>
      </w:r>
      <w:r>
        <w:t xml:space="preserve"> definitions relating to supply </w:t>
      </w:r>
      <w:r w:rsidR="00A20FBF">
        <w:t xml:space="preserve">and therefore </w:t>
      </w:r>
      <w:r>
        <w:t xml:space="preserve">provide greater flexibility to impose obligations on parties in the supply chain. </w:t>
      </w:r>
    </w:p>
    <w:p w14:paraId="2FF6DDC6" w14:textId="0068332C" w:rsidR="00213CD2" w:rsidRPr="00A675B9" w:rsidRDefault="00213CD2" w:rsidP="00A675B9">
      <w:pPr>
        <w:pStyle w:val="Heading2"/>
        <w:numPr>
          <w:ilvl w:val="1"/>
          <w:numId w:val="0"/>
        </w:numPr>
        <w:ind w:left="907" w:hanging="907"/>
      </w:pPr>
      <w:bookmarkStart w:id="57" w:name="_Toc401237572"/>
      <w:r w:rsidRPr="00A675B9">
        <w:t>Compliance and enforcement</w:t>
      </w:r>
      <w:bookmarkEnd w:id="57"/>
    </w:p>
    <w:p w14:paraId="2FF6DDC7" w14:textId="000C1CF1" w:rsidR="00213CD2" w:rsidRPr="00170974" w:rsidRDefault="00213CD2" w:rsidP="00170974">
      <w:pPr>
        <w:pStyle w:val="Bodytext-Indent"/>
        <w:ind w:left="0"/>
        <w:rPr>
          <w:b/>
          <w:color w:val="32859D" w:themeColor="text2" w:themeShade="80"/>
        </w:rPr>
      </w:pPr>
      <w:bookmarkStart w:id="58" w:name="_Toc399422710"/>
      <w:bookmarkStart w:id="59" w:name="_Toc400017422"/>
      <w:bookmarkStart w:id="60" w:name="_Toc400018085"/>
      <w:bookmarkStart w:id="61" w:name="_Toc400441488"/>
      <w:r w:rsidRPr="00170974">
        <w:rPr>
          <w:b/>
          <w:color w:val="32859D" w:themeColor="text2" w:themeShade="80"/>
        </w:rPr>
        <w:t xml:space="preserve">Proposal </w:t>
      </w:r>
      <w:r w:rsidR="003D1033" w:rsidRPr="00170974">
        <w:rPr>
          <w:b/>
          <w:color w:val="32859D" w:themeColor="text2" w:themeShade="80"/>
        </w:rPr>
        <w:t>1</w:t>
      </w:r>
      <w:r w:rsidR="008A253A" w:rsidRPr="00170974">
        <w:rPr>
          <w:b/>
          <w:color w:val="32859D" w:themeColor="text2" w:themeShade="80"/>
        </w:rPr>
        <w:t>0</w:t>
      </w:r>
      <w:r w:rsidRPr="00170974">
        <w:rPr>
          <w:b/>
          <w:color w:val="32859D" w:themeColor="text2" w:themeShade="80"/>
        </w:rPr>
        <w:t>: Improve regulation by extending the suite of enforcement measures available to the ACMA</w:t>
      </w:r>
      <w:bookmarkEnd w:id="58"/>
      <w:bookmarkEnd w:id="59"/>
      <w:bookmarkEnd w:id="60"/>
      <w:bookmarkEnd w:id="61"/>
    </w:p>
    <w:p w14:paraId="2FF6DDC8" w14:textId="77777777" w:rsidR="00213CD2" w:rsidRPr="00173772" w:rsidRDefault="00213CD2" w:rsidP="00213CD2">
      <w:pPr>
        <w:pStyle w:val="ListParagraph"/>
        <w:numPr>
          <w:ilvl w:val="0"/>
          <w:numId w:val="36"/>
        </w:numPr>
        <w:spacing w:before="120" w:after="120" w:line="276" w:lineRule="auto"/>
        <w:rPr>
          <w:rFonts w:eastAsia="Times New Roman"/>
          <w:i/>
        </w:rPr>
      </w:pPr>
      <w:r w:rsidRPr="00173772">
        <w:rPr>
          <w:rFonts w:eastAsia="Times New Roman"/>
          <w:i/>
        </w:rPr>
        <w:t>Substitute civil penalties for the existing criminal offences</w:t>
      </w:r>
      <w:r>
        <w:rPr>
          <w:rFonts w:eastAsia="Times New Roman"/>
          <w:i/>
        </w:rPr>
        <w:t>,</w:t>
      </w:r>
      <w:r w:rsidRPr="00173772">
        <w:rPr>
          <w:rFonts w:eastAsia="Times New Roman"/>
          <w:i/>
        </w:rPr>
        <w:t xml:space="preserve"> where appropriate.</w:t>
      </w:r>
    </w:p>
    <w:p w14:paraId="2FF6DDC9" w14:textId="60B3B891" w:rsidR="00213CD2" w:rsidRPr="00173772" w:rsidRDefault="00213CD2" w:rsidP="00213CD2">
      <w:pPr>
        <w:pStyle w:val="ListParagraph"/>
        <w:numPr>
          <w:ilvl w:val="0"/>
          <w:numId w:val="36"/>
        </w:numPr>
        <w:spacing w:before="120" w:after="120" w:line="276" w:lineRule="auto"/>
        <w:rPr>
          <w:rFonts w:eastAsia="Times New Roman"/>
          <w:i/>
        </w:rPr>
      </w:pPr>
      <w:r w:rsidRPr="00173772">
        <w:rPr>
          <w:rFonts w:eastAsia="Times New Roman"/>
          <w:i/>
        </w:rPr>
        <w:t xml:space="preserve">Enable the ACMA to impose </w:t>
      </w:r>
      <w:r w:rsidRPr="00173772">
        <w:rPr>
          <w:i/>
        </w:rPr>
        <w:t>civil</w:t>
      </w:r>
      <w:r w:rsidRPr="00173772">
        <w:rPr>
          <w:rFonts w:eastAsia="Times New Roman"/>
          <w:i/>
        </w:rPr>
        <w:t xml:space="preserve"> penalties, issue remedial directions and formal warnings for </w:t>
      </w:r>
      <w:r w:rsidR="008F2619">
        <w:rPr>
          <w:rFonts w:eastAsia="Times New Roman"/>
          <w:i/>
        </w:rPr>
        <w:t xml:space="preserve">the purposes of managing and controlling interference or a </w:t>
      </w:r>
      <w:r w:rsidRPr="00173772">
        <w:rPr>
          <w:rFonts w:eastAsia="Times New Roman"/>
          <w:i/>
        </w:rPr>
        <w:t>breach of licen</w:t>
      </w:r>
      <w:r>
        <w:rPr>
          <w:rFonts w:eastAsia="Times New Roman"/>
          <w:i/>
        </w:rPr>
        <w:t>c</w:t>
      </w:r>
      <w:r w:rsidRPr="00173772">
        <w:rPr>
          <w:rFonts w:eastAsia="Times New Roman"/>
          <w:i/>
        </w:rPr>
        <w:t>e conditions.</w:t>
      </w:r>
    </w:p>
    <w:p w14:paraId="2FF6DDCA" w14:textId="48689586" w:rsidR="00213CD2" w:rsidRPr="00173772" w:rsidRDefault="00213CD2" w:rsidP="00213CD2">
      <w:pPr>
        <w:pStyle w:val="ListParagraph"/>
        <w:numPr>
          <w:ilvl w:val="0"/>
          <w:numId w:val="36"/>
        </w:numPr>
        <w:spacing w:before="120" w:after="120" w:line="276" w:lineRule="auto"/>
        <w:rPr>
          <w:rFonts w:eastAsia="Times New Roman"/>
          <w:i/>
        </w:rPr>
      </w:pPr>
      <w:r w:rsidRPr="00173772">
        <w:rPr>
          <w:rFonts w:eastAsia="Times New Roman"/>
          <w:i/>
        </w:rPr>
        <w:t xml:space="preserve">Apply </w:t>
      </w:r>
      <w:r w:rsidRPr="00173772">
        <w:rPr>
          <w:i/>
        </w:rPr>
        <w:t>strict liability provisions and infringement notices to a broader rang</w:t>
      </w:r>
      <w:r w:rsidR="00B870EB">
        <w:rPr>
          <w:i/>
        </w:rPr>
        <w:t xml:space="preserve">e of offences where appropriate, </w:t>
      </w:r>
      <w:r w:rsidR="00C71051">
        <w:rPr>
          <w:i/>
        </w:rPr>
        <w:t>for example</w:t>
      </w:r>
      <w:r w:rsidR="00B870EB">
        <w:rPr>
          <w:i/>
        </w:rPr>
        <w:t>,</w:t>
      </w:r>
      <w:r w:rsidRPr="00173772">
        <w:rPr>
          <w:i/>
        </w:rPr>
        <w:t xml:space="preserve"> operation of prohibited devices and interference endangering safety.</w:t>
      </w:r>
    </w:p>
    <w:p w14:paraId="2FF6DDCB" w14:textId="69BC805E" w:rsidR="00213CD2" w:rsidRPr="00173772" w:rsidRDefault="00213CD2" w:rsidP="00213CD2">
      <w:pPr>
        <w:pStyle w:val="ListParagraph"/>
        <w:numPr>
          <w:ilvl w:val="0"/>
          <w:numId w:val="36"/>
        </w:numPr>
        <w:spacing w:before="120" w:after="120" w:line="276" w:lineRule="auto"/>
        <w:rPr>
          <w:rFonts w:eastAsia="Times New Roman"/>
          <w:i/>
        </w:rPr>
      </w:pPr>
      <w:r w:rsidRPr="00173772">
        <w:rPr>
          <w:i/>
        </w:rPr>
        <w:t xml:space="preserve">Provide the ACMA with powers to issue recalls, interim bans </w:t>
      </w:r>
      <w:r w:rsidRPr="00173772">
        <w:rPr>
          <w:rFonts w:eastAsia="Times New Roman"/>
          <w:i/>
        </w:rPr>
        <w:t xml:space="preserve">formal warnings </w:t>
      </w:r>
      <w:r w:rsidR="008F2619">
        <w:rPr>
          <w:rFonts w:eastAsia="Times New Roman"/>
          <w:i/>
        </w:rPr>
        <w:t xml:space="preserve">and public warnings </w:t>
      </w:r>
      <w:r w:rsidRPr="00173772">
        <w:rPr>
          <w:i/>
        </w:rPr>
        <w:t>to manage the supply of non-compliant devices.</w:t>
      </w:r>
    </w:p>
    <w:p w14:paraId="2FF6DDCC" w14:textId="1B09A7EF" w:rsidR="00213CD2" w:rsidRPr="00C8564E" w:rsidRDefault="00213CD2" w:rsidP="00213CD2">
      <w:pPr>
        <w:spacing w:before="120" w:after="120"/>
        <w:rPr>
          <w:rFonts w:eastAsia="Times New Roman"/>
        </w:rPr>
      </w:pPr>
      <w:r w:rsidRPr="00962319">
        <w:rPr>
          <w:rFonts w:eastAsia="Times New Roman"/>
        </w:rPr>
        <w:t xml:space="preserve">The </w:t>
      </w:r>
      <w:r w:rsidRPr="00AC34E7">
        <w:rPr>
          <w:rFonts w:eastAsia="Times New Roman"/>
          <w:i/>
        </w:rPr>
        <w:t>Radiocommunications Act</w:t>
      </w:r>
      <w:r w:rsidRPr="00962319">
        <w:rPr>
          <w:rFonts w:eastAsia="Times New Roman"/>
        </w:rPr>
        <w:t xml:space="preserve"> has a range of compliance and enforcement measures available but </w:t>
      </w:r>
      <w:r w:rsidR="00834FDD">
        <w:rPr>
          <w:rFonts w:eastAsia="Times New Roman"/>
        </w:rPr>
        <w:t xml:space="preserve">there are </w:t>
      </w:r>
      <w:r w:rsidRPr="00962319">
        <w:rPr>
          <w:rFonts w:eastAsia="Times New Roman"/>
        </w:rPr>
        <w:t>limit</w:t>
      </w:r>
      <w:r w:rsidR="00834FDD">
        <w:rPr>
          <w:rFonts w:eastAsia="Times New Roman"/>
        </w:rPr>
        <w:t>s</w:t>
      </w:r>
      <w:r w:rsidRPr="00962319">
        <w:rPr>
          <w:rFonts w:eastAsia="Times New Roman"/>
        </w:rPr>
        <w:t xml:space="preserve"> </w:t>
      </w:r>
      <w:r>
        <w:rPr>
          <w:rFonts w:eastAsia="Times New Roman"/>
        </w:rPr>
        <w:t>as to</w:t>
      </w:r>
      <w:r w:rsidRPr="00962319">
        <w:rPr>
          <w:rFonts w:eastAsia="Times New Roman"/>
        </w:rPr>
        <w:t xml:space="preserve"> when </w:t>
      </w:r>
      <w:r>
        <w:rPr>
          <w:rFonts w:eastAsia="Times New Roman"/>
        </w:rPr>
        <w:t xml:space="preserve">these tools </w:t>
      </w:r>
      <w:r w:rsidRPr="00962319">
        <w:rPr>
          <w:rFonts w:eastAsia="Times New Roman"/>
        </w:rPr>
        <w:t xml:space="preserve">may apply. </w:t>
      </w:r>
      <w:r>
        <w:rPr>
          <w:rFonts w:eastAsia="Times New Roman"/>
        </w:rPr>
        <w:t xml:space="preserve"> For example, the Act is heavily reliant on</w:t>
      </w:r>
      <w:r w:rsidRPr="00962319">
        <w:rPr>
          <w:rFonts w:eastAsia="Times New Roman"/>
        </w:rPr>
        <w:t xml:space="preserve"> criminal</w:t>
      </w:r>
      <w:r>
        <w:rPr>
          <w:rFonts w:eastAsia="Times New Roman"/>
        </w:rPr>
        <w:t xml:space="preserve"> sanctions.  </w:t>
      </w:r>
      <w:r w:rsidR="00B964C4">
        <w:rPr>
          <w:rFonts w:eastAsia="Times New Roman"/>
        </w:rPr>
        <w:t>S</w:t>
      </w:r>
      <w:r>
        <w:rPr>
          <w:rFonts w:eastAsia="Times New Roman"/>
        </w:rPr>
        <w:t>ubstituting civil penalties for criminal</w:t>
      </w:r>
      <w:r w:rsidRPr="00962319">
        <w:rPr>
          <w:rFonts w:eastAsia="Times New Roman"/>
        </w:rPr>
        <w:t xml:space="preserve"> offences</w:t>
      </w:r>
      <w:r>
        <w:rPr>
          <w:rFonts w:eastAsia="Times New Roman"/>
        </w:rPr>
        <w:t xml:space="preserve"> (where appropriate) </w:t>
      </w:r>
      <w:r w:rsidR="00C62A5A">
        <w:rPr>
          <w:rFonts w:eastAsia="Times New Roman"/>
        </w:rPr>
        <w:t xml:space="preserve">would </w:t>
      </w:r>
      <w:r>
        <w:rPr>
          <w:rFonts w:eastAsia="Times New Roman"/>
        </w:rPr>
        <w:t>enable the ACMA to initia</w:t>
      </w:r>
      <w:r w:rsidR="008328BD">
        <w:rPr>
          <w:rFonts w:eastAsia="Times New Roman"/>
        </w:rPr>
        <w:t>te</w:t>
      </w:r>
      <w:r>
        <w:rPr>
          <w:rFonts w:eastAsia="Times New Roman"/>
        </w:rPr>
        <w:t xml:space="preserve"> legal action (rather than the D</w:t>
      </w:r>
      <w:r w:rsidR="00AF4DB5">
        <w:rPr>
          <w:rFonts w:eastAsia="Times New Roman"/>
        </w:rPr>
        <w:t>irector of Public Prosecutions</w:t>
      </w:r>
      <w:r>
        <w:rPr>
          <w:rFonts w:eastAsia="Times New Roman"/>
        </w:rPr>
        <w:t>) and rely instead on the civil standard of proof.</w:t>
      </w:r>
    </w:p>
    <w:p w14:paraId="2FF6DDCD" w14:textId="51E187CD" w:rsidR="00213CD2" w:rsidRDefault="00213CD2" w:rsidP="00213CD2">
      <w:pPr>
        <w:spacing w:before="120" w:after="120"/>
        <w:rPr>
          <w:rFonts w:eastAsia="Times New Roman"/>
        </w:rPr>
      </w:pPr>
      <w:r>
        <w:rPr>
          <w:rFonts w:eastAsia="Times New Roman"/>
        </w:rPr>
        <w:t>Remedial directions</w:t>
      </w:r>
      <w:r w:rsidR="008F2619">
        <w:rPr>
          <w:rFonts w:eastAsia="Times New Roman"/>
        </w:rPr>
        <w:t xml:space="preserve"> and</w:t>
      </w:r>
      <w:r>
        <w:rPr>
          <w:rFonts w:eastAsia="Times New Roman"/>
        </w:rPr>
        <w:t xml:space="preserve"> formal warnings </w:t>
      </w:r>
      <w:r w:rsidR="00C62A5A">
        <w:rPr>
          <w:rFonts w:eastAsia="Times New Roman"/>
        </w:rPr>
        <w:t xml:space="preserve">would </w:t>
      </w:r>
      <w:r>
        <w:rPr>
          <w:rFonts w:eastAsia="Times New Roman"/>
        </w:rPr>
        <w:t xml:space="preserve">provide the ACMA with a more graduated and flexible approach to enforcement. Greater use of strict liability provisions and infringement notices </w:t>
      </w:r>
      <w:r w:rsidR="00C62A5A">
        <w:rPr>
          <w:rFonts w:eastAsia="Times New Roman"/>
        </w:rPr>
        <w:t xml:space="preserve">would </w:t>
      </w:r>
      <w:r>
        <w:rPr>
          <w:rFonts w:eastAsia="Times New Roman"/>
        </w:rPr>
        <w:t>enable the relatively minor offences to be responded to and resolved more immediately</w:t>
      </w:r>
      <w:r w:rsidR="00834FDD">
        <w:rPr>
          <w:rFonts w:eastAsia="Times New Roman"/>
        </w:rPr>
        <w:t xml:space="preserve">. This would </w:t>
      </w:r>
      <w:r>
        <w:rPr>
          <w:rFonts w:eastAsia="Times New Roman"/>
        </w:rPr>
        <w:t xml:space="preserve">reduce </w:t>
      </w:r>
      <w:r w:rsidR="00834FDD">
        <w:rPr>
          <w:rFonts w:eastAsia="Times New Roman"/>
        </w:rPr>
        <w:t xml:space="preserve">costs associated with </w:t>
      </w:r>
      <w:r>
        <w:rPr>
          <w:rFonts w:eastAsia="Times New Roman"/>
        </w:rPr>
        <w:t>the evidentiary burden</w:t>
      </w:r>
      <w:r w:rsidR="00834FDD">
        <w:rPr>
          <w:rFonts w:eastAsia="Times New Roman"/>
        </w:rPr>
        <w:t xml:space="preserve"> of regulation</w:t>
      </w:r>
      <w:r>
        <w:rPr>
          <w:rFonts w:eastAsia="Times New Roman"/>
        </w:rPr>
        <w:t xml:space="preserve">. </w:t>
      </w:r>
    </w:p>
    <w:p w14:paraId="2FF6DDCE" w14:textId="45A169EC" w:rsidR="00213CD2" w:rsidRPr="007045BE" w:rsidRDefault="00213CD2" w:rsidP="00213CD2">
      <w:pPr>
        <w:spacing w:before="120" w:after="120"/>
        <w:rPr>
          <w:rFonts w:eastAsia="Times New Roman"/>
        </w:rPr>
      </w:pPr>
      <w:r>
        <w:rPr>
          <w:rFonts w:eastAsia="Times New Roman"/>
        </w:rPr>
        <w:t xml:space="preserve">With spectrum licences, in the event of a breach of a licence condition, the ACMA is currently limited to either suspending or cancelling the licence. </w:t>
      </w:r>
      <w:r w:rsidR="004966A0">
        <w:rPr>
          <w:rFonts w:eastAsia="Times New Roman"/>
        </w:rPr>
        <w:t xml:space="preserve">Authorising </w:t>
      </w:r>
      <w:r>
        <w:rPr>
          <w:rFonts w:eastAsia="Times New Roman"/>
        </w:rPr>
        <w:t xml:space="preserve">the ACMA to </w:t>
      </w:r>
      <w:r w:rsidR="00834FDD">
        <w:rPr>
          <w:rFonts w:eastAsia="Times New Roman"/>
        </w:rPr>
        <w:t xml:space="preserve">use </w:t>
      </w:r>
      <w:r>
        <w:rPr>
          <w:rFonts w:eastAsia="Times New Roman"/>
        </w:rPr>
        <w:t>penalties</w:t>
      </w:r>
      <w:r w:rsidR="00834FDD">
        <w:rPr>
          <w:rFonts w:eastAsia="Times New Roman"/>
        </w:rPr>
        <w:t xml:space="preserve"> such as</w:t>
      </w:r>
      <w:r>
        <w:rPr>
          <w:rFonts w:eastAsia="Times New Roman"/>
        </w:rPr>
        <w:t xml:space="preserve"> remedial directions and/or formal warnings </w:t>
      </w:r>
      <w:r w:rsidR="00C62A5A">
        <w:rPr>
          <w:rFonts w:eastAsia="Times New Roman"/>
        </w:rPr>
        <w:t xml:space="preserve">would </w:t>
      </w:r>
      <w:r>
        <w:rPr>
          <w:rFonts w:eastAsia="Times New Roman"/>
        </w:rPr>
        <w:t xml:space="preserve">provide the </w:t>
      </w:r>
      <w:r w:rsidR="009C408A">
        <w:rPr>
          <w:rFonts w:eastAsia="Times New Roman"/>
        </w:rPr>
        <w:t>ACMA</w:t>
      </w:r>
      <w:r w:rsidR="00526A78">
        <w:rPr>
          <w:rFonts w:eastAsia="Times New Roman"/>
        </w:rPr>
        <w:t xml:space="preserve"> </w:t>
      </w:r>
      <w:r>
        <w:rPr>
          <w:rFonts w:eastAsia="Times New Roman"/>
        </w:rPr>
        <w:t xml:space="preserve">with </w:t>
      </w:r>
      <w:r w:rsidR="00834FDD">
        <w:rPr>
          <w:rFonts w:eastAsia="Times New Roman"/>
        </w:rPr>
        <w:t xml:space="preserve">increased </w:t>
      </w:r>
      <w:r>
        <w:rPr>
          <w:rFonts w:eastAsia="Times New Roman"/>
        </w:rPr>
        <w:t>flexibility</w:t>
      </w:r>
      <w:r w:rsidR="00834FDD">
        <w:rPr>
          <w:rFonts w:eastAsia="Times New Roman"/>
        </w:rPr>
        <w:t xml:space="preserve">. </w:t>
      </w:r>
      <w:r>
        <w:rPr>
          <w:rFonts w:eastAsia="Times New Roman"/>
        </w:rPr>
        <w:t xml:space="preserve">For example, in seeking to maximise the efficient use of spectrum, a licence condition regarding use/rollout/coverage may </w:t>
      </w:r>
      <w:r w:rsidR="00834FDD">
        <w:rPr>
          <w:rFonts w:eastAsia="Times New Roman"/>
        </w:rPr>
        <w:t xml:space="preserve">be more effective </w:t>
      </w:r>
      <w:r>
        <w:rPr>
          <w:rFonts w:eastAsia="Times New Roman"/>
        </w:rPr>
        <w:t xml:space="preserve">if the options available to the ACMA to enforce are not limited to </w:t>
      </w:r>
      <w:r w:rsidR="00834FDD">
        <w:rPr>
          <w:rFonts w:eastAsia="Times New Roman"/>
        </w:rPr>
        <w:t xml:space="preserve">licence suspension or cancellation. </w:t>
      </w:r>
      <w:r>
        <w:rPr>
          <w:rFonts w:eastAsia="Times New Roman"/>
        </w:rPr>
        <w:t xml:space="preserve"> </w:t>
      </w:r>
      <w:r w:rsidR="008F2619">
        <w:rPr>
          <w:rFonts w:eastAsia="Times New Roman"/>
        </w:rPr>
        <w:t>It may also be appropriate for some rules to be contained in legislation rather than in licence conditions.</w:t>
      </w:r>
    </w:p>
    <w:p w14:paraId="2FF6DDCF" w14:textId="6F894C02" w:rsidR="003852CF" w:rsidRPr="00DE0839" w:rsidRDefault="00213CD2" w:rsidP="00213CD2">
      <w:pPr>
        <w:spacing w:before="120" w:after="120"/>
        <w:rPr>
          <w:rFonts w:eastAsia="Times New Roman"/>
        </w:rPr>
      </w:pPr>
      <w:r>
        <w:rPr>
          <w:rFonts w:eastAsia="Times New Roman"/>
        </w:rPr>
        <w:t xml:space="preserve">Similarly, providing the </w:t>
      </w:r>
      <w:r w:rsidRPr="00DE0839">
        <w:rPr>
          <w:rFonts w:eastAsia="Times New Roman"/>
        </w:rPr>
        <w:t xml:space="preserve">ACMA </w:t>
      </w:r>
      <w:r>
        <w:rPr>
          <w:rFonts w:eastAsia="Times New Roman"/>
        </w:rPr>
        <w:t>with the power to</w:t>
      </w:r>
      <w:r w:rsidRPr="00DE0839">
        <w:rPr>
          <w:rFonts w:eastAsia="Times New Roman"/>
        </w:rPr>
        <w:t xml:space="preserve"> order a recall</w:t>
      </w:r>
      <w:r w:rsidR="000F7009">
        <w:rPr>
          <w:rFonts w:eastAsia="Times New Roman"/>
        </w:rPr>
        <w:t>, cease supply, issue a public warning or apply consumer warning labels</w:t>
      </w:r>
      <w:r w:rsidRPr="00DE0839">
        <w:rPr>
          <w:rFonts w:eastAsia="Times New Roman"/>
        </w:rPr>
        <w:t xml:space="preserve"> </w:t>
      </w:r>
      <w:r w:rsidR="00C62A5A">
        <w:rPr>
          <w:rFonts w:eastAsia="Times New Roman"/>
        </w:rPr>
        <w:t xml:space="preserve">would </w:t>
      </w:r>
      <w:r>
        <w:rPr>
          <w:rFonts w:eastAsia="Times New Roman"/>
        </w:rPr>
        <w:t>give it greater flexibility in terms of technical regulation, for example</w:t>
      </w:r>
      <w:r w:rsidR="004D5B96">
        <w:rPr>
          <w:rFonts w:eastAsia="Times New Roman"/>
        </w:rPr>
        <w:t>,</w:t>
      </w:r>
      <w:r>
        <w:rPr>
          <w:rFonts w:eastAsia="Times New Roman"/>
        </w:rPr>
        <w:t xml:space="preserve"> </w:t>
      </w:r>
      <w:r w:rsidRPr="00DE0839">
        <w:rPr>
          <w:rFonts w:eastAsia="Times New Roman"/>
        </w:rPr>
        <w:t xml:space="preserve">when </w:t>
      </w:r>
      <w:r>
        <w:rPr>
          <w:rFonts w:eastAsia="Times New Roman"/>
        </w:rPr>
        <w:t>a</w:t>
      </w:r>
      <w:r w:rsidRPr="00DE0839">
        <w:rPr>
          <w:rFonts w:eastAsia="Times New Roman"/>
        </w:rPr>
        <w:t xml:space="preserve"> product poses an interference risk and the supplier is not prepared to recall the goods voluntarily or a supplier cannot be found.  </w:t>
      </w:r>
      <w:r w:rsidR="00434FC6" w:rsidRPr="003D1033">
        <w:t xml:space="preserve">Electromagnetic compatibility non-compliance is commonly managed through recalls in Norway and Sweden and bans in the UK. </w:t>
      </w:r>
      <w:r w:rsidRPr="003D1033">
        <w:rPr>
          <w:rFonts w:eastAsia="Times New Roman"/>
        </w:rPr>
        <w:t xml:space="preserve"> </w:t>
      </w:r>
      <w:r w:rsidRPr="00DE0839">
        <w:rPr>
          <w:rFonts w:eastAsia="Times New Roman"/>
        </w:rPr>
        <w:t xml:space="preserve">In Australia they are used for consumer product safety and can be initiated by a supplier or ordered by a </w:t>
      </w:r>
      <w:r>
        <w:rPr>
          <w:rFonts w:eastAsia="Times New Roman"/>
        </w:rPr>
        <w:t>M</w:t>
      </w:r>
      <w:r w:rsidRPr="00DE0839">
        <w:rPr>
          <w:rFonts w:eastAsia="Times New Roman"/>
        </w:rPr>
        <w:t>inister</w:t>
      </w:r>
      <w:r>
        <w:rPr>
          <w:rFonts w:eastAsia="Times New Roman"/>
        </w:rPr>
        <w:t>.</w:t>
      </w:r>
      <w:r w:rsidR="000F7009">
        <w:rPr>
          <w:rFonts w:eastAsia="Times New Roman"/>
        </w:rPr>
        <w:t xml:space="preserve"> </w:t>
      </w:r>
    </w:p>
    <w:p w14:paraId="2FF6DDD3" w14:textId="0E5D7559" w:rsidR="00BA5A21" w:rsidRPr="00BA5A21" w:rsidRDefault="00B706BF" w:rsidP="00BA5A21">
      <w:pPr>
        <w:pStyle w:val="Heading2"/>
        <w:numPr>
          <w:ilvl w:val="1"/>
          <w:numId w:val="0"/>
        </w:numPr>
        <w:ind w:left="907" w:hanging="907"/>
      </w:pPr>
      <w:bookmarkStart w:id="62" w:name="_Toc401237573"/>
      <w:r>
        <w:t>Moving spectrum to its highest value use</w:t>
      </w:r>
      <w:bookmarkEnd w:id="62"/>
    </w:p>
    <w:p w14:paraId="2FF6DDD5" w14:textId="0641EECC" w:rsidR="00982F23" w:rsidRPr="00453E3E" w:rsidRDefault="00EF1C93" w:rsidP="00FD4C8F">
      <w:pPr>
        <w:pStyle w:val="Bodytext-Indent"/>
        <w:ind w:left="0"/>
        <w:rPr>
          <w:i/>
        </w:rPr>
      </w:pPr>
      <w:bookmarkStart w:id="63" w:name="_Toc399223286"/>
      <w:bookmarkStart w:id="64" w:name="_Toc399422713"/>
      <w:bookmarkStart w:id="65" w:name="_Toc400017425"/>
      <w:bookmarkStart w:id="66" w:name="_Toc400018088"/>
      <w:bookmarkStart w:id="67" w:name="_Toc400441491"/>
      <w:bookmarkStart w:id="68" w:name="_Toc379965814"/>
      <w:bookmarkStart w:id="69" w:name="_Toc381005579"/>
      <w:bookmarkStart w:id="70" w:name="_Toc396405706"/>
      <w:r w:rsidRPr="00170974">
        <w:rPr>
          <w:b/>
          <w:color w:val="32859D" w:themeColor="text2" w:themeShade="80"/>
        </w:rPr>
        <w:t xml:space="preserve">Proposal </w:t>
      </w:r>
      <w:r w:rsidR="00447D03" w:rsidRPr="00170974">
        <w:rPr>
          <w:b/>
          <w:color w:val="32859D" w:themeColor="text2" w:themeShade="80"/>
        </w:rPr>
        <w:t>1</w:t>
      </w:r>
      <w:r w:rsidR="00834FDD">
        <w:rPr>
          <w:b/>
          <w:color w:val="32859D" w:themeColor="text2" w:themeShade="80"/>
        </w:rPr>
        <w:t>1</w:t>
      </w:r>
      <w:r w:rsidRPr="00170974">
        <w:rPr>
          <w:b/>
          <w:color w:val="32859D" w:themeColor="text2" w:themeShade="80"/>
        </w:rPr>
        <w:t xml:space="preserve">: </w:t>
      </w:r>
      <w:r w:rsidR="00451F17" w:rsidRPr="00170974">
        <w:rPr>
          <w:b/>
          <w:color w:val="32859D" w:themeColor="text2" w:themeShade="80"/>
        </w:rPr>
        <w:t xml:space="preserve">The </w:t>
      </w:r>
      <w:r w:rsidRPr="00170974">
        <w:rPr>
          <w:b/>
          <w:color w:val="32859D" w:themeColor="text2" w:themeShade="80"/>
        </w:rPr>
        <w:t xml:space="preserve">ACMA to </w:t>
      </w:r>
      <w:r w:rsidR="00FD4C8F">
        <w:rPr>
          <w:b/>
          <w:color w:val="32859D" w:themeColor="text2" w:themeShade="80"/>
        </w:rPr>
        <w:t>continually review options for allocating spectrum to alternative / higher value uses and to ensure that barriers to achieving this are reviewe</w:t>
      </w:r>
      <w:r w:rsidR="00010547">
        <w:rPr>
          <w:b/>
          <w:color w:val="32859D" w:themeColor="text2" w:themeShade="80"/>
        </w:rPr>
        <w:t>d and removed where appropriate</w:t>
      </w:r>
      <w:r w:rsidR="00FD4C8F">
        <w:rPr>
          <w:b/>
          <w:color w:val="32859D" w:themeColor="text2" w:themeShade="80"/>
        </w:rPr>
        <w:t xml:space="preserve"> </w:t>
      </w:r>
      <w:bookmarkEnd w:id="63"/>
      <w:bookmarkEnd w:id="64"/>
      <w:bookmarkEnd w:id="65"/>
      <w:bookmarkEnd w:id="66"/>
      <w:bookmarkEnd w:id="67"/>
      <w:r w:rsidR="00982F23" w:rsidRPr="00453E3E">
        <w:rPr>
          <w:rFonts w:eastAsia="Times New Roman"/>
          <w:i/>
        </w:rPr>
        <w:t xml:space="preserve"> </w:t>
      </w:r>
    </w:p>
    <w:p w14:paraId="21E9A8F5" w14:textId="27576BD1" w:rsidR="002A51F3" w:rsidRDefault="00FD4C8F" w:rsidP="00E55B4E">
      <w:pPr>
        <w:pStyle w:val="BodyText"/>
        <w:spacing w:before="120" w:after="120"/>
      </w:pPr>
      <w:r>
        <w:t>Under this proposal the ACMA would</w:t>
      </w:r>
      <w:r w:rsidR="000F7009">
        <w:t>,</w:t>
      </w:r>
      <w:r>
        <w:t xml:space="preserve"> as part of </w:t>
      </w:r>
      <w:r w:rsidR="000F7009">
        <w:t xml:space="preserve">its </w:t>
      </w:r>
      <w:r>
        <w:t>annual workplan</w:t>
      </w:r>
      <w:r w:rsidR="000F7009">
        <w:t>,</w:t>
      </w:r>
      <w:r>
        <w:t xml:space="preserve"> be required to indicate options for alternative / higher value use of spectrum and propose options for change. </w:t>
      </w:r>
    </w:p>
    <w:p w14:paraId="2C42C589" w14:textId="2BDAE354" w:rsidR="00B706BF" w:rsidRDefault="002A51F3" w:rsidP="002E0DBC">
      <w:pPr>
        <w:pStyle w:val="BodyText"/>
        <w:spacing w:before="120" w:after="120"/>
      </w:pPr>
      <w:r>
        <w:t xml:space="preserve">Consistent with this approach are the </w:t>
      </w:r>
      <w:r w:rsidR="005D5E74">
        <w:t>proposals</w:t>
      </w:r>
      <w:r>
        <w:t xml:space="preserve"> announced </w:t>
      </w:r>
      <w:r w:rsidR="000F7009">
        <w:t xml:space="preserve">by the Minister for Communications </w:t>
      </w:r>
      <w:r>
        <w:t>on 10 September</w:t>
      </w:r>
      <w:r w:rsidR="005D5E74">
        <w:t xml:space="preserve"> </w:t>
      </w:r>
      <w:r w:rsidR="000F7009">
        <w:t xml:space="preserve">2014 </w:t>
      </w:r>
      <w:r w:rsidR="005D5E74">
        <w:t>for the future management of the broadcasting television spectrum, including that used by community television.</w:t>
      </w:r>
      <w:r>
        <w:t xml:space="preserve"> </w:t>
      </w:r>
      <w:r w:rsidR="00B706BF">
        <w:t>The</w:t>
      </w:r>
      <w:r>
        <w:t xml:space="preserve"> intent of these proposals is to </w:t>
      </w:r>
      <w:r w:rsidR="00EC6D86">
        <w:t>provid</w:t>
      </w:r>
      <w:r>
        <w:t>e</w:t>
      </w:r>
      <w:r w:rsidR="00EC6D86">
        <w:t xml:space="preserve"> greater flexibility for the commercial and national broadcasters in their spectrum use, improv</w:t>
      </w:r>
      <w:r>
        <w:t>e</w:t>
      </w:r>
      <w:r w:rsidR="00EC6D86">
        <w:t xml:space="preserve"> efficiency of spectrum use by encouraging </w:t>
      </w:r>
      <w:r w:rsidR="000F7009">
        <w:t xml:space="preserve">their </w:t>
      </w:r>
      <w:r w:rsidR="00EC6D86">
        <w:t>migration to more spectrally efficient technologies</w:t>
      </w:r>
      <w:r w:rsidR="000F7009">
        <w:t xml:space="preserve"> and encourage highest value use alternatives</w:t>
      </w:r>
      <w:r w:rsidR="00EC6D86">
        <w:t>.</w:t>
      </w:r>
    </w:p>
    <w:p w14:paraId="43BDFBE1" w14:textId="4172586C" w:rsidR="000F7009" w:rsidRDefault="007E153C" w:rsidP="002E0DBC">
      <w:pPr>
        <w:pStyle w:val="BodyText"/>
        <w:spacing w:before="120" w:after="120"/>
      </w:pPr>
      <w:r w:rsidRPr="002E0DBC">
        <w:t xml:space="preserve">A central part of </w:t>
      </w:r>
      <w:r w:rsidR="00A6440C">
        <w:t>these proposals</w:t>
      </w:r>
      <w:r w:rsidRPr="002E0DBC">
        <w:t xml:space="preserve"> </w:t>
      </w:r>
      <w:r w:rsidR="000F7009">
        <w:t xml:space="preserve">recognises that new compression technologies, such as MPEG-4, will allow </w:t>
      </w:r>
      <w:r w:rsidRPr="002E0DBC">
        <w:t>broadcasters to use their existing spectrum much more efficiently to deliver more channels and</w:t>
      </w:r>
      <w:r w:rsidR="000F7009">
        <w:t>/or</w:t>
      </w:r>
      <w:r w:rsidRPr="002E0DBC">
        <w:t xml:space="preserve"> more content in high definition.</w:t>
      </w:r>
    </w:p>
    <w:p w14:paraId="7D994295" w14:textId="761E2E11" w:rsidR="000F7009" w:rsidRDefault="007E153C" w:rsidP="002E0DBC">
      <w:pPr>
        <w:pStyle w:val="BodyText"/>
        <w:spacing w:before="120" w:after="120"/>
      </w:pPr>
      <w:r w:rsidRPr="002E0DBC">
        <w:t xml:space="preserve">Community television is currently </w:t>
      </w:r>
      <w:r w:rsidR="000F7009">
        <w:t>using</w:t>
      </w:r>
      <w:r w:rsidRPr="002E0DBC">
        <w:t xml:space="preserve"> what is known as the ‘sixth channel’ </w:t>
      </w:r>
      <w:r w:rsidR="000F7009">
        <w:t xml:space="preserve">7 MHz block of </w:t>
      </w:r>
      <w:r w:rsidRPr="002E0DBC">
        <w:t xml:space="preserve">spectrum in </w:t>
      </w:r>
      <w:r w:rsidR="000F7009">
        <w:t xml:space="preserve">each of </w:t>
      </w:r>
      <w:r w:rsidRPr="002E0DBC">
        <w:t xml:space="preserve">the five state mainland capital cities. In the short term, to allow </w:t>
      </w:r>
      <w:r w:rsidR="000F7009">
        <w:t>the</w:t>
      </w:r>
      <w:r w:rsidRPr="002E0DBC">
        <w:t xml:space="preserve"> transition </w:t>
      </w:r>
      <w:r w:rsidR="000F7009">
        <w:t xml:space="preserve">of commercial and national broadcasting services </w:t>
      </w:r>
      <w:r w:rsidRPr="002E0DBC">
        <w:t>to MPEG-4</w:t>
      </w:r>
      <w:r w:rsidR="000F7009">
        <w:t>,</w:t>
      </w:r>
      <w:r w:rsidRPr="002E0DBC">
        <w:t xml:space="preserve"> the Government will </w:t>
      </w:r>
      <w:r w:rsidR="000F7009">
        <w:t xml:space="preserve">need to </w:t>
      </w:r>
      <w:r w:rsidRPr="002E0DBC">
        <w:t>free up the ‘sixth channel’ to assist in the testing and migration to this more efficient technology.</w:t>
      </w:r>
      <w:r w:rsidR="000F7009">
        <w:t xml:space="preserve"> </w:t>
      </w:r>
    </w:p>
    <w:p w14:paraId="2FF6DDD7" w14:textId="7B9C42B7" w:rsidR="007E153C" w:rsidRDefault="000F7009" w:rsidP="002E0DBC">
      <w:pPr>
        <w:pStyle w:val="BodyText"/>
        <w:spacing w:before="120" w:after="120"/>
      </w:pPr>
      <w:r>
        <w:t>Over time it is likely that the highest value use of the sixth channel will be for non-broadcasting uses.</w:t>
      </w:r>
    </w:p>
    <w:p w14:paraId="2FF6DDD8" w14:textId="3832B8C6" w:rsidR="007E153C" w:rsidRPr="002E0DBC" w:rsidRDefault="007E153C" w:rsidP="002E0DBC">
      <w:pPr>
        <w:pStyle w:val="BodyText"/>
        <w:spacing w:before="120" w:after="120"/>
      </w:pPr>
      <w:r>
        <w:rPr>
          <w:lang w:val="en"/>
        </w:rPr>
        <w:t xml:space="preserve">At present, community television transmitter licences are due to expire at the end of 2014. The Government will extend their </w:t>
      </w:r>
      <w:r w:rsidR="000F7009">
        <w:rPr>
          <w:lang w:val="en"/>
        </w:rPr>
        <w:t xml:space="preserve">transmitter </w:t>
      </w:r>
      <w:r>
        <w:rPr>
          <w:lang w:val="en"/>
        </w:rPr>
        <w:t>licences by 12 months to 31 December 2015.</w:t>
      </w:r>
    </w:p>
    <w:p w14:paraId="629F3B05" w14:textId="4C0B70CB" w:rsidR="00834FDD" w:rsidRDefault="00E7284D" w:rsidP="0038059C">
      <w:pPr>
        <w:pStyle w:val="BodyText"/>
        <w:spacing w:before="120" w:after="120"/>
      </w:pPr>
      <w:r>
        <w:t xml:space="preserve">It is </w:t>
      </w:r>
      <w:r w:rsidR="000F7009">
        <w:t xml:space="preserve">proposed </w:t>
      </w:r>
      <w:r>
        <w:t>that the</w:t>
      </w:r>
      <w:r w:rsidR="00E55B4E">
        <w:t xml:space="preserve"> ACMA </w:t>
      </w:r>
      <w:r w:rsidR="00E53C58">
        <w:t xml:space="preserve">should continually </w:t>
      </w:r>
      <w:r w:rsidR="00E55B4E">
        <w:t>consider what factors (international, technological, business models, consumer preferences etc</w:t>
      </w:r>
      <w:r w:rsidR="00E53C58">
        <w:t>.</w:t>
      </w:r>
      <w:r w:rsidR="00E55B4E">
        <w:t xml:space="preserve">) need to be present to enable </w:t>
      </w:r>
      <w:r>
        <w:t xml:space="preserve">higher value use including </w:t>
      </w:r>
      <w:r w:rsidR="00E55B4E">
        <w:t xml:space="preserve">the amount of spectrum that would be required </w:t>
      </w:r>
      <w:r>
        <w:t xml:space="preserve">for an alternative </w:t>
      </w:r>
      <w:r w:rsidR="001158A3">
        <w:t>approach and implementation / timing issues</w:t>
      </w:r>
      <w:r w:rsidR="00E55B4E">
        <w:t xml:space="preserve">. </w:t>
      </w:r>
      <w:r w:rsidR="00E53C58">
        <w:t xml:space="preserve">For this to be fully effective, licence holders (whether private or public sector entities) should have an incentive to move the licence to alternative higher value uses.  </w:t>
      </w:r>
    </w:p>
    <w:p w14:paraId="29EAC796" w14:textId="77777777" w:rsidR="00834FDD" w:rsidRDefault="00834FDD">
      <w:pPr>
        <w:spacing w:after="120"/>
        <w:ind w:left="1021" w:hanging="1021"/>
      </w:pPr>
      <w:r>
        <w:br w:type="page"/>
      </w:r>
    </w:p>
    <w:p w14:paraId="038EE4B0" w14:textId="77777777" w:rsidR="00010547" w:rsidRDefault="00010547" w:rsidP="0038059C">
      <w:pPr>
        <w:pStyle w:val="BodyText"/>
        <w:spacing w:before="120" w:after="120"/>
      </w:pPr>
    </w:p>
    <w:p w14:paraId="2FF6DDDC" w14:textId="77777777" w:rsidR="008F5E59" w:rsidRDefault="008F5E59" w:rsidP="008F5E59">
      <w:pPr>
        <w:pStyle w:val="Heading1"/>
        <w:ind w:left="907" w:hanging="907"/>
      </w:pPr>
      <w:bookmarkStart w:id="71" w:name="_Toc401237574"/>
      <w:r>
        <w:t>Case Studies</w:t>
      </w:r>
      <w:bookmarkEnd w:id="71"/>
    </w:p>
    <w:p w14:paraId="2FF6DDDD" w14:textId="77777777" w:rsidR="008F5E59" w:rsidRDefault="008F5E59" w:rsidP="008F5E59">
      <w:pPr>
        <w:pStyle w:val="Boxsub-headingQUESTION"/>
      </w:pPr>
      <w:r>
        <w:t>Case study 1: Spectrum sharing</w:t>
      </w:r>
    </w:p>
    <w:p w14:paraId="2FF6DDDE" w14:textId="087A121D" w:rsidR="008F5E59" w:rsidRDefault="008F5E59" w:rsidP="00704172">
      <w:pPr>
        <w:pStyle w:val="BoxtextQUESTIONITALICS"/>
        <w:spacing w:after="120"/>
      </w:pPr>
      <w:r>
        <w:t>Vacant spectrum is becoming harder to find. Greater sharing means more intensive use of spectrum for greater technical efficiency, that is, it can help address the issue of increasing demand by squeezing more out of the</w:t>
      </w:r>
      <w:r w:rsidR="001158A3">
        <w:t xml:space="preserve"> available</w:t>
      </w:r>
      <w:r>
        <w:t xml:space="preserve"> spectrum. Some technologies actively support spectrum sharing or can coexist easily with other technologies and services, and these are likely to become more prevalent over time. However,</w:t>
      </w:r>
      <w:r w:rsidR="00DF715A">
        <w:t xml:space="preserve"> </w:t>
      </w:r>
      <w:r w:rsidR="003C3A93">
        <w:t xml:space="preserve">careful </w:t>
      </w:r>
      <w:r w:rsidR="00DF715A">
        <w:t>consideration of interference management is needed prior to introducing sharing arrangements in a band</w:t>
      </w:r>
      <w:r>
        <w:t>.</w:t>
      </w:r>
    </w:p>
    <w:p w14:paraId="2FF6DDDF" w14:textId="0DCEC444" w:rsidR="008F5E59" w:rsidRDefault="008F5E59" w:rsidP="00704172">
      <w:pPr>
        <w:pStyle w:val="BoxtextQUESTIONITALICS"/>
        <w:spacing w:after="120"/>
      </w:pPr>
      <w:r>
        <w:t xml:space="preserve">Internationally, there is a focus on enabling greater spectrum sharing by taking advantage of smart </w:t>
      </w:r>
      <w:r w:rsidRPr="00247E18">
        <w:t xml:space="preserve">technologies </w:t>
      </w:r>
      <w:r>
        <w:t>that can look up databases to find unused spectrum and switch to the unused frequencies in real-time (these are variously called dynamic spectrum access, cogniti</w:t>
      </w:r>
      <w:r w:rsidR="002F7EB8">
        <w:t>ve or whitespace technologies). While initially being implemented in the unused spectrum in the broadcasting bands, they can potentially be used throughout the spectrum</w:t>
      </w:r>
      <w:r w:rsidR="001158A3">
        <w:t xml:space="preserve"> bands</w:t>
      </w:r>
      <w:r w:rsidR="002F7EB8">
        <w:t>. This would enable spectrum sharing to become a more common approach for maximising spectrum use</w:t>
      </w:r>
      <w:r>
        <w:t xml:space="preserve">. </w:t>
      </w:r>
    </w:p>
    <w:p w14:paraId="2FF6DDE0" w14:textId="77777777" w:rsidR="00596A4D" w:rsidRDefault="008F5E59" w:rsidP="00596A4D">
      <w:pPr>
        <w:pStyle w:val="BoxtextQUESTIONITALICS"/>
        <w:spacing w:after="120"/>
      </w:pPr>
      <w:r>
        <w:t xml:space="preserve">Some sharing </w:t>
      </w:r>
      <w:r w:rsidR="00E202D6">
        <w:t xml:space="preserve">of spectrum </w:t>
      </w:r>
      <w:r>
        <w:t>is enabled under the current framework</w:t>
      </w:r>
      <w:r w:rsidR="00596A4D">
        <w:t xml:space="preserve"> – the</w:t>
      </w:r>
      <w:r w:rsidR="00E202D6">
        <w:t>s</w:t>
      </w:r>
      <w:r w:rsidR="00596A4D">
        <w:t>e</w:t>
      </w:r>
      <w:r w:rsidR="00E202D6">
        <w:t xml:space="preserve"> type</w:t>
      </w:r>
      <w:r w:rsidR="00596A4D">
        <w:t>s</w:t>
      </w:r>
      <w:r w:rsidR="00E202D6">
        <w:t xml:space="preserve"> of sharing </w:t>
      </w:r>
      <w:r w:rsidR="00596A4D">
        <w:t>can and do occur without the use of cognitive technologies but could be made easier with their use</w:t>
      </w:r>
      <w:r>
        <w:t xml:space="preserve">. </w:t>
      </w:r>
    </w:p>
    <w:p w14:paraId="2FF6DDE1" w14:textId="3C551F05" w:rsidR="00596A4D" w:rsidRDefault="008F5E59" w:rsidP="00596A4D">
      <w:pPr>
        <w:pStyle w:val="BoxtextQUESTIONITALICS"/>
        <w:spacing w:after="120"/>
      </w:pPr>
      <w:r>
        <w:t xml:space="preserve">The Australian Radiofrequency Spectrum Plan is prefaced on sharing by primary and secondary services and the third party authorisation (leasing) process allows spectrum licensees to choose to share some of their spectrum. </w:t>
      </w:r>
      <w:r w:rsidR="002F7EB8">
        <w:t xml:space="preserve">This </w:t>
      </w:r>
      <w:r w:rsidR="00C62A5A">
        <w:t xml:space="preserve">would </w:t>
      </w:r>
      <w:r w:rsidR="002F7EB8">
        <w:t>continue to be the case under a reformed framework.</w:t>
      </w:r>
    </w:p>
    <w:p w14:paraId="2FF6DDE2" w14:textId="06DCBB9B" w:rsidR="00E202D6" w:rsidRDefault="002F7EB8" w:rsidP="00596A4D">
      <w:pPr>
        <w:pStyle w:val="BoxtextQUESTIONITALICS"/>
        <w:spacing w:after="120"/>
      </w:pPr>
      <w:r>
        <w:t xml:space="preserve">The </w:t>
      </w:r>
      <w:r w:rsidR="00E202D6">
        <w:t xml:space="preserve">current framework </w:t>
      </w:r>
      <w:r w:rsidR="00596A4D">
        <w:t xml:space="preserve">also </w:t>
      </w:r>
      <w:r w:rsidR="00072C1A">
        <w:t>permit</w:t>
      </w:r>
      <w:r w:rsidR="00596A4D">
        <w:t xml:space="preserve">s the issuing of other licence </w:t>
      </w:r>
      <w:r w:rsidR="0035010C">
        <w:t>categories</w:t>
      </w:r>
      <w:r w:rsidR="00596A4D">
        <w:t xml:space="preserve"> (coexistence of licence </w:t>
      </w:r>
      <w:r w:rsidR="0035010C">
        <w:t>categories</w:t>
      </w:r>
      <w:r w:rsidR="00596A4D">
        <w:t xml:space="preserve">) in spectrum licensed spectrum and the broadcasting services bands but imposes relatively high legislative hurdles to do so. </w:t>
      </w:r>
      <w:r w:rsidR="001B54C4">
        <w:t xml:space="preserve">Under a single licensing framework the </w:t>
      </w:r>
      <w:r w:rsidR="00163712">
        <w:t xml:space="preserve">legislative </w:t>
      </w:r>
      <w:r w:rsidR="001B54C4">
        <w:t xml:space="preserve">distinctions between </w:t>
      </w:r>
      <w:r w:rsidR="007405F3">
        <w:t xml:space="preserve">licence </w:t>
      </w:r>
      <w:r w:rsidR="0035010C">
        <w:t>categorie</w:t>
      </w:r>
      <w:r w:rsidR="001B54C4">
        <w:t>s would cease to exist, as would the barriers to sharing outside of the broadcasting bands</w:t>
      </w:r>
      <w:r w:rsidR="0096474E">
        <w:t>.</w:t>
      </w:r>
    </w:p>
    <w:p w14:paraId="2FF6DDE3" w14:textId="2D1F8189" w:rsidR="00923419" w:rsidRDefault="00923419" w:rsidP="00704172">
      <w:pPr>
        <w:pStyle w:val="BoxtextQUESTIONITALICS"/>
        <w:spacing w:after="120"/>
      </w:pPr>
      <w:r>
        <w:t>A</w:t>
      </w:r>
      <w:r w:rsidR="001B54C4">
        <w:t xml:space="preserve"> </w:t>
      </w:r>
      <w:r w:rsidR="002F7EB8">
        <w:t xml:space="preserve">single licensing framework </w:t>
      </w:r>
      <w:r w:rsidR="00C62A5A">
        <w:t xml:space="preserve">would </w:t>
      </w:r>
      <w:r w:rsidR="002F7EB8">
        <w:t xml:space="preserve">enable spectrum sharing </w:t>
      </w:r>
      <w:r w:rsidR="005D1883">
        <w:t>or exclusive use to be set as a</w:t>
      </w:r>
      <w:r w:rsidR="002F7EB8">
        <w:t xml:space="preserve"> </w:t>
      </w:r>
      <w:r w:rsidR="0096474E">
        <w:t xml:space="preserve">licence </w:t>
      </w:r>
      <w:r w:rsidR="002F7EB8">
        <w:t xml:space="preserve">parameter. </w:t>
      </w:r>
      <w:r w:rsidR="0096474E">
        <w:t xml:space="preserve">The ACMA </w:t>
      </w:r>
      <w:r w:rsidR="00B049FD">
        <w:t>would be able to</w:t>
      </w:r>
      <w:r w:rsidR="0096474E">
        <w:t xml:space="preserve"> </w:t>
      </w:r>
      <w:r w:rsidR="00072C1A">
        <w:t>specify in the licence</w:t>
      </w:r>
      <w:r w:rsidR="0096474E">
        <w:t xml:space="preserve"> that licences in a particular band </w:t>
      </w:r>
      <w:r w:rsidR="00B049FD">
        <w:t xml:space="preserve">are </w:t>
      </w:r>
      <w:r w:rsidR="0096474E">
        <w:t>subject to sharing arrangements</w:t>
      </w:r>
      <w:r w:rsidR="00B049FD">
        <w:t xml:space="preserve"> and the conditions for sharing</w:t>
      </w:r>
      <w:r w:rsidR="0096474E">
        <w:t xml:space="preserve">. </w:t>
      </w:r>
      <w:r w:rsidR="002F7EB8">
        <w:t xml:space="preserve">This would </w:t>
      </w:r>
      <w:r w:rsidR="00B049FD">
        <w:t xml:space="preserve">provide flexibility and </w:t>
      </w:r>
      <w:r w:rsidR="002F7EB8">
        <w:t>allow a gradua</w:t>
      </w:r>
      <w:r w:rsidR="001B54C4">
        <w:t>l evolution of spectrum management to support greater spectrum sharing as technology improves.</w:t>
      </w:r>
    </w:p>
    <w:p w14:paraId="2FF6DDE4" w14:textId="77777777" w:rsidR="001B54C4" w:rsidRDefault="001B54C4" w:rsidP="00704172">
      <w:pPr>
        <w:pStyle w:val="BoxtextQUESTIONITALICS"/>
        <w:spacing w:after="120"/>
      </w:pPr>
      <w:r>
        <w:t xml:space="preserve">Under a reformed framework, the Minister would be able </w:t>
      </w:r>
      <w:r w:rsidR="00256C31">
        <w:t xml:space="preserve">to </w:t>
      </w:r>
      <w:r>
        <w:t>issue policy statements to encourage spectrum sharing where appropriate, for example, the Minister could issue a</w:t>
      </w:r>
      <w:r w:rsidR="0096474E">
        <w:t xml:space="preserve"> policy</w:t>
      </w:r>
      <w:r>
        <w:t xml:space="preserve"> statement that sharing should be permitted to the greatest extent possible where interference can be managed.</w:t>
      </w:r>
      <w:r w:rsidR="0096474E">
        <w:t xml:space="preserve"> </w:t>
      </w:r>
      <w:r w:rsidR="00256C31">
        <w:t>The ACMA would be required to have regard to the statement when exercising its powers and performing its functions.</w:t>
      </w:r>
    </w:p>
    <w:p w14:paraId="2FF6DDE5" w14:textId="77777777" w:rsidR="00923419" w:rsidRDefault="00923419" w:rsidP="00704172">
      <w:pPr>
        <w:pStyle w:val="BoxtextQUESTIONITALICS"/>
        <w:spacing w:after="120"/>
      </w:pPr>
      <w:r>
        <w:t>The ACMA would also be able</w:t>
      </w:r>
      <w:r w:rsidR="0005435F">
        <w:t xml:space="preserve"> to introduce private parks, </w:t>
      </w:r>
      <w:r>
        <w:t xml:space="preserve">private band manager </w:t>
      </w:r>
      <w:r w:rsidR="0005435F">
        <w:t xml:space="preserve">and other innovative spectrum management </w:t>
      </w:r>
      <w:r>
        <w:t xml:space="preserve">arrangements that could also make use of </w:t>
      </w:r>
      <w:r w:rsidR="0005435F">
        <w:t xml:space="preserve">spectrum </w:t>
      </w:r>
      <w:r>
        <w:t>sharing.</w:t>
      </w:r>
    </w:p>
    <w:p w14:paraId="2FF6DDE6" w14:textId="77777777" w:rsidR="00C03021" w:rsidRDefault="00C03021" w:rsidP="00C03021">
      <w:pPr>
        <w:pStyle w:val="Heading1"/>
        <w:spacing w:before="0" w:after="0" w:line="240" w:lineRule="auto"/>
        <w:ind w:left="907" w:hanging="907"/>
        <w:rPr>
          <w:sz w:val="16"/>
          <w:szCs w:val="16"/>
        </w:rPr>
      </w:pPr>
    </w:p>
    <w:p w14:paraId="2FF6DDE7" w14:textId="77777777" w:rsidR="00645293" w:rsidRDefault="00645293" w:rsidP="00645293">
      <w:pPr>
        <w:pStyle w:val="BodyText"/>
      </w:pPr>
    </w:p>
    <w:p w14:paraId="2FF6DDE8" w14:textId="77777777" w:rsidR="00645293" w:rsidRDefault="00645293">
      <w:pPr>
        <w:spacing w:after="120"/>
        <w:ind w:left="1021" w:hanging="1021"/>
      </w:pPr>
      <w:r>
        <w:br w:type="page"/>
      </w:r>
    </w:p>
    <w:p w14:paraId="2FF6DDE9" w14:textId="77777777" w:rsidR="00C03021" w:rsidRDefault="00C03021" w:rsidP="00C03021">
      <w:pPr>
        <w:pStyle w:val="Boxsub-headingQUESTION"/>
      </w:pPr>
      <w:r>
        <w:t>Case study 2: Private band management</w:t>
      </w:r>
    </w:p>
    <w:p w14:paraId="2FF6DDEA" w14:textId="77E5F872" w:rsidR="00D56EAC" w:rsidRDefault="005A24BE" w:rsidP="00D56EAC">
      <w:pPr>
        <w:pStyle w:val="BoxtextQUESTIONITALICS"/>
        <w:spacing w:before="120" w:after="120"/>
      </w:pPr>
      <w:r>
        <w:t>Private band management</w:t>
      </w:r>
      <w:r w:rsidR="00A504DC">
        <w:t xml:space="preserve"> </w:t>
      </w:r>
      <w:r w:rsidR="00645293">
        <w:t xml:space="preserve">involves </w:t>
      </w:r>
      <w:r w:rsidR="00D030A0">
        <w:t>devolving to other entities some activities</w:t>
      </w:r>
      <w:r w:rsidR="00A504DC">
        <w:t xml:space="preserve"> that are currently undertaken by the </w:t>
      </w:r>
      <w:r w:rsidR="00D030A0">
        <w:t>ACMA</w:t>
      </w:r>
      <w:r w:rsidR="00A504DC">
        <w:t xml:space="preserve">, including planning and coordinating use of a band, licence assignment and renewal and dealing with interference issues. </w:t>
      </w:r>
      <w:r w:rsidR="003246F5">
        <w:t xml:space="preserve">A private band manager </w:t>
      </w:r>
      <w:r w:rsidR="00A504DC">
        <w:t>could include a company, individual, government sector agency, community organisation or industry body. They could engage in band management activities for economic (profit or not-for-profit) or technical reasons.</w:t>
      </w:r>
      <w:r w:rsidR="00D56EAC" w:rsidRPr="00D56EAC">
        <w:t xml:space="preserve"> </w:t>
      </w:r>
    </w:p>
    <w:p w14:paraId="2FF6DDEB" w14:textId="7FA905AE" w:rsidR="003246F5" w:rsidRDefault="003246F5" w:rsidP="00D56EAC">
      <w:pPr>
        <w:pStyle w:val="BoxtextQUESTIONITALICS"/>
        <w:spacing w:before="120" w:after="120"/>
      </w:pPr>
      <w:r>
        <w:t>Private band managers have the potential to increase efficiency of spectrum use, respon</w:t>
      </w:r>
      <w:r w:rsidR="003336D5">
        <w:t>d more flexibly to the needs of users (</w:t>
      </w:r>
      <w:r w:rsidR="00C71051">
        <w:t>for example</w:t>
      </w:r>
      <w:r w:rsidR="004D5B96">
        <w:t xml:space="preserve">, </w:t>
      </w:r>
      <w:r w:rsidR="003336D5">
        <w:t>by meeting</w:t>
      </w:r>
      <w:r>
        <w:t xml:space="preserve"> short-term or speci</w:t>
      </w:r>
      <w:r w:rsidR="003336D5">
        <w:t>alised spectrum needs and offering</w:t>
      </w:r>
      <w:r>
        <w:t xml:space="preserve"> an enhanced range of services</w:t>
      </w:r>
      <w:r w:rsidR="003336D5">
        <w:t>)</w:t>
      </w:r>
      <w:r>
        <w:t xml:space="preserve"> and more effectively manage congestion in a band</w:t>
      </w:r>
      <w:r w:rsidR="003336D5">
        <w:t>.</w:t>
      </w:r>
    </w:p>
    <w:p w14:paraId="2FF6DDEC" w14:textId="77777777" w:rsidR="009B2AA3" w:rsidRPr="00447D03" w:rsidRDefault="009B2AA3" w:rsidP="009B2AA3">
      <w:pPr>
        <w:pStyle w:val="BoxtextQUESTIONITALICS"/>
        <w:spacing w:before="120" w:after="120"/>
      </w:pPr>
      <w:r>
        <w:t>Private band managers operate in the US and UK.</w:t>
      </w:r>
      <w:r w:rsidRPr="00AB5092">
        <w:rPr>
          <w:i w:val="0"/>
          <w:iCs/>
          <w:color w:val="1F497D"/>
        </w:rPr>
        <w:t xml:space="preserve"> </w:t>
      </w:r>
      <w:r w:rsidRPr="00447D03">
        <w:rPr>
          <w:iCs/>
        </w:rPr>
        <w:t>They typically manage spectrum on behalf of specific industries, either under contract from the regulator or by earning fees from the industry for their management activities.</w:t>
      </w:r>
      <w:r w:rsidRPr="00447D03">
        <w:t xml:space="preserve"> </w:t>
      </w:r>
      <w:r w:rsidRPr="00447D03">
        <w:rPr>
          <w:iCs/>
        </w:rPr>
        <w:t>For instance, in the UK Ofcom has contracted out the management of spectrum for programme making and special events (PMSE) to Arqiva and subcontracted the administration of licensing for the aeronautical and maritime sectors to the respective sector regulators.</w:t>
      </w:r>
      <w:r w:rsidRPr="00447D03">
        <w:rPr>
          <w:i w:val="0"/>
          <w:iCs/>
        </w:rPr>
        <w:t xml:space="preserve"> </w:t>
      </w:r>
      <w:r w:rsidRPr="00447D03">
        <w:rPr>
          <w:iCs/>
        </w:rPr>
        <w:t xml:space="preserve">The management of spectrum in the UK for the energy sector and water industry has been delegated by the licensees to third parties, Joint Radio Company and CSS Spectrum respectively, that may also engage in spectrum trading. In the US the Federal Communications Commission (FCC) uses frequency coordinators to manage and co-ordinate spectrum use in the Private Land Mobile Radio spectrum. The frequency co-ordinators recommend the most appropriate frequencies to clients and submit applications on behalf of their clients to the FCC and these applications are processed overnight. </w:t>
      </w:r>
    </w:p>
    <w:p w14:paraId="2FF6DDED" w14:textId="1C99C041" w:rsidR="00A504DC" w:rsidRDefault="009B2AA3" w:rsidP="00D56EAC">
      <w:pPr>
        <w:pStyle w:val="BoxtextQUESTIONITALICS"/>
        <w:spacing w:before="120" w:after="120"/>
      </w:pPr>
      <w:r>
        <w:t>As can be seen from the international experience, t</w:t>
      </w:r>
      <w:r w:rsidR="00A504DC">
        <w:t xml:space="preserve">here </w:t>
      </w:r>
      <w:r w:rsidR="000032D6">
        <w:t xml:space="preserve">are </w:t>
      </w:r>
      <w:r w:rsidR="00A504DC">
        <w:t>a number of potential private band manager models. Band managers could arise spontaneously where a prospective band manager purchases spectrum with the intention of sub-leasing those rights to others on a for profit or not-for-profit basis</w:t>
      </w:r>
      <w:r w:rsidR="003336D5">
        <w:t>, or where a group of users come together and nominate an entity to manage a band on their behalf</w:t>
      </w:r>
      <w:r w:rsidR="00A504DC">
        <w:t xml:space="preserve">. The </w:t>
      </w:r>
      <w:r w:rsidR="00305FAC">
        <w:t xml:space="preserve">ACMA </w:t>
      </w:r>
      <w:r w:rsidR="00A504DC">
        <w:t>could also outsource band management to another entity or grant an entity a technical coordination role over a band.</w:t>
      </w:r>
      <w:r w:rsidR="007E610F" w:rsidRPr="007E610F">
        <w:t xml:space="preserve"> </w:t>
      </w:r>
      <w:r w:rsidR="007E610F">
        <w:t>The single licensing framework would enable the tiered use of licences to implement these arrangements (</w:t>
      </w:r>
      <w:r w:rsidR="006B1A65">
        <w:t>for example</w:t>
      </w:r>
      <w:r w:rsidR="00416118">
        <w:t>,</w:t>
      </w:r>
      <w:r w:rsidR="007E610F">
        <w:t xml:space="preserve"> one licence category could apply to the band manager, while another applies to the spectrum users in the band).</w:t>
      </w:r>
    </w:p>
    <w:p w14:paraId="2FF6DDEE" w14:textId="2CB928BB" w:rsidR="00A504DC" w:rsidRDefault="00645293" w:rsidP="00D56EAC">
      <w:pPr>
        <w:pStyle w:val="BoxtextQUESTIONITALICS"/>
        <w:spacing w:before="120" w:after="120"/>
      </w:pPr>
      <w:r>
        <w:t xml:space="preserve">Allowing the ACMA to allocate encumbered spectrum and empowering the ACMA to </w:t>
      </w:r>
      <w:r w:rsidR="00CA20CC">
        <w:t xml:space="preserve">devolve </w:t>
      </w:r>
      <w:r>
        <w:t>its spectrum management functions to other entities would also make private band management easier.</w:t>
      </w:r>
      <w:r w:rsidR="00D56EAC">
        <w:t xml:space="preserve"> </w:t>
      </w:r>
      <w:r w:rsidR="003336D5">
        <w:t>Allocating encumbered spectrum provides a ready-made user base</w:t>
      </w:r>
      <w:r w:rsidR="0039469A">
        <w:t xml:space="preserve"> and potential revenue stream</w:t>
      </w:r>
      <w:r w:rsidR="003336D5">
        <w:t xml:space="preserve"> for a prospective private band manager. </w:t>
      </w:r>
      <w:r w:rsidR="0039469A">
        <w:t>It would also facilitate the emergence of a user-initiated private band manager arrangement. Using the proposed delegation power, t</w:t>
      </w:r>
      <w:r w:rsidR="00D56EAC">
        <w:t>he ACMA could potentially delegate planning, licensing, pricing, fee collection, interference management and dispute resolution to a band manager.</w:t>
      </w:r>
    </w:p>
    <w:p w14:paraId="2FF6DDEF" w14:textId="5C696A95" w:rsidR="00A504DC" w:rsidRDefault="00D56EAC" w:rsidP="009E7B71">
      <w:pPr>
        <w:pStyle w:val="BoxtextQUESTIONITALICS"/>
        <w:spacing w:before="120" w:after="120"/>
      </w:pPr>
      <w:r>
        <w:t>There is likely to be a significant role for the ACMA in establishing the ground rul</w:t>
      </w:r>
      <w:r w:rsidR="0039469A">
        <w:t xml:space="preserve">es for private band management whether it is user or </w:t>
      </w:r>
      <w:r w:rsidR="00305FAC">
        <w:t>ACMA</w:t>
      </w:r>
      <w:r w:rsidR="0039469A">
        <w:t xml:space="preserve"> driven</w:t>
      </w:r>
      <w:r w:rsidR="00935DCF">
        <w:t xml:space="preserve">, and </w:t>
      </w:r>
      <w:r w:rsidR="005D3EE1">
        <w:t>oversighting these arrangements to ensure they</w:t>
      </w:r>
      <w:r w:rsidR="00935DCF">
        <w:t xml:space="preserve"> are </w:t>
      </w:r>
      <w:r w:rsidR="00592A8C">
        <w:t>performed</w:t>
      </w:r>
      <w:r w:rsidR="00935DCF">
        <w:t xml:space="preserve"> well</w:t>
      </w:r>
      <w:r w:rsidR="0039469A">
        <w:t>.</w:t>
      </w:r>
    </w:p>
    <w:p w14:paraId="2FF6DDF0" w14:textId="77777777" w:rsidR="00D6266B" w:rsidRDefault="00D6266B" w:rsidP="00F32341">
      <w:pPr>
        <w:pStyle w:val="Heading1"/>
        <w:ind w:left="907" w:hanging="907"/>
      </w:pPr>
    </w:p>
    <w:p w14:paraId="2FF6DDF1" w14:textId="77777777" w:rsidR="00D6266B" w:rsidRDefault="00D6266B" w:rsidP="005A439F">
      <w:pPr>
        <w:pStyle w:val="BodyText"/>
        <w:rPr>
          <w:rFonts w:ascii="Cambria" w:eastAsiaTheme="majorEastAsia" w:hAnsi="Cambria" w:cstheme="majorBidi"/>
          <w:color w:val="00728F"/>
          <w:sz w:val="36"/>
          <w:szCs w:val="28"/>
        </w:rPr>
      </w:pPr>
      <w:r>
        <w:br w:type="page"/>
      </w:r>
    </w:p>
    <w:p w14:paraId="2FF6DDF2" w14:textId="0E681D1B" w:rsidR="00D6266B" w:rsidRDefault="00006970" w:rsidP="00F32341">
      <w:pPr>
        <w:pStyle w:val="Heading1"/>
        <w:ind w:left="907" w:hanging="907"/>
      </w:pPr>
      <w:bookmarkStart w:id="72" w:name="_Toc401237575"/>
      <w:r>
        <w:t xml:space="preserve">Questions for </w:t>
      </w:r>
      <w:r w:rsidR="005E4845">
        <w:t>S</w:t>
      </w:r>
      <w:r>
        <w:t>takeholders</w:t>
      </w:r>
      <w:bookmarkEnd w:id="72"/>
    </w:p>
    <w:p w14:paraId="2FF6DDF3" w14:textId="77777777" w:rsidR="00D6266B" w:rsidRDefault="00D6266B" w:rsidP="005A439F">
      <w:pPr>
        <w:pStyle w:val="BodyText"/>
        <w:spacing w:before="120" w:after="120"/>
        <w:ind w:left="360"/>
      </w:pPr>
    </w:p>
    <w:p w14:paraId="2FF6DDF4" w14:textId="77777777" w:rsidR="00D6266B" w:rsidRPr="002D068B" w:rsidRDefault="00006970" w:rsidP="00006970">
      <w:pPr>
        <w:pStyle w:val="BodyText"/>
        <w:numPr>
          <w:ilvl w:val="0"/>
          <w:numId w:val="41"/>
        </w:numPr>
        <w:spacing w:before="120" w:after="120"/>
        <w:rPr>
          <w:sz w:val="28"/>
          <w:szCs w:val="28"/>
        </w:rPr>
      </w:pPr>
      <w:r w:rsidRPr="002D068B">
        <w:rPr>
          <w:sz w:val="28"/>
          <w:szCs w:val="28"/>
        </w:rPr>
        <w:t>What changes should be made to the proposals outlined in this paper</w:t>
      </w:r>
      <w:r w:rsidR="00646AB7" w:rsidRPr="002D068B">
        <w:rPr>
          <w:sz w:val="28"/>
          <w:szCs w:val="28"/>
        </w:rPr>
        <w:t xml:space="preserve"> to make them work more effectively</w:t>
      </w:r>
      <w:r w:rsidR="00D6266B" w:rsidRPr="002D068B">
        <w:rPr>
          <w:sz w:val="28"/>
          <w:szCs w:val="28"/>
        </w:rPr>
        <w:t>?</w:t>
      </w:r>
    </w:p>
    <w:p w14:paraId="2FF6DDF5" w14:textId="77777777" w:rsidR="00D6266B" w:rsidRPr="002D068B" w:rsidRDefault="00006970" w:rsidP="00006970">
      <w:pPr>
        <w:pStyle w:val="BodyText"/>
        <w:numPr>
          <w:ilvl w:val="0"/>
          <w:numId w:val="41"/>
        </w:numPr>
        <w:spacing w:before="120" w:after="120"/>
        <w:rPr>
          <w:sz w:val="28"/>
          <w:szCs w:val="28"/>
        </w:rPr>
      </w:pPr>
      <w:r w:rsidRPr="002D068B">
        <w:rPr>
          <w:sz w:val="28"/>
          <w:szCs w:val="28"/>
        </w:rPr>
        <w:t>What additional proposals should be considered</w:t>
      </w:r>
      <w:r w:rsidR="00D6266B" w:rsidRPr="002D068B">
        <w:rPr>
          <w:sz w:val="28"/>
          <w:szCs w:val="28"/>
        </w:rPr>
        <w:t>?</w:t>
      </w:r>
    </w:p>
    <w:p w14:paraId="396DFE60" w14:textId="10A4C144" w:rsidR="00A70BE3" w:rsidRPr="002D068B" w:rsidRDefault="005563E7" w:rsidP="00006970">
      <w:pPr>
        <w:pStyle w:val="BodyText"/>
        <w:numPr>
          <w:ilvl w:val="0"/>
          <w:numId w:val="41"/>
        </w:numPr>
        <w:spacing w:before="120" w:after="120"/>
        <w:rPr>
          <w:sz w:val="28"/>
          <w:szCs w:val="28"/>
        </w:rPr>
      </w:pPr>
      <w:r w:rsidRPr="002D068B">
        <w:rPr>
          <w:sz w:val="28"/>
          <w:szCs w:val="28"/>
        </w:rPr>
        <w:t>What timeframes (short-term and long</w:t>
      </w:r>
      <w:r w:rsidR="001158A3">
        <w:rPr>
          <w:sz w:val="28"/>
          <w:szCs w:val="28"/>
        </w:rPr>
        <w:t>er</w:t>
      </w:r>
      <w:r w:rsidRPr="002D068B">
        <w:rPr>
          <w:sz w:val="28"/>
          <w:szCs w:val="28"/>
        </w:rPr>
        <w:t>-term</w:t>
      </w:r>
      <w:r w:rsidR="00A70BE3" w:rsidRPr="002D068B">
        <w:rPr>
          <w:sz w:val="28"/>
          <w:szCs w:val="28"/>
        </w:rPr>
        <w:t>) should apply to implementation of the reform proposals?</w:t>
      </w:r>
      <w:r w:rsidRPr="002D068B">
        <w:rPr>
          <w:sz w:val="28"/>
          <w:szCs w:val="28"/>
        </w:rPr>
        <w:t xml:space="preserve"> </w:t>
      </w:r>
    </w:p>
    <w:p w14:paraId="2FF6DDF7" w14:textId="21F5840D" w:rsidR="005563E7" w:rsidRPr="002D068B" w:rsidRDefault="00A70BE3" w:rsidP="00006970">
      <w:pPr>
        <w:pStyle w:val="BodyText"/>
        <w:numPr>
          <w:ilvl w:val="0"/>
          <w:numId w:val="41"/>
        </w:numPr>
        <w:spacing w:before="120" w:after="120"/>
        <w:rPr>
          <w:sz w:val="28"/>
          <w:szCs w:val="28"/>
        </w:rPr>
      </w:pPr>
      <w:r w:rsidRPr="002D068B">
        <w:rPr>
          <w:sz w:val="28"/>
          <w:szCs w:val="28"/>
        </w:rPr>
        <w:t xml:space="preserve">What </w:t>
      </w:r>
      <w:r w:rsidR="005563E7" w:rsidRPr="002D068B">
        <w:rPr>
          <w:sz w:val="28"/>
          <w:szCs w:val="28"/>
        </w:rPr>
        <w:t xml:space="preserve">transitional arrangements should </w:t>
      </w:r>
      <w:r w:rsidR="00FA003A">
        <w:rPr>
          <w:sz w:val="28"/>
          <w:szCs w:val="28"/>
        </w:rPr>
        <w:t>be put in place</w:t>
      </w:r>
      <w:r w:rsidR="005563E7" w:rsidRPr="002D068B">
        <w:rPr>
          <w:sz w:val="28"/>
          <w:szCs w:val="28"/>
        </w:rPr>
        <w:t xml:space="preserve">? </w:t>
      </w:r>
    </w:p>
    <w:p w14:paraId="05FD9863" w14:textId="77777777" w:rsidR="0015352E" w:rsidRDefault="0015352E" w:rsidP="0015352E">
      <w:pPr>
        <w:pStyle w:val="Heading1"/>
      </w:pPr>
    </w:p>
    <w:p w14:paraId="149C7506" w14:textId="05BDB01F" w:rsidR="0015352E" w:rsidRDefault="0015352E">
      <w:pPr>
        <w:spacing w:after="120"/>
        <w:ind w:left="1021" w:hanging="1021"/>
        <w:rPr>
          <w:rFonts w:ascii="Cambria" w:eastAsiaTheme="majorEastAsia" w:hAnsi="Cambria" w:cstheme="majorBidi"/>
          <w:bCs/>
          <w:color w:val="00728F"/>
          <w:sz w:val="36"/>
          <w:szCs w:val="28"/>
        </w:rPr>
      </w:pPr>
      <w:r>
        <w:br w:type="page"/>
      </w:r>
    </w:p>
    <w:p w14:paraId="2FF6DDF8" w14:textId="4021627D" w:rsidR="001928F6" w:rsidRPr="009E1118" w:rsidRDefault="001928F6" w:rsidP="0015352E">
      <w:pPr>
        <w:pStyle w:val="Heading1"/>
      </w:pPr>
      <w:bookmarkStart w:id="73" w:name="_Toc401237576"/>
      <w:r w:rsidRPr="009E1118">
        <w:t xml:space="preserve">How to </w:t>
      </w:r>
      <w:bookmarkEnd w:id="68"/>
      <w:bookmarkEnd w:id="69"/>
      <w:bookmarkEnd w:id="70"/>
      <w:r w:rsidR="005E4845">
        <w:t>P</w:t>
      </w:r>
      <w:r w:rsidR="006F3B12">
        <w:t xml:space="preserve">rovide </w:t>
      </w:r>
      <w:r w:rsidR="005E4845">
        <w:t>C</w:t>
      </w:r>
      <w:r w:rsidR="006F3B12">
        <w:t>omment</w:t>
      </w:r>
      <w:bookmarkEnd w:id="73"/>
    </w:p>
    <w:p w14:paraId="2E55CC7E" w14:textId="2CEB1CD8" w:rsidR="006F3B12" w:rsidRDefault="006F3B12" w:rsidP="001928F6">
      <w:pPr>
        <w:rPr>
          <w:rFonts w:eastAsia="Calibri"/>
        </w:rPr>
      </w:pPr>
      <w:r>
        <w:rPr>
          <w:rFonts w:eastAsia="Calibri"/>
        </w:rPr>
        <w:t>The Department welcomes feedback on the proposals in this paper. Comments can be provided by phone or email, in person or through formal written submissions if desired.</w:t>
      </w:r>
    </w:p>
    <w:p w14:paraId="2FF6DDF9" w14:textId="2F775C22" w:rsidR="001928F6" w:rsidRDefault="006F3B12" w:rsidP="001928F6">
      <w:pPr>
        <w:rPr>
          <w:rFonts w:eastAsia="Calibri"/>
        </w:rPr>
      </w:pPr>
      <w:r>
        <w:rPr>
          <w:rFonts w:eastAsia="Calibri"/>
        </w:rPr>
        <w:t>Feedback on the paper should be provided</w:t>
      </w:r>
      <w:r w:rsidR="00526A78">
        <w:rPr>
          <w:rFonts w:eastAsia="Calibri"/>
        </w:rPr>
        <w:t xml:space="preserve"> </w:t>
      </w:r>
      <w:r w:rsidR="001928F6">
        <w:rPr>
          <w:rFonts w:eastAsia="Calibri"/>
        </w:rPr>
        <w:t xml:space="preserve">by </w:t>
      </w:r>
      <w:r w:rsidR="001928F6">
        <w:rPr>
          <w:rFonts w:eastAsia="Calibri"/>
          <w:b/>
        </w:rPr>
        <w:t xml:space="preserve">close of business </w:t>
      </w:r>
      <w:r w:rsidR="00784D32">
        <w:rPr>
          <w:rFonts w:eastAsia="Calibri"/>
          <w:b/>
        </w:rPr>
        <w:t>Tuesday 2 December</w:t>
      </w:r>
      <w:r w:rsidR="001928F6" w:rsidRPr="00502A93">
        <w:rPr>
          <w:rFonts w:eastAsia="Calibri"/>
          <w:b/>
        </w:rPr>
        <w:t xml:space="preserve"> 2014</w:t>
      </w:r>
      <w:r w:rsidR="001928F6">
        <w:rPr>
          <w:rFonts w:eastAsia="Calibri"/>
        </w:rPr>
        <w:t>.</w:t>
      </w:r>
      <w:r w:rsidR="00611033">
        <w:rPr>
          <w:rFonts w:eastAsia="Calibri"/>
        </w:rPr>
        <w:t xml:space="preserve"> </w:t>
      </w:r>
    </w:p>
    <w:p w14:paraId="2FF6DDFA" w14:textId="635415BA" w:rsidR="001928F6" w:rsidRDefault="006F3B12" w:rsidP="001928F6">
      <w:pPr>
        <w:pBdr>
          <w:top w:val="single" w:sz="4" w:space="8" w:color="00728F"/>
          <w:left w:val="single" w:sz="4" w:space="8" w:color="00728F"/>
          <w:bottom w:val="single" w:sz="4" w:space="8" w:color="00728F"/>
          <w:right w:val="single" w:sz="4" w:space="0" w:color="00728F"/>
        </w:pBdr>
        <w:shd w:val="clear" w:color="auto" w:fill="DBEEF3"/>
        <w:ind w:left="198"/>
        <w:rPr>
          <w:rFonts w:eastAsia="Calibri"/>
        </w:rPr>
      </w:pPr>
      <w:r>
        <w:rPr>
          <w:rFonts w:eastAsia="Calibri"/>
        </w:rPr>
        <w:t xml:space="preserve">Written comments </w:t>
      </w:r>
      <w:r w:rsidR="001928F6">
        <w:rPr>
          <w:rFonts w:eastAsia="Calibri"/>
        </w:rPr>
        <w:t xml:space="preserve">can be lodged in the following ways:          </w:t>
      </w:r>
    </w:p>
    <w:p w14:paraId="2FF6DDFB" w14:textId="77777777" w:rsidR="001928F6" w:rsidRDefault="001928F6" w:rsidP="001928F6">
      <w:pPr>
        <w:pBdr>
          <w:top w:val="single" w:sz="4" w:space="8" w:color="00728F"/>
          <w:left w:val="single" w:sz="4" w:space="8" w:color="00728F"/>
          <w:bottom w:val="single" w:sz="4" w:space="8" w:color="00728F"/>
          <w:right w:val="single" w:sz="4" w:space="0" w:color="00728F"/>
        </w:pBdr>
        <w:shd w:val="clear" w:color="auto" w:fill="DBEEF3"/>
        <w:spacing w:before="120"/>
        <w:ind w:left="198"/>
        <w:rPr>
          <w:rFonts w:eastAsia="Calibri"/>
        </w:rPr>
      </w:pPr>
      <w:r>
        <w:rPr>
          <w:rFonts w:eastAsia="Calibri"/>
          <w:b/>
        </w:rPr>
        <w:t>Email</w:t>
      </w:r>
      <w:r>
        <w:rPr>
          <w:rFonts w:eastAsia="Calibri"/>
        </w:rPr>
        <w:t xml:space="preserve">:            </w:t>
      </w:r>
      <w:bookmarkStart w:id="74" w:name="OLE_LINK3"/>
      <w:bookmarkStart w:id="75" w:name="OLE_LINK2"/>
      <w:r w:rsidR="00264E12">
        <w:rPr>
          <w:rFonts w:eastAsia="Calibri"/>
        </w:rPr>
        <w:tab/>
      </w:r>
      <w:hyperlink r:id="rId11" w:history="1">
        <w:r>
          <w:rPr>
            <w:rStyle w:val="Hyperlink"/>
            <w:rFonts w:eastAsia="Calibri"/>
          </w:rPr>
          <w:t>spectrumreview@communications.gov.au</w:t>
        </w:r>
        <w:bookmarkEnd w:id="74"/>
        <w:bookmarkEnd w:id="75"/>
      </w:hyperlink>
    </w:p>
    <w:p w14:paraId="2FF6DDFC" w14:textId="77777777" w:rsidR="001928F6" w:rsidRDefault="001928F6" w:rsidP="001928F6">
      <w:pPr>
        <w:pBdr>
          <w:top w:val="single" w:sz="4" w:space="8" w:color="00728F"/>
          <w:left w:val="single" w:sz="4" w:space="8" w:color="00728F"/>
          <w:bottom w:val="single" w:sz="4" w:space="8" w:color="00728F"/>
          <w:right w:val="single" w:sz="4" w:space="0" w:color="00728F"/>
        </w:pBdr>
        <w:shd w:val="clear" w:color="auto" w:fill="DBEEF3"/>
        <w:spacing w:before="120"/>
        <w:ind w:left="198"/>
        <w:rPr>
          <w:rFonts w:eastAsia="Calibri"/>
        </w:rPr>
      </w:pPr>
      <w:r>
        <w:rPr>
          <w:rFonts w:eastAsia="Calibri"/>
          <w:b/>
        </w:rPr>
        <w:t>Post</w:t>
      </w:r>
      <w:r>
        <w:rPr>
          <w:rFonts w:eastAsia="Calibri"/>
        </w:rPr>
        <w:t>:</w:t>
      </w:r>
      <w:r>
        <w:rPr>
          <w:rFonts w:eastAsia="Calibri"/>
        </w:rPr>
        <w:tab/>
      </w:r>
      <w:r>
        <w:rPr>
          <w:rFonts w:eastAsia="Calibri"/>
        </w:rPr>
        <w:tab/>
        <w:t>The Project Manager</w:t>
      </w:r>
    </w:p>
    <w:p w14:paraId="2FF6DDFD" w14:textId="77777777" w:rsidR="001928F6" w:rsidRDefault="001928F6" w:rsidP="001928F6">
      <w:pPr>
        <w:pBdr>
          <w:top w:val="single" w:sz="4" w:space="8" w:color="00728F"/>
          <w:left w:val="single" w:sz="4" w:space="8" w:color="00728F"/>
          <w:bottom w:val="single" w:sz="4" w:space="8" w:color="00728F"/>
          <w:right w:val="single" w:sz="4" w:space="0" w:color="00728F"/>
        </w:pBdr>
        <w:shd w:val="clear" w:color="auto" w:fill="DBEEF3"/>
        <w:spacing w:before="0"/>
        <w:ind w:left="198"/>
        <w:rPr>
          <w:rFonts w:eastAsia="Calibri"/>
        </w:rPr>
      </w:pPr>
      <w:r>
        <w:rPr>
          <w:rFonts w:eastAsia="Calibri"/>
        </w:rPr>
        <w:tab/>
      </w:r>
      <w:r>
        <w:rPr>
          <w:rFonts w:eastAsia="Calibri"/>
        </w:rPr>
        <w:tab/>
        <w:t>Spectrum Review</w:t>
      </w:r>
    </w:p>
    <w:p w14:paraId="2FF6DDFE" w14:textId="77777777" w:rsidR="001928F6" w:rsidRDefault="001928F6" w:rsidP="001928F6">
      <w:pPr>
        <w:pBdr>
          <w:top w:val="single" w:sz="4" w:space="8" w:color="00728F"/>
          <w:left w:val="single" w:sz="4" w:space="8" w:color="00728F"/>
          <w:bottom w:val="single" w:sz="4" w:space="8" w:color="00728F"/>
          <w:right w:val="single" w:sz="4" w:space="0" w:color="00728F"/>
        </w:pBdr>
        <w:shd w:val="clear" w:color="auto" w:fill="DBEEF3"/>
        <w:spacing w:before="0"/>
        <w:ind w:left="198"/>
        <w:rPr>
          <w:rFonts w:eastAsia="Calibri"/>
        </w:rPr>
      </w:pPr>
      <w:r>
        <w:rPr>
          <w:rFonts w:eastAsia="Calibri"/>
        </w:rPr>
        <w:tab/>
      </w:r>
      <w:r>
        <w:rPr>
          <w:rFonts w:eastAsia="Calibri"/>
        </w:rPr>
        <w:tab/>
        <w:t>Department of Communications</w:t>
      </w:r>
    </w:p>
    <w:p w14:paraId="2FF6DDFF" w14:textId="77777777" w:rsidR="001928F6" w:rsidRDefault="001928F6" w:rsidP="001928F6">
      <w:pPr>
        <w:pBdr>
          <w:top w:val="single" w:sz="4" w:space="8" w:color="00728F"/>
          <w:left w:val="single" w:sz="4" w:space="8" w:color="00728F"/>
          <w:bottom w:val="single" w:sz="4" w:space="8" w:color="00728F"/>
          <w:right w:val="single" w:sz="4" w:space="0" w:color="00728F"/>
        </w:pBdr>
        <w:shd w:val="clear" w:color="auto" w:fill="DBEEF3"/>
        <w:spacing w:before="0"/>
        <w:ind w:left="198"/>
        <w:rPr>
          <w:rFonts w:eastAsia="Calibri"/>
        </w:rPr>
      </w:pPr>
      <w:r>
        <w:rPr>
          <w:rFonts w:eastAsia="Calibri"/>
        </w:rPr>
        <w:tab/>
      </w:r>
      <w:r>
        <w:rPr>
          <w:rFonts w:eastAsia="Calibri"/>
        </w:rPr>
        <w:tab/>
        <w:t xml:space="preserve">GPO Box 2154  </w:t>
      </w:r>
    </w:p>
    <w:p w14:paraId="2FF6DE00" w14:textId="77777777" w:rsidR="001928F6" w:rsidRDefault="001928F6" w:rsidP="001928F6">
      <w:pPr>
        <w:pBdr>
          <w:top w:val="single" w:sz="4" w:space="8" w:color="00728F"/>
          <w:left w:val="single" w:sz="4" w:space="8" w:color="00728F"/>
          <w:bottom w:val="single" w:sz="4" w:space="8" w:color="00728F"/>
          <w:right w:val="single" w:sz="4" w:space="0" w:color="00728F"/>
        </w:pBdr>
        <w:shd w:val="clear" w:color="auto" w:fill="DBEEF3"/>
        <w:spacing w:before="0"/>
        <w:ind w:left="198"/>
        <w:rPr>
          <w:rFonts w:eastAsia="Calibri"/>
        </w:rPr>
      </w:pPr>
      <w:r>
        <w:rPr>
          <w:rFonts w:eastAsia="Calibri"/>
        </w:rPr>
        <w:tab/>
      </w:r>
      <w:r>
        <w:rPr>
          <w:rFonts w:eastAsia="Calibri"/>
        </w:rPr>
        <w:tab/>
        <w:t>CANBERRA ACT 2601</w:t>
      </w:r>
    </w:p>
    <w:p w14:paraId="7D0E5DF5" w14:textId="77777777" w:rsidR="006F3B12" w:rsidRDefault="006F3B12" w:rsidP="001928F6">
      <w:pPr>
        <w:pBdr>
          <w:top w:val="single" w:sz="4" w:space="8" w:color="00728F"/>
          <w:left w:val="single" w:sz="4" w:space="8" w:color="00728F"/>
          <w:bottom w:val="single" w:sz="4" w:space="8" w:color="00728F"/>
          <w:right w:val="single" w:sz="4" w:space="0" w:color="00728F"/>
        </w:pBdr>
        <w:shd w:val="clear" w:color="auto" w:fill="DBEEF3"/>
        <w:spacing w:before="0"/>
        <w:ind w:left="198"/>
        <w:rPr>
          <w:rFonts w:eastAsia="Calibri"/>
        </w:rPr>
      </w:pPr>
    </w:p>
    <w:p w14:paraId="3CE4287C" w14:textId="4DF1A0E8" w:rsidR="006F3B12" w:rsidRDefault="00B51B9F" w:rsidP="001928F6">
      <w:pPr>
        <w:pBdr>
          <w:top w:val="single" w:sz="4" w:space="8" w:color="00728F"/>
          <w:left w:val="single" w:sz="4" w:space="8" w:color="00728F"/>
          <w:bottom w:val="single" w:sz="4" w:space="8" w:color="00728F"/>
          <w:right w:val="single" w:sz="4" w:space="0" w:color="00728F"/>
        </w:pBdr>
        <w:shd w:val="clear" w:color="auto" w:fill="DBEEF3"/>
        <w:spacing w:before="0"/>
        <w:ind w:left="198"/>
        <w:rPr>
          <w:rFonts w:eastAsia="Calibri"/>
        </w:rPr>
      </w:pPr>
      <w:r>
        <w:rPr>
          <w:rFonts w:eastAsia="Calibri"/>
        </w:rPr>
        <w:t>Comment</w:t>
      </w:r>
      <w:r w:rsidR="006F3B12">
        <w:rPr>
          <w:rFonts w:eastAsia="Calibri"/>
        </w:rPr>
        <w:t xml:space="preserve"> can </w:t>
      </w:r>
      <w:r>
        <w:rPr>
          <w:rFonts w:eastAsia="Calibri"/>
        </w:rPr>
        <w:t xml:space="preserve">also </w:t>
      </w:r>
      <w:r w:rsidR="006F3B12">
        <w:rPr>
          <w:rFonts w:eastAsia="Calibri"/>
        </w:rPr>
        <w:t xml:space="preserve">be provided </w:t>
      </w:r>
      <w:r>
        <w:rPr>
          <w:rFonts w:eastAsia="Calibri"/>
        </w:rPr>
        <w:t xml:space="preserve">directly </w:t>
      </w:r>
      <w:r w:rsidR="006F3B12">
        <w:rPr>
          <w:rFonts w:eastAsia="Calibri"/>
        </w:rPr>
        <w:t>to Mr Brian Kelleher, Assistant Secretary Spectrum Branch, by calling the Department of Communications on 02 6271 1</w:t>
      </w:r>
      <w:r>
        <w:rPr>
          <w:rFonts w:eastAsia="Calibri"/>
        </w:rPr>
        <w:t>382</w:t>
      </w:r>
      <w:r w:rsidR="006F3B12">
        <w:rPr>
          <w:rFonts w:eastAsia="Calibri"/>
        </w:rPr>
        <w:t>.</w:t>
      </w:r>
    </w:p>
    <w:p w14:paraId="2FF6DE01" w14:textId="2F0F4E1A" w:rsidR="001928F6" w:rsidRDefault="00531911" w:rsidP="001928F6">
      <w:pPr>
        <w:spacing w:after="240"/>
        <w:rPr>
          <w:rFonts w:eastAsia="Calibri"/>
        </w:rPr>
      </w:pPr>
      <w:r>
        <w:rPr>
          <w:rFonts w:eastAsia="Calibri"/>
        </w:rPr>
        <w:t>Written</w:t>
      </w:r>
      <w:r w:rsidR="006F3B12">
        <w:rPr>
          <w:rFonts w:eastAsia="Calibri"/>
        </w:rPr>
        <w:t xml:space="preserve"> comments</w:t>
      </w:r>
      <w:r w:rsidR="001158A3">
        <w:rPr>
          <w:rFonts w:eastAsia="Calibri"/>
        </w:rPr>
        <w:t xml:space="preserve"> </w:t>
      </w:r>
      <w:r w:rsidR="00C62A5A">
        <w:rPr>
          <w:rFonts w:eastAsia="Calibri"/>
        </w:rPr>
        <w:t xml:space="preserve">should </w:t>
      </w:r>
      <w:r w:rsidR="001928F6">
        <w:rPr>
          <w:rFonts w:eastAsia="Calibri"/>
        </w:rPr>
        <w:t xml:space="preserve">include the respondent’s name, organisation (if relevant) and contact details. </w:t>
      </w:r>
    </w:p>
    <w:p w14:paraId="2FF6DE02" w14:textId="2C61FBAE" w:rsidR="001928F6" w:rsidRDefault="001928F6" w:rsidP="001928F6">
      <w:pPr>
        <w:spacing w:after="240"/>
        <w:rPr>
          <w:rFonts w:eastAsia="Calibri"/>
        </w:rPr>
      </w:pPr>
      <w:r>
        <w:rPr>
          <w:rFonts w:eastAsia="Calibri"/>
        </w:rPr>
        <w:t xml:space="preserve">Respondents should be aware that </w:t>
      </w:r>
      <w:r w:rsidR="001158A3">
        <w:rPr>
          <w:rFonts w:eastAsia="Calibri"/>
        </w:rPr>
        <w:t xml:space="preserve">written </w:t>
      </w:r>
      <w:r>
        <w:rPr>
          <w:rFonts w:eastAsia="Calibri"/>
        </w:rPr>
        <w:t xml:space="preserve">submissions will generally be made publicly available, including on the website of the Department of Communications (www.communications.gov.au). The review reserves the right not to publish any submission, or part of a submission, which in the view of the </w:t>
      </w:r>
      <w:r w:rsidR="007B13CB">
        <w:rPr>
          <w:rFonts w:eastAsia="Calibri"/>
        </w:rPr>
        <w:t xml:space="preserve">Department </w:t>
      </w:r>
      <w:r>
        <w:rPr>
          <w:rFonts w:eastAsia="Calibri"/>
        </w:rPr>
        <w:t xml:space="preserve">contains potentially defamatory material, or where it considers it appropriate to do so for confidentiality or other reasons. </w:t>
      </w:r>
    </w:p>
    <w:p w14:paraId="2FF6DE03" w14:textId="77777777" w:rsidR="001928F6" w:rsidRDefault="001928F6" w:rsidP="001928F6">
      <w:pPr>
        <w:spacing w:after="240"/>
        <w:rPr>
          <w:rFonts w:eastAsia="Calibri"/>
        </w:rPr>
      </w:pPr>
      <w:r>
        <w:rPr>
          <w:rFonts w:eastAsia="Calibri"/>
        </w:rPr>
        <w:t xml:space="preserve">All submissions will be treated as non-confidential information unless the respondent specifically requests the submission, or a part of the submission, is kept confidential, and acceptable reasons accompany the request. Email disclaimers will not be considered sufficient confidentiality requests. Note that submissions will generally be subject to the </w:t>
      </w:r>
      <w:r>
        <w:rPr>
          <w:rFonts w:eastAsia="Calibri"/>
          <w:i/>
        </w:rPr>
        <w:t>Freedom of Information Act 1982</w:t>
      </w:r>
      <w:r>
        <w:rPr>
          <w:rFonts w:eastAsia="Calibri"/>
        </w:rPr>
        <w:t xml:space="preserve">.  </w:t>
      </w:r>
    </w:p>
    <w:p w14:paraId="2FF6DE04" w14:textId="77777777" w:rsidR="001928F6" w:rsidRDefault="001928F6" w:rsidP="001928F6">
      <w:pPr>
        <w:spacing w:after="240"/>
        <w:rPr>
          <w:rFonts w:eastAsia="Calibri"/>
        </w:rPr>
      </w:pPr>
      <w:r>
        <w:rPr>
          <w:rFonts w:eastAsia="Calibri"/>
        </w:rPr>
        <w:t xml:space="preserve">The </w:t>
      </w:r>
      <w:r>
        <w:rPr>
          <w:rFonts w:eastAsia="Calibri"/>
          <w:i/>
        </w:rPr>
        <w:t>Privacy Act 1988</w:t>
      </w:r>
      <w:r>
        <w:rPr>
          <w:rFonts w:eastAsia="Calibri"/>
        </w:rPr>
        <w:t xml:space="preserve"> establishes certain principles with respect to the collection, use, and disclosure of information about individuals. Any personal information respondents provide to the panel through their submission is used only for the purposes of consideration of issues raised in this paper. Respondents should clearly indicate in their submission if they do not wish to have their name included in any summary of submissions that the panel may publish.</w:t>
      </w:r>
    </w:p>
    <w:p w14:paraId="2FF6DE06" w14:textId="77777777" w:rsidR="001928F6" w:rsidRDefault="001928F6" w:rsidP="001928F6">
      <w:pPr>
        <w:pStyle w:val="BodyText"/>
      </w:pPr>
    </w:p>
    <w:p w14:paraId="2FF6DE07" w14:textId="77777777" w:rsidR="001928F6" w:rsidRDefault="001928F6" w:rsidP="001928F6"/>
    <w:p w14:paraId="2FF6DE08" w14:textId="77777777" w:rsidR="001928F6" w:rsidRPr="00AA1710" w:rsidRDefault="001928F6" w:rsidP="001928F6">
      <w:pPr>
        <w:pStyle w:val="BodyText"/>
      </w:pPr>
    </w:p>
    <w:p w14:paraId="2FF6DE09" w14:textId="77777777" w:rsidR="00C61801" w:rsidRPr="00975F79" w:rsidRDefault="00C61801" w:rsidP="004631EF">
      <w:pPr>
        <w:pStyle w:val="Heading1"/>
      </w:pPr>
    </w:p>
    <w:sectPr w:rsidR="00C61801" w:rsidRPr="00975F79" w:rsidSect="00116AA0">
      <w:headerReference w:type="default" r:id="rId12"/>
      <w:footerReference w:type="default" r:id="rId13"/>
      <w:headerReference w:type="first" r:id="rId14"/>
      <w:footerReference w:type="first" r:id="rId15"/>
      <w:pgSz w:w="11906" w:h="16838" w:code="9"/>
      <w:pgMar w:top="1440" w:right="1440" w:bottom="1276"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6DE11" w14:textId="77777777" w:rsidR="00A20FBF" w:rsidRDefault="00A20FBF" w:rsidP="000720AB">
      <w:r>
        <w:separator/>
      </w:r>
    </w:p>
    <w:p w14:paraId="2FF6DE12" w14:textId="77777777" w:rsidR="00A20FBF" w:rsidRDefault="00A20FBF"/>
    <w:p w14:paraId="2FF6DE13" w14:textId="77777777" w:rsidR="00A20FBF" w:rsidRDefault="00A20FBF"/>
  </w:endnote>
  <w:endnote w:type="continuationSeparator" w:id="0">
    <w:p w14:paraId="2FF6DE14" w14:textId="77777777" w:rsidR="00A20FBF" w:rsidRDefault="00A20FBF" w:rsidP="000720AB">
      <w:r>
        <w:continuationSeparator/>
      </w:r>
    </w:p>
    <w:p w14:paraId="2FF6DE15" w14:textId="77777777" w:rsidR="00A20FBF" w:rsidRDefault="00A20FBF"/>
    <w:p w14:paraId="2FF6DE16" w14:textId="77777777" w:rsidR="00A20FBF" w:rsidRDefault="00A20FBF"/>
  </w:endnote>
  <w:endnote w:type="continuationNotice" w:id="1">
    <w:p w14:paraId="2FF6DE17" w14:textId="77777777" w:rsidR="00A20FBF" w:rsidRDefault="00A20FB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6DE19" w14:textId="77777777" w:rsidR="00A20FBF" w:rsidRDefault="00A20FBF" w:rsidP="00361DEB">
    <w:pPr>
      <w:pStyle w:val="Footer"/>
      <w:tabs>
        <w:tab w:val="clear" w:pos="4513"/>
      </w:tabs>
      <w:rPr>
        <w:rStyle w:val="PageNumber"/>
      </w:rPr>
    </w:pPr>
    <w:r>
      <w:t>Spectrum Review – Potential reform directions</w:t>
    </w:r>
    <w:r w:rsidRPr="00AA2566">
      <w:tab/>
    </w:r>
    <w:r w:rsidRPr="00F53697">
      <w:rPr>
        <w:rStyle w:val="PageNumber"/>
      </w:rPr>
      <w:fldChar w:fldCharType="begin"/>
    </w:r>
    <w:r w:rsidRPr="00F53697">
      <w:rPr>
        <w:rStyle w:val="PageNumber"/>
      </w:rPr>
      <w:instrText xml:space="preserve"> PAGE   \* MERGEFORMAT </w:instrText>
    </w:r>
    <w:r w:rsidRPr="00F53697">
      <w:rPr>
        <w:rStyle w:val="PageNumber"/>
      </w:rPr>
      <w:fldChar w:fldCharType="separate"/>
    </w:r>
    <w:r w:rsidR="00FB2BB4">
      <w:rPr>
        <w:rStyle w:val="PageNumber"/>
        <w:noProof/>
      </w:rPr>
      <w:t>5</w:t>
    </w:r>
    <w:r w:rsidRPr="00F5369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6DE1D" w14:textId="77777777" w:rsidR="00A20FBF" w:rsidRDefault="00A20FBF" w:rsidP="008E0426">
    <w:pPr>
      <w:pStyle w:val="Footer"/>
      <w:tabs>
        <w:tab w:val="right" w:pos="8080"/>
      </w:tabs>
      <w:ind w:right="-618"/>
      <w:jc w:val="center"/>
      <w:rPr>
        <w:rFonts w:ascii="Arial" w:hAnsi="Arial"/>
        <w:sz w:val="18"/>
      </w:rPr>
    </w:pPr>
    <w:r w:rsidRPr="008E0426">
      <w:rPr>
        <w:rFonts w:ascii="Arial" w:hAnsi="Arial"/>
        <w:color w:val="auto"/>
        <w:sz w:val="18"/>
      </w:rPr>
      <w:t xml:space="preserve">GPO Box 2154 Canberra ACT 2601 Australia </w:t>
    </w:r>
    <w:r w:rsidRPr="008E0426">
      <w:rPr>
        <w:rFonts w:ascii="Arial" w:hAnsi="Arial"/>
        <w:color w:val="auto"/>
        <w:sz w:val="18"/>
      </w:rPr>
      <w:sym w:font="Wingdings" w:char="F09F"/>
    </w:r>
    <w:r>
      <w:rPr>
        <w:rFonts w:ascii="Arial" w:hAnsi="Arial"/>
        <w:color w:val="auto"/>
        <w:sz w:val="18"/>
      </w:rPr>
      <w:t xml:space="preserve"> telephone 02 6271 1000</w:t>
    </w:r>
    <w:r w:rsidRPr="008E0426">
      <w:rPr>
        <w:rFonts w:ascii="Arial" w:hAnsi="Arial"/>
        <w:color w:val="auto"/>
        <w:sz w:val="18"/>
      </w:rPr>
      <w:br/>
    </w:r>
    <w:r w:rsidRPr="008E0426">
      <w:rPr>
        <w:rFonts w:ascii="Arial" w:hAnsi="Arial"/>
        <w:color w:val="auto"/>
        <w:sz w:val="18"/>
      </w:rPr>
      <w:sym w:font="Wingdings" w:char="F09F"/>
    </w:r>
    <w:r w:rsidRPr="008E0426">
      <w:rPr>
        <w:rFonts w:ascii="Arial" w:hAnsi="Arial"/>
        <w:color w:val="auto"/>
        <w:sz w:val="18"/>
      </w:rPr>
      <w:t xml:space="preserve"> </w:t>
    </w:r>
    <w:r>
      <w:rPr>
        <w:rFonts w:ascii="Arial" w:hAnsi="Arial"/>
        <w:color w:val="auto"/>
        <w:sz w:val="18"/>
      </w:rPr>
      <w:t xml:space="preserve">the Department of Communication’s </w:t>
    </w:r>
    <w:r w:rsidRPr="008E0426">
      <w:rPr>
        <w:rFonts w:ascii="Arial" w:hAnsi="Arial"/>
        <w:color w:val="auto"/>
        <w:sz w:val="18"/>
      </w:rPr>
      <w:t>website</w:t>
    </w:r>
  </w:p>
  <w:p w14:paraId="2FF6DE1E" w14:textId="77777777" w:rsidR="00A20FBF" w:rsidRDefault="00FB2BB4" w:rsidP="002C4110">
    <w:pPr>
      <w:pStyle w:val="Footer"/>
      <w:tabs>
        <w:tab w:val="right" w:pos="8080"/>
      </w:tabs>
      <w:spacing w:before="0"/>
      <w:ind w:right="-618"/>
      <w:jc w:val="center"/>
      <w:rPr>
        <w:rFonts w:ascii="Arial" w:hAnsi="Arial"/>
        <w:sz w:val="18"/>
      </w:rPr>
    </w:pPr>
    <w:hyperlink r:id="rId1" w:history="1">
      <w:r w:rsidR="00A20FBF" w:rsidRPr="00F822C0">
        <w:rPr>
          <w:rStyle w:val="Hyperlink"/>
          <w:rFonts w:ascii="Arial" w:hAnsi="Arial"/>
          <w:sz w:val="18"/>
        </w:rPr>
        <w:t>http://www.communications.gov.au</w:t>
      </w:r>
    </w:hyperlink>
  </w:p>
  <w:p w14:paraId="2FF6DE1F" w14:textId="77777777" w:rsidR="00A20FBF" w:rsidRDefault="00A20FBF" w:rsidP="001B6911">
    <w:pPr>
      <w:spacing w:before="0"/>
      <w:jc w:val="center"/>
      <w:rPr>
        <w:rFonts w:eastAsia="Times New Roman" w:cs="Calibri"/>
        <w:color w:val="FF0000"/>
      </w:rPr>
    </w:pPr>
  </w:p>
  <w:p w14:paraId="2FF6DE20" w14:textId="77777777" w:rsidR="00A20FBF" w:rsidRPr="008E0426" w:rsidRDefault="00A20FBF" w:rsidP="001B6911">
    <w:pPr>
      <w:jc w:val="center"/>
      <w:rPr>
        <w:rFonts w:cs="Calibri"/>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6DE0A" w14:textId="77777777" w:rsidR="00A20FBF" w:rsidRDefault="00A20FBF" w:rsidP="000720AB">
      <w:r>
        <w:separator/>
      </w:r>
    </w:p>
    <w:p w14:paraId="2FF6DE0B" w14:textId="77777777" w:rsidR="00A20FBF" w:rsidRDefault="00A20FBF"/>
    <w:p w14:paraId="2FF6DE0C" w14:textId="77777777" w:rsidR="00A20FBF" w:rsidRDefault="00A20FBF"/>
  </w:footnote>
  <w:footnote w:type="continuationSeparator" w:id="0">
    <w:p w14:paraId="2FF6DE0D" w14:textId="77777777" w:rsidR="00A20FBF" w:rsidRDefault="00A20FBF" w:rsidP="000720AB">
      <w:r>
        <w:continuationSeparator/>
      </w:r>
    </w:p>
    <w:p w14:paraId="2FF6DE0E" w14:textId="77777777" w:rsidR="00A20FBF" w:rsidRDefault="00A20FBF"/>
    <w:p w14:paraId="2FF6DE0F" w14:textId="77777777" w:rsidR="00A20FBF" w:rsidRDefault="00A20FBF"/>
  </w:footnote>
  <w:footnote w:type="continuationNotice" w:id="1">
    <w:p w14:paraId="2FF6DE10" w14:textId="77777777" w:rsidR="00A20FBF" w:rsidRDefault="00A20FBF">
      <w:pPr>
        <w:spacing w:before="0"/>
      </w:pPr>
    </w:p>
  </w:footnote>
  <w:footnote w:id="2">
    <w:p w14:paraId="24361A6F" w14:textId="42D075CF" w:rsidR="00A20FBF" w:rsidRPr="00691A6B" w:rsidRDefault="00A20FBF" w:rsidP="00691A6B">
      <w:pPr>
        <w:pStyle w:val="BodyText"/>
        <w:spacing w:before="120" w:after="120"/>
        <w:rPr>
          <w:sz w:val="20"/>
          <w:szCs w:val="20"/>
        </w:rPr>
      </w:pPr>
      <w:r w:rsidRPr="00691A6B">
        <w:rPr>
          <w:rStyle w:val="FootnoteReference"/>
          <w:sz w:val="20"/>
          <w:szCs w:val="20"/>
        </w:rPr>
        <w:footnoteRef/>
      </w:r>
      <w:r w:rsidRPr="00691A6B">
        <w:rPr>
          <w:sz w:val="20"/>
          <w:szCs w:val="20"/>
        </w:rPr>
        <w:t xml:space="preserve"> </w:t>
      </w:r>
      <w:hyperlink r:id="rId1" w:history="1">
        <w:r w:rsidRPr="00691A6B">
          <w:rPr>
            <w:rStyle w:val="Hyperlink"/>
            <w:sz w:val="20"/>
            <w:szCs w:val="20"/>
          </w:rPr>
          <w:t>www.communications.gov.au/consultation_and_submissions/spectrum_review</w:t>
        </w:r>
      </w:hyperlink>
      <w:r>
        <w:rPr>
          <w:rStyle w:val="Hyperlink"/>
          <w:sz w:val="20"/>
          <w:szCs w:val="20"/>
        </w:rPr>
        <w:t xml:space="preserve"> </w:t>
      </w:r>
    </w:p>
  </w:footnote>
  <w:footnote w:id="3">
    <w:p w14:paraId="3BAF129A" w14:textId="77777777" w:rsidR="005E4845" w:rsidRPr="00691A6B" w:rsidRDefault="005E4845" w:rsidP="005E4845">
      <w:pPr>
        <w:pStyle w:val="FootnoteText"/>
      </w:pPr>
      <w:r w:rsidRPr="00691A6B">
        <w:rPr>
          <w:rStyle w:val="FootnoteReference"/>
        </w:rPr>
        <w:footnoteRef/>
      </w:r>
      <w:r w:rsidRPr="00691A6B">
        <w:t xml:space="preserve"> </w:t>
      </w:r>
      <w:hyperlink r:id="rId2" w:history="1">
        <w:r w:rsidRPr="00144370">
          <w:rPr>
            <w:rStyle w:val="Hyperlink"/>
          </w:rPr>
          <w:t>www.acma.gov.au/theACMA/Library/researchacma/Research-reports/economic-impacts-of-mobile-broadband-1</w:t>
        </w:r>
      </w:hyperlink>
      <w:r>
        <w:t xml:space="preserve"> </w:t>
      </w:r>
    </w:p>
  </w:footnote>
  <w:footnote w:id="4">
    <w:p w14:paraId="46696ECB" w14:textId="77777777" w:rsidR="005E4845" w:rsidRDefault="005E4845" w:rsidP="005E4845">
      <w:pPr>
        <w:pStyle w:val="FootnoteText"/>
      </w:pPr>
      <w:r>
        <w:rPr>
          <w:rStyle w:val="FootnoteReference"/>
        </w:rPr>
        <w:footnoteRef/>
      </w:r>
      <w:r>
        <w:t xml:space="preserve"> </w:t>
      </w:r>
      <w:hyperlink r:id="rId3" w:history="1">
        <w:r w:rsidRPr="00144370">
          <w:rPr>
            <w:rStyle w:val="Hyperlink"/>
          </w:rPr>
          <w:t>www.analysysmason.com/About-Us/News/Insight/Economic-value-of-spectrum-Jan2013/</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6DE18" w14:textId="6E006D54" w:rsidR="00A20FBF" w:rsidRPr="00AA2566" w:rsidRDefault="00A20FBF" w:rsidP="002810BE">
    <w:pPr>
      <w:pStyle w:val="Header"/>
    </w:pPr>
    <w:r>
      <w:br/>
    </w:r>
    <w:r w:rsidRPr="00AA2566">
      <w:t>Department of Communications</w:t>
    </w:r>
    <w:r w:rsidRPr="00AA2566">
      <w:tab/>
    </w:r>
    <w:r>
      <w:tab/>
    </w:r>
    <w:r w:rsidR="00FB2BB4">
      <w:fldChar w:fldCharType="begin"/>
    </w:r>
    <w:r w:rsidR="00FB2BB4">
      <w:instrText xml:space="preserve"> STYLEREF  "Title date"  \* MERGEFORMAT </w:instrText>
    </w:r>
    <w:r w:rsidR="00FB2BB4">
      <w:fldChar w:fldCharType="separate"/>
    </w:r>
    <w:r w:rsidR="00FB2BB4">
      <w:rPr>
        <w:noProof/>
      </w:rPr>
      <w:t>November 2014</w:t>
    </w:r>
    <w:r w:rsidR="00FB2BB4">
      <w:rPr>
        <w:noProof/>
      </w:rPr>
      <w:fldChar w:fldCharType="end"/>
    </w:r>
    <w:r>
      <w:rPr>
        <w:noProof/>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6DE1A" w14:textId="77777777" w:rsidR="00A20FBF" w:rsidRDefault="00A20FBF" w:rsidP="001B6911">
    <w:pPr>
      <w:spacing w:before="0"/>
      <w:jc w:val="center"/>
      <w:rPr>
        <w:rFonts w:ascii="Times New Roman" w:eastAsia="Times New Roman" w:hAnsi="Times New Roman" w:cs="Times New Roman"/>
        <w:sz w:val="24"/>
        <w:szCs w:val="20"/>
      </w:rPr>
    </w:pPr>
  </w:p>
  <w:p w14:paraId="2FF6DE1B" w14:textId="77777777" w:rsidR="00A20FBF" w:rsidRPr="001B6911" w:rsidRDefault="00A20FBF" w:rsidP="001B6911">
    <w:pPr>
      <w:spacing w:before="0"/>
      <w:jc w:val="center"/>
      <w:rPr>
        <w:rFonts w:ascii="Times New Roman" w:eastAsia="Times New Roman" w:hAnsi="Times New Roman" w:cs="Times New Roman"/>
        <w:sz w:val="24"/>
        <w:szCs w:val="20"/>
      </w:rPr>
    </w:pPr>
  </w:p>
  <w:p w14:paraId="2FF6DE1C" w14:textId="77777777" w:rsidR="00A20FBF" w:rsidRDefault="00A20FBF" w:rsidP="008E0426">
    <w:pPr>
      <w:pStyle w:val="Header"/>
      <w:jc w:val="center"/>
    </w:pPr>
    <w:r>
      <w:rPr>
        <w:rFonts w:ascii="Arial" w:hAnsi="Arial"/>
        <w:noProof/>
        <w:sz w:val="18"/>
        <w:lang w:eastAsia="en-AU"/>
      </w:rPr>
      <w:drawing>
        <wp:inline distT="0" distB="0" distL="0" distR="0" wp14:anchorId="2FF6DE22" wp14:editId="2FF6DE23">
          <wp:extent cx="1990725" cy="1038225"/>
          <wp:effectExtent l="0" t="0" r="0" b="0"/>
          <wp:docPr id="2" name="Picture 2" descr="C:\Users\Public\Pictures\Sample Pictures\Cent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Centr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BD603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1CD29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D8ABB42"/>
    <w:lvl w:ilvl="0">
      <w:start w:val="1"/>
      <w:numFmt w:val="decimal"/>
      <w:pStyle w:val="ListNumber3"/>
      <w:lvlText w:val="%1."/>
      <w:lvlJc w:val="left"/>
      <w:pPr>
        <w:tabs>
          <w:tab w:val="num" w:pos="926"/>
        </w:tabs>
        <w:ind w:left="926" w:hanging="360"/>
      </w:pPr>
    </w:lvl>
  </w:abstractNum>
  <w:abstractNum w:abstractNumId="3">
    <w:nsid w:val="FFFFFF7F"/>
    <w:multiLevelType w:val="singleLevel"/>
    <w:tmpl w:val="93C8FF76"/>
    <w:lvl w:ilvl="0">
      <w:start w:val="1"/>
      <w:numFmt w:val="decimal"/>
      <w:pStyle w:val="ListNumber2"/>
      <w:lvlText w:val="%1."/>
      <w:lvlJc w:val="left"/>
      <w:pPr>
        <w:tabs>
          <w:tab w:val="num" w:pos="643"/>
        </w:tabs>
        <w:ind w:left="643" w:hanging="360"/>
      </w:pPr>
    </w:lvl>
  </w:abstractNum>
  <w:abstractNum w:abstractNumId="4">
    <w:nsid w:val="FFFFFF80"/>
    <w:multiLevelType w:val="singleLevel"/>
    <w:tmpl w:val="48C04A3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07ED70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DFAF3E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0F87C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3C4B8A8"/>
    <w:lvl w:ilvl="0">
      <w:start w:val="1"/>
      <w:numFmt w:val="decimal"/>
      <w:pStyle w:val="ListNumber"/>
      <w:lvlText w:val="%1."/>
      <w:lvlJc w:val="left"/>
      <w:pPr>
        <w:tabs>
          <w:tab w:val="num" w:pos="360"/>
        </w:tabs>
        <w:ind w:left="360" w:hanging="360"/>
      </w:pPr>
    </w:lvl>
  </w:abstractNum>
  <w:abstractNum w:abstractNumId="9">
    <w:nsid w:val="FFFFFF89"/>
    <w:multiLevelType w:val="singleLevel"/>
    <w:tmpl w:val="937A17B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A6A4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32B7997"/>
    <w:multiLevelType w:val="hybridMultilevel"/>
    <w:tmpl w:val="318053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AFC6064"/>
    <w:multiLevelType w:val="hybridMultilevel"/>
    <w:tmpl w:val="4BC2B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B850330"/>
    <w:multiLevelType w:val="multilevel"/>
    <w:tmpl w:val="AED6BE6E"/>
    <w:lvl w:ilvl="0">
      <w:start w:val="1"/>
      <w:numFmt w:val="decimal"/>
      <w:pStyle w:val="Instructionaltext-Numberedlist"/>
      <w:lvlText w:val="%1."/>
      <w:lvlJc w:val="left"/>
      <w:pPr>
        <w:tabs>
          <w:tab w:val="num" w:pos="340"/>
        </w:tabs>
        <w:ind w:left="340" w:hanging="340"/>
      </w:pPr>
      <w:rPr>
        <w:rFonts w:hint="default"/>
        <w:b w:val="0"/>
        <w:i/>
        <w:sz w:val="22"/>
      </w:rPr>
    </w:lvl>
    <w:lvl w:ilvl="1">
      <w:start w:val="1"/>
      <w:numFmt w:val="lowerLetter"/>
      <w:lvlText w:val="%2."/>
      <w:lvlJc w:val="left"/>
      <w:pPr>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585232D"/>
    <w:multiLevelType w:val="hybridMultilevel"/>
    <w:tmpl w:val="71043568"/>
    <w:lvl w:ilvl="0" w:tplc="8B24810E">
      <w:start w:val="1"/>
      <w:numFmt w:val="lowerLetter"/>
      <w:pStyle w:val="Boxlist-Alpha"/>
      <w:lvlText w:val="%1."/>
      <w:lvlJc w:val="left"/>
      <w:pPr>
        <w:ind w:left="558" w:hanging="360"/>
      </w:pPr>
      <w:rPr>
        <w:rFonts w:hint="default"/>
        <w:b/>
        <w:i w:val="0"/>
        <w:color w:val="00728F"/>
        <w:sz w:val="22"/>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15">
    <w:nsid w:val="2BD67DA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nsid w:val="30887C6A"/>
    <w:multiLevelType w:val="hybridMultilevel"/>
    <w:tmpl w:val="A3AC7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11F2E50"/>
    <w:multiLevelType w:val="hybridMultilevel"/>
    <w:tmpl w:val="C01A3952"/>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1833B16"/>
    <w:multiLevelType w:val="hybridMultilevel"/>
    <w:tmpl w:val="628057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59C5D04"/>
    <w:multiLevelType w:val="hybridMultilevel"/>
    <w:tmpl w:val="79B20E34"/>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0">
    <w:nsid w:val="39081596"/>
    <w:multiLevelType w:val="hybridMultilevel"/>
    <w:tmpl w:val="C1821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D74E7E"/>
    <w:multiLevelType w:val="hybridMultilevel"/>
    <w:tmpl w:val="EB128FBE"/>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22">
    <w:nsid w:val="3E6606BB"/>
    <w:multiLevelType w:val="multilevel"/>
    <w:tmpl w:val="209A2EFC"/>
    <w:lvl w:ilvl="0">
      <w:start w:val="1"/>
      <w:numFmt w:val="decimal"/>
      <w:pStyle w:val="Bodynumbered-Level1"/>
      <w:lvlText w:val="%1."/>
      <w:lvlJc w:val="left"/>
      <w:pPr>
        <w:ind w:left="340" w:hanging="340"/>
      </w:pPr>
      <w:rPr>
        <w:rFonts w:hint="default"/>
        <w:b/>
        <w:i w:val="0"/>
        <w:color w:val="00728F"/>
        <w:sz w:val="22"/>
      </w:rPr>
    </w:lvl>
    <w:lvl w:ilvl="1">
      <w:start w:val="1"/>
      <w:numFmt w:val="lowerLetter"/>
      <w:pStyle w:val="Bodynumbered-Level2"/>
      <w:lvlText w:val="%2."/>
      <w:lvlJc w:val="left"/>
      <w:pPr>
        <w:ind w:left="680" w:hanging="340"/>
      </w:pPr>
      <w:rPr>
        <w:rFonts w:hint="default"/>
        <w:b/>
        <w:i w:val="0"/>
        <w:color w:val="00728F"/>
        <w:sz w:val="22"/>
      </w:rPr>
    </w:lvl>
    <w:lvl w:ilvl="2">
      <w:start w:val="1"/>
      <w:numFmt w:val="lowerRoman"/>
      <w:pStyle w:val="Bodynumbered-Level3"/>
      <w:lvlText w:val="%3"/>
      <w:lvlJc w:val="left"/>
      <w:pPr>
        <w:ind w:left="1021" w:hanging="341"/>
      </w:pPr>
      <w:rPr>
        <w:rFonts w:hint="default"/>
        <w:b/>
        <w:i w:val="0"/>
        <w:color w:val="00728F"/>
        <w:sz w:val="22"/>
      </w:rPr>
    </w:lvl>
    <w:lvl w:ilvl="3">
      <w:start w:val="1"/>
      <w:numFmt w:val="none"/>
      <w:lvlText w:val=""/>
      <w:lvlJc w:val="left"/>
      <w:pPr>
        <w:ind w:left="1021" w:firstLine="0"/>
      </w:pPr>
      <w:rPr>
        <w:rFonts w:hint="default"/>
      </w:rPr>
    </w:lvl>
    <w:lvl w:ilvl="4">
      <w:start w:val="1"/>
      <w:numFmt w:val="none"/>
      <w:lvlText w:val=""/>
      <w:lvlJc w:val="left"/>
      <w:pPr>
        <w:ind w:left="1021" w:firstLine="0"/>
      </w:pPr>
      <w:rPr>
        <w:rFonts w:hint="default"/>
      </w:rPr>
    </w:lvl>
    <w:lvl w:ilvl="5">
      <w:start w:val="1"/>
      <w:numFmt w:val="none"/>
      <w:lvlText w:val=""/>
      <w:lvlJc w:val="left"/>
      <w:pPr>
        <w:ind w:left="1021" w:firstLine="0"/>
      </w:pPr>
      <w:rPr>
        <w:rFonts w:hint="default"/>
      </w:rPr>
    </w:lvl>
    <w:lvl w:ilvl="6">
      <w:start w:val="1"/>
      <w:numFmt w:val="none"/>
      <w:lvlText w:val=""/>
      <w:lvlJc w:val="left"/>
      <w:pPr>
        <w:ind w:left="1021" w:firstLine="0"/>
      </w:pPr>
      <w:rPr>
        <w:rFonts w:hint="default"/>
      </w:rPr>
    </w:lvl>
    <w:lvl w:ilvl="7">
      <w:start w:val="1"/>
      <w:numFmt w:val="none"/>
      <w:lvlText w:val="%8"/>
      <w:lvlJc w:val="left"/>
      <w:pPr>
        <w:ind w:left="1021" w:firstLine="0"/>
      </w:pPr>
      <w:rPr>
        <w:rFonts w:hint="default"/>
      </w:rPr>
    </w:lvl>
    <w:lvl w:ilvl="8">
      <w:start w:val="1"/>
      <w:numFmt w:val="none"/>
      <w:lvlText w:val="%9"/>
      <w:lvlJc w:val="left"/>
      <w:pPr>
        <w:ind w:left="1021" w:firstLine="0"/>
      </w:pPr>
      <w:rPr>
        <w:rFonts w:hint="default"/>
      </w:rPr>
    </w:lvl>
  </w:abstractNum>
  <w:abstractNum w:abstractNumId="23">
    <w:nsid w:val="41C60516"/>
    <w:multiLevelType w:val="hybridMultilevel"/>
    <w:tmpl w:val="AC303F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BF77995"/>
    <w:multiLevelType w:val="multilevel"/>
    <w:tmpl w:val="A7C81342"/>
    <w:lvl w:ilvl="0">
      <w:start w:val="1"/>
      <w:numFmt w:val="bullet"/>
      <w:pStyle w:val="Bodybullet-Level1"/>
      <w:lvlText w:val=""/>
      <w:lvlJc w:val="left"/>
      <w:pPr>
        <w:ind w:left="340" w:hanging="340"/>
      </w:pPr>
      <w:rPr>
        <w:rFonts w:ascii="Symbol" w:hAnsi="Symbol" w:hint="default"/>
        <w:color w:val="00728F"/>
        <w:sz w:val="18"/>
      </w:rPr>
    </w:lvl>
    <w:lvl w:ilvl="1">
      <w:start w:val="1"/>
      <w:numFmt w:val="bullet"/>
      <w:pStyle w:val="Bodybullet-Level2"/>
      <w:lvlText w:val="­"/>
      <w:lvlJc w:val="left"/>
      <w:pPr>
        <w:ind w:left="680" w:hanging="340"/>
      </w:pPr>
      <w:rPr>
        <w:rFonts w:ascii="Courier New" w:hAnsi="Courier New" w:hint="default"/>
        <w:color w:val="00728F"/>
        <w:sz w:val="18"/>
      </w:rPr>
    </w:lvl>
    <w:lvl w:ilvl="2">
      <w:start w:val="1"/>
      <w:numFmt w:val="bullet"/>
      <w:pStyle w:val="Bodybullet-Level3"/>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25">
    <w:nsid w:val="4C035EEC"/>
    <w:multiLevelType w:val="hybridMultilevel"/>
    <w:tmpl w:val="A11076F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5B3D7D44"/>
    <w:multiLevelType w:val="hybridMultilevel"/>
    <w:tmpl w:val="F3DA9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E4424CC"/>
    <w:multiLevelType w:val="hybridMultilevel"/>
    <w:tmpl w:val="B5BCA5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07F2722"/>
    <w:multiLevelType w:val="hybridMultilevel"/>
    <w:tmpl w:val="1B4EE59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0E15E51"/>
    <w:multiLevelType w:val="multilevel"/>
    <w:tmpl w:val="AD7E390E"/>
    <w:lvl w:ilvl="0">
      <w:start w:val="1"/>
      <w:numFmt w:val="bullet"/>
      <w:pStyle w:val="Tablebullet-Level1"/>
      <w:lvlText w:val=""/>
      <w:lvlJc w:val="left"/>
      <w:pPr>
        <w:ind w:left="340" w:hanging="340"/>
      </w:pPr>
      <w:rPr>
        <w:rFonts w:ascii="Symbol" w:hAnsi="Symbol" w:hint="default"/>
        <w:color w:val="00728F"/>
        <w:sz w:val="18"/>
      </w:rPr>
    </w:lvl>
    <w:lvl w:ilvl="1">
      <w:start w:val="1"/>
      <w:numFmt w:val="bullet"/>
      <w:pStyle w:val="Tablebullet-Level2"/>
      <w:lvlText w:val="­"/>
      <w:lvlJc w:val="left"/>
      <w:pPr>
        <w:ind w:left="680" w:hanging="340"/>
      </w:pPr>
      <w:rPr>
        <w:rFonts w:ascii="Courier New" w:hAnsi="Courier New" w:hint="default"/>
        <w:color w:val="00728F"/>
        <w:sz w:val="18"/>
      </w:rPr>
    </w:lvl>
    <w:lvl w:ilvl="2">
      <w:start w:val="1"/>
      <w:numFmt w:val="bullet"/>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30">
    <w:nsid w:val="645737D4"/>
    <w:multiLevelType w:val="hybridMultilevel"/>
    <w:tmpl w:val="F162D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54D0035"/>
    <w:multiLevelType w:val="hybridMultilevel"/>
    <w:tmpl w:val="53F2E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87A596A"/>
    <w:multiLevelType w:val="hybridMultilevel"/>
    <w:tmpl w:val="A86243C0"/>
    <w:lvl w:ilvl="0" w:tplc="8B5476C4">
      <w:start w:val="1"/>
      <w:numFmt w:val="decimal"/>
      <w:pStyle w:val="Boxlist-Numbered"/>
      <w:lvlText w:val="%1."/>
      <w:lvlJc w:val="left"/>
      <w:pPr>
        <w:ind w:left="558" w:hanging="360"/>
      </w:pPr>
      <w:rPr>
        <w:rFonts w:hint="default"/>
        <w:b/>
        <w:i w:val="0"/>
        <w:color w:val="00728F"/>
        <w:sz w:val="20"/>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33">
    <w:nsid w:val="6E1F7CC9"/>
    <w:multiLevelType w:val="hybridMultilevel"/>
    <w:tmpl w:val="1206F69E"/>
    <w:lvl w:ilvl="0" w:tplc="EE109B52">
      <w:start w:val="1"/>
      <w:numFmt w:val="decimal"/>
      <w:pStyle w:val="Tablelist-Numbered"/>
      <w:lvlText w:val="%1."/>
      <w:lvlJc w:val="left"/>
      <w:pPr>
        <w:ind w:left="394" w:hanging="360"/>
      </w:pPr>
      <w:rPr>
        <w:rFonts w:hint="default"/>
        <w:b/>
        <w:i w:val="0"/>
        <w:color w:val="00728F"/>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E615F1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E9103A6"/>
    <w:multiLevelType w:val="hybridMultilevel"/>
    <w:tmpl w:val="688EA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44E22C0"/>
    <w:multiLevelType w:val="hybridMultilevel"/>
    <w:tmpl w:val="EBE202A8"/>
    <w:lvl w:ilvl="0" w:tplc="275EC662">
      <w:start w:val="1"/>
      <w:numFmt w:val="bullet"/>
      <w:pStyle w:val="Boxbullet"/>
      <w:lvlText w:val=""/>
      <w:lvlJc w:val="left"/>
      <w:pPr>
        <w:ind w:left="720" w:hanging="360"/>
      </w:pPr>
      <w:rPr>
        <w:rFonts w:ascii="Symbol" w:hAnsi="Symbol" w:hint="default"/>
        <w:color w:val="00728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4687D92"/>
    <w:multiLevelType w:val="hybridMultilevel"/>
    <w:tmpl w:val="4E76698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38">
    <w:nsid w:val="75050778"/>
    <w:multiLevelType w:val="multilevel"/>
    <w:tmpl w:val="DAB27858"/>
    <w:lvl w:ilvl="0">
      <w:start w:val="1"/>
      <w:numFmt w:val="upperLetter"/>
      <w:pStyle w:val="Endmatter-Heading1"/>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nsid w:val="78F365BC"/>
    <w:multiLevelType w:val="hybridMultilevel"/>
    <w:tmpl w:val="C980D9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7A5023E9"/>
    <w:multiLevelType w:val="hybridMultilevel"/>
    <w:tmpl w:val="68DC5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7E8172D4"/>
    <w:multiLevelType w:val="multilevel"/>
    <w:tmpl w:val="121866B2"/>
    <w:lvl w:ilvl="0">
      <w:start w:val="1"/>
      <w:numFmt w:val="decimal"/>
      <w:pStyle w:val="BulletList1"/>
      <w:lvlText w:val=""/>
      <w:lvlJc w:val="left"/>
      <w:pPr>
        <w:tabs>
          <w:tab w:val="num" w:pos="684"/>
        </w:tabs>
        <w:ind w:left="684" w:hanging="400"/>
      </w:pPr>
      <w:rPr>
        <w:rFonts w:ascii="Symbol" w:hAnsi="Symbol" w:cs="Times New Roman" w:hint="default"/>
        <w:color w:val="4F2683"/>
      </w:rPr>
    </w:lvl>
    <w:lvl w:ilvl="1">
      <w:start w:val="1"/>
      <w:numFmt w:val="lowerLetter"/>
      <w:pStyle w:val="BulletList2"/>
      <w:lvlText w:val="–"/>
      <w:lvlJc w:val="left"/>
      <w:pPr>
        <w:tabs>
          <w:tab w:val="num" w:pos="1084"/>
        </w:tabs>
        <w:ind w:left="1084" w:hanging="400"/>
      </w:pPr>
      <w:rPr>
        <w:rFonts w:ascii="Arial" w:hAnsi="Arial" w:cs="Arial"/>
        <w:color w:val="4F2683"/>
      </w:rPr>
    </w:lvl>
    <w:lvl w:ilvl="2">
      <w:start w:val="1"/>
      <w:numFmt w:val="lowerRoman"/>
      <w:pStyle w:val="BulletList3"/>
      <w:lvlText w:val="–"/>
      <w:lvlJc w:val="left"/>
      <w:pPr>
        <w:tabs>
          <w:tab w:val="num" w:pos="1484"/>
        </w:tabs>
        <w:ind w:left="1484" w:hanging="400"/>
      </w:pPr>
      <w:rPr>
        <w:rFonts w:ascii="Arial" w:hAnsi="Arial" w:cs="Arial"/>
        <w:color w:val="4F2683"/>
      </w:rPr>
    </w:lvl>
    <w:lvl w:ilvl="3">
      <w:start w:val="1"/>
      <w:numFmt w:val="decimal"/>
      <w:pStyle w:val="BulletList4"/>
      <w:lvlText w:val="·"/>
      <w:lvlJc w:val="left"/>
      <w:pPr>
        <w:tabs>
          <w:tab w:val="num" w:pos="1644"/>
        </w:tabs>
        <w:ind w:left="1644" w:hanging="340"/>
      </w:pPr>
      <w:rPr>
        <w:rFonts w:ascii="Symbol" w:hAnsi="Symbol" w:cs="Times New Roman" w:hint="default"/>
      </w:rPr>
    </w:lvl>
    <w:lvl w:ilvl="4">
      <w:start w:val="1"/>
      <w:numFmt w:val="lowerLetter"/>
      <w:pStyle w:val="BulletList5"/>
      <w:lvlText w:val="·"/>
      <w:lvlJc w:val="left"/>
      <w:pPr>
        <w:tabs>
          <w:tab w:val="num" w:pos="1984"/>
        </w:tabs>
        <w:ind w:left="1984" w:hanging="340"/>
      </w:pPr>
      <w:rPr>
        <w:rFonts w:ascii="Symbol" w:hAnsi="Symbol" w:cs="Times New Roman" w:hint="default"/>
      </w:rPr>
    </w:lvl>
    <w:lvl w:ilvl="5">
      <w:start w:val="1"/>
      <w:numFmt w:val="lowerRoman"/>
      <w:pStyle w:val="BulletList6"/>
      <w:lvlText w:val="·"/>
      <w:lvlJc w:val="left"/>
      <w:pPr>
        <w:tabs>
          <w:tab w:val="num" w:pos="2324"/>
        </w:tabs>
        <w:ind w:left="2324" w:hanging="340"/>
      </w:pPr>
      <w:rPr>
        <w:rFonts w:ascii="Symbol" w:hAnsi="Symbol" w:cs="Times New Roman" w:hint="default"/>
      </w:rPr>
    </w:lvl>
    <w:lvl w:ilvl="6">
      <w:start w:val="1"/>
      <w:numFmt w:val="decimal"/>
      <w:pStyle w:val="BulletList7"/>
      <w:lvlText w:val="·"/>
      <w:lvlJc w:val="left"/>
      <w:pPr>
        <w:tabs>
          <w:tab w:val="num" w:pos="2664"/>
        </w:tabs>
        <w:ind w:left="2664" w:hanging="340"/>
      </w:pPr>
      <w:rPr>
        <w:rFonts w:ascii="Symbol" w:hAnsi="Symbol" w:cs="Times New Roman" w:hint="default"/>
      </w:rPr>
    </w:lvl>
    <w:lvl w:ilvl="7">
      <w:start w:val="1"/>
      <w:numFmt w:val="lowerLetter"/>
      <w:pStyle w:val="BulletList8"/>
      <w:lvlText w:val="·"/>
      <w:lvlJc w:val="left"/>
      <w:pPr>
        <w:tabs>
          <w:tab w:val="num" w:pos="3004"/>
        </w:tabs>
        <w:ind w:left="3004" w:hanging="340"/>
      </w:pPr>
      <w:rPr>
        <w:rFonts w:ascii="Symbol" w:hAnsi="Symbol" w:cs="Times New Roman" w:hint="default"/>
      </w:rPr>
    </w:lvl>
    <w:lvl w:ilvl="8">
      <w:start w:val="1"/>
      <w:numFmt w:val="lowerRoman"/>
      <w:pStyle w:val="BulletList9"/>
      <w:lvlText w:val="·"/>
      <w:lvlJc w:val="left"/>
      <w:pPr>
        <w:tabs>
          <w:tab w:val="num" w:pos="3344"/>
        </w:tabs>
        <w:ind w:left="3344" w:hanging="34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9"/>
  </w:num>
  <w:num w:numId="13">
    <w:abstractNumId w:val="22"/>
  </w:num>
  <w:num w:numId="14">
    <w:abstractNumId w:val="36"/>
  </w:num>
  <w:num w:numId="15">
    <w:abstractNumId w:val="32"/>
  </w:num>
  <w:num w:numId="16">
    <w:abstractNumId w:val="14"/>
  </w:num>
  <w:num w:numId="17">
    <w:abstractNumId w:val="33"/>
  </w:num>
  <w:num w:numId="18">
    <w:abstractNumId w:val="34"/>
  </w:num>
  <w:num w:numId="19">
    <w:abstractNumId w:val="10"/>
  </w:num>
  <w:num w:numId="20">
    <w:abstractNumId w:val="1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41"/>
  </w:num>
  <w:num w:numId="24">
    <w:abstractNumId w:val="35"/>
  </w:num>
  <w:num w:numId="25">
    <w:abstractNumId w:val="40"/>
  </w:num>
  <w:num w:numId="26">
    <w:abstractNumId w:val="26"/>
  </w:num>
  <w:num w:numId="27">
    <w:abstractNumId w:val="25"/>
  </w:num>
  <w:num w:numId="28">
    <w:abstractNumId w:val="23"/>
  </w:num>
  <w:num w:numId="29">
    <w:abstractNumId w:val="27"/>
  </w:num>
  <w:num w:numId="30">
    <w:abstractNumId w:val="11"/>
  </w:num>
  <w:num w:numId="31">
    <w:abstractNumId w:val="18"/>
  </w:num>
  <w:num w:numId="32">
    <w:abstractNumId w:val="30"/>
  </w:num>
  <w:num w:numId="33">
    <w:abstractNumId w:val="21"/>
  </w:num>
  <w:num w:numId="34">
    <w:abstractNumId w:val="37"/>
  </w:num>
  <w:num w:numId="35">
    <w:abstractNumId w:val="19"/>
  </w:num>
  <w:num w:numId="36">
    <w:abstractNumId w:val="39"/>
  </w:num>
  <w:num w:numId="37">
    <w:abstractNumId w:val="31"/>
  </w:num>
  <w:num w:numId="38">
    <w:abstractNumId w:val="12"/>
  </w:num>
  <w:num w:numId="39">
    <w:abstractNumId w:val="16"/>
  </w:num>
  <w:num w:numId="40">
    <w:abstractNumId w:val="20"/>
  </w:num>
  <w:num w:numId="41">
    <w:abstractNumId w:val="17"/>
  </w:num>
  <w:num w:numId="42">
    <w:abstractNumId w:val="28"/>
  </w:num>
  <w:num w:numId="43">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revisionView w:inkAnnotations="0"/>
  <w:defaultTabStop w:val="720"/>
  <w:clickAndTypeStyle w:val="BodyText"/>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61"/>
    <w:rsid w:val="000008CC"/>
    <w:rsid w:val="00000E44"/>
    <w:rsid w:val="0000106E"/>
    <w:rsid w:val="00001236"/>
    <w:rsid w:val="0000179F"/>
    <w:rsid w:val="000017CD"/>
    <w:rsid w:val="00002089"/>
    <w:rsid w:val="000032D6"/>
    <w:rsid w:val="00003670"/>
    <w:rsid w:val="00006970"/>
    <w:rsid w:val="00006E19"/>
    <w:rsid w:val="00006F87"/>
    <w:rsid w:val="0000704D"/>
    <w:rsid w:val="00010547"/>
    <w:rsid w:val="00010A28"/>
    <w:rsid w:val="0001191A"/>
    <w:rsid w:val="00012094"/>
    <w:rsid w:val="00012BF8"/>
    <w:rsid w:val="000131B2"/>
    <w:rsid w:val="000159C9"/>
    <w:rsid w:val="000164FF"/>
    <w:rsid w:val="00017E32"/>
    <w:rsid w:val="000223A5"/>
    <w:rsid w:val="00022726"/>
    <w:rsid w:val="00023528"/>
    <w:rsid w:val="00023A8C"/>
    <w:rsid w:val="00024F6D"/>
    <w:rsid w:val="0002587A"/>
    <w:rsid w:val="00026060"/>
    <w:rsid w:val="00026E0D"/>
    <w:rsid w:val="00030876"/>
    <w:rsid w:val="00031A40"/>
    <w:rsid w:val="00032409"/>
    <w:rsid w:val="000324EE"/>
    <w:rsid w:val="0003333A"/>
    <w:rsid w:val="00037AD6"/>
    <w:rsid w:val="000400C3"/>
    <w:rsid w:val="000412CD"/>
    <w:rsid w:val="00042873"/>
    <w:rsid w:val="00042D26"/>
    <w:rsid w:val="0004408C"/>
    <w:rsid w:val="0004449A"/>
    <w:rsid w:val="00050750"/>
    <w:rsid w:val="0005092C"/>
    <w:rsid w:val="00050989"/>
    <w:rsid w:val="00050E95"/>
    <w:rsid w:val="000510AC"/>
    <w:rsid w:val="00052217"/>
    <w:rsid w:val="00052C0C"/>
    <w:rsid w:val="0005435F"/>
    <w:rsid w:val="00054B23"/>
    <w:rsid w:val="00054EF5"/>
    <w:rsid w:val="00055535"/>
    <w:rsid w:val="00056F81"/>
    <w:rsid w:val="0005748F"/>
    <w:rsid w:val="00060931"/>
    <w:rsid w:val="00060C5D"/>
    <w:rsid w:val="00060CAB"/>
    <w:rsid w:val="00060DED"/>
    <w:rsid w:val="0006249D"/>
    <w:rsid w:val="00062980"/>
    <w:rsid w:val="00064734"/>
    <w:rsid w:val="0006653C"/>
    <w:rsid w:val="00066BB9"/>
    <w:rsid w:val="00067EEA"/>
    <w:rsid w:val="00070D7F"/>
    <w:rsid w:val="000720AB"/>
    <w:rsid w:val="0007225F"/>
    <w:rsid w:val="00072C1A"/>
    <w:rsid w:val="00073446"/>
    <w:rsid w:val="00074541"/>
    <w:rsid w:val="00074CF0"/>
    <w:rsid w:val="00074DA9"/>
    <w:rsid w:val="00074DCD"/>
    <w:rsid w:val="00074FD8"/>
    <w:rsid w:val="00075002"/>
    <w:rsid w:val="000756C3"/>
    <w:rsid w:val="0007595E"/>
    <w:rsid w:val="00076380"/>
    <w:rsid w:val="00076603"/>
    <w:rsid w:val="0008001E"/>
    <w:rsid w:val="00080784"/>
    <w:rsid w:val="0008111D"/>
    <w:rsid w:val="000813D2"/>
    <w:rsid w:val="00081606"/>
    <w:rsid w:val="00081631"/>
    <w:rsid w:val="000837D7"/>
    <w:rsid w:val="0008476A"/>
    <w:rsid w:val="0008502C"/>
    <w:rsid w:val="000855F7"/>
    <w:rsid w:val="000857D0"/>
    <w:rsid w:val="000858A2"/>
    <w:rsid w:val="00087E23"/>
    <w:rsid w:val="00091098"/>
    <w:rsid w:val="000922CD"/>
    <w:rsid w:val="00092944"/>
    <w:rsid w:val="00092C3C"/>
    <w:rsid w:val="00094C40"/>
    <w:rsid w:val="000959C7"/>
    <w:rsid w:val="000963A9"/>
    <w:rsid w:val="0009684F"/>
    <w:rsid w:val="000974B6"/>
    <w:rsid w:val="000A00CE"/>
    <w:rsid w:val="000A12BB"/>
    <w:rsid w:val="000A2CCA"/>
    <w:rsid w:val="000A3632"/>
    <w:rsid w:val="000A36C3"/>
    <w:rsid w:val="000A4038"/>
    <w:rsid w:val="000A4198"/>
    <w:rsid w:val="000A5A32"/>
    <w:rsid w:val="000A5E06"/>
    <w:rsid w:val="000A65A4"/>
    <w:rsid w:val="000A752C"/>
    <w:rsid w:val="000A7FA6"/>
    <w:rsid w:val="000B002E"/>
    <w:rsid w:val="000B151A"/>
    <w:rsid w:val="000B33DF"/>
    <w:rsid w:val="000B5463"/>
    <w:rsid w:val="000B62DF"/>
    <w:rsid w:val="000B653E"/>
    <w:rsid w:val="000B6D53"/>
    <w:rsid w:val="000B7D00"/>
    <w:rsid w:val="000C0060"/>
    <w:rsid w:val="000C1F28"/>
    <w:rsid w:val="000C2441"/>
    <w:rsid w:val="000C26D2"/>
    <w:rsid w:val="000C29F5"/>
    <w:rsid w:val="000C3BB3"/>
    <w:rsid w:val="000C4F3F"/>
    <w:rsid w:val="000C562C"/>
    <w:rsid w:val="000C6BE4"/>
    <w:rsid w:val="000C6EA5"/>
    <w:rsid w:val="000D0055"/>
    <w:rsid w:val="000D0D3B"/>
    <w:rsid w:val="000D1670"/>
    <w:rsid w:val="000D1844"/>
    <w:rsid w:val="000D1A93"/>
    <w:rsid w:val="000D3DFF"/>
    <w:rsid w:val="000D4C2E"/>
    <w:rsid w:val="000D5BB8"/>
    <w:rsid w:val="000D5D92"/>
    <w:rsid w:val="000D5E3B"/>
    <w:rsid w:val="000E03CD"/>
    <w:rsid w:val="000E15D0"/>
    <w:rsid w:val="000E2124"/>
    <w:rsid w:val="000E30FC"/>
    <w:rsid w:val="000E33DB"/>
    <w:rsid w:val="000E378A"/>
    <w:rsid w:val="000E4A7A"/>
    <w:rsid w:val="000E5973"/>
    <w:rsid w:val="000E598D"/>
    <w:rsid w:val="000F0A6C"/>
    <w:rsid w:val="000F2204"/>
    <w:rsid w:val="000F2E50"/>
    <w:rsid w:val="000F4014"/>
    <w:rsid w:val="000F429A"/>
    <w:rsid w:val="000F43F5"/>
    <w:rsid w:val="000F46E9"/>
    <w:rsid w:val="000F6403"/>
    <w:rsid w:val="000F6A07"/>
    <w:rsid w:val="000F6DE5"/>
    <w:rsid w:val="000F7009"/>
    <w:rsid w:val="0010168C"/>
    <w:rsid w:val="00102808"/>
    <w:rsid w:val="00103441"/>
    <w:rsid w:val="0010379E"/>
    <w:rsid w:val="001059EB"/>
    <w:rsid w:val="00107198"/>
    <w:rsid w:val="001103DB"/>
    <w:rsid w:val="00110510"/>
    <w:rsid w:val="00110E99"/>
    <w:rsid w:val="00114A38"/>
    <w:rsid w:val="001158A3"/>
    <w:rsid w:val="00116AA0"/>
    <w:rsid w:val="00116F10"/>
    <w:rsid w:val="0011795B"/>
    <w:rsid w:val="00121FC2"/>
    <w:rsid w:val="0012378F"/>
    <w:rsid w:val="001240ED"/>
    <w:rsid w:val="00125A47"/>
    <w:rsid w:val="001268CC"/>
    <w:rsid w:val="00127713"/>
    <w:rsid w:val="001313C5"/>
    <w:rsid w:val="0013201B"/>
    <w:rsid w:val="0013264A"/>
    <w:rsid w:val="00133178"/>
    <w:rsid w:val="00133D14"/>
    <w:rsid w:val="00133F49"/>
    <w:rsid w:val="00135456"/>
    <w:rsid w:val="00136C8B"/>
    <w:rsid w:val="001373C7"/>
    <w:rsid w:val="001379ED"/>
    <w:rsid w:val="00137ADC"/>
    <w:rsid w:val="0014194F"/>
    <w:rsid w:val="00142503"/>
    <w:rsid w:val="0014257C"/>
    <w:rsid w:val="00143305"/>
    <w:rsid w:val="001435DB"/>
    <w:rsid w:val="00144299"/>
    <w:rsid w:val="00144809"/>
    <w:rsid w:val="00144838"/>
    <w:rsid w:val="00144D25"/>
    <w:rsid w:val="00145933"/>
    <w:rsid w:val="001471F5"/>
    <w:rsid w:val="0015033C"/>
    <w:rsid w:val="00152846"/>
    <w:rsid w:val="0015352E"/>
    <w:rsid w:val="00153DD5"/>
    <w:rsid w:val="0015505A"/>
    <w:rsid w:val="001569DF"/>
    <w:rsid w:val="00160202"/>
    <w:rsid w:val="00160EB0"/>
    <w:rsid w:val="00161D9F"/>
    <w:rsid w:val="001634AC"/>
    <w:rsid w:val="00163712"/>
    <w:rsid w:val="001637A6"/>
    <w:rsid w:val="001660A0"/>
    <w:rsid w:val="0016624A"/>
    <w:rsid w:val="0016714A"/>
    <w:rsid w:val="0017028F"/>
    <w:rsid w:val="00170974"/>
    <w:rsid w:val="001717E6"/>
    <w:rsid w:val="00171FF7"/>
    <w:rsid w:val="00172565"/>
    <w:rsid w:val="00172857"/>
    <w:rsid w:val="001733DE"/>
    <w:rsid w:val="00174A12"/>
    <w:rsid w:val="0017517F"/>
    <w:rsid w:val="00177345"/>
    <w:rsid w:val="00181097"/>
    <w:rsid w:val="00181709"/>
    <w:rsid w:val="00183651"/>
    <w:rsid w:val="001852DC"/>
    <w:rsid w:val="00185B74"/>
    <w:rsid w:val="00185BF3"/>
    <w:rsid w:val="00186335"/>
    <w:rsid w:val="001869BE"/>
    <w:rsid w:val="0018761C"/>
    <w:rsid w:val="00191E1C"/>
    <w:rsid w:val="001928F6"/>
    <w:rsid w:val="00192D96"/>
    <w:rsid w:val="00195094"/>
    <w:rsid w:val="0019520F"/>
    <w:rsid w:val="00196328"/>
    <w:rsid w:val="001968BF"/>
    <w:rsid w:val="001A0D6A"/>
    <w:rsid w:val="001A357E"/>
    <w:rsid w:val="001A3739"/>
    <w:rsid w:val="001A5CDF"/>
    <w:rsid w:val="001A608F"/>
    <w:rsid w:val="001A6095"/>
    <w:rsid w:val="001A6448"/>
    <w:rsid w:val="001B260D"/>
    <w:rsid w:val="001B29FF"/>
    <w:rsid w:val="001B54C4"/>
    <w:rsid w:val="001B5858"/>
    <w:rsid w:val="001B6904"/>
    <w:rsid w:val="001B6911"/>
    <w:rsid w:val="001B71B1"/>
    <w:rsid w:val="001C08E2"/>
    <w:rsid w:val="001C43EC"/>
    <w:rsid w:val="001C4DAF"/>
    <w:rsid w:val="001C5D90"/>
    <w:rsid w:val="001C5E81"/>
    <w:rsid w:val="001C7349"/>
    <w:rsid w:val="001D0602"/>
    <w:rsid w:val="001D28B0"/>
    <w:rsid w:val="001D2D07"/>
    <w:rsid w:val="001D7024"/>
    <w:rsid w:val="001D7353"/>
    <w:rsid w:val="001D7699"/>
    <w:rsid w:val="001E0315"/>
    <w:rsid w:val="001E03C9"/>
    <w:rsid w:val="001E0A84"/>
    <w:rsid w:val="001E17B8"/>
    <w:rsid w:val="001E1CB6"/>
    <w:rsid w:val="001E2E05"/>
    <w:rsid w:val="001E361D"/>
    <w:rsid w:val="001F0A77"/>
    <w:rsid w:val="001F0C77"/>
    <w:rsid w:val="001F144A"/>
    <w:rsid w:val="001F14DD"/>
    <w:rsid w:val="001F2653"/>
    <w:rsid w:val="001F2CC3"/>
    <w:rsid w:val="001F30EF"/>
    <w:rsid w:val="001F4346"/>
    <w:rsid w:val="001F44D7"/>
    <w:rsid w:val="001F48CB"/>
    <w:rsid w:val="001F5A2C"/>
    <w:rsid w:val="001F5BAC"/>
    <w:rsid w:val="001F5CA7"/>
    <w:rsid w:val="002000AB"/>
    <w:rsid w:val="00202532"/>
    <w:rsid w:val="002038E3"/>
    <w:rsid w:val="00203D85"/>
    <w:rsid w:val="0020609F"/>
    <w:rsid w:val="00206373"/>
    <w:rsid w:val="00211B11"/>
    <w:rsid w:val="00212896"/>
    <w:rsid w:val="00212D28"/>
    <w:rsid w:val="002137D0"/>
    <w:rsid w:val="00213CD2"/>
    <w:rsid w:val="00215247"/>
    <w:rsid w:val="00215697"/>
    <w:rsid w:val="0021574F"/>
    <w:rsid w:val="00215DB3"/>
    <w:rsid w:val="00217134"/>
    <w:rsid w:val="00217FD8"/>
    <w:rsid w:val="00217FE8"/>
    <w:rsid w:val="0022024B"/>
    <w:rsid w:val="002212B4"/>
    <w:rsid w:val="00221456"/>
    <w:rsid w:val="002222C0"/>
    <w:rsid w:val="00222A06"/>
    <w:rsid w:val="002231DA"/>
    <w:rsid w:val="00224486"/>
    <w:rsid w:val="00224EA3"/>
    <w:rsid w:val="00227647"/>
    <w:rsid w:val="002300C6"/>
    <w:rsid w:val="00230177"/>
    <w:rsid w:val="002304B8"/>
    <w:rsid w:val="002320BF"/>
    <w:rsid w:val="00232452"/>
    <w:rsid w:val="0023275B"/>
    <w:rsid w:val="002331F7"/>
    <w:rsid w:val="00233F72"/>
    <w:rsid w:val="00235B03"/>
    <w:rsid w:val="00235BBB"/>
    <w:rsid w:val="00236409"/>
    <w:rsid w:val="0024133E"/>
    <w:rsid w:val="002440EE"/>
    <w:rsid w:val="002440EF"/>
    <w:rsid w:val="00244B13"/>
    <w:rsid w:val="00244B19"/>
    <w:rsid w:val="0024627A"/>
    <w:rsid w:val="002468C9"/>
    <w:rsid w:val="002469C3"/>
    <w:rsid w:val="00247830"/>
    <w:rsid w:val="00256C31"/>
    <w:rsid w:val="00260E88"/>
    <w:rsid w:val="00261078"/>
    <w:rsid w:val="00264E12"/>
    <w:rsid w:val="002714B8"/>
    <w:rsid w:val="00271EE1"/>
    <w:rsid w:val="00273027"/>
    <w:rsid w:val="00273A97"/>
    <w:rsid w:val="002740DD"/>
    <w:rsid w:val="002752C7"/>
    <w:rsid w:val="00275331"/>
    <w:rsid w:val="0027535D"/>
    <w:rsid w:val="002760DC"/>
    <w:rsid w:val="0027624B"/>
    <w:rsid w:val="002766AA"/>
    <w:rsid w:val="00280C25"/>
    <w:rsid w:val="00280F74"/>
    <w:rsid w:val="002810BE"/>
    <w:rsid w:val="00281192"/>
    <w:rsid w:val="0028139A"/>
    <w:rsid w:val="00281C8C"/>
    <w:rsid w:val="0028442C"/>
    <w:rsid w:val="00284B24"/>
    <w:rsid w:val="00284E15"/>
    <w:rsid w:val="0028527D"/>
    <w:rsid w:val="002852D5"/>
    <w:rsid w:val="00287514"/>
    <w:rsid w:val="002875C1"/>
    <w:rsid w:val="00287A6D"/>
    <w:rsid w:val="00290D1D"/>
    <w:rsid w:val="00290D6A"/>
    <w:rsid w:val="00294230"/>
    <w:rsid w:val="002A1EDF"/>
    <w:rsid w:val="002A24B6"/>
    <w:rsid w:val="002A36F8"/>
    <w:rsid w:val="002A4425"/>
    <w:rsid w:val="002A49B4"/>
    <w:rsid w:val="002A51F3"/>
    <w:rsid w:val="002A52B3"/>
    <w:rsid w:val="002A69C4"/>
    <w:rsid w:val="002B02B0"/>
    <w:rsid w:val="002B1297"/>
    <w:rsid w:val="002B1D37"/>
    <w:rsid w:val="002B25EA"/>
    <w:rsid w:val="002B2E0E"/>
    <w:rsid w:val="002B3949"/>
    <w:rsid w:val="002B4A0B"/>
    <w:rsid w:val="002B654A"/>
    <w:rsid w:val="002B76F4"/>
    <w:rsid w:val="002C246F"/>
    <w:rsid w:val="002C4110"/>
    <w:rsid w:val="002C4C42"/>
    <w:rsid w:val="002C4EF0"/>
    <w:rsid w:val="002C5BF2"/>
    <w:rsid w:val="002C6011"/>
    <w:rsid w:val="002C64F2"/>
    <w:rsid w:val="002D068B"/>
    <w:rsid w:val="002D24E4"/>
    <w:rsid w:val="002D3172"/>
    <w:rsid w:val="002D340F"/>
    <w:rsid w:val="002D348C"/>
    <w:rsid w:val="002D4786"/>
    <w:rsid w:val="002D6113"/>
    <w:rsid w:val="002D7AD5"/>
    <w:rsid w:val="002E04F2"/>
    <w:rsid w:val="002E088C"/>
    <w:rsid w:val="002E0DBC"/>
    <w:rsid w:val="002E0E62"/>
    <w:rsid w:val="002E116D"/>
    <w:rsid w:val="002E149C"/>
    <w:rsid w:val="002E2AD1"/>
    <w:rsid w:val="002E3121"/>
    <w:rsid w:val="002E3181"/>
    <w:rsid w:val="002E4953"/>
    <w:rsid w:val="002E57C3"/>
    <w:rsid w:val="002E5970"/>
    <w:rsid w:val="002E5F6B"/>
    <w:rsid w:val="002E6728"/>
    <w:rsid w:val="002E6ED7"/>
    <w:rsid w:val="002E7BA5"/>
    <w:rsid w:val="002E7C4C"/>
    <w:rsid w:val="002F30D1"/>
    <w:rsid w:val="002F66BD"/>
    <w:rsid w:val="002F7EB8"/>
    <w:rsid w:val="00300078"/>
    <w:rsid w:val="003004BF"/>
    <w:rsid w:val="00301437"/>
    <w:rsid w:val="00301762"/>
    <w:rsid w:val="00302560"/>
    <w:rsid w:val="003030C8"/>
    <w:rsid w:val="00305FAC"/>
    <w:rsid w:val="003077B3"/>
    <w:rsid w:val="0031409C"/>
    <w:rsid w:val="00315083"/>
    <w:rsid w:val="003150A7"/>
    <w:rsid w:val="00315A71"/>
    <w:rsid w:val="00316793"/>
    <w:rsid w:val="003179E4"/>
    <w:rsid w:val="003205DF"/>
    <w:rsid w:val="00321F83"/>
    <w:rsid w:val="00321FF4"/>
    <w:rsid w:val="00322F37"/>
    <w:rsid w:val="003246F5"/>
    <w:rsid w:val="00324FC0"/>
    <w:rsid w:val="003250CB"/>
    <w:rsid w:val="00325BE6"/>
    <w:rsid w:val="003266EE"/>
    <w:rsid w:val="0033225F"/>
    <w:rsid w:val="003328DC"/>
    <w:rsid w:val="00332BBB"/>
    <w:rsid w:val="00332F2D"/>
    <w:rsid w:val="00333235"/>
    <w:rsid w:val="003333AB"/>
    <w:rsid w:val="0033352B"/>
    <w:rsid w:val="003336D5"/>
    <w:rsid w:val="00333FF6"/>
    <w:rsid w:val="00334CCD"/>
    <w:rsid w:val="00336491"/>
    <w:rsid w:val="0033745E"/>
    <w:rsid w:val="00337937"/>
    <w:rsid w:val="003412AE"/>
    <w:rsid w:val="003415DB"/>
    <w:rsid w:val="00341856"/>
    <w:rsid w:val="003429E8"/>
    <w:rsid w:val="00342E05"/>
    <w:rsid w:val="00343B8B"/>
    <w:rsid w:val="00347F53"/>
    <w:rsid w:val="0035010C"/>
    <w:rsid w:val="00350A3E"/>
    <w:rsid w:val="00350F8A"/>
    <w:rsid w:val="00351922"/>
    <w:rsid w:val="003527F2"/>
    <w:rsid w:val="00352D43"/>
    <w:rsid w:val="00354143"/>
    <w:rsid w:val="00355167"/>
    <w:rsid w:val="003576AB"/>
    <w:rsid w:val="00357F91"/>
    <w:rsid w:val="00357FD5"/>
    <w:rsid w:val="003600D8"/>
    <w:rsid w:val="00360D6F"/>
    <w:rsid w:val="00361DEB"/>
    <w:rsid w:val="00365856"/>
    <w:rsid w:val="00365CC2"/>
    <w:rsid w:val="00365D23"/>
    <w:rsid w:val="0036602A"/>
    <w:rsid w:val="00366961"/>
    <w:rsid w:val="0036795A"/>
    <w:rsid w:val="00371118"/>
    <w:rsid w:val="00371507"/>
    <w:rsid w:val="00371993"/>
    <w:rsid w:val="003729BB"/>
    <w:rsid w:val="003732D6"/>
    <w:rsid w:val="00374BEE"/>
    <w:rsid w:val="003754DA"/>
    <w:rsid w:val="00375904"/>
    <w:rsid w:val="00376C8B"/>
    <w:rsid w:val="003770DB"/>
    <w:rsid w:val="0038059C"/>
    <w:rsid w:val="00381CE8"/>
    <w:rsid w:val="00382CF3"/>
    <w:rsid w:val="00383DC8"/>
    <w:rsid w:val="00383E44"/>
    <w:rsid w:val="00384030"/>
    <w:rsid w:val="003852CF"/>
    <w:rsid w:val="003854EB"/>
    <w:rsid w:val="00386529"/>
    <w:rsid w:val="00390DD9"/>
    <w:rsid w:val="00391EC3"/>
    <w:rsid w:val="00393991"/>
    <w:rsid w:val="0039469A"/>
    <w:rsid w:val="00395256"/>
    <w:rsid w:val="003966CD"/>
    <w:rsid w:val="00396851"/>
    <w:rsid w:val="003A03E7"/>
    <w:rsid w:val="003A0974"/>
    <w:rsid w:val="003A2480"/>
    <w:rsid w:val="003A2847"/>
    <w:rsid w:val="003A34B5"/>
    <w:rsid w:val="003A460E"/>
    <w:rsid w:val="003A73F2"/>
    <w:rsid w:val="003B07CC"/>
    <w:rsid w:val="003B47A8"/>
    <w:rsid w:val="003B57D8"/>
    <w:rsid w:val="003B6B72"/>
    <w:rsid w:val="003C1CEC"/>
    <w:rsid w:val="003C1E63"/>
    <w:rsid w:val="003C2CCD"/>
    <w:rsid w:val="003C2EDC"/>
    <w:rsid w:val="003C30F2"/>
    <w:rsid w:val="003C3A93"/>
    <w:rsid w:val="003C3B40"/>
    <w:rsid w:val="003C40D2"/>
    <w:rsid w:val="003C4572"/>
    <w:rsid w:val="003C4911"/>
    <w:rsid w:val="003C59D2"/>
    <w:rsid w:val="003C6916"/>
    <w:rsid w:val="003C6FB6"/>
    <w:rsid w:val="003C7239"/>
    <w:rsid w:val="003C7BF4"/>
    <w:rsid w:val="003D02B1"/>
    <w:rsid w:val="003D07F8"/>
    <w:rsid w:val="003D1033"/>
    <w:rsid w:val="003D1235"/>
    <w:rsid w:val="003D1804"/>
    <w:rsid w:val="003D1FD8"/>
    <w:rsid w:val="003D3E0C"/>
    <w:rsid w:val="003D4CDF"/>
    <w:rsid w:val="003D5BFA"/>
    <w:rsid w:val="003D5D72"/>
    <w:rsid w:val="003D60E5"/>
    <w:rsid w:val="003D73A0"/>
    <w:rsid w:val="003E0541"/>
    <w:rsid w:val="003E147D"/>
    <w:rsid w:val="003E35C2"/>
    <w:rsid w:val="003E4184"/>
    <w:rsid w:val="003E446B"/>
    <w:rsid w:val="003E7204"/>
    <w:rsid w:val="003E7E0A"/>
    <w:rsid w:val="003F008F"/>
    <w:rsid w:val="003F0C77"/>
    <w:rsid w:val="003F0DE1"/>
    <w:rsid w:val="003F1636"/>
    <w:rsid w:val="003F3410"/>
    <w:rsid w:val="003F447B"/>
    <w:rsid w:val="003F46A4"/>
    <w:rsid w:val="003F5B96"/>
    <w:rsid w:val="003F5F39"/>
    <w:rsid w:val="003F608C"/>
    <w:rsid w:val="003F7407"/>
    <w:rsid w:val="003F7A06"/>
    <w:rsid w:val="004011CF"/>
    <w:rsid w:val="00401D77"/>
    <w:rsid w:val="00402712"/>
    <w:rsid w:val="004043D3"/>
    <w:rsid w:val="004045E2"/>
    <w:rsid w:val="0040763A"/>
    <w:rsid w:val="00412803"/>
    <w:rsid w:val="004132D9"/>
    <w:rsid w:val="004144FC"/>
    <w:rsid w:val="00415027"/>
    <w:rsid w:val="004158C0"/>
    <w:rsid w:val="00416118"/>
    <w:rsid w:val="00416259"/>
    <w:rsid w:val="00416890"/>
    <w:rsid w:val="00416D7A"/>
    <w:rsid w:val="00420201"/>
    <w:rsid w:val="00420512"/>
    <w:rsid w:val="00421F2D"/>
    <w:rsid w:val="004229F8"/>
    <w:rsid w:val="0042318F"/>
    <w:rsid w:val="004233EF"/>
    <w:rsid w:val="004239FA"/>
    <w:rsid w:val="00425D66"/>
    <w:rsid w:val="004265F1"/>
    <w:rsid w:val="00427C25"/>
    <w:rsid w:val="0043016C"/>
    <w:rsid w:val="004302DD"/>
    <w:rsid w:val="0043357A"/>
    <w:rsid w:val="00434FC6"/>
    <w:rsid w:val="00442674"/>
    <w:rsid w:val="00446376"/>
    <w:rsid w:val="00447D03"/>
    <w:rsid w:val="00450A62"/>
    <w:rsid w:val="00450F84"/>
    <w:rsid w:val="00451433"/>
    <w:rsid w:val="00451F17"/>
    <w:rsid w:val="00452713"/>
    <w:rsid w:val="00452DE0"/>
    <w:rsid w:val="00454F49"/>
    <w:rsid w:val="00456454"/>
    <w:rsid w:val="00456D9F"/>
    <w:rsid w:val="00457679"/>
    <w:rsid w:val="00462967"/>
    <w:rsid w:val="004631EF"/>
    <w:rsid w:val="00463E24"/>
    <w:rsid w:val="00464330"/>
    <w:rsid w:val="004668E5"/>
    <w:rsid w:val="004674EC"/>
    <w:rsid w:val="0047232D"/>
    <w:rsid w:val="00473033"/>
    <w:rsid w:val="00474CFF"/>
    <w:rsid w:val="00475283"/>
    <w:rsid w:val="004755A0"/>
    <w:rsid w:val="0047586F"/>
    <w:rsid w:val="00475B5A"/>
    <w:rsid w:val="00476F83"/>
    <w:rsid w:val="00480FFE"/>
    <w:rsid w:val="00481CA5"/>
    <w:rsid w:val="004824FE"/>
    <w:rsid w:val="00482CC9"/>
    <w:rsid w:val="0048336F"/>
    <w:rsid w:val="00483BEA"/>
    <w:rsid w:val="00483D0D"/>
    <w:rsid w:val="004847E2"/>
    <w:rsid w:val="00485A2A"/>
    <w:rsid w:val="00485D2F"/>
    <w:rsid w:val="00487B3C"/>
    <w:rsid w:val="004902C0"/>
    <w:rsid w:val="00490D83"/>
    <w:rsid w:val="004916C9"/>
    <w:rsid w:val="00491E4D"/>
    <w:rsid w:val="00494196"/>
    <w:rsid w:val="00495556"/>
    <w:rsid w:val="00495850"/>
    <w:rsid w:val="00495E8B"/>
    <w:rsid w:val="004966A0"/>
    <w:rsid w:val="00497190"/>
    <w:rsid w:val="00497593"/>
    <w:rsid w:val="00497EC2"/>
    <w:rsid w:val="004A12CB"/>
    <w:rsid w:val="004A2321"/>
    <w:rsid w:val="004A2A58"/>
    <w:rsid w:val="004A2B0F"/>
    <w:rsid w:val="004A2D7C"/>
    <w:rsid w:val="004A4D54"/>
    <w:rsid w:val="004A5879"/>
    <w:rsid w:val="004A60DE"/>
    <w:rsid w:val="004A64DA"/>
    <w:rsid w:val="004A73C2"/>
    <w:rsid w:val="004A7DC6"/>
    <w:rsid w:val="004B0F83"/>
    <w:rsid w:val="004B123F"/>
    <w:rsid w:val="004B2746"/>
    <w:rsid w:val="004B3462"/>
    <w:rsid w:val="004B47F1"/>
    <w:rsid w:val="004B5E7D"/>
    <w:rsid w:val="004B6004"/>
    <w:rsid w:val="004B7134"/>
    <w:rsid w:val="004B7563"/>
    <w:rsid w:val="004C0A8C"/>
    <w:rsid w:val="004C0C98"/>
    <w:rsid w:val="004C0EF1"/>
    <w:rsid w:val="004C2AE6"/>
    <w:rsid w:val="004C34F7"/>
    <w:rsid w:val="004C5E66"/>
    <w:rsid w:val="004C67D5"/>
    <w:rsid w:val="004C6F0F"/>
    <w:rsid w:val="004C6FCE"/>
    <w:rsid w:val="004C7025"/>
    <w:rsid w:val="004D002E"/>
    <w:rsid w:val="004D140F"/>
    <w:rsid w:val="004D1B22"/>
    <w:rsid w:val="004D37C2"/>
    <w:rsid w:val="004D55CA"/>
    <w:rsid w:val="004D5B96"/>
    <w:rsid w:val="004D7040"/>
    <w:rsid w:val="004E151A"/>
    <w:rsid w:val="004E1F67"/>
    <w:rsid w:val="004E2A59"/>
    <w:rsid w:val="004E3DFE"/>
    <w:rsid w:val="004E5017"/>
    <w:rsid w:val="004F013C"/>
    <w:rsid w:val="004F0874"/>
    <w:rsid w:val="004F0CA4"/>
    <w:rsid w:val="004F1618"/>
    <w:rsid w:val="004F265C"/>
    <w:rsid w:val="004F3A1E"/>
    <w:rsid w:val="004F42D6"/>
    <w:rsid w:val="004F57C5"/>
    <w:rsid w:val="004F586A"/>
    <w:rsid w:val="004F5AE4"/>
    <w:rsid w:val="004F761D"/>
    <w:rsid w:val="004F78A1"/>
    <w:rsid w:val="00501035"/>
    <w:rsid w:val="00502A93"/>
    <w:rsid w:val="0050310A"/>
    <w:rsid w:val="005033C5"/>
    <w:rsid w:val="00503FD6"/>
    <w:rsid w:val="005049FA"/>
    <w:rsid w:val="00504FFB"/>
    <w:rsid w:val="00505054"/>
    <w:rsid w:val="005051EA"/>
    <w:rsid w:val="00506799"/>
    <w:rsid w:val="00506C21"/>
    <w:rsid w:val="005071E9"/>
    <w:rsid w:val="005078DE"/>
    <w:rsid w:val="00511985"/>
    <w:rsid w:val="00513E88"/>
    <w:rsid w:val="00513EC0"/>
    <w:rsid w:val="00514D03"/>
    <w:rsid w:val="0051537A"/>
    <w:rsid w:val="00515C61"/>
    <w:rsid w:val="00515FA1"/>
    <w:rsid w:val="00516109"/>
    <w:rsid w:val="00516769"/>
    <w:rsid w:val="00517B06"/>
    <w:rsid w:val="00521969"/>
    <w:rsid w:val="00523194"/>
    <w:rsid w:val="005262E9"/>
    <w:rsid w:val="00526A78"/>
    <w:rsid w:val="0052764B"/>
    <w:rsid w:val="005276F2"/>
    <w:rsid w:val="00530F16"/>
    <w:rsid w:val="00531911"/>
    <w:rsid w:val="00532C12"/>
    <w:rsid w:val="005334B1"/>
    <w:rsid w:val="005334C6"/>
    <w:rsid w:val="0053392B"/>
    <w:rsid w:val="005342D2"/>
    <w:rsid w:val="0053678D"/>
    <w:rsid w:val="00536B27"/>
    <w:rsid w:val="00537439"/>
    <w:rsid w:val="005402CC"/>
    <w:rsid w:val="005436AD"/>
    <w:rsid w:val="00544835"/>
    <w:rsid w:val="00545856"/>
    <w:rsid w:val="00546DF1"/>
    <w:rsid w:val="005516FE"/>
    <w:rsid w:val="0055190D"/>
    <w:rsid w:val="00552075"/>
    <w:rsid w:val="00552865"/>
    <w:rsid w:val="00552984"/>
    <w:rsid w:val="005529F8"/>
    <w:rsid w:val="00553430"/>
    <w:rsid w:val="00554DEC"/>
    <w:rsid w:val="00555642"/>
    <w:rsid w:val="005558B4"/>
    <w:rsid w:val="00555CC5"/>
    <w:rsid w:val="005563E7"/>
    <w:rsid w:val="005605CA"/>
    <w:rsid w:val="005614EC"/>
    <w:rsid w:val="0056456B"/>
    <w:rsid w:val="0056508C"/>
    <w:rsid w:val="00565706"/>
    <w:rsid w:val="00565FCB"/>
    <w:rsid w:val="005666EC"/>
    <w:rsid w:val="00566A9C"/>
    <w:rsid w:val="005711BF"/>
    <w:rsid w:val="00572103"/>
    <w:rsid w:val="0057241C"/>
    <w:rsid w:val="005727CB"/>
    <w:rsid w:val="00572DFD"/>
    <w:rsid w:val="00575421"/>
    <w:rsid w:val="00576784"/>
    <w:rsid w:val="005775B7"/>
    <w:rsid w:val="00580B00"/>
    <w:rsid w:val="00586B8F"/>
    <w:rsid w:val="00586D3F"/>
    <w:rsid w:val="00586DF5"/>
    <w:rsid w:val="00586F6D"/>
    <w:rsid w:val="005910BC"/>
    <w:rsid w:val="00592A8C"/>
    <w:rsid w:val="005931D5"/>
    <w:rsid w:val="00593735"/>
    <w:rsid w:val="00593A5A"/>
    <w:rsid w:val="00593D17"/>
    <w:rsid w:val="005949F0"/>
    <w:rsid w:val="0059604A"/>
    <w:rsid w:val="00596A4D"/>
    <w:rsid w:val="00596F47"/>
    <w:rsid w:val="00597251"/>
    <w:rsid w:val="005A1F51"/>
    <w:rsid w:val="005A20C5"/>
    <w:rsid w:val="005A2471"/>
    <w:rsid w:val="005A24BE"/>
    <w:rsid w:val="005A2FCC"/>
    <w:rsid w:val="005A3AD2"/>
    <w:rsid w:val="005A439F"/>
    <w:rsid w:val="005A50CC"/>
    <w:rsid w:val="005A518A"/>
    <w:rsid w:val="005A61C2"/>
    <w:rsid w:val="005A77F7"/>
    <w:rsid w:val="005A7FB1"/>
    <w:rsid w:val="005B0047"/>
    <w:rsid w:val="005B0D63"/>
    <w:rsid w:val="005B2FE5"/>
    <w:rsid w:val="005B3C93"/>
    <w:rsid w:val="005B5AD7"/>
    <w:rsid w:val="005B63A4"/>
    <w:rsid w:val="005B6CB3"/>
    <w:rsid w:val="005B799B"/>
    <w:rsid w:val="005C0AA2"/>
    <w:rsid w:val="005C1353"/>
    <w:rsid w:val="005C1983"/>
    <w:rsid w:val="005C2DF9"/>
    <w:rsid w:val="005C48DF"/>
    <w:rsid w:val="005C4C80"/>
    <w:rsid w:val="005C4E76"/>
    <w:rsid w:val="005C6A42"/>
    <w:rsid w:val="005C6E75"/>
    <w:rsid w:val="005C7D8A"/>
    <w:rsid w:val="005D03F3"/>
    <w:rsid w:val="005D0423"/>
    <w:rsid w:val="005D0460"/>
    <w:rsid w:val="005D0EC1"/>
    <w:rsid w:val="005D1310"/>
    <w:rsid w:val="005D1883"/>
    <w:rsid w:val="005D39CD"/>
    <w:rsid w:val="005D3ED8"/>
    <w:rsid w:val="005D3EE1"/>
    <w:rsid w:val="005D5928"/>
    <w:rsid w:val="005D5A22"/>
    <w:rsid w:val="005D5E74"/>
    <w:rsid w:val="005D78B3"/>
    <w:rsid w:val="005E05E2"/>
    <w:rsid w:val="005E1D3F"/>
    <w:rsid w:val="005E23AA"/>
    <w:rsid w:val="005E3338"/>
    <w:rsid w:val="005E344C"/>
    <w:rsid w:val="005E3466"/>
    <w:rsid w:val="005E4845"/>
    <w:rsid w:val="005E675E"/>
    <w:rsid w:val="005E77F3"/>
    <w:rsid w:val="005E7961"/>
    <w:rsid w:val="005F14E2"/>
    <w:rsid w:val="005F18A9"/>
    <w:rsid w:val="005F4EA9"/>
    <w:rsid w:val="005F6006"/>
    <w:rsid w:val="005F60F8"/>
    <w:rsid w:val="005F7AB3"/>
    <w:rsid w:val="00600543"/>
    <w:rsid w:val="00600AAA"/>
    <w:rsid w:val="006017AE"/>
    <w:rsid w:val="006031B6"/>
    <w:rsid w:val="00603A10"/>
    <w:rsid w:val="0060459D"/>
    <w:rsid w:val="0060536F"/>
    <w:rsid w:val="00605B64"/>
    <w:rsid w:val="00605F78"/>
    <w:rsid w:val="00606B46"/>
    <w:rsid w:val="00610EA1"/>
    <w:rsid w:val="00611033"/>
    <w:rsid w:val="00611736"/>
    <w:rsid w:val="006118C0"/>
    <w:rsid w:val="006119F0"/>
    <w:rsid w:val="00611DDA"/>
    <w:rsid w:val="00611E7C"/>
    <w:rsid w:val="00617129"/>
    <w:rsid w:val="0061796E"/>
    <w:rsid w:val="006179FC"/>
    <w:rsid w:val="006225B5"/>
    <w:rsid w:val="00623A69"/>
    <w:rsid w:val="0062447E"/>
    <w:rsid w:val="00625741"/>
    <w:rsid w:val="00625799"/>
    <w:rsid w:val="00625AD2"/>
    <w:rsid w:val="00626092"/>
    <w:rsid w:val="0062669F"/>
    <w:rsid w:val="00627D35"/>
    <w:rsid w:val="0063080B"/>
    <w:rsid w:val="00632C24"/>
    <w:rsid w:val="00632F8D"/>
    <w:rsid w:val="00633806"/>
    <w:rsid w:val="006370AA"/>
    <w:rsid w:val="00637263"/>
    <w:rsid w:val="00642B4D"/>
    <w:rsid w:val="00643C9F"/>
    <w:rsid w:val="006440B6"/>
    <w:rsid w:val="00645293"/>
    <w:rsid w:val="006452D6"/>
    <w:rsid w:val="00645704"/>
    <w:rsid w:val="0064649E"/>
    <w:rsid w:val="00646AB7"/>
    <w:rsid w:val="0064709C"/>
    <w:rsid w:val="0064787A"/>
    <w:rsid w:val="006510D8"/>
    <w:rsid w:val="006512AC"/>
    <w:rsid w:val="006529A5"/>
    <w:rsid w:val="00653A02"/>
    <w:rsid w:val="00654FD9"/>
    <w:rsid w:val="006574F8"/>
    <w:rsid w:val="00657CE7"/>
    <w:rsid w:val="00657CF5"/>
    <w:rsid w:val="00660206"/>
    <w:rsid w:val="00660256"/>
    <w:rsid w:val="00660CAE"/>
    <w:rsid w:val="00664505"/>
    <w:rsid w:val="00664C5D"/>
    <w:rsid w:val="00665016"/>
    <w:rsid w:val="00667070"/>
    <w:rsid w:val="006675E3"/>
    <w:rsid w:val="00667BCC"/>
    <w:rsid w:val="00670428"/>
    <w:rsid w:val="006708C4"/>
    <w:rsid w:val="006708E2"/>
    <w:rsid w:val="00670AA8"/>
    <w:rsid w:val="00671530"/>
    <w:rsid w:val="0067190C"/>
    <w:rsid w:val="00674539"/>
    <w:rsid w:val="006760A8"/>
    <w:rsid w:val="00676B0C"/>
    <w:rsid w:val="00677870"/>
    <w:rsid w:val="006778AC"/>
    <w:rsid w:val="006778DC"/>
    <w:rsid w:val="00680980"/>
    <w:rsid w:val="00682EB9"/>
    <w:rsid w:val="00682F02"/>
    <w:rsid w:val="0068335F"/>
    <w:rsid w:val="00683996"/>
    <w:rsid w:val="00684422"/>
    <w:rsid w:val="0068566E"/>
    <w:rsid w:val="006867ED"/>
    <w:rsid w:val="00691A6B"/>
    <w:rsid w:val="006A0C8A"/>
    <w:rsid w:val="006A239B"/>
    <w:rsid w:val="006A3186"/>
    <w:rsid w:val="006A48BC"/>
    <w:rsid w:val="006A4B23"/>
    <w:rsid w:val="006A567D"/>
    <w:rsid w:val="006A619A"/>
    <w:rsid w:val="006A6DBA"/>
    <w:rsid w:val="006B1919"/>
    <w:rsid w:val="006B1A65"/>
    <w:rsid w:val="006B3D62"/>
    <w:rsid w:val="006B4835"/>
    <w:rsid w:val="006B4ECD"/>
    <w:rsid w:val="006B5999"/>
    <w:rsid w:val="006C0342"/>
    <w:rsid w:val="006C03C1"/>
    <w:rsid w:val="006C0739"/>
    <w:rsid w:val="006C10FE"/>
    <w:rsid w:val="006C1E20"/>
    <w:rsid w:val="006C2458"/>
    <w:rsid w:val="006C276D"/>
    <w:rsid w:val="006C374F"/>
    <w:rsid w:val="006C3E23"/>
    <w:rsid w:val="006C3F75"/>
    <w:rsid w:val="006C444C"/>
    <w:rsid w:val="006C5497"/>
    <w:rsid w:val="006C5977"/>
    <w:rsid w:val="006C64E3"/>
    <w:rsid w:val="006D01D5"/>
    <w:rsid w:val="006D03DF"/>
    <w:rsid w:val="006D134E"/>
    <w:rsid w:val="006D3E2B"/>
    <w:rsid w:val="006D5B59"/>
    <w:rsid w:val="006D5B66"/>
    <w:rsid w:val="006D6303"/>
    <w:rsid w:val="006D637C"/>
    <w:rsid w:val="006D63FF"/>
    <w:rsid w:val="006D65DD"/>
    <w:rsid w:val="006D68D7"/>
    <w:rsid w:val="006D72CC"/>
    <w:rsid w:val="006E0F03"/>
    <w:rsid w:val="006E25AE"/>
    <w:rsid w:val="006E4CAF"/>
    <w:rsid w:val="006F14F5"/>
    <w:rsid w:val="006F1744"/>
    <w:rsid w:val="006F1888"/>
    <w:rsid w:val="006F18CE"/>
    <w:rsid w:val="006F2381"/>
    <w:rsid w:val="006F27A7"/>
    <w:rsid w:val="006F34AD"/>
    <w:rsid w:val="006F3B12"/>
    <w:rsid w:val="006F3F9C"/>
    <w:rsid w:val="006F4358"/>
    <w:rsid w:val="006F5274"/>
    <w:rsid w:val="006F5DC4"/>
    <w:rsid w:val="006F60C4"/>
    <w:rsid w:val="006F6B18"/>
    <w:rsid w:val="006F732F"/>
    <w:rsid w:val="006F75ED"/>
    <w:rsid w:val="006F7EE6"/>
    <w:rsid w:val="006F7FFB"/>
    <w:rsid w:val="0070165B"/>
    <w:rsid w:val="00701828"/>
    <w:rsid w:val="00702675"/>
    <w:rsid w:val="00704172"/>
    <w:rsid w:val="00704692"/>
    <w:rsid w:val="00707307"/>
    <w:rsid w:val="0071084B"/>
    <w:rsid w:val="00711179"/>
    <w:rsid w:val="00711228"/>
    <w:rsid w:val="0071122E"/>
    <w:rsid w:val="00711B92"/>
    <w:rsid w:val="00711FBB"/>
    <w:rsid w:val="00713058"/>
    <w:rsid w:val="00713069"/>
    <w:rsid w:val="00714467"/>
    <w:rsid w:val="007160D8"/>
    <w:rsid w:val="00716C19"/>
    <w:rsid w:val="0071737A"/>
    <w:rsid w:val="007207BC"/>
    <w:rsid w:val="00721523"/>
    <w:rsid w:val="007219BE"/>
    <w:rsid w:val="00721EA7"/>
    <w:rsid w:val="007228E5"/>
    <w:rsid w:val="00722D56"/>
    <w:rsid w:val="00724411"/>
    <w:rsid w:val="007248D0"/>
    <w:rsid w:val="0072514A"/>
    <w:rsid w:val="007307AE"/>
    <w:rsid w:val="0073361E"/>
    <w:rsid w:val="00733B33"/>
    <w:rsid w:val="007348AA"/>
    <w:rsid w:val="00735A2E"/>
    <w:rsid w:val="0073618D"/>
    <w:rsid w:val="0073649B"/>
    <w:rsid w:val="007403AE"/>
    <w:rsid w:val="007405F3"/>
    <w:rsid w:val="00740CE1"/>
    <w:rsid w:val="007417D5"/>
    <w:rsid w:val="00741998"/>
    <w:rsid w:val="0074299B"/>
    <w:rsid w:val="00742EAB"/>
    <w:rsid w:val="007433F5"/>
    <w:rsid w:val="007448AD"/>
    <w:rsid w:val="00744AB9"/>
    <w:rsid w:val="00746910"/>
    <w:rsid w:val="007475F1"/>
    <w:rsid w:val="007504F7"/>
    <w:rsid w:val="007523CF"/>
    <w:rsid w:val="007529AF"/>
    <w:rsid w:val="0075345B"/>
    <w:rsid w:val="00753865"/>
    <w:rsid w:val="00753957"/>
    <w:rsid w:val="007541B3"/>
    <w:rsid w:val="00754685"/>
    <w:rsid w:val="00754D97"/>
    <w:rsid w:val="00756177"/>
    <w:rsid w:val="00757667"/>
    <w:rsid w:val="00757985"/>
    <w:rsid w:val="00757E19"/>
    <w:rsid w:val="0076040E"/>
    <w:rsid w:val="00761490"/>
    <w:rsid w:val="007618B1"/>
    <w:rsid w:val="00761A0D"/>
    <w:rsid w:val="007623B4"/>
    <w:rsid w:val="007635CF"/>
    <w:rsid w:val="00763CB1"/>
    <w:rsid w:val="0076744B"/>
    <w:rsid w:val="0077074A"/>
    <w:rsid w:val="007710A2"/>
    <w:rsid w:val="0077357B"/>
    <w:rsid w:val="00773EE6"/>
    <w:rsid w:val="00774128"/>
    <w:rsid w:val="0077451D"/>
    <w:rsid w:val="00774ADE"/>
    <w:rsid w:val="007763AF"/>
    <w:rsid w:val="007772E6"/>
    <w:rsid w:val="007776A5"/>
    <w:rsid w:val="00777783"/>
    <w:rsid w:val="00783399"/>
    <w:rsid w:val="00783B04"/>
    <w:rsid w:val="0078447F"/>
    <w:rsid w:val="00784B88"/>
    <w:rsid w:val="00784D32"/>
    <w:rsid w:val="0078563F"/>
    <w:rsid w:val="007904CB"/>
    <w:rsid w:val="0079152F"/>
    <w:rsid w:val="00793493"/>
    <w:rsid w:val="00793C6B"/>
    <w:rsid w:val="00793D02"/>
    <w:rsid w:val="00793DC9"/>
    <w:rsid w:val="00794435"/>
    <w:rsid w:val="00794A42"/>
    <w:rsid w:val="00794CC5"/>
    <w:rsid w:val="00794D07"/>
    <w:rsid w:val="00795C56"/>
    <w:rsid w:val="00795C66"/>
    <w:rsid w:val="0079653E"/>
    <w:rsid w:val="00797523"/>
    <w:rsid w:val="007979A9"/>
    <w:rsid w:val="007A0B9B"/>
    <w:rsid w:val="007A11A3"/>
    <w:rsid w:val="007A4990"/>
    <w:rsid w:val="007A556A"/>
    <w:rsid w:val="007A58F7"/>
    <w:rsid w:val="007A7C5E"/>
    <w:rsid w:val="007B13CB"/>
    <w:rsid w:val="007B28CF"/>
    <w:rsid w:val="007B3232"/>
    <w:rsid w:val="007B36D9"/>
    <w:rsid w:val="007B451A"/>
    <w:rsid w:val="007B5343"/>
    <w:rsid w:val="007B72F4"/>
    <w:rsid w:val="007C1C9D"/>
    <w:rsid w:val="007C2953"/>
    <w:rsid w:val="007C6B11"/>
    <w:rsid w:val="007C7A21"/>
    <w:rsid w:val="007D08B6"/>
    <w:rsid w:val="007D30AE"/>
    <w:rsid w:val="007D4898"/>
    <w:rsid w:val="007D4D9F"/>
    <w:rsid w:val="007D4F68"/>
    <w:rsid w:val="007D525F"/>
    <w:rsid w:val="007D6EC3"/>
    <w:rsid w:val="007D766A"/>
    <w:rsid w:val="007E01B6"/>
    <w:rsid w:val="007E0B74"/>
    <w:rsid w:val="007E153C"/>
    <w:rsid w:val="007E2C03"/>
    <w:rsid w:val="007E399D"/>
    <w:rsid w:val="007E3B90"/>
    <w:rsid w:val="007E5162"/>
    <w:rsid w:val="007E559E"/>
    <w:rsid w:val="007E610F"/>
    <w:rsid w:val="007E64D6"/>
    <w:rsid w:val="007E77FD"/>
    <w:rsid w:val="007F1685"/>
    <w:rsid w:val="007F172C"/>
    <w:rsid w:val="007F1920"/>
    <w:rsid w:val="007F28E4"/>
    <w:rsid w:val="007F3B71"/>
    <w:rsid w:val="007F501C"/>
    <w:rsid w:val="007F52B8"/>
    <w:rsid w:val="007F734C"/>
    <w:rsid w:val="007F787E"/>
    <w:rsid w:val="008006A2"/>
    <w:rsid w:val="00801599"/>
    <w:rsid w:val="00801B9F"/>
    <w:rsid w:val="00801BF4"/>
    <w:rsid w:val="00801D19"/>
    <w:rsid w:val="008034E2"/>
    <w:rsid w:val="0080561B"/>
    <w:rsid w:val="00806A0D"/>
    <w:rsid w:val="00811D35"/>
    <w:rsid w:val="00811F16"/>
    <w:rsid w:val="00822F30"/>
    <w:rsid w:val="00823CFC"/>
    <w:rsid w:val="00824C17"/>
    <w:rsid w:val="00826034"/>
    <w:rsid w:val="008274DA"/>
    <w:rsid w:val="008275F8"/>
    <w:rsid w:val="008314F3"/>
    <w:rsid w:val="00831DD3"/>
    <w:rsid w:val="008328BD"/>
    <w:rsid w:val="00832E6C"/>
    <w:rsid w:val="00833D13"/>
    <w:rsid w:val="00834673"/>
    <w:rsid w:val="008346A1"/>
    <w:rsid w:val="00834AC7"/>
    <w:rsid w:val="00834FDD"/>
    <w:rsid w:val="008361FF"/>
    <w:rsid w:val="00836D12"/>
    <w:rsid w:val="00837023"/>
    <w:rsid w:val="00840A0E"/>
    <w:rsid w:val="008412F4"/>
    <w:rsid w:val="008426B8"/>
    <w:rsid w:val="008444AE"/>
    <w:rsid w:val="00845FC1"/>
    <w:rsid w:val="00846DDD"/>
    <w:rsid w:val="008477D9"/>
    <w:rsid w:val="00850F9A"/>
    <w:rsid w:val="0085129E"/>
    <w:rsid w:val="00851F7B"/>
    <w:rsid w:val="00853858"/>
    <w:rsid w:val="00853BE8"/>
    <w:rsid w:val="0085488F"/>
    <w:rsid w:val="00856660"/>
    <w:rsid w:val="008604FE"/>
    <w:rsid w:val="00865E27"/>
    <w:rsid w:val="00866A71"/>
    <w:rsid w:val="00867E34"/>
    <w:rsid w:val="00867F51"/>
    <w:rsid w:val="0087104D"/>
    <w:rsid w:val="00871748"/>
    <w:rsid w:val="00872C07"/>
    <w:rsid w:val="00873A91"/>
    <w:rsid w:val="0087645A"/>
    <w:rsid w:val="00876805"/>
    <w:rsid w:val="00876BA7"/>
    <w:rsid w:val="008774E6"/>
    <w:rsid w:val="0088042C"/>
    <w:rsid w:val="008825AB"/>
    <w:rsid w:val="00882EDF"/>
    <w:rsid w:val="0088434E"/>
    <w:rsid w:val="00884B44"/>
    <w:rsid w:val="0088595F"/>
    <w:rsid w:val="008868DD"/>
    <w:rsid w:val="008906E0"/>
    <w:rsid w:val="00891B01"/>
    <w:rsid w:val="00892230"/>
    <w:rsid w:val="008935CF"/>
    <w:rsid w:val="008937F3"/>
    <w:rsid w:val="00894026"/>
    <w:rsid w:val="0089628B"/>
    <w:rsid w:val="008A253A"/>
    <w:rsid w:val="008A4299"/>
    <w:rsid w:val="008A4C87"/>
    <w:rsid w:val="008A549B"/>
    <w:rsid w:val="008A5663"/>
    <w:rsid w:val="008A5A1F"/>
    <w:rsid w:val="008A5F9E"/>
    <w:rsid w:val="008A6569"/>
    <w:rsid w:val="008A688B"/>
    <w:rsid w:val="008A7886"/>
    <w:rsid w:val="008B0F3B"/>
    <w:rsid w:val="008B4A80"/>
    <w:rsid w:val="008B5061"/>
    <w:rsid w:val="008B5201"/>
    <w:rsid w:val="008B5AC6"/>
    <w:rsid w:val="008B5DC5"/>
    <w:rsid w:val="008B64C6"/>
    <w:rsid w:val="008B7558"/>
    <w:rsid w:val="008B76CE"/>
    <w:rsid w:val="008C2565"/>
    <w:rsid w:val="008C2FF8"/>
    <w:rsid w:val="008C4962"/>
    <w:rsid w:val="008C6265"/>
    <w:rsid w:val="008C66D5"/>
    <w:rsid w:val="008C7365"/>
    <w:rsid w:val="008C7F91"/>
    <w:rsid w:val="008D0A94"/>
    <w:rsid w:val="008D3AB9"/>
    <w:rsid w:val="008D3C32"/>
    <w:rsid w:val="008D4AC9"/>
    <w:rsid w:val="008D5429"/>
    <w:rsid w:val="008D6C13"/>
    <w:rsid w:val="008D734D"/>
    <w:rsid w:val="008E027A"/>
    <w:rsid w:val="008E0426"/>
    <w:rsid w:val="008E049B"/>
    <w:rsid w:val="008E093E"/>
    <w:rsid w:val="008E1219"/>
    <w:rsid w:val="008E1DC4"/>
    <w:rsid w:val="008E392F"/>
    <w:rsid w:val="008E3BDE"/>
    <w:rsid w:val="008E5B3A"/>
    <w:rsid w:val="008E5B50"/>
    <w:rsid w:val="008E6714"/>
    <w:rsid w:val="008E70FC"/>
    <w:rsid w:val="008E7135"/>
    <w:rsid w:val="008F0466"/>
    <w:rsid w:val="008F202E"/>
    <w:rsid w:val="008F23A9"/>
    <w:rsid w:val="008F2619"/>
    <w:rsid w:val="008F2F72"/>
    <w:rsid w:val="008F3090"/>
    <w:rsid w:val="008F3116"/>
    <w:rsid w:val="008F3651"/>
    <w:rsid w:val="008F3A84"/>
    <w:rsid w:val="008F56C8"/>
    <w:rsid w:val="008F5E59"/>
    <w:rsid w:val="008F6EB8"/>
    <w:rsid w:val="008F79D5"/>
    <w:rsid w:val="00900F41"/>
    <w:rsid w:val="009011CC"/>
    <w:rsid w:val="0090194D"/>
    <w:rsid w:val="0090275E"/>
    <w:rsid w:val="0090298D"/>
    <w:rsid w:val="009056F4"/>
    <w:rsid w:val="00905857"/>
    <w:rsid w:val="00906469"/>
    <w:rsid w:val="0091032C"/>
    <w:rsid w:val="009111B0"/>
    <w:rsid w:val="00911334"/>
    <w:rsid w:val="00913268"/>
    <w:rsid w:val="00913A28"/>
    <w:rsid w:val="00915547"/>
    <w:rsid w:val="00915DCA"/>
    <w:rsid w:val="009161F8"/>
    <w:rsid w:val="00916528"/>
    <w:rsid w:val="009166DF"/>
    <w:rsid w:val="009170A3"/>
    <w:rsid w:val="009176A4"/>
    <w:rsid w:val="00917A1B"/>
    <w:rsid w:val="00917F43"/>
    <w:rsid w:val="009204F9"/>
    <w:rsid w:val="00922232"/>
    <w:rsid w:val="00923247"/>
    <w:rsid w:val="00923419"/>
    <w:rsid w:val="009239A4"/>
    <w:rsid w:val="009241F7"/>
    <w:rsid w:val="00924705"/>
    <w:rsid w:val="0093023F"/>
    <w:rsid w:val="00931D12"/>
    <w:rsid w:val="00935738"/>
    <w:rsid w:val="00935DCF"/>
    <w:rsid w:val="009367DA"/>
    <w:rsid w:val="0094033C"/>
    <w:rsid w:val="009405EE"/>
    <w:rsid w:val="009407FC"/>
    <w:rsid w:val="00941072"/>
    <w:rsid w:val="009412B8"/>
    <w:rsid w:val="009445F8"/>
    <w:rsid w:val="009447EC"/>
    <w:rsid w:val="00944B65"/>
    <w:rsid w:val="00945663"/>
    <w:rsid w:val="00946040"/>
    <w:rsid w:val="00946AB7"/>
    <w:rsid w:val="00950909"/>
    <w:rsid w:val="0095093E"/>
    <w:rsid w:val="00950CF0"/>
    <w:rsid w:val="00950EB2"/>
    <w:rsid w:val="00952739"/>
    <w:rsid w:val="00952DDB"/>
    <w:rsid w:val="0095424F"/>
    <w:rsid w:val="00954C1E"/>
    <w:rsid w:val="009558F5"/>
    <w:rsid w:val="009576F6"/>
    <w:rsid w:val="009612ED"/>
    <w:rsid w:val="009613C1"/>
    <w:rsid w:val="009615E5"/>
    <w:rsid w:val="00963906"/>
    <w:rsid w:val="0096474E"/>
    <w:rsid w:val="00965F4F"/>
    <w:rsid w:val="00966C35"/>
    <w:rsid w:val="009704C4"/>
    <w:rsid w:val="00972AFF"/>
    <w:rsid w:val="00973328"/>
    <w:rsid w:val="0097394B"/>
    <w:rsid w:val="009752E0"/>
    <w:rsid w:val="00975736"/>
    <w:rsid w:val="009757C4"/>
    <w:rsid w:val="00975F79"/>
    <w:rsid w:val="00975FF9"/>
    <w:rsid w:val="009769CD"/>
    <w:rsid w:val="009770DF"/>
    <w:rsid w:val="00977257"/>
    <w:rsid w:val="00977631"/>
    <w:rsid w:val="00977896"/>
    <w:rsid w:val="00977A1B"/>
    <w:rsid w:val="00977C55"/>
    <w:rsid w:val="00980D67"/>
    <w:rsid w:val="00982AFF"/>
    <w:rsid w:val="00982F23"/>
    <w:rsid w:val="00984997"/>
    <w:rsid w:val="009849A7"/>
    <w:rsid w:val="00987E73"/>
    <w:rsid w:val="00990C67"/>
    <w:rsid w:val="00991616"/>
    <w:rsid w:val="009923D9"/>
    <w:rsid w:val="00993247"/>
    <w:rsid w:val="009940F9"/>
    <w:rsid w:val="009948F6"/>
    <w:rsid w:val="00995309"/>
    <w:rsid w:val="00995756"/>
    <w:rsid w:val="009957AE"/>
    <w:rsid w:val="00995C8F"/>
    <w:rsid w:val="00996B06"/>
    <w:rsid w:val="00997443"/>
    <w:rsid w:val="009A0772"/>
    <w:rsid w:val="009A21FB"/>
    <w:rsid w:val="009A2530"/>
    <w:rsid w:val="009A3A66"/>
    <w:rsid w:val="009A502E"/>
    <w:rsid w:val="009B0C0D"/>
    <w:rsid w:val="009B0D40"/>
    <w:rsid w:val="009B2AA3"/>
    <w:rsid w:val="009B2E77"/>
    <w:rsid w:val="009B32C8"/>
    <w:rsid w:val="009B49F7"/>
    <w:rsid w:val="009B7753"/>
    <w:rsid w:val="009C00A7"/>
    <w:rsid w:val="009C05E2"/>
    <w:rsid w:val="009C1289"/>
    <w:rsid w:val="009C1549"/>
    <w:rsid w:val="009C15C4"/>
    <w:rsid w:val="009C1F11"/>
    <w:rsid w:val="009C2270"/>
    <w:rsid w:val="009C327E"/>
    <w:rsid w:val="009C408A"/>
    <w:rsid w:val="009C48ED"/>
    <w:rsid w:val="009C637F"/>
    <w:rsid w:val="009C63BB"/>
    <w:rsid w:val="009D0877"/>
    <w:rsid w:val="009D1122"/>
    <w:rsid w:val="009D194E"/>
    <w:rsid w:val="009D2501"/>
    <w:rsid w:val="009D2B76"/>
    <w:rsid w:val="009D40F7"/>
    <w:rsid w:val="009D5C93"/>
    <w:rsid w:val="009D6CA8"/>
    <w:rsid w:val="009D7D1B"/>
    <w:rsid w:val="009D7EA8"/>
    <w:rsid w:val="009E0DCB"/>
    <w:rsid w:val="009E1344"/>
    <w:rsid w:val="009E37E6"/>
    <w:rsid w:val="009E4F7F"/>
    <w:rsid w:val="009E4FE6"/>
    <w:rsid w:val="009E5A5C"/>
    <w:rsid w:val="009E62F1"/>
    <w:rsid w:val="009E66F9"/>
    <w:rsid w:val="009E69A8"/>
    <w:rsid w:val="009E6A86"/>
    <w:rsid w:val="009E7988"/>
    <w:rsid w:val="009E79F0"/>
    <w:rsid w:val="009E7B71"/>
    <w:rsid w:val="009F0177"/>
    <w:rsid w:val="009F1735"/>
    <w:rsid w:val="009F1748"/>
    <w:rsid w:val="009F2E6D"/>
    <w:rsid w:val="009F2F4F"/>
    <w:rsid w:val="009F4E28"/>
    <w:rsid w:val="009F4E7D"/>
    <w:rsid w:val="009F5E06"/>
    <w:rsid w:val="009F6305"/>
    <w:rsid w:val="009F726D"/>
    <w:rsid w:val="00A00909"/>
    <w:rsid w:val="00A01459"/>
    <w:rsid w:val="00A01500"/>
    <w:rsid w:val="00A0161F"/>
    <w:rsid w:val="00A02144"/>
    <w:rsid w:val="00A0420F"/>
    <w:rsid w:val="00A0507C"/>
    <w:rsid w:val="00A0524A"/>
    <w:rsid w:val="00A052AF"/>
    <w:rsid w:val="00A055C9"/>
    <w:rsid w:val="00A05B0F"/>
    <w:rsid w:val="00A05CF7"/>
    <w:rsid w:val="00A110F6"/>
    <w:rsid w:val="00A11B38"/>
    <w:rsid w:val="00A1258B"/>
    <w:rsid w:val="00A1276B"/>
    <w:rsid w:val="00A12BF2"/>
    <w:rsid w:val="00A141AC"/>
    <w:rsid w:val="00A1777E"/>
    <w:rsid w:val="00A20449"/>
    <w:rsid w:val="00A20FBF"/>
    <w:rsid w:val="00A2383F"/>
    <w:rsid w:val="00A23898"/>
    <w:rsid w:val="00A23D00"/>
    <w:rsid w:val="00A2514B"/>
    <w:rsid w:val="00A30B5B"/>
    <w:rsid w:val="00A31136"/>
    <w:rsid w:val="00A311B3"/>
    <w:rsid w:val="00A31BB7"/>
    <w:rsid w:val="00A33F09"/>
    <w:rsid w:val="00A34250"/>
    <w:rsid w:val="00A34761"/>
    <w:rsid w:val="00A34B60"/>
    <w:rsid w:val="00A35CB3"/>
    <w:rsid w:val="00A35ED0"/>
    <w:rsid w:val="00A36189"/>
    <w:rsid w:val="00A36427"/>
    <w:rsid w:val="00A37E0D"/>
    <w:rsid w:val="00A37E12"/>
    <w:rsid w:val="00A40365"/>
    <w:rsid w:val="00A40D15"/>
    <w:rsid w:val="00A40D4A"/>
    <w:rsid w:val="00A4297E"/>
    <w:rsid w:val="00A4667D"/>
    <w:rsid w:val="00A46963"/>
    <w:rsid w:val="00A471F0"/>
    <w:rsid w:val="00A47819"/>
    <w:rsid w:val="00A504DC"/>
    <w:rsid w:val="00A50CCA"/>
    <w:rsid w:val="00A51CC8"/>
    <w:rsid w:val="00A52637"/>
    <w:rsid w:val="00A537C7"/>
    <w:rsid w:val="00A542AA"/>
    <w:rsid w:val="00A54B99"/>
    <w:rsid w:val="00A54DFA"/>
    <w:rsid w:val="00A550DE"/>
    <w:rsid w:val="00A555B1"/>
    <w:rsid w:val="00A56407"/>
    <w:rsid w:val="00A56498"/>
    <w:rsid w:val="00A57FCF"/>
    <w:rsid w:val="00A57FFE"/>
    <w:rsid w:val="00A60119"/>
    <w:rsid w:val="00A60399"/>
    <w:rsid w:val="00A6258B"/>
    <w:rsid w:val="00A6440C"/>
    <w:rsid w:val="00A64A33"/>
    <w:rsid w:val="00A66655"/>
    <w:rsid w:val="00A67332"/>
    <w:rsid w:val="00A675B9"/>
    <w:rsid w:val="00A70101"/>
    <w:rsid w:val="00A70BE3"/>
    <w:rsid w:val="00A71364"/>
    <w:rsid w:val="00A727B0"/>
    <w:rsid w:val="00A73954"/>
    <w:rsid w:val="00A741B7"/>
    <w:rsid w:val="00A74BA2"/>
    <w:rsid w:val="00A75916"/>
    <w:rsid w:val="00A75925"/>
    <w:rsid w:val="00A76309"/>
    <w:rsid w:val="00A802CF"/>
    <w:rsid w:val="00A810F1"/>
    <w:rsid w:val="00A8225D"/>
    <w:rsid w:val="00A84525"/>
    <w:rsid w:val="00A84A77"/>
    <w:rsid w:val="00A900A6"/>
    <w:rsid w:val="00A902F0"/>
    <w:rsid w:val="00A90EC1"/>
    <w:rsid w:val="00A912A0"/>
    <w:rsid w:val="00A914DD"/>
    <w:rsid w:val="00A91E61"/>
    <w:rsid w:val="00A925A5"/>
    <w:rsid w:val="00A94957"/>
    <w:rsid w:val="00A94FF4"/>
    <w:rsid w:val="00A978AB"/>
    <w:rsid w:val="00AA07C2"/>
    <w:rsid w:val="00AA1883"/>
    <w:rsid w:val="00AA1EE6"/>
    <w:rsid w:val="00AA2566"/>
    <w:rsid w:val="00AA3334"/>
    <w:rsid w:val="00AA3702"/>
    <w:rsid w:val="00AA4661"/>
    <w:rsid w:val="00AA5575"/>
    <w:rsid w:val="00AA6C11"/>
    <w:rsid w:val="00AA7305"/>
    <w:rsid w:val="00AA75A5"/>
    <w:rsid w:val="00AB0EF0"/>
    <w:rsid w:val="00AB2DB1"/>
    <w:rsid w:val="00AB2F5F"/>
    <w:rsid w:val="00AB4359"/>
    <w:rsid w:val="00AB5092"/>
    <w:rsid w:val="00AB6EFB"/>
    <w:rsid w:val="00AC0034"/>
    <w:rsid w:val="00AC2EE2"/>
    <w:rsid w:val="00AC34E7"/>
    <w:rsid w:val="00AC37E5"/>
    <w:rsid w:val="00AC38D0"/>
    <w:rsid w:val="00AC48F0"/>
    <w:rsid w:val="00AC5831"/>
    <w:rsid w:val="00AC72FA"/>
    <w:rsid w:val="00AD2B55"/>
    <w:rsid w:val="00AD7E06"/>
    <w:rsid w:val="00AE0BFA"/>
    <w:rsid w:val="00AE0DF6"/>
    <w:rsid w:val="00AE1583"/>
    <w:rsid w:val="00AE1B00"/>
    <w:rsid w:val="00AE2262"/>
    <w:rsid w:val="00AE239B"/>
    <w:rsid w:val="00AE2F63"/>
    <w:rsid w:val="00AE329F"/>
    <w:rsid w:val="00AE4184"/>
    <w:rsid w:val="00AE55AD"/>
    <w:rsid w:val="00AF268E"/>
    <w:rsid w:val="00AF3BB6"/>
    <w:rsid w:val="00AF47A7"/>
    <w:rsid w:val="00AF4DB5"/>
    <w:rsid w:val="00AF512C"/>
    <w:rsid w:val="00AF550D"/>
    <w:rsid w:val="00AF5ED2"/>
    <w:rsid w:val="00AF7624"/>
    <w:rsid w:val="00AF7766"/>
    <w:rsid w:val="00AF7BA9"/>
    <w:rsid w:val="00B003CB"/>
    <w:rsid w:val="00B00BAC"/>
    <w:rsid w:val="00B00DC8"/>
    <w:rsid w:val="00B014C9"/>
    <w:rsid w:val="00B016EF"/>
    <w:rsid w:val="00B028B7"/>
    <w:rsid w:val="00B0365A"/>
    <w:rsid w:val="00B0388E"/>
    <w:rsid w:val="00B04199"/>
    <w:rsid w:val="00B049FD"/>
    <w:rsid w:val="00B04CDF"/>
    <w:rsid w:val="00B054B6"/>
    <w:rsid w:val="00B0640B"/>
    <w:rsid w:val="00B06C59"/>
    <w:rsid w:val="00B06C95"/>
    <w:rsid w:val="00B1447A"/>
    <w:rsid w:val="00B172E1"/>
    <w:rsid w:val="00B17926"/>
    <w:rsid w:val="00B17D5F"/>
    <w:rsid w:val="00B21B72"/>
    <w:rsid w:val="00B22D51"/>
    <w:rsid w:val="00B233A1"/>
    <w:rsid w:val="00B2553E"/>
    <w:rsid w:val="00B2606D"/>
    <w:rsid w:val="00B266B3"/>
    <w:rsid w:val="00B2755D"/>
    <w:rsid w:val="00B27DAD"/>
    <w:rsid w:val="00B316E6"/>
    <w:rsid w:val="00B32976"/>
    <w:rsid w:val="00B33002"/>
    <w:rsid w:val="00B33B3E"/>
    <w:rsid w:val="00B346FE"/>
    <w:rsid w:val="00B348DC"/>
    <w:rsid w:val="00B36241"/>
    <w:rsid w:val="00B37B25"/>
    <w:rsid w:val="00B40000"/>
    <w:rsid w:val="00B405F5"/>
    <w:rsid w:val="00B431CB"/>
    <w:rsid w:val="00B4475C"/>
    <w:rsid w:val="00B447E1"/>
    <w:rsid w:val="00B44B1E"/>
    <w:rsid w:val="00B5030E"/>
    <w:rsid w:val="00B51561"/>
    <w:rsid w:val="00B51743"/>
    <w:rsid w:val="00B51959"/>
    <w:rsid w:val="00B51B9F"/>
    <w:rsid w:val="00B53906"/>
    <w:rsid w:val="00B53E65"/>
    <w:rsid w:val="00B55111"/>
    <w:rsid w:val="00B55B41"/>
    <w:rsid w:val="00B60BBF"/>
    <w:rsid w:val="00B61251"/>
    <w:rsid w:val="00B61E58"/>
    <w:rsid w:val="00B63ABF"/>
    <w:rsid w:val="00B642C7"/>
    <w:rsid w:val="00B64A53"/>
    <w:rsid w:val="00B65C1F"/>
    <w:rsid w:val="00B66C6F"/>
    <w:rsid w:val="00B66D26"/>
    <w:rsid w:val="00B706BF"/>
    <w:rsid w:val="00B70D7B"/>
    <w:rsid w:val="00B717FC"/>
    <w:rsid w:val="00B71B51"/>
    <w:rsid w:val="00B74100"/>
    <w:rsid w:val="00B753B4"/>
    <w:rsid w:val="00B7623D"/>
    <w:rsid w:val="00B7650E"/>
    <w:rsid w:val="00B772F6"/>
    <w:rsid w:val="00B772FF"/>
    <w:rsid w:val="00B77906"/>
    <w:rsid w:val="00B8072F"/>
    <w:rsid w:val="00B80F6F"/>
    <w:rsid w:val="00B81B7E"/>
    <w:rsid w:val="00B81E80"/>
    <w:rsid w:val="00B82F67"/>
    <w:rsid w:val="00B8322F"/>
    <w:rsid w:val="00B83362"/>
    <w:rsid w:val="00B833C6"/>
    <w:rsid w:val="00B844FF"/>
    <w:rsid w:val="00B8599C"/>
    <w:rsid w:val="00B86DC5"/>
    <w:rsid w:val="00B870EB"/>
    <w:rsid w:val="00B87772"/>
    <w:rsid w:val="00B87870"/>
    <w:rsid w:val="00B91642"/>
    <w:rsid w:val="00B92730"/>
    <w:rsid w:val="00B93790"/>
    <w:rsid w:val="00B93843"/>
    <w:rsid w:val="00B964C4"/>
    <w:rsid w:val="00B970CF"/>
    <w:rsid w:val="00B97440"/>
    <w:rsid w:val="00BA02D7"/>
    <w:rsid w:val="00BA05A4"/>
    <w:rsid w:val="00BA1274"/>
    <w:rsid w:val="00BA1ECB"/>
    <w:rsid w:val="00BA22BF"/>
    <w:rsid w:val="00BA2597"/>
    <w:rsid w:val="00BA3528"/>
    <w:rsid w:val="00BA3D5A"/>
    <w:rsid w:val="00BA5622"/>
    <w:rsid w:val="00BA5A21"/>
    <w:rsid w:val="00BA7D1D"/>
    <w:rsid w:val="00BA7E60"/>
    <w:rsid w:val="00BB042C"/>
    <w:rsid w:val="00BB10FC"/>
    <w:rsid w:val="00BB1621"/>
    <w:rsid w:val="00BB356D"/>
    <w:rsid w:val="00BB35D5"/>
    <w:rsid w:val="00BB525C"/>
    <w:rsid w:val="00BB53A4"/>
    <w:rsid w:val="00BB6492"/>
    <w:rsid w:val="00BB671B"/>
    <w:rsid w:val="00BB79E6"/>
    <w:rsid w:val="00BB7F9A"/>
    <w:rsid w:val="00BC04FA"/>
    <w:rsid w:val="00BC0AB0"/>
    <w:rsid w:val="00BC1100"/>
    <w:rsid w:val="00BC1611"/>
    <w:rsid w:val="00BC204D"/>
    <w:rsid w:val="00BC2E86"/>
    <w:rsid w:val="00BC43CF"/>
    <w:rsid w:val="00BC4A16"/>
    <w:rsid w:val="00BC5671"/>
    <w:rsid w:val="00BC728F"/>
    <w:rsid w:val="00BC77CA"/>
    <w:rsid w:val="00BD0ADA"/>
    <w:rsid w:val="00BD4EBA"/>
    <w:rsid w:val="00BD6F0E"/>
    <w:rsid w:val="00BD7B24"/>
    <w:rsid w:val="00BE03D5"/>
    <w:rsid w:val="00BE0C1E"/>
    <w:rsid w:val="00BE0E0B"/>
    <w:rsid w:val="00BE1646"/>
    <w:rsid w:val="00BE1696"/>
    <w:rsid w:val="00BE1DB8"/>
    <w:rsid w:val="00BE2159"/>
    <w:rsid w:val="00BE22A1"/>
    <w:rsid w:val="00BE30E7"/>
    <w:rsid w:val="00BE3847"/>
    <w:rsid w:val="00BE434E"/>
    <w:rsid w:val="00BE44ED"/>
    <w:rsid w:val="00BE4D43"/>
    <w:rsid w:val="00BE5303"/>
    <w:rsid w:val="00BE6FBF"/>
    <w:rsid w:val="00BE7041"/>
    <w:rsid w:val="00BE730E"/>
    <w:rsid w:val="00BE75C7"/>
    <w:rsid w:val="00BE76D1"/>
    <w:rsid w:val="00BE7F01"/>
    <w:rsid w:val="00BF014B"/>
    <w:rsid w:val="00BF02BD"/>
    <w:rsid w:val="00BF07A6"/>
    <w:rsid w:val="00BF0D1A"/>
    <w:rsid w:val="00BF17CC"/>
    <w:rsid w:val="00BF2224"/>
    <w:rsid w:val="00BF24C4"/>
    <w:rsid w:val="00BF2DA8"/>
    <w:rsid w:val="00BF3664"/>
    <w:rsid w:val="00BF4800"/>
    <w:rsid w:val="00BF4D60"/>
    <w:rsid w:val="00BF680A"/>
    <w:rsid w:val="00C007F3"/>
    <w:rsid w:val="00C022AD"/>
    <w:rsid w:val="00C02462"/>
    <w:rsid w:val="00C0294E"/>
    <w:rsid w:val="00C03021"/>
    <w:rsid w:val="00C05F0A"/>
    <w:rsid w:val="00C06B36"/>
    <w:rsid w:val="00C07132"/>
    <w:rsid w:val="00C11853"/>
    <w:rsid w:val="00C12734"/>
    <w:rsid w:val="00C12B41"/>
    <w:rsid w:val="00C130AF"/>
    <w:rsid w:val="00C131C5"/>
    <w:rsid w:val="00C13225"/>
    <w:rsid w:val="00C1383C"/>
    <w:rsid w:val="00C1511F"/>
    <w:rsid w:val="00C15261"/>
    <w:rsid w:val="00C1552A"/>
    <w:rsid w:val="00C17109"/>
    <w:rsid w:val="00C17647"/>
    <w:rsid w:val="00C20D02"/>
    <w:rsid w:val="00C21E96"/>
    <w:rsid w:val="00C24E96"/>
    <w:rsid w:val="00C25C85"/>
    <w:rsid w:val="00C262EE"/>
    <w:rsid w:val="00C265ED"/>
    <w:rsid w:val="00C3069B"/>
    <w:rsid w:val="00C3116F"/>
    <w:rsid w:val="00C31A60"/>
    <w:rsid w:val="00C31D00"/>
    <w:rsid w:val="00C32C27"/>
    <w:rsid w:val="00C357DC"/>
    <w:rsid w:val="00C36454"/>
    <w:rsid w:val="00C370EA"/>
    <w:rsid w:val="00C3727B"/>
    <w:rsid w:val="00C42B67"/>
    <w:rsid w:val="00C43224"/>
    <w:rsid w:val="00C46F7A"/>
    <w:rsid w:val="00C47004"/>
    <w:rsid w:val="00C5073E"/>
    <w:rsid w:val="00C50882"/>
    <w:rsid w:val="00C50AD8"/>
    <w:rsid w:val="00C50B03"/>
    <w:rsid w:val="00C50CB7"/>
    <w:rsid w:val="00C50CB9"/>
    <w:rsid w:val="00C51459"/>
    <w:rsid w:val="00C51A51"/>
    <w:rsid w:val="00C525B8"/>
    <w:rsid w:val="00C528C1"/>
    <w:rsid w:val="00C54100"/>
    <w:rsid w:val="00C546F0"/>
    <w:rsid w:val="00C55030"/>
    <w:rsid w:val="00C554BF"/>
    <w:rsid w:val="00C56801"/>
    <w:rsid w:val="00C6178A"/>
    <w:rsid w:val="00C61801"/>
    <w:rsid w:val="00C62A5A"/>
    <w:rsid w:val="00C62EDF"/>
    <w:rsid w:val="00C64B4E"/>
    <w:rsid w:val="00C66788"/>
    <w:rsid w:val="00C67557"/>
    <w:rsid w:val="00C67A0D"/>
    <w:rsid w:val="00C70008"/>
    <w:rsid w:val="00C70745"/>
    <w:rsid w:val="00C71051"/>
    <w:rsid w:val="00C72A44"/>
    <w:rsid w:val="00C73E2C"/>
    <w:rsid w:val="00C7495C"/>
    <w:rsid w:val="00C74FC5"/>
    <w:rsid w:val="00C75676"/>
    <w:rsid w:val="00C77844"/>
    <w:rsid w:val="00C80837"/>
    <w:rsid w:val="00C80ABD"/>
    <w:rsid w:val="00C81221"/>
    <w:rsid w:val="00C820E7"/>
    <w:rsid w:val="00C8388F"/>
    <w:rsid w:val="00C83A3E"/>
    <w:rsid w:val="00C83FC1"/>
    <w:rsid w:val="00C8553B"/>
    <w:rsid w:val="00C86208"/>
    <w:rsid w:val="00C87563"/>
    <w:rsid w:val="00C911A4"/>
    <w:rsid w:val="00C91466"/>
    <w:rsid w:val="00C9444A"/>
    <w:rsid w:val="00CA015A"/>
    <w:rsid w:val="00CA0F15"/>
    <w:rsid w:val="00CA20CC"/>
    <w:rsid w:val="00CA4E44"/>
    <w:rsid w:val="00CA5CA7"/>
    <w:rsid w:val="00CA5DF7"/>
    <w:rsid w:val="00CA7BD7"/>
    <w:rsid w:val="00CA7E7A"/>
    <w:rsid w:val="00CB0F22"/>
    <w:rsid w:val="00CB18E1"/>
    <w:rsid w:val="00CB34A5"/>
    <w:rsid w:val="00CB595C"/>
    <w:rsid w:val="00CB6C4F"/>
    <w:rsid w:val="00CB6CAA"/>
    <w:rsid w:val="00CB7791"/>
    <w:rsid w:val="00CC3FE5"/>
    <w:rsid w:val="00CC578D"/>
    <w:rsid w:val="00CC62CA"/>
    <w:rsid w:val="00CD1989"/>
    <w:rsid w:val="00CD20FF"/>
    <w:rsid w:val="00CD2D5C"/>
    <w:rsid w:val="00CD2F2E"/>
    <w:rsid w:val="00CD36E3"/>
    <w:rsid w:val="00CD3C0F"/>
    <w:rsid w:val="00CD5831"/>
    <w:rsid w:val="00CD5922"/>
    <w:rsid w:val="00CD6AF9"/>
    <w:rsid w:val="00CD7A90"/>
    <w:rsid w:val="00CE04BC"/>
    <w:rsid w:val="00CE0C49"/>
    <w:rsid w:val="00CE1342"/>
    <w:rsid w:val="00CE1663"/>
    <w:rsid w:val="00CE34F0"/>
    <w:rsid w:val="00CE6F05"/>
    <w:rsid w:val="00CE7B4B"/>
    <w:rsid w:val="00CF1308"/>
    <w:rsid w:val="00CF1892"/>
    <w:rsid w:val="00CF3E80"/>
    <w:rsid w:val="00CF4412"/>
    <w:rsid w:val="00CF4A64"/>
    <w:rsid w:val="00CF63BF"/>
    <w:rsid w:val="00D002B1"/>
    <w:rsid w:val="00D029DF"/>
    <w:rsid w:val="00D02B1B"/>
    <w:rsid w:val="00D030A0"/>
    <w:rsid w:val="00D05572"/>
    <w:rsid w:val="00D06BBA"/>
    <w:rsid w:val="00D078A1"/>
    <w:rsid w:val="00D103C8"/>
    <w:rsid w:val="00D10AE1"/>
    <w:rsid w:val="00D122BA"/>
    <w:rsid w:val="00D13447"/>
    <w:rsid w:val="00D135EF"/>
    <w:rsid w:val="00D13BC9"/>
    <w:rsid w:val="00D1508A"/>
    <w:rsid w:val="00D153EC"/>
    <w:rsid w:val="00D15DB7"/>
    <w:rsid w:val="00D16050"/>
    <w:rsid w:val="00D172B9"/>
    <w:rsid w:val="00D1772C"/>
    <w:rsid w:val="00D1773B"/>
    <w:rsid w:val="00D17EB6"/>
    <w:rsid w:val="00D209B2"/>
    <w:rsid w:val="00D20C22"/>
    <w:rsid w:val="00D20F81"/>
    <w:rsid w:val="00D21444"/>
    <w:rsid w:val="00D214D5"/>
    <w:rsid w:val="00D217E9"/>
    <w:rsid w:val="00D22BC2"/>
    <w:rsid w:val="00D23C0F"/>
    <w:rsid w:val="00D24D34"/>
    <w:rsid w:val="00D24E31"/>
    <w:rsid w:val="00D25D04"/>
    <w:rsid w:val="00D260E9"/>
    <w:rsid w:val="00D277E6"/>
    <w:rsid w:val="00D30C9A"/>
    <w:rsid w:val="00D3101D"/>
    <w:rsid w:val="00D322A5"/>
    <w:rsid w:val="00D33D1D"/>
    <w:rsid w:val="00D350BC"/>
    <w:rsid w:val="00D35340"/>
    <w:rsid w:val="00D356E2"/>
    <w:rsid w:val="00D35AE5"/>
    <w:rsid w:val="00D378FE"/>
    <w:rsid w:val="00D417C6"/>
    <w:rsid w:val="00D41D85"/>
    <w:rsid w:val="00D445A1"/>
    <w:rsid w:val="00D44E92"/>
    <w:rsid w:val="00D45032"/>
    <w:rsid w:val="00D46CA2"/>
    <w:rsid w:val="00D50F25"/>
    <w:rsid w:val="00D52198"/>
    <w:rsid w:val="00D52AC5"/>
    <w:rsid w:val="00D52C5A"/>
    <w:rsid w:val="00D540C1"/>
    <w:rsid w:val="00D543A7"/>
    <w:rsid w:val="00D54A00"/>
    <w:rsid w:val="00D556C4"/>
    <w:rsid w:val="00D559AC"/>
    <w:rsid w:val="00D55A74"/>
    <w:rsid w:val="00D56256"/>
    <w:rsid w:val="00D56EAC"/>
    <w:rsid w:val="00D576FA"/>
    <w:rsid w:val="00D57E9C"/>
    <w:rsid w:val="00D6089B"/>
    <w:rsid w:val="00D6266B"/>
    <w:rsid w:val="00D6274B"/>
    <w:rsid w:val="00D62853"/>
    <w:rsid w:val="00D6357F"/>
    <w:rsid w:val="00D65EA9"/>
    <w:rsid w:val="00D66BE3"/>
    <w:rsid w:val="00D66C63"/>
    <w:rsid w:val="00D67175"/>
    <w:rsid w:val="00D700D8"/>
    <w:rsid w:val="00D7040D"/>
    <w:rsid w:val="00D70A1E"/>
    <w:rsid w:val="00D71C4E"/>
    <w:rsid w:val="00D721D9"/>
    <w:rsid w:val="00D72350"/>
    <w:rsid w:val="00D75405"/>
    <w:rsid w:val="00D76607"/>
    <w:rsid w:val="00D76774"/>
    <w:rsid w:val="00D7727B"/>
    <w:rsid w:val="00D77E5E"/>
    <w:rsid w:val="00D803CD"/>
    <w:rsid w:val="00D80586"/>
    <w:rsid w:val="00D81D43"/>
    <w:rsid w:val="00D820D8"/>
    <w:rsid w:val="00D8538E"/>
    <w:rsid w:val="00D86A5D"/>
    <w:rsid w:val="00D8749B"/>
    <w:rsid w:val="00D8780C"/>
    <w:rsid w:val="00D901B3"/>
    <w:rsid w:val="00D91070"/>
    <w:rsid w:val="00D917AE"/>
    <w:rsid w:val="00D95823"/>
    <w:rsid w:val="00D97E56"/>
    <w:rsid w:val="00DA0223"/>
    <w:rsid w:val="00DA05E2"/>
    <w:rsid w:val="00DA0D66"/>
    <w:rsid w:val="00DA0FD2"/>
    <w:rsid w:val="00DA1C73"/>
    <w:rsid w:val="00DA3209"/>
    <w:rsid w:val="00DA3E39"/>
    <w:rsid w:val="00DA4DAA"/>
    <w:rsid w:val="00DA5C34"/>
    <w:rsid w:val="00DA6CD9"/>
    <w:rsid w:val="00DB2EDD"/>
    <w:rsid w:val="00DB6C43"/>
    <w:rsid w:val="00DB74E0"/>
    <w:rsid w:val="00DC154E"/>
    <w:rsid w:val="00DC24CA"/>
    <w:rsid w:val="00DC3546"/>
    <w:rsid w:val="00DC46D7"/>
    <w:rsid w:val="00DC5764"/>
    <w:rsid w:val="00DC5B8C"/>
    <w:rsid w:val="00DC6759"/>
    <w:rsid w:val="00DC6A89"/>
    <w:rsid w:val="00DC6EEA"/>
    <w:rsid w:val="00DC6F6F"/>
    <w:rsid w:val="00DD0363"/>
    <w:rsid w:val="00DD08CB"/>
    <w:rsid w:val="00DD247A"/>
    <w:rsid w:val="00DD2775"/>
    <w:rsid w:val="00DD4FC1"/>
    <w:rsid w:val="00DD5955"/>
    <w:rsid w:val="00DD5E31"/>
    <w:rsid w:val="00DD6B8D"/>
    <w:rsid w:val="00DD7F0D"/>
    <w:rsid w:val="00DE011D"/>
    <w:rsid w:val="00DE186F"/>
    <w:rsid w:val="00DE28F6"/>
    <w:rsid w:val="00DE37D9"/>
    <w:rsid w:val="00DE44E7"/>
    <w:rsid w:val="00DE4F3E"/>
    <w:rsid w:val="00DE6A64"/>
    <w:rsid w:val="00DE7361"/>
    <w:rsid w:val="00DE7830"/>
    <w:rsid w:val="00DE7A51"/>
    <w:rsid w:val="00DF0BAB"/>
    <w:rsid w:val="00DF19AE"/>
    <w:rsid w:val="00DF1D67"/>
    <w:rsid w:val="00DF26D2"/>
    <w:rsid w:val="00DF42FC"/>
    <w:rsid w:val="00DF4750"/>
    <w:rsid w:val="00DF59DC"/>
    <w:rsid w:val="00DF715A"/>
    <w:rsid w:val="00DF7C5F"/>
    <w:rsid w:val="00E00D68"/>
    <w:rsid w:val="00E03286"/>
    <w:rsid w:val="00E04F74"/>
    <w:rsid w:val="00E0506D"/>
    <w:rsid w:val="00E066B6"/>
    <w:rsid w:val="00E072EF"/>
    <w:rsid w:val="00E11BF3"/>
    <w:rsid w:val="00E1210E"/>
    <w:rsid w:val="00E12B9C"/>
    <w:rsid w:val="00E13DBE"/>
    <w:rsid w:val="00E16395"/>
    <w:rsid w:val="00E16995"/>
    <w:rsid w:val="00E17D78"/>
    <w:rsid w:val="00E202D6"/>
    <w:rsid w:val="00E20944"/>
    <w:rsid w:val="00E224FA"/>
    <w:rsid w:val="00E22EE6"/>
    <w:rsid w:val="00E23146"/>
    <w:rsid w:val="00E23A6D"/>
    <w:rsid w:val="00E24CE0"/>
    <w:rsid w:val="00E30AF6"/>
    <w:rsid w:val="00E31D08"/>
    <w:rsid w:val="00E31E30"/>
    <w:rsid w:val="00E35399"/>
    <w:rsid w:val="00E35D69"/>
    <w:rsid w:val="00E37146"/>
    <w:rsid w:val="00E427FF"/>
    <w:rsid w:val="00E47D60"/>
    <w:rsid w:val="00E50D47"/>
    <w:rsid w:val="00E51048"/>
    <w:rsid w:val="00E52413"/>
    <w:rsid w:val="00E53C58"/>
    <w:rsid w:val="00E53E40"/>
    <w:rsid w:val="00E551EC"/>
    <w:rsid w:val="00E55B4E"/>
    <w:rsid w:val="00E56378"/>
    <w:rsid w:val="00E56C5F"/>
    <w:rsid w:val="00E57654"/>
    <w:rsid w:val="00E57E5B"/>
    <w:rsid w:val="00E60F17"/>
    <w:rsid w:val="00E62108"/>
    <w:rsid w:val="00E62AF4"/>
    <w:rsid w:val="00E63020"/>
    <w:rsid w:val="00E64021"/>
    <w:rsid w:val="00E662CE"/>
    <w:rsid w:val="00E67466"/>
    <w:rsid w:val="00E67EC1"/>
    <w:rsid w:val="00E70B6F"/>
    <w:rsid w:val="00E71105"/>
    <w:rsid w:val="00E7115E"/>
    <w:rsid w:val="00E7118E"/>
    <w:rsid w:val="00E7284D"/>
    <w:rsid w:val="00E73343"/>
    <w:rsid w:val="00E75754"/>
    <w:rsid w:val="00E81185"/>
    <w:rsid w:val="00E81373"/>
    <w:rsid w:val="00E81761"/>
    <w:rsid w:val="00E85EC8"/>
    <w:rsid w:val="00E87E89"/>
    <w:rsid w:val="00E928D2"/>
    <w:rsid w:val="00E94009"/>
    <w:rsid w:val="00E94075"/>
    <w:rsid w:val="00E9425C"/>
    <w:rsid w:val="00E95F03"/>
    <w:rsid w:val="00E979A2"/>
    <w:rsid w:val="00E97B42"/>
    <w:rsid w:val="00EA0861"/>
    <w:rsid w:val="00EA1144"/>
    <w:rsid w:val="00EA1B5D"/>
    <w:rsid w:val="00EA351F"/>
    <w:rsid w:val="00EA3C2C"/>
    <w:rsid w:val="00EA5006"/>
    <w:rsid w:val="00EA7008"/>
    <w:rsid w:val="00EA70C4"/>
    <w:rsid w:val="00EA7F49"/>
    <w:rsid w:val="00EB0CFB"/>
    <w:rsid w:val="00EB2311"/>
    <w:rsid w:val="00EB2F70"/>
    <w:rsid w:val="00EB444F"/>
    <w:rsid w:val="00EB48A7"/>
    <w:rsid w:val="00EB4BC3"/>
    <w:rsid w:val="00EB5D21"/>
    <w:rsid w:val="00EB73EB"/>
    <w:rsid w:val="00EB759B"/>
    <w:rsid w:val="00EC1153"/>
    <w:rsid w:val="00EC13EA"/>
    <w:rsid w:val="00EC1819"/>
    <w:rsid w:val="00EC22D7"/>
    <w:rsid w:val="00EC39F1"/>
    <w:rsid w:val="00EC4803"/>
    <w:rsid w:val="00EC5045"/>
    <w:rsid w:val="00EC6D86"/>
    <w:rsid w:val="00EC6DD8"/>
    <w:rsid w:val="00EC7772"/>
    <w:rsid w:val="00EC7B0F"/>
    <w:rsid w:val="00ED003D"/>
    <w:rsid w:val="00ED098B"/>
    <w:rsid w:val="00ED0E6B"/>
    <w:rsid w:val="00ED33DD"/>
    <w:rsid w:val="00ED3989"/>
    <w:rsid w:val="00ED3A37"/>
    <w:rsid w:val="00ED3B7E"/>
    <w:rsid w:val="00ED5AC9"/>
    <w:rsid w:val="00ED62DD"/>
    <w:rsid w:val="00ED650E"/>
    <w:rsid w:val="00ED79A4"/>
    <w:rsid w:val="00EE1BE9"/>
    <w:rsid w:val="00EE4B2E"/>
    <w:rsid w:val="00EE5148"/>
    <w:rsid w:val="00EE5439"/>
    <w:rsid w:val="00EE6DD6"/>
    <w:rsid w:val="00EF031A"/>
    <w:rsid w:val="00EF1240"/>
    <w:rsid w:val="00EF1C93"/>
    <w:rsid w:val="00EF1F4F"/>
    <w:rsid w:val="00EF20BC"/>
    <w:rsid w:val="00EF4469"/>
    <w:rsid w:val="00EF561E"/>
    <w:rsid w:val="00EF5A32"/>
    <w:rsid w:val="00EF711D"/>
    <w:rsid w:val="00F00601"/>
    <w:rsid w:val="00F00E95"/>
    <w:rsid w:val="00F01429"/>
    <w:rsid w:val="00F0208F"/>
    <w:rsid w:val="00F02C3C"/>
    <w:rsid w:val="00F0601E"/>
    <w:rsid w:val="00F06932"/>
    <w:rsid w:val="00F0698B"/>
    <w:rsid w:val="00F07720"/>
    <w:rsid w:val="00F077CF"/>
    <w:rsid w:val="00F1103B"/>
    <w:rsid w:val="00F118A6"/>
    <w:rsid w:val="00F11C02"/>
    <w:rsid w:val="00F126CC"/>
    <w:rsid w:val="00F12EAB"/>
    <w:rsid w:val="00F13019"/>
    <w:rsid w:val="00F1476D"/>
    <w:rsid w:val="00F1483E"/>
    <w:rsid w:val="00F1492D"/>
    <w:rsid w:val="00F14995"/>
    <w:rsid w:val="00F15148"/>
    <w:rsid w:val="00F17604"/>
    <w:rsid w:val="00F17F58"/>
    <w:rsid w:val="00F2063D"/>
    <w:rsid w:val="00F20E4D"/>
    <w:rsid w:val="00F2278D"/>
    <w:rsid w:val="00F22B06"/>
    <w:rsid w:val="00F23178"/>
    <w:rsid w:val="00F25BF3"/>
    <w:rsid w:val="00F2655F"/>
    <w:rsid w:val="00F27C2A"/>
    <w:rsid w:val="00F3202C"/>
    <w:rsid w:val="00F32341"/>
    <w:rsid w:val="00F329C3"/>
    <w:rsid w:val="00F32A48"/>
    <w:rsid w:val="00F33191"/>
    <w:rsid w:val="00F346FA"/>
    <w:rsid w:val="00F34F36"/>
    <w:rsid w:val="00F366AE"/>
    <w:rsid w:val="00F40053"/>
    <w:rsid w:val="00F40086"/>
    <w:rsid w:val="00F40AC2"/>
    <w:rsid w:val="00F41A47"/>
    <w:rsid w:val="00F429CA"/>
    <w:rsid w:val="00F43B2D"/>
    <w:rsid w:val="00F45210"/>
    <w:rsid w:val="00F4566C"/>
    <w:rsid w:val="00F45DB0"/>
    <w:rsid w:val="00F4699C"/>
    <w:rsid w:val="00F46A99"/>
    <w:rsid w:val="00F52B0F"/>
    <w:rsid w:val="00F52EBD"/>
    <w:rsid w:val="00F5308A"/>
    <w:rsid w:val="00F53697"/>
    <w:rsid w:val="00F53BD2"/>
    <w:rsid w:val="00F53DA2"/>
    <w:rsid w:val="00F54EEA"/>
    <w:rsid w:val="00F54F60"/>
    <w:rsid w:val="00F557C5"/>
    <w:rsid w:val="00F56C5F"/>
    <w:rsid w:val="00F56D9D"/>
    <w:rsid w:val="00F5720D"/>
    <w:rsid w:val="00F57BAC"/>
    <w:rsid w:val="00F603C4"/>
    <w:rsid w:val="00F60816"/>
    <w:rsid w:val="00F6154E"/>
    <w:rsid w:val="00F61D70"/>
    <w:rsid w:val="00F64899"/>
    <w:rsid w:val="00F64CC8"/>
    <w:rsid w:val="00F65293"/>
    <w:rsid w:val="00F66FB4"/>
    <w:rsid w:val="00F71483"/>
    <w:rsid w:val="00F71636"/>
    <w:rsid w:val="00F72E15"/>
    <w:rsid w:val="00F73D0E"/>
    <w:rsid w:val="00F753F5"/>
    <w:rsid w:val="00F76E5B"/>
    <w:rsid w:val="00F77C18"/>
    <w:rsid w:val="00F8358E"/>
    <w:rsid w:val="00F84538"/>
    <w:rsid w:val="00F8480F"/>
    <w:rsid w:val="00F851F3"/>
    <w:rsid w:val="00F85B03"/>
    <w:rsid w:val="00F85C04"/>
    <w:rsid w:val="00F85DA5"/>
    <w:rsid w:val="00F8741A"/>
    <w:rsid w:val="00F900DD"/>
    <w:rsid w:val="00F902D3"/>
    <w:rsid w:val="00F90F52"/>
    <w:rsid w:val="00F912FE"/>
    <w:rsid w:val="00F92C93"/>
    <w:rsid w:val="00F93940"/>
    <w:rsid w:val="00F94124"/>
    <w:rsid w:val="00F9565B"/>
    <w:rsid w:val="00F96D75"/>
    <w:rsid w:val="00F96F29"/>
    <w:rsid w:val="00FA003A"/>
    <w:rsid w:val="00FA2E59"/>
    <w:rsid w:val="00FA3FAA"/>
    <w:rsid w:val="00FA7864"/>
    <w:rsid w:val="00FB03C2"/>
    <w:rsid w:val="00FB07B0"/>
    <w:rsid w:val="00FB19C2"/>
    <w:rsid w:val="00FB1E06"/>
    <w:rsid w:val="00FB2719"/>
    <w:rsid w:val="00FB2BB4"/>
    <w:rsid w:val="00FB3CDF"/>
    <w:rsid w:val="00FB571B"/>
    <w:rsid w:val="00FB727A"/>
    <w:rsid w:val="00FC00B2"/>
    <w:rsid w:val="00FC14C0"/>
    <w:rsid w:val="00FC1566"/>
    <w:rsid w:val="00FC1857"/>
    <w:rsid w:val="00FC1A3E"/>
    <w:rsid w:val="00FC3691"/>
    <w:rsid w:val="00FC4A4E"/>
    <w:rsid w:val="00FC5063"/>
    <w:rsid w:val="00FC51B0"/>
    <w:rsid w:val="00FC524D"/>
    <w:rsid w:val="00FC5B7D"/>
    <w:rsid w:val="00FC5D2F"/>
    <w:rsid w:val="00FC79DC"/>
    <w:rsid w:val="00FD00B2"/>
    <w:rsid w:val="00FD2973"/>
    <w:rsid w:val="00FD46C7"/>
    <w:rsid w:val="00FD4C8F"/>
    <w:rsid w:val="00FD5BF4"/>
    <w:rsid w:val="00FD73CC"/>
    <w:rsid w:val="00FE1C2F"/>
    <w:rsid w:val="00FE2667"/>
    <w:rsid w:val="00FE34B6"/>
    <w:rsid w:val="00FE3FE9"/>
    <w:rsid w:val="00FE4DDC"/>
    <w:rsid w:val="00FF19B5"/>
    <w:rsid w:val="00FF1ABF"/>
    <w:rsid w:val="00FF1D1D"/>
    <w:rsid w:val="00FF33B5"/>
    <w:rsid w:val="00FF3BE6"/>
    <w:rsid w:val="00FF417F"/>
    <w:rsid w:val="00FF47C8"/>
    <w:rsid w:val="00FF486E"/>
    <w:rsid w:val="00FF4E1F"/>
    <w:rsid w:val="00FF6D2B"/>
    <w:rsid w:val="00FF70E1"/>
    <w:rsid w:val="00FF7CA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FF6DD2C"/>
  <w15:docId w15:val="{DA5603D1-3C16-4DDE-9424-67A650D0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240" w:after="120"/>
        <w:ind w:left="1021" w:hanging="102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5"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E03CD"/>
    <w:pPr>
      <w:spacing w:after="0"/>
      <w:ind w:left="0" w:firstLine="0"/>
    </w:pPr>
    <w:rPr>
      <w:rFonts w:ascii="Calibri" w:hAnsi="Calibri"/>
    </w:rPr>
  </w:style>
  <w:style w:type="paragraph" w:styleId="Heading1">
    <w:name w:val="heading 1"/>
    <w:basedOn w:val="Normal"/>
    <w:next w:val="BodyText"/>
    <w:uiPriority w:val="9"/>
    <w:qFormat/>
    <w:rsid w:val="00DE011D"/>
    <w:pPr>
      <w:keepNext/>
      <w:keepLines/>
      <w:spacing w:after="120" w:line="400" w:lineRule="atLeast"/>
      <w:outlineLvl w:val="0"/>
    </w:pPr>
    <w:rPr>
      <w:rFonts w:ascii="Cambria" w:eastAsiaTheme="majorEastAsia" w:hAnsi="Cambria" w:cstheme="majorBidi"/>
      <w:bCs/>
      <w:color w:val="00728F"/>
      <w:sz w:val="36"/>
      <w:szCs w:val="28"/>
    </w:rPr>
  </w:style>
  <w:style w:type="paragraph" w:styleId="Heading2">
    <w:name w:val="heading 2"/>
    <w:basedOn w:val="Normal"/>
    <w:next w:val="BodyText"/>
    <w:link w:val="Heading2Char"/>
    <w:uiPriority w:val="9"/>
    <w:qFormat/>
    <w:rsid w:val="00F3202C"/>
    <w:pPr>
      <w:keepNext/>
      <w:keepLines/>
      <w:spacing w:after="200" w:line="280" w:lineRule="atLeast"/>
      <w:outlineLvl w:val="1"/>
    </w:pPr>
    <w:rPr>
      <w:rFonts w:ascii="Cambria" w:eastAsiaTheme="majorEastAsia" w:hAnsi="Cambria" w:cstheme="majorBidi"/>
      <w:bCs/>
      <w:color w:val="00728F"/>
      <w:sz w:val="26"/>
      <w:szCs w:val="26"/>
    </w:rPr>
  </w:style>
  <w:style w:type="paragraph" w:styleId="Heading3">
    <w:name w:val="heading 3"/>
    <w:basedOn w:val="Normal"/>
    <w:next w:val="BodyText"/>
    <w:uiPriority w:val="9"/>
    <w:qFormat/>
    <w:rsid w:val="004E1F67"/>
    <w:pPr>
      <w:keepNext/>
      <w:keepLines/>
      <w:spacing w:before="200" w:after="120"/>
      <w:outlineLvl w:val="2"/>
    </w:pPr>
    <w:rPr>
      <w:rFonts w:ascii="Cambria" w:eastAsiaTheme="majorEastAsia" w:hAnsi="Cambria" w:cstheme="majorBidi"/>
      <w:b/>
      <w:bCs/>
      <w:color w:val="00728F"/>
    </w:rPr>
  </w:style>
  <w:style w:type="paragraph" w:styleId="Heading4">
    <w:name w:val="heading 4"/>
    <w:basedOn w:val="Normal"/>
    <w:next w:val="BodyText"/>
    <w:uiPriority w:val="9"/>
    <w:qFormat/>
    <w:rsid w:val="004E1F67"/>
    <w:pPr>
      <w:keepNext/>
      <w:keepLines/>
      <w:spacing w:before="200" w:after="120"/>
      <w:outlineLvl w:val="3"/>
    </w:pPr>
    <w:rPr>
      <w:rFonts w:ascii="Cambria" w:eastAsiaTheme="majorEastAsia" w:hAnsi="Cambria" w:cstheme="majorBidi"/>
      <w:b/>
      <w:bCs/>
      <w:iCs/>
    </w:rPr>
  </w:style>
  <w:style w:type="paragraph" w:styleId="Heading5">
    <w:name w:val="heading 5"/>
    <w:basedOn w:val="Normal"/>
    <w:next w:val="BodyText"/>
    <w:uiPriority w:val="9"/>
    <w:qFormat/>
    <w:rsid w:val="004E1F67"/>
    <w:pPr>
      <w:keepNext/>
      <w:keepLines/>
      <w:spacing w:before="200" w:after="120"/>
      <w:outlineLvl w:val="4"/>
    </w:pPr>
    <w:rPr>
      <w:rFonts w:ascii="Cambria" w:eastAsiaTheme="majorEastAsia" w:hAnsi="Cambria" w:cstheme="majorBidi"/>
    </w:rPr>
  </w:style>
  <w:style w:type="paragraph" w:styleId="Heading6">
    <w:name w:val="heading 6"/>
    <w:basedOn w:val="Normal"/>
    <w:next w:val="Normal"/>
    <w:uiPriority w:val="9"/>
    <w:semiHidden/>
    <w:unhideWhenUsed/>
    <w:qFormat/>
    <w:rsid w:val="00A0420F"/>
    <w:pPr>
      <w:keepNext/>
      <w:keepLines/>
      <w:numPr>
        <w:ilvl w:val="5"/>
        <w:numId w:val="20"/>
      </w:numPr>
      <w:spacing w:before="200"/>
      <w:outlineLvl w:val="5"/>
    </w:pPr>
    <w:rPr>
      <w:rFonts w:asciiTheme="majorHAnsi" w:eastAsiaTheme="majorEastAsia" w:hAnsiTheme="majorHAnsi" w:cstheme="majorBidi"/>
      <w:i/>
      <w:iCs/>
      <w:color w:val="003847" w:themeColor="accent1" w:themeShade="7F"/>
    </w:rPr>
  </w:style>
  <w:style w:type="paragraph" w:styleId="Heading7">
    <w:name w:val="heading 7"/>
    <w:basedOn w:val="Normal"/>
    <w:next w:val="Normal"/>
    <w:uiPriority w:val="9"/>
    <w:semiHidden/>
    <w:unhideWhenUsed/>
    <w:qFormat/>
    <w:rsid w:val="00A0420F"/>
    <w:pPr>
      <w:keepNext/>
      <w:keepLines/>
      <w:numPr>
        <w:ilvl w:val="6"/>
        <w:numId w:val="20"/>
      </w:numPr>
      <w:spacing w:before="200"/>
      <w:outlineLvl w:val="6"/>
    </w:pPr>
    <w:rPr>
      <w:rFonts w:asciiTheme="majorHAnsi" w:eastAsiaTheme="majorEastAsia" w:hAnsiTheme="majorHAnsi" w:cstheme="majorBidi"/>
      <w:i/>
      <w:iCs/>
      <w:color w:val="00BBEB" w:themeColor="text1" w:themeTint="BF"/>
    </w:rPr>
  </w:style>
  <w:style w:type="paragraph" w:styleId="Heading8">
    <w:name w:val="heading 8"/>
    <w:basedOn w:val="Normal"/>
    <w:next w:val="Normal"/>
    <w:uiPriority w:val="9"/>
    <w:semiHidden/>
    <w:unhideWhenUsed/>
    <w:qFormat/>
    <w:rsid w:val="00A0420F"/>
    <w:pPr>
      <w:keepNext/>
      <w:keepLines/>
      <w:numPr>
        <w:ilvl w:val="7"/>
        <w:numId w:val="20"/>
      </w:numPr>
      <w:spacing w:before="200"/>
      <w:outlineLvl w:val="7"/>
    </w:pPr>
    <w:rPr>
      <w:rFonts w:asciiTheme="majorHAnsi" w:eastAsiaTheme="majorEastAsia" w:hAnsiTheme="majorHAnsi" w:cstheme="majorBidi"/>
      <w:color w:val="00BBEB" w:themeColor="text1" w:themeTint="BF"/>
      <w:sz w:val="20"/>
      <w:szCs w:val="20"/>
    </w:rPr>
  </w:style>
  <w:style w:type="paragraph" w:styleId="Heading9">
    <w:name w:val="heading 9"/>
    <w:basedOn w:val="Normal"/>
    <w:next w:val="Normal"/>
    <w:uiPriority w:val="9"/>
    <w:semiHidden/>
    <w:unhideWhenUsed/>
    <w:qFormat/>
    <w:rsid w:val="00A0420F"/>
    <w:pPr>
      <w:keepNext/>
      <w:keepLines/>
      <w:numPr>
        <w:ilvl w:val="8"/>
        <w:numId w:val="20"/>
      </w:numPr>
      <w:spacing w:before="200"/>
      <w:outlineLvl w:val="8"/>
    </w:pPr>
    <w:rPr>
      <w:rFonts w:asciiTheme="majorHAnsi" w:eastAsiaTheme="majorEastAsia" w:hAnsiTheme="majorHAnsi" w:cstheme="majorBidi"/>
      <w:i/>
      <w:iCs/>
      <w:color w:val="00BBE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5622"/>
    <w:pPr>
      <w:spacing w:after="240"/>
    </w:pPr>
  </w:style>
  <w:style w:type="paragraph" w:customStyle="1" w:styleId="Titleheading">
    <w:name w:val="Title heading"/>
    <w:basedOn w:val="Normal"/>
    <w:next w:val="BodyText"/>
    <w:uiPriority w:val="15"/>
    <w:qFormat/>
    <w:rsid w:val="00DF59DC"/>
    <w:pPr>
      <w:spacing w:before="480" w:after="360" w:line="440" w:lineRule="atLeast"/>
    </w:pPr>
    <w:rPr>
      <w:rFonts w:ascii="Cambria" w:hAnsi="Cambria"/>
      <w:b/>
      <w:color w:val="00728F"/>
      <w:sz w:val="44"/>
    </w:rPr>
  </w:style>
  <w:style w:type="paragraph" w:customStyle="1" w:styleId="Tablecellheading">
    <w:name w:val="Table cell heading"/>
    <w:basedOn w:val="Tabletext"/>
    <w:uiPriority w:val="12"/>
    <w:qFormat/>
    <w:rsid w:val="009B32C8"/>
    <w:pPr>
      <w:keepNext/>
    </w:pPr>
    <w:rPr>
      <w:bCs/>
      <w:color w:val="FFFFFF"/>
    </w:rPr>
  </w:style>
  <w:style w:type="paragraph" w:customStyle="1" w:styleId="Tabletext">
    <w:name w:val="Table text"/>
    <w:basedOn w:val="BodyText"/>
    <w:uiPriority w:val="12"/>
    <w:qFormat/>
    <w:rsid w:val="00763CB1"/>
    <w:pPr>
      <w:spacing w:before="120" w:after="120"/>
    </w:pPr>
    <w:rPr>
      <w:rFonts w:eastAsia="Calibri" w:cs="Times New Roman"/>
      <w:sz w:val="21"/>
      <w:lang w:eastAsia="en-AU"/>
    </w:rPr>
  </w:style>
  <w:style w:type="paragraph" w:styleId="Caption">
    <w:name w:val="caption"/>
    <w:basedOn w:val="Normal"/>
    <w:next w:val="Normal"/>
    <w:uiPriority w:val="35"/>
    <w:semiHidden/>
    <w:qFormat/>
    <w:rsid w:val="0052764B"/>
    <w:pPr>
      <w:tabs>
        <w:tab w:val="left" w:pos="1021"/>
      </w:tabs>
      <w:spacing w:after="120"/>
      <w:ind w:left="1021" w:hanging="1021"/>
    </w:pPr>
    <w:rPr>
      <w:b/>
      <w:bCs/>
      <w:color w:val="00728F"/>
      <w:sz w:val="18"/>
      <w:szCs w:val="18"/>
    </w:rPr>
  </w:style>
  <w:style w:type="paragraph" w:customStyle="1" w:styleId="Tablecaption">
    <w:name w:val="Table caption"/>
    <w:basedOn w:val="Caption"/>
    <w:next w:val="Tabledescription"/>
    <w:uiPriority w:val="11"/>
    <w:qFormat/>
    <w:rsid w:val="00CE04BC"/>
    <w:pPr>
      <w:keepNext/>
    </w:pPr>
  </w:style>
  <w:style w:type="character" w:styleId="Strong">
    <w:name w:val="Strong"/>
    <w:basedOn w:val="DefaultParagraphFont"/>
    <w:uiPriority w:val="22"/>
    <w:qFormat/>
    <w:rsid w:val="00BF014B"/>
    <w:rPr>
      <w:b/>
      <w:bCs/>
    </w:rPr>
  </w:style>
  <w:style w:type="paragraph" w:styleId="BalloonText">
    <w:name w:val="Balloon Text"/>
    <w:basedOn w:val="Normal"/>
    <w:uiPriority w:val="99"/>
    <w:semiHidden/>
    <w:rsid w:val="00A66655"/>
    <w:rPr>
      <w:rFonts w:ascii="Tahoma" w:hAnsi="Tahoma" w:cs="Tahoma"/>
      <w:sz w:val="16"/>
      <w:szCs w:val="16"/>
    </w:rPr>
  </w:style>
  <w:style w:type="character" w:styleId="Hyperlink">
    <w:name w:val="Hyperlink"/>
    <w:basedOn w:val="DefaultParagraphFont"/>
    <w:uiPriority w:val="99"/>
    <w:unhideWhenUsed/>
    <w:rsid w:val="00A66655"/>
    <w:rPr>
      <w:color w:val="0000FF" w:themeColor="hyperlink"/>
      <w:u w:val="single"/>
    </w:rPr>
  </w:style>
  <w:style w:type="paragraph" w:customStyle="1" w:styleId="Tablebullet-Level1">
    <w:name w:val="Table bullet - Level 1"/>
    <w:basedOn w:val="Tabletext"/>
    <w:uiPriority w:val="13"/>
    <w:qFormat/>
    <w:rsid w:val="0068566E"/>
    <w:pPr>
      <w:numPr>
        <w:numId w:val="12"/>
      </w:numPr>
    </w:pPr>
  </w:style>
  <w:style w:type="paragraph" w:customStyle="1" w:styleId="Tabledescription">
    <w:name w:val="Table description"/>
    <w:basedOn w:val="Tablecaption"/>
    <w:uiPriority w:val="11"/>
    <w:qFormat/>
    <w:rsid w:val="0052764B"/>
    <w:pPr>
      <w:tabs>
        <w:tab w:val="clear" w:pos="1021"/>
      </w:tabs>
      <w:spacing w:before="120" w:after="240"/>
      <w:ind w:firstLine="0"/>
    </w:pPr>
    <w:rPr>
      <w:b w:val="0"/>
      <w:color w:val="auto"/>
    </w:rPr>
  </w:style>
  <w:style w:type="paragraph" w:customStyle="1" w:styleId="Endmatter-Heading1">
    <w:name w:val="End matter - Heading 1"/>
    <w:basedOn w:val="Heading1"/>
    <w:next w:val="BodyText"/>
    <w:uiPriority w:val="19"/>
    <w:qFormat/>
    <w:rsid w:val="007E77FD"/>
    <w:pPr>
      <w:pageBreakBefore/>
      <w:numPr>
        <w:numId w:val="22"/>
      </w:numPr>
    </w:pPr>
  </w:style>
  <w:style w:type="paragraph" w:styleId="TOCHeading">
    <w:name w:val="TOC Heading"/>
    <w:basedOn w:val="Heading1"/>
    <w:next w:val="BodyText"/>
    <w:uiPriority w:val="39"/>
    <w:qFormat/>
    <w:rsid w:val="001435DB"/>
    <w:pPr>
      <w:spacing w:after="360"/>
      <w:outlineLvl w:val="9"/>
    </w:pPr>
  </w:style>
  <w:style w:type="paragraph" w:styleId="TOC1">
    <w:name w:val="toc 1"/>
    <w:basedOn w:val="Normal"/>
    <w:next w:val="Normal"/>
    <w:autoRedefine/>
    <w:uiPriority w:val="39"/>
    <w:qFormat/>
    <w:rsid w:val="00545856"/>
    <w:pPr>
      <w:tabs>
        <w:tab w:val="left" w:pos="567"/>
        <w:tab w:val="right" w:leader="dot" w:pos="9029"/>
      </w:tabs>
      <w:spacing w:before="120" w:after="100"/>
      <w:ind w:left="567" w:right="662" w:hanging="567"/>
    </w:pPr>
    <w:rPr>
      <w:noProof/>
      <w:color w:val="00728F"/>
      <w:sz w:val="24"/>
    </w:rPr>
  </w:style>
  <w:style w:type="paragraph" w:styleId="TOC2">
    <w:name w:val="toc 2"/>
    <w:basedOn w:val="Normal"/>
    <w:next w:val="Normal"/>
    <w:autoRedefine/>
    <w:uiPriority w:val="39"/>
    <w:qFormat/>
    <w:rsid w:val="007F1920"/>
    <w:pPr>
      <w:tabs>
        <w:tab w:val="left" w:pos="1134"/>
        <w:tab w:val="right" w:leader="dot" w:pos="9029"/>
      </w:tabs>
      <w:spacing w:before="0" w:after="100"/>
      <w:ind w:left="1134" w:right="379" w:hanging="567"/>
    </w:pPr>
  </w:style>
  <w:style w:type="paragraph" w:styleId="TOC3">
    <w:name w:val="toc 3"/>
    <w:basedOn w:val="Normal"/>
    <w:next w:val="Normal"/>
    <w:autoRedefine/>
    <w:uiPriority w:val="39"/>
    <w:qFormat/>
    <w:rsid w:val="00D556C4"/>
    <w:pPr>
      <w:tabs>
        <w:tab w:val="right" w:leader="dot" w:pos="9016"/>
      </w:tabs>
      <w:spacing w:before="0" w:after="100"/>
      <w:ind w:left="440"/>
    </w:pPr>
  </w:style>
  <w:style w:type="paragraph" w:customStyle="1" w:styleId="Titlesub-heading">
    <w:name w:val="Title sub-heading"/>
    <w:basedOn w:val="Normal"/>
    <w:next w:val="BodyText"/>
    <w:uiPriority w:val="15"/>
    <w:qFormat/>
    <w:rsid w:val="003C3B40"/>
    <w:pPr>
      <w:spacing w:after="120" w:line="440" w:lineRule="atLeast"/>
      <w:contextualSpacing/>
    </w:pPr>
    <w:rPr>
      <w:rFonts w:ascii="Cambria" w:eastAsiaTheme="majorEastAsia" w:hAnsi="Cambria" w:cstheme="majorBidi"/>
      <w:color w:val="00728F"/>
      <w:kern w:val="28"/>
      <w:sz w:val="36"/>
      <w:szCs w:val="52"/>
    </w:rPr>
  </w:style>
  <w:style w:type="paragraph" w:customStyle="1" w:styleId="Endmatter-Heading2">
    <w:name w:val="End matter - Heading 2"/>
    <w:basedOn w:val="Heading2"/>
    <w:next w:val="BodyText"/>
    <w:uiPriority w:val="19"/>
    <w:qFormat/>
    <w:rsid w:val="007E77FD"/>
    <w:pPr>
      <w:ind w:left="907" w:hanging="907"/>
    </w:pPr>
  </w:style>
  <w:style w:type="paragraph" w:styleId="Header">
    <w:name w:val="header"/>
    <w:basedOn w:val="Normal"/>
    <w:link w:val="HeaderChar"/>
    <w:rsid w:val="00DE011D"/>
    <w:pPr>
      <w:tabs>
        <w:tab w:val="center" w:pos="4513"/>
        <w:tab w:val="right" w:pos="9026"/>
      </w:tabs>
      <w:spacing w:before="0"/>
    </w:pPr>
    <w:rPr>
      <w:color w:val="00728F"/>
      <w:sz w:val="20"/>
    </w:rPr>
  </w:style>
  <w:style w:type="paragraph" w:styleId="Footer">
    <w:name w:val="footer"/>
    <w:basedOn w:val="Normal"/>
    <w:link w:val="FooterChar"/>
    <w:rsid w:val="00F53697"/>
    <w:pPr>
      <w:tabs>
        <w:tab w:val="center" w:pos="4513"/>
        <w:tab w:val="right" w:pos="9026"/>
      </w:tabs>
    </w:pPr>
    <w:rPr>
      <w:color w:val="00728F"/>
      <w:sz w:val="20"/>
    </w:rPr>
  </w:style>
  <w:style w:type="paragraph" w:customStyle="1" w:styleId="Bodybullet-Level1">
    <w:name w:val="Body bullet - Level 1"/>
    <w:basedOn w:val="BodyText"/>
    <w:uiPriority w:val="1"/>
    <w:qFormat/>
    <w:rsid w:val="00793DC9"/>
    <w:pPr>
      <w:numPr>
        <w:numId w:val="11"/>
      </w:numPr>
      <w:spacing w:before="120" w:after="180"/>
    </w:pPr>
  </w:style>
  <w:style w:type="paragraph" w:customStyle="1" w:styleId="Bodybullet-Level2">
    <w:name w:val="Body bullet - Level 2"/>
    <w:basedOn w:val="Bodybullet-Level1"/>
    <w:uiPriority w:val="1"/>
    <w:qFormat/>
    <w:rsid w:val="008825AB"/>
    <w:pPr>
      <w:numPr>
        <w:ilvl w:val="1"/>
      </w:numPr>
    </w:pPr>
  </w:style>
  <w:style w:type="paragraph" w:customStyle="1" w:styleId="Bodybullet-Level3">
    <w:name w:val="Body bullet - Level 3"/>
    <w:basedOn w:val="Bodybullet-Level1"/>
    <w:uiPriority w:val="1"/>
    <w:qFormat/>
    <w:rsid w:val="00617129"/>
    <w:pPr>
      <w:numPr>
        <w:ilvl w:val="2"/>
      </w:numPr>
    </w:pPr>
  </w:style>
  <w:style w:type="paragraph" w:customStyle="1" w:styleId="Tablebullet-Level2">
    <w:name w:val="Table bullet - Level 2"/>
    <w:basedOn w:val="Tablebullet-Level1"/>
    <w:uiPriority w:val="13"/>
    <w:qFormat/>
    <w:rsid w:val="00AC37E5"/>
    <w:pPr>
      <w:numPr>
        <w:ilvl w:val="1"/>
      </w:numPr>
    </w:pPr>
  </w:style>
  <w:style w:type="paragraph" w:customStyle="1" w:styleId="Figurecaption">
    <w:name w:val="Figure caption"/>
    <w:basedOn w:val="Caption"/>
    <w:next w:val="Figuredescription"/>
    <w:link w:val="FigurecaptionCharChar"/>
    <w:uiPriority w:val="10"/>
    <w:qFormat/>
    <w:rsid w:val="00224EA3"/>
    <w:pPr>
      <w:keepNext/>
    </w:pPr>
  </w:style>
  <w:style w:type="character" w:styleId="PageNumber">
    <w:name w:val="page number"/>
    <w:basedOn w:val="DefaultParagraphFont"/>
    <w:uiPriority w:val="49"/>
    <w:rsid w:val="00F53697"/>
    <w:rPr>
      <w:color w:val="00728F"/>
      <w:sz w:val="22"/>
    </w:rPr>
  </w:style>
  <w:style w:type="paragraph" w:customStyle="1" w:styleId="Figuredescription">
    <w:name w:val="Figure description"/>
    <w:basedOn w:val="Figurecaption"/>
    <w:uiPriority w:val="10"/>
    <w:qFormat/>
    <w:rsid w:val="00593A5A"/>
    <w:pPr>
      <w:tabs>
        <w:tab w:val="clear" w:pos="1021"/>
      </w:tabs>
      <w:spacing w:before="120" w:after="240"/>
      <w:ind w:firstLine="0"/>
    </w:pPr>
    <w:rPr>
      <w:b w:val="0"/>
      <w:color w:val="auto"/>
    </w:rPr>
  </w:style>
  <w:style w:type="paragraph" w:customStyle="1" w:styleId="Bodynumbered-Level1">
    <w:name w:val="Body numbered - Level 1"/>
    <w:basedOn w:val="BodyText"/>
    <w:uiPriority w:val="1"/>
    <w:qFormat/>
    <w:rsid w:val="00783B04"/>
    <w:pPr>
      <w:numPr>
        <w:numId w:val="13"/>
      </w:numPr>
      <w:spacing w:before="120" w:after="180"/>
    </w:pPr>
  </w:style>
  <w:style w:type="paragraph" w:customStyle="1" w:styleId="Bodynumbered-Level2">
    <w:name w:val="Body numbered - Level 2"/>
    <w:basedOn w:val="Bodynumbered-Level1"/>
    <w:uiPriority w:val="1"/>
    <w:qFormat/>
    <w:rsid w:val="00A6258B"/>
    <w:pPr>
      <w:numPr>
        <w:ilvl w:val="1"/>
      </w:numPr>
    </w:pPr>
  </w:style>
  <w:style w:type="paragraph" w:customStyle="1" w:styleId="Bodynumbered-Level3">
    <w:name w:val="Body numbered - Level 3"/>
    <w:basedOn w:val="Bodynumbered-Level1"/>
    <w:uiPriority w:val="1"/>
    <w:qFormat/>
    <w:rsid w:val="00A6258B"/>
    <w:pPr>
      <w:numPr>
        <w:ilvl w:val="2"/>
      </w:numPr>
    </w:pPr>
  </w:style>
  <w:style w:type="paragraph" w:customStyle="1" w:styleId="Preliminaries-Heading1">
    <w:name w:val="Preliminaries - Heading 1"/>
    <w:basedOn w:val="Heading1"/>
    <w:next w:val="BodyText"/>
    <w:uiPriority w:val="18"/>
    <w:qFormat/>
    <w:rsid w:val="007E77FD"/>
  </w:style>
  <w:style w:type="paragraph" w:customStyle="1" w:styleId="Preliminaries-Heading2">
    <w:name w:val="Preliminaries - Heading 2"/>
    <w:basedOn w:val="Heading2"/>
    <w:next w:val="BodyText"/>
    <w:uiPriority w:val="18"/>
    <w:qFormat/>
    <w:rsid w:val="007E77FD"/>
  </w:style>
  <w:style w:type="paragraph" w:customStyle="1" w:styleId="Preliminaries-Heading3">
    <w:name w:val="Preliminaries - Heading 3"/>
    <w:basedOn w:val="Heading3"/>
    <w:next w:val="BodyText"/>
    <w:uiPriority w:val="18"/>
    <w:qFormat/>
    <w:rsid w:val="007E77FD"/>
  </w:style>
  <w:style w:type="paragraph" w:styleId="FootnoteText">
    <w:name w:val="footnote text"/>
    <w:basedOn w:val="Normal"/>
    <w:link w:val="FootnoteTextChar"/>
    <w:uiPriority w:val="99"/>
    <w:rsid w:val="008D0A94"/>
    <w:rPr>
      <w:sz w:val="20"/>
      <w:szCs w:val="20"/>
    </w:rPr>
  </w:style>
  <w:style w:type="character" w:styleId="FootnoteReference">
    <w:name w:val="footnote reference"/>
    <w:basedOn w:val="DefaultParagraphFont"/>
    <w:uiPriority w:val="99"/>
    <w:rsid w:val="008D0A94"/>
    <w:rPr>
      <w:vertAlign w:val="superscript"/>
    </w:rPr>
  </w:style>
  <w:style w:type="paragraph" w:customStyle="1" w:styleId="Bodytext-Indent">
    <w:name w:val="Body text - Indent"/>
    <w:basedOn w:val="BodyText"/>
    <w:next w:val="BodyText"/>
    <w:qFormat/>
    <w:rsid w:val="00DF7C5F"/>
    <w:pPr>
      <w:ind w:left="340"/>
    </w:pPr>
  </w:style>
  <w:style w:type="paragraph" w:customStyle="1" w:styleId="Boxtext">
    <w:name w:val="Box text"/>
    <w:basedOn w:val="BodyText"/>
    <w:uiPriority w:val="14"/>
    <w:qFormat/>
    <w:rsid w:val="004B47F1"/>
    <w:pPr>
      <w:pBdr>
        <w:top w:val="single" w:sz="4" w:space="8" w:color="00728F"/>
        <w:left w:val="single" w:sz="4" w:space="8" w:color="00728F"/>
        <w:bottom w:val="single" w:sz="4" w:space="8" w:color="00728F"/>
        <w:right w:val="single" w:sz="4" w:space="0" w:color="00728F"/>
      </w:pBdr>
      <w:shd w:val="clear" w:color="auto" w:fill="DBEEF3" w:themeFill="background2"/>
      <w:ind w:left="198"/>
    </w:pPr>
  </w:style>
  <w:style w:type="paragraph" w:customStyle="1" w:styleId="Boxheading">
    <w:name w:val="Box heading"/>
    <w:basedOn w:val="Boxtext"/>
    <w:next w:val="Boxtext"/>
    <w:uiPriority w:val="14"/>
    <w:qFormat/>
    <w:rsid w:val="004B47F1"/>
    <w:pPr>
      <w:spacing w:after="120"/>
    </w:pPr>
    <w:rPr>
      <w:rFonts w:asciiTheme="majorHAnsi" w:hAnsiTheme="majorHAnsi"/>
      <w:color w:val="00728F"/>
      <w:sz w:val="28"/>
    </w:rPr>
  </w:style>
  <w:style w:type="paragraph" w:customStyle="1" w:styleId="Boxbullet">
    <w:name w:val="Box bullet"/>
    <w:basedOn w:val="Boxtext"/>
    <w:uiPriority w:val="15"/>
    <w:qFormat/>
    <w:rsid w:val="00F01429"/>
    <w:pPr>
      <w:numPr>
        <w:numId w:val="14"/>
      </w:numPr>
      <w:spacing w:before="0" w:after="180"/>
      <w:ind w:left="652" w:hanging="454"/>
    </w:pPr>
  </w:style>
  <w:style w:type="paragraph" w:customStyle="1" w:styleId="Boxsub-heading">
    <w:name w:val="Box sub-heading"/>
    <w:basedOn w:val="Boxtext"/>
    <w:next w:val="Boxtext"/>
    <w:uiPriority w:val="14"/>
    <w:qFormat/>
    <w:rsid w:val="004B47F1"/>
    <w:rPr>
      <w:b/>
      <w:color w:val="00728F"/>
    </w:rPr>
  </w:style>
  <w:style w:type="paragraph" w:customStyle="1" w:styleId="SourceNotes">
    <w:name w:val="Source/Notes"/>
    <w:basedOn w:val="BodyText"/>
    <w:next w:val="BodyText"/>
    <w:uiPriority w:val="10"/>
    <w:qFormat/>
    <w:rsid w:val="007D6EC3"/>
    <w:pPr>
      <w:spacing w:before="0"/>
    </w:pPr>
    <w:rPr>
      <w:sz w:val="20"/>
    </w:rPr>
  </w:style>
  <w:style w:type="paragraph" w:customStyle="1" w:styleId="Boxcaption">
    <w:name w:val="Box caption"/>
    <w:basedOn w:val="Caption"/>
    <w:uiPriority w:val="14"/>
    <w:qFormat/>
    <w:rsid w:val="00CE04BC"/>
  </w:style>
  <w:style w:type="paragraph" w:customStyle="1" w:styleId="Endmatter-Heading3">
    <w:name w:val="End matter - Heading 3"/>
    <w:basedOn w:val="Heading3"/>
    <w:next w:val="BodyText"/>
    <w:uiPriority w:val="19"/>
    <w:qFormat/>
    <w:rsid w:val="007E77FD"/>
    <w:pPr>
      <w:ind w:left="907" w:hanging="907"/>
    </w:pPr>
  </w:style>
  <w:style w:type="paragraph" w:customStyle="1" w:styleId="Titledate">
    <w:name w:val="Title date"/>
    <w:basedOn w:val="Normal"/>
    <w:uiPriority w:val="16"/>
    <w:qFormat/>
    <w:rsid w:val="00A40D4A"/>
    <w:pPr>
      <w:spacing w:before="80" w:after="120" w:line="460" w:lineRule="atLeast"/>
      <w:contextualSpacing/>
    </w:pPr>
    <w:rPr>
      <w:rFonts w:ascii="Cambria" w:eastAsiaTheme="majorEastAsia" w:hAnsi="Cambria" w:cstheme="majorBidi"/>
      <w:b/>
      <w:color w:val="00728F"/>
      <w:kern w:val="28"/>
      <w:sz w:val="32"/>
      <w:szCs w:val="52"/>
    </w:rPr>
  </w:style>
  <w:style w:type="paragraph" w:customStyle="1" w:styleId="Boxlist-Numbered">
    <w:name w:val="Box list - Numbered"/>
    <w:basedOn w:val="Boxtext"/>
    <w:uiPriority w:val="15"/>
    <w:qFormat/>
    <w:rsid w:val="00B1447A"/>
    <w:pPr>
      <w:numPr>
        <w:numId w:val="15"/>
      </w:numPr>
      <w:spacing w:before="120" w:after="180"/>
    </w:pPr>
  </w:style>
  <w:style w:type="paragraph" w:customStyle="1" w:styleId="Boxlist-Alpha">
    <w:name w:val="Box list - Alpha"/>
    <w:basedOn w:val="Boxtext"/>
    <w:uiPriority w:val="15"/>
    <w:qFormat/>
    <w:rsid w:val="004B47F1"/>
    <w:pPr>
      <w:numPr>
        <w:numId w:val="16"/>
      </w:numPr>
      <w:spacing w:before="120" w:after="0"/>
    </w:pPr>
  </w:style>
  <w:style w:type="paragraph" w:customStyle="1" w:styleId="FigureImagewithrule">
    <w:name w:val="Figure/Image with rule"/>
    <w:basedOn w:val="BodyText"/>
    <w:next w:val="SourceNotes"/>
    <w:uiPriority w:val="10"/>
    <w:qFormat/>
    <w:rsid w:val="007F1685"/>
    <w:pPr>
      <w:pBdr>
        <w:bottom w:val="single" w:sz="4" w:space="8" w:color="00728F"/>
      </w:pBdr>
      <w:spacing w:after="0"/>
    </w:pPr>
  </w:style>
  <w:style w:type="paragraph" w:customStyle="1" w:styleId="Tablelist-Numbered">
    <w:name w:val="Table list - Numbered"/>
    <w:basedOn w:val="Tabletext"/>
    <w:uiPriority w:val="13"/>
    <w:qFormat/>
    <w:rsid w:val="00EF4469"/>
    <w:pPr>
      <w:numPr>
        <w:numId w:val="17"/>
      </w:numPr>
    </w:pPr>
  </w:style>
  <w:style w:type="paragraph" w:customStyle="1" w:styleId="Tablecellsub-heading">
    <w:name w:val="Table cell sub-heading"/>
    <w:basedOn w:val="Tablecellheading"/>
    <w:uiPriority w:val="12"/>
    <w:qFormat/>
    <w:rsid w:val="00133178"/>
    <w:rPr>
      <w:color w:val="auto"/>
    </w:rPr>
  </w:style>
  <w:style w:type="character" w:styleId="Emphasis">
    <w:name w:val="Emphasis"/>
    <w:basedOn w:val="DefaultParagraphFont"/>
    <w:uiPriority w:val="2"/>
    <w:qFormat/>
    <w:rsid w:val="00D52C5A"/>
    <w:rPr>
      <w:i/>
      <w:iCs/>
    </w:rPr>
  </w:style>
  <w:style w:type="character" w:styleId="CommentReference">
    <w:name w:val="annotation reference"/>
    <w:basedOn w:val="DefaultParagraphFont"/>
    <w:uiPriority w:val="99"/>
    <w:semiHidden/>
    <w:rsid w:val="008F23A9"/>
    <w:rPr>
      <w:sz w:val="16"/>
      <w:szCs w:val="16"/>
    </w:rPr>
  </w:style>
  <w:style w:type="paragraph" w:styleId="CommentText">
    <w:name w:val="annotation text"/>
    <w:basedOn w:val="Normal"/>
    <w:link w:val="CommentTextChar"/>
    <w:uiPriority w:val="99"/>
    <w:semiHidden/>
    <w:rsid w:val="008F23A9"/>
    <w:rPr>
      <w:sz w:val="20"/>
      <w:szCs w:val="20"/>
    </w:rPr>
  </w:style>
  <w:style w:type="paragraph" w:styleId="CommentSubject">
    <w:name w:val="annotation subject"/>
    <w:basedOn w:val="CommentText"/>
    <w:next w:val="CommentText"/>
    <w:uiPriority w:val="99"/>
    <w:semiHidden/>
    <w:rsid w:val="008F23A9"/>
    <w:rPr>
      <w:b/>
      <w:bCs/>
    </w:rPr>
  </w:style>
  <w:style w:type="numbering" w:styleId="111111">
    <w:name w:val="Outline List 2"/>
    <w:basedOn w:val="NoList"/>
    <w:uiPriority w:val="99"/>
    <w:semiHidden/>
    <w:unhideWhenUsed/>
    <w:rsid w:val="00A0420F"/>
    <w:pPr>
      <w:numPr>
        <w:numId w:val="18"/>
      </w:numPr>
    </w:pPr>
  </w:style>
  <w:style w:type="numbering" w:styleId="1ai">
    <w:name w:val="Outline List 1"/>
    <w:basedOn w:val="NoList"/>
    <w:uiPriority w:val="99"/>
    <w:semiHidden/>
    <w:unhideWhenUsed/>
    <w:rsid w:val="00A0420F"/>
    <w:pPr>
      <w:numPr>
        <w:numId w:val="19"/>
      </w:numPr>
    </w:pPr>
  </w:style>
  <w:style w:type="numbering" w:styleId="ArticleSection">
    <w:name w:val="Outline List 3"/>
    <w:basedOn w:val="NoList"/>
    <w:uiPriority w:val="99"/>
    <w:semiHidden/>
    <w:unhideWhenUsed/>
    <w:rsid w:val="00A0420F"/>
    <w:pPr>
      <w:numPr>
        <w:numId w:val="20"/>
      </w:numPr>
    </w:pPr>
  </w:style>
  <w:style w:type="paragraph" w:styleId="Bibliography">
    <w:name w:val="Bibliography"/>
    <w:basedOn w:val="Normal"/>
    <w:next w:val="Normal"/>
    <w:uiPriority w:val="37"/>
    <w:semiHidden/>
    <w:unhideWhenUsed/>
    <w:rsid w:val="00A0420F"/>
  </w:style>
  <w:style w:type="paragraph" w:styleId="BlockText">
    <w:name w:val="Block Text"/>
    <w:basedOn w:val="Normal"/>
    <w:uiPriority w:val="99"/>
    <w:semiHidden/>
    <w:rsid w:val="00A0420F"/>
    <w:pPr>
      <w:pBdr>
        <w:top w:val="single" w:sz="2" w:space="10" w:color="00728F" w:themeColor="accent1" w:shadow="1" w:frame="1"/>
        <w:left w:val="single" w:sz="2" w:space="10" w:color="00728F" w:themeColor="accent1" w:shadow="1" w:frame="1"/>
        <w:bottom w:val="single" w:sz="2" w:space="10" w:color="00728F" w:themeColor="accent1" w:shadow="1" w:frame="1"/>
        <w:right w:val="single" w:sz="2" w:space="10" w:color="00728F" w:themeColor="accent1" w:shadow="1" w:frame="1"/>
      </w:pBdr>
      <w:ind w:left="1152" w:right="1152"/>
    </w:pPr>
    <w:rPr>
      <w:rFonts w:asciiTheme="minorHAnsi" w:eastAsiaTheme="minorEastAsia" w:hAnsiTheme="minorHAnsi"/>
      <w:i/>
      <w:iCs/>
      <w:color w:val="00728F" w:themeColor="accent1"/>
    </w:rPr>
  </w:style>
  <w:style w:type="paragraph" w:styleId="BodyText2">
    <w:name w:val="Body Text 2"/>
    <w:basedOn w:val="Normal"/>
    <w:uiPriority w:val="99"/>
    <w:semiHidden/>
    <w:rsid w:val="00A0420F"/>
    <w:pPr>
      <w:spacing w:after="120" w:line="480" w:lineRule="auto"/>
    </w:pPr>
  </w:style>
  <w:style w:type="paragraph" w:styleId="BodyText3">
    <w:name w:val="Body Text 3"/>
    <w:basedOn w:val="Normal"/>
    <w:uiPriority w:val="99"/>
    <w:semiHidden/>
    <w:rsid w:val="00A0420F"/>
    <w:pPr>
      <w:spacing w:after="120"/>
    </w:pPr>
    <w:rPr>
      <w:sz w:val="16"/>
      <w:szCs w:val="16"/>
    </w:rPr>
  </w:style>
  <w:style w:type="paragraph" w:styleId="BodyTextFirstIndent">
    <w:name w:val="Body Text First Indent"/>
    <w:basedOn w:val="BodyText"/>
    <w:uiPriority w:val="99"/>
    <w:semiHidden/>
    <w:rsid w:val="00A0420F"/>
    <w:pPr>
      <w:spacing w:before="0" w:after="0"/>
      <w:ind w:firstLine="360"/>
    </w:pPr>
  </w:style>
  <w:style w:type="paragraph" w:styleId="BodyTextIndent">
    <w:name w:val="Body Text Indent"/>
    <w:basedOn w:val="Normal"/>
    <w:uiPriority w:val="99"/>
    <w:semiHidden/>
    <w:rsid w:val="00A0420F"/>
    <w:pPr>
      <w:spacing w:after="120"/>
      <w:ind w:left="283"/>
    </w:pPr>
  </w:style>
  <w:style w:type="paragraph" w:styleId="BodyTextFirstIndent2">
    <w:name w:val="Body Text First Indent 2"/>
    <w:basedOn w:val="BodyTextIndent"/>
    <w:uiPriority w:val="99"/>
    <w:semiHidden/>
    <w:rsid w:val="00A0420F"/>
    <w:pPr>
      <w:spacing w:after="0"/>
      <w:ind w:left="360" w:firstLine="360"/>
    </w:pPr>
  </w:style>
  <w:style w:type="paragraph" w:styleId="BodyTextIndent2">
    <w:name w:val="Body Text Indent 2"/>
    <w:basedOn w:val="Normal"/>
    <w:uiPriority w:val="99"/>
    <w:semiHidden/>
    <w:rsid w:val="00A0420F"/>
    <w:pPr>
      <w:spacing w:after="120" w:line="480" w:lineRule="auto"/>
      <w:ind w:left="283"/>
    </w:pPr>
  </w:style>
  <w:style w:type="paragraph" w:styleId="BodyTextIndent3">
    <w:name w:val="Body Text Indent 3"/>
    <w:basedOn w:val="Normal"/>
    <w:uiPriority w:val="99"/>
    <w:semiHidden/>
    <w:rsid w:val="00A0420F"/>
    <w:pPr>
      <w:spacing w:after="120"/>
      <w:ind w:left="283"/>
    </w:pPr>
    <w:rPr>
      <w:sz w:val="16"/>
      <w:szCs w:val="16"/>
    </w:rPr>
  </w:style>
  <w:style w:type="character" w:styleId="BookTitle">
    <w:name w:val="Book Title"/>
    <w:basedOn w:val="DefaultParagraphFont"/>
    <w:uiPriority w:val="33"/>
    <w:semiHidden/>
    <w:qFormat/>
    <w:rsid w:val="00A0420F"/>
    <w:rPr>
      <w:b/>
      <w:bCs/>
      <w:smallCaps/>
      <w:spacing w:val="5"/>
    </w:rPr>
  </w:style>
  <w:style w:type="paragraph" w:styleId="Closing">
    <w:name w:val="Closing"/>
    <w:basedOn w:val="Normal"/>
    <w:link w:val="ClosingChar"/>
    <w:uiPriority w:val="99"/>
    <w:semiHidden/>
    <w:rsid w:val="00A0420F"/>
    <w:pPr>
      <w:ind w:left="4252"/>
    </w:pPr>
  </w:style>
  <w:style w:type="character" w:customStyle="1" w:styleId="ClosingChar">
    <w:name w:val="Closing Char"/>
    <w:basedOn w:val="DefaultParagraphFont"/>
    <w:link w:val="Closing"/>
    <w:uiPriority w:val="99"/>
    <w:semiHidden/>
    <w:rsid w:val="00A0420F"/>
    <w:rPr>
      <w:rFonts w:ascii="Calibri" w:hAnsi="Calibri"/>
    </w:rPr>
  </w:style>
  <w:style w:type="paragraph" w:styleId="Date">
    <w:name w:val="Date"/>
    <w:basedOn w:val="Normal"/>
    <w:next w:val="Normal"/>
    <w:link w:val="DateChar"/>
    <w:uiPriority w:val="99"/>
    <w:semiHidden/>
    <w:rsid w:val="00A0420F"/>
  </w:style>
  <w:style w:type="character" w:customStyle="1" w:styleId="DateChar">
    <w:name w:val="Date Char"/>
    <w:basedOn w:val="DefaultParagraphFont"/>
    <w:link w:val="Date"/>
    <w:uiPriority w:val="99"/>
    <w:semiHidden/>
    <w:rsid w:val="00A0420F"/>
    <w:rPr>
      <w:rFonts w:ascii="Calibri" w:hAnsi="Calibri"/>
    </w:rPr>
  </w:style>
  <w:style w:type="paragraph" w:styleId="DocumentMap">
    <w:name w:val="Document Map"/>
    <w:basedOn w:val="Normal"/>
    <w:link w:val="DocumentMapChar"/>
    <w:uiPriority w:val="99"/>
    <w:semiHidden/>
    <w:rsid w:val="00A0420F"/>
    <w:rPr>
      <w:rFonts w:ascii="Tahoma" w:hAnsi="Tahoma" w:cs="Tahoma"/>
      <w:sz w:val="16"/>
      <w:szCs w:val="16"/>
    </w:rPr>
  </w:style>
  <w:style w:type="character" w:customStyle="1" w:styleId="DocumentMapChar">
    <w:name w:val="Document Map Char"/>
    <w:basedOn w:val="DefaultParagraphFont"/>
    <w:link w:val="DocumentMap"/>
    <w:uiPriority w:val="99"/>
    <w:semiHidden/>
    <w:rsid w:val="00A0420F"/>
    <w:rPr>
      <w:rFonts w:ascii="Tahoma" w:hAnsi="Tahoma" w:cs="Tahoma"/>
      <w:sz w:val="16"/>
      <w:szCs w:val="16"/>
    </w:rPr>
  </w:style>
  <w:style w:type="paragraph" w:styleId="E-mailSignature">
    <w:name w:val="E-mail Signature"/>
    <w:basedOn w:val="Normal"/>
    <w:link w:val="E-mailSignatureChar"/>
    <w:uiPriority w:val="99"/>
    <w:semiHidden/>
    <w:rsid w:val="00A0420F"/>
  </w:style>
  <w:style w:type="character" w:customStyle="1" w:styleId="E-mailSignatureChar">
    <w:name w:val="E-mail Signature Char"/>
    <w:basedOn w:val="DefaultParagraphFont"/>
    <w:link w:val="E-mailSignature"/>
    <w:uiPriority w:val="99"/>
    <w:semiHidden/>
    <w:rsid w:val="00A0420F"/>
    <w:rPr>
      <w:rFonts w:ascii="Calibri" w:hAnsi="Calibri"/>
    </w:rPr>
  </w:style>
  <w:style w:type="character" w:styleId="EndnoteReference">
    <w:name w:val="endnote reference"/>
    <w:basedOn w:val="DefaultParagraphFont"/>
    <w:uiPriority w:val="99"/>
    <w:semiHidden/>
    <w:unhideWhenUsed/>
    <w:rsid w:val="00A0420F"/>
    <w:rPr>
      <w:vertAlign w:val="superscript"/>
    </w:rPr>
  </w:style>
  <w:style w:type="paragraph" w:styleId="EndnoteText">
    <w:name w:val="endnote text"/>
    <w:basedOn w:val="Normal"/>
    <w:link w:val="EndnoteTextChar"/>
    <w:uiPriority w:val="99"/>
    <w:semiHidden/>
    <w:unhideWhenUsed/>
    <w:rsid w:val="00A0420F"/>
    <w:rPr>
      <w:sz w:val="20"/>
      <w:szCs w:val="20"/>
    </w:rPr>
  </w:style>
  <w:style w:type="character" w:customStyle="1" w:styleId="EndnoteTextChar">
    <w:name w:val="Endnote Text Char"/>
    <w:basedOn w:val="DefaultParagraphFont"/>
    <w:link w:val="EndnoteText"/>
    <w:uiPriority w:val="99"/>
    <w:semiHidden/>
    <w:rsid w:val="00A0420F"/>
    <w:rPr>
      <w:rFonts w:ascii="Calibri" w:hAnsi="Calibri"/>
      <w:sz w:val="20"/>
      <w:szCs w:val="20"/>
    </w:rPr>
  </w:style>
  <w:style w:type="paragraph" w:styleId="EnvelopeAddress">
    <w:name w:val="envelope address"/>
    <w:basedOn w:val="Normal"/>
    <w:uiPriority w:val="99"/>
    <w:semiHidden/>
    <w:rsid w:val="00A0420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A0420F"/>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A0420F"/>
    <w:rPr>
      <w:color w:val="800080" w:themeColor="followedHyperlink"/>
      <w:u w:val="single"/>
    </w:rPr>
  </w:style>
  <w:style w:type="character" w:styleId="HTMLAcronym">
    <w:name w:val="HTML Acronym"/>
    <w:basedOn w:val="DefaultParagraphFont"/>
    <w:uiPriority w:val="99"/>
    <w:semiHidden/>
    <w:rsid w:val="00A0420F"/>
  </w:style>
  <w:style w:type="paragraph" w:styleId="HTMLAddress">
    <w:name w:val="HTML Address"/>
    <w:basedOn w:val="Normal"/>
    <w:link w:val="HTMLAddressChar"/>
    <w:uiPriority w:val="99"/>
    <w:semiHidden/>
    <w:rsid w:val="00A0420F"/>
    <w:rPr>
      <w:i/>
      <w:iCs/>
    </w:rPr>
  </w:style>
  <w:style w:type="character" w:customStyle="1" w:styleId="HTMLAddressChar">
    <w:name w:val="HTML Address Char"/>
    <w:basedOn w:val="DefaultParagraphFont"/>
    <w:link w:val="HTMLAddress"/>
    <w:uiPriority w:val="99"/>
    <w:semiHidden/>
    <w:rsid w:val="00A0420F"/>
    <w:rPr>
      <w:rFonts w:ascii="Calibri" w:hAnsi="Calibri"/>
      <w:i/>
      <w:iCs/>
    </w:rPr>
  </w:style>
  <w:style w:type="character" w:styleId="HTMLCite">
    <w:name w:val="HTML Cite"/>
    <w:basedOn w:val="DefaultParagraphFont"/>
    <w:uiPriority w:val="99"/>
    <w:semiHidden/>
    <w:rsid w:val="00A0420F"/>
    <w:rPr>
      <w:i/>
      <w:iCs/>
    </w:rPr>
  </w:style>
  <w:style w:type="character" w:styleId="HTMLCode">
    <w:name w:val="HTML Code"/>
    <w:basedOn w:val="DefaultParagraphFont"/>
    <w:uiPriority w:val="99"/>
    <w:semiHidden/>
    <w:rsid w:val="00A0420F"/>
    <w:rPr>
      <w:rFonts w:ascii="Consolas" w:hAnsi="Consolas" w:cs="Consolas"/>
      <w:sz w:val="20"/>
      <w:szCs w:val="20"/>
    </w:rPr>
  </w:style>
  <w:style w:type="character" w:styleId="HTMLDefinition">
    <w:name w:val="HTML Definition"/>
    <w:basedOn w:val="DefaultParagraphFont"/>
    <w:uiPriority w:val="99"/>
    <w:semiHidden/>
    <w:rsid w:val="00A0420F"/>
    <w:rPr>
      <w:i/>
      <w:iCs/>
    </w:rPr>
  </w:style>
  <w:style w:type="character" w:styleId="HTMLKeyboard">
    <w:name w:val="HTML Keyboard"/>
    <w:basedOn w:val="DefaultParagraphFont"/>
    <w:uiPriority w:val="99"/>
    <w:semiHidden/>
    <w:rsid w:val="00A0420F"/>
    <w:rPr>
      <w:rFonts w:ascii="Consolas" w:hAnsi="Consolas" w:cs="Consolas"/>
      <w:sz w:val="20"/>
      <w:szCs w:val="20"/>
    </w:rPr>
  </w:style>
  <w:style w:type="paragraph" w:styleId="HTMLPreformatted">
    <w:name w:val="HTML Preformatted"/>
    <w:basedOn w:val="Normal"/>
    <w:link w:val="HTMLPreformattedChar"/>
    <w:uiPriority w:val="99"/>
    <w:semiHidden/>
    <w:rsid w:val="00A0420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0420F"/>
    <w:rPr>
      <w:rFonts w:ascii="Consolas" w:hAnsi="Consolas" w:cs="Consolas"/>
      <w:sz w:val="20"/>
      <w:szCs w:val="20"/>
    </w:rPr>
  </w:style>
  <w:style w:type="character" w:styleId="HTMLSample">
    <w:name w:val="HTML Sample"/>
    <w:basedOn w:val="DefaultParagraphFont"/>
    <w:uiPriority w:val="99"/>
    <w:semiHidden/>
    <w:rsid w:val="00A0420F"/>
    <w:rPr>
      <w:rFonts w:ascii="Consolas" w:hAnsi="Consolas" w:cs="Consolas"/>
      <w:sz w:val="24"/>
      <w:szCs w:val="24"/>
    </w:rPr>
  </w:style>
  <w:style w:type="character" w:styleId="HTMLTypewriter">
    <w:name w:val="HTML Typewriter"/>
    <w:basedOn w:val="DefaultParagraphFont"/>
    <w:uiPriority w:val="99"/>
    <w:semiHidden/>
    <w:rsid w:val="00A0420F"/>
    <w:rPr>
      <w:rFonts w:ascii="Consolas" w:hAnsi="Consolas" w:cs="Consolas"/>
      <w:sz w:val="20"/>
      <w:szCs w:val="20"/>
    </w:rPr>
  </w:style>
  <w:style w:type="character" w:styleId="HTMLVariable">
    <w:name w:val="HTML Variable"/>
    <w:basedOn w:val="DefaultParagraphFont"/>
    <w:uiPriority w:val="99"/>
    <w:semiHidden/>
    <w:rsid w:val="00A0420F"/>
    <w:rPr>
      <w:i/>
      <w:iCs/>
    </w:rPr>
  </w:style>
  <w:style w:type="paragraph" w:styleId="Index1">
    <w:name w:val="index 1"/>
    <w:basedOn w:val="Normal"/>
    <w:next w:val="Normal"/>
    <w:autoRedefine/>
    <w:uiPriority w:val="99"/>
    <w:semiHidden/>
    <w:rsid w:val="00A0420F"/>
    <w:pPr>
      <w:ind w:left="220" w:hanging="220"/>
    </w:pPr>
  </w:style>
  <w:style w:type="paragraph" w:styleId="Index2">
    <w:name w:val="index 2"/>
    <w:basedOn w:val="Normal"/>
    <w:next w:val="Normal"/>
    <w:autoRedefine/>
    <w:uiPriority w:val="99"/>
    <w:semiHidden/>
    <w:rsid w:val="00A0420F"/>
    <w:pPr>
      <w:ind w:left="440" w:hanging="220"/>
    </w:pPr>
  </w:style>
  <w:style w:type="paragraph" w:styleId="Index3">
    <w:name w:val="index 3"/>
    <w:basedOn w:val="Normal"/>
    <w:next w:val="Normal"/>
    <w:autoRedefine/>
    <w:uiPriority w:val="99"/>
    <w:semiHidden/>
    <w:rsid w:val="00A0420F"/>
    <w:pPr>
      <w:ind w:left="660" w:hanging="220"/>
    </w:pPr>
  </w:style>
  <w:style w:type="paragraph" w:styleId="Index4">
    <w:name w:val="index 4"/>
    <w:basedOn w:val="Normal"/>
    <w:next w:val="Normal"/>
    <w:autoRedefine/>
    <w:uiPriority w:val="99"/>
    <w:semiHidden/>
    <w:rsid w:val="00A0420F"/>
    <w:pPr>
      <w:ind w:left="880" w:hanging="220"/>
    </w:pPr>
  </w:style>
  <w:style w:type="paragraph" w:styleId="Index5">
    <w:name w:val="index 5"/>
    <w:basedOn w:val="Normal"/>
    <w:next w:val="Normal"/>
    <w:autoRedefine/>
    <w:uiPriority w:val="99"/>
    <w:semiHidden/>
    <w:rsid w:val="00A0420F"/>
    <w:pPr>
      <w:ind w:left="1100" w:hanging="220"/>
    </w:pPr>
  </w:style>
  <w:style w:type="paragraph" w:styleId="Index6">
    <w:name w:val="index 6"/>
    <w:basedOn w:val="Normal"/>
    <w:next w:val="Normal"/>
    <w:autoRedefine/>
    <w:uiPriority w:val="99"/>
    <w:semiHidden/>
    <w:rsid w:val="00A0420F"/>
    <w:pPr>
      <w:ind w:left="1320" w:hanging="220"/>
    </w:pPr>
  </w:style>
  <w:style w:type="paragraph" w:styleId="Index7">
    <w:name w:val="index 7"/>
    <w:basedOn w:val="Normal"/>
    <w:next w:val="Normal"/>
    <w:autoRedefine/>
    <w:uiPriority w:val="99"/>
    <w:semiHidden/>
    <w:rsid w:val="00A0420F"/>
    <w:pPr>
      <w:ind w:left="1540" w:hanging="220"/>
    </w:pPr>
  </w:style>
  <w:style w:type="paragraph" w:styleId="Index8">
    <w:name w:val="index 8"/>
    <w:basedOn w:val="Normal"/>
    <w:next w:val="Normal"/>
    <w:autoRedefine/>
    <w:uiPriority w:val="99"/>
    <w:semiHidden/>
    <w:rsid w:val="00A0420F"/>
    <w:pPr>
      <w:ind w:left="1760" w:hanging="220"/>
    </w:pPr>
  </w:style>
  <w:style w:type="paragraph" w:styleId="Index9">
    <w:name w:val="index 9"/>
    <w:basedOn w:val="Normal"/>
    <w:next w:val="Normal"/>
    <w:autoRedefine/>
    <w:uiPriority w:val="99"/>
    <w:semiHidden/>
    <w:rsid w:val="00A0420F"/>
    <w:pPr>
      <w:ind w:left="1980" w:hanging="220"/>
    </w:pPr>
  </w:style>
  <w:style w:type="paragraph" w:styleId="IndexHeading">
    <w:name w:val="index heading"/>
    <w:basedOn w:val="Normal"/>
    <w:next w:val="Index1"/>
    <w:uiPriority w:val="99"/>
    <w:semiHidden/>
    <w:rsid w:val="00A0420F"/>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A0420F"/>
    <w:rPr>
      <w:b/>
      <w:bCs/>
      <w:i/>
      <w:iCs/>
      <w:color w:val="00728F" w:themeColor="accent1"/>
    </w:rPr>
  </w:style>
  <w:style w:type="paragraph" w:styleId="IntenseQuote">
    <w:name w:val="Intense Quote"/>
    <w:basedOn w:val="Normal"/>
    <w:next w:val="Normal"/>
    <w:link w:val="IntenseQuoteChar"/>
    <w:uiPriority w:val="30"/>
    <w:semiHidden/>
    <w:qFormat/>
    <w:rsid w:val="00A0420F"/>
    <w:pPr>
      <w:pBdr>
        <w:bottom w:val="single" w:sz="4" w:space="4" w:color="00728F" w:themeColor="accent1"/>
      </w:pBdr>
      <w:spacing w:before="200" w:after="280"/>
      <w:ind w:left="936" w:right="936"/>
    </w:pPr>
    <w:rPr>
      <w:b/>
      <w:bCs/>
      <w:i/>
      <w:iCs/>
      <w:color w:val="00728F" w:themeColor="accent1"/>
    </w:rPr>
  </w:style>
  <w:style w:type="character" w:customStyle="1" w:styleId="IntenseQuoteChar">
    <w:name w:val="Intense Quote Char"/>
    <w:basedOn w:val="DefaultParagraphFont"/>
    <w:link w:val="IntenseQuote"/>
    <w:uiPriority w:val="30"/>
    <w:semiHidden/>
    <w:rsid w:val="00A0420F"/>
    <w:rPr>
      <w:rFonts w:ascii="Calibri" w:hAnsi="Calibri"/>
      <w:b/>
      <w:bCs/>
      <w:i/>
      <w:iCs/>
      <w:color w:val="00728F" w:themeColor="accent1"/>
    </w:rPr>
  </w:style>
  <w:style w:type="character" w:styleId="IntenseReference">
    <w:name w:val="Intense Reference"/>
    <w:basedOn w:val="DefaultParagraphFont"/>
    <w:uiPriority w:val="32"/>
    <w:semiHidden/>
    <w:qFormat/>
    <w:rsid w:val="00A0420F"/>
    <w:rPr>
      <w:b/>
      <w:bCs/>
      <w:smallCaps/>
      <w:color w:val="B7DDE8" w:themeColor="accent2"/>
      <w:spacing w:val="5"/>
      <w:u w:val="single"/>
    </w:rPr>
  </w:style>
  <w:style w:type="character" w:styleId="LineNumber">
    <w:name w:val="line number"/>
    <w:basedOn w:val="DefaultParagraphFont"/>
    <w:uiPriority w:val="99"/>
    <w:semiHidden/>
    <w:rsid w:val="00A0420F"/>
  </w:style>
  <w:style w:type="paragraph" w:styleId="List">
    <w:name w:val="List"/>
    <w:basedOn w:val="Normal"/>
    <w:uiPriority w:val="99"/>
    <w:semiHidden/>
    <w:rsid w:val="00A0420F"/>
    <w:pPr>
      <w:ind w:left="283" w:hanging="283"/>
      <w:contextualSpacing/>
    </w:pPr>
  </w:style>
  <w:style w:type="paragraph" w:styleId="List2">
    <w:name w:val="List 2"/>
    <w:basedOn w:val="Normal"/>
    <w:uiPriority w:val="99"/>
    <w:semiHidden/>
    <w:rsid w:val="00A0420F"/>
    <w:pPr>
      <w:ind w:left="566" w:hanging="283"/>
      <w:contextualSpacing/>
    </w:pPr>
  </w:style>
  <w:style w:type="paragraph" w:styleId="List3">
    <w:name w:val="List 3"/>
    <w:basedOn w:val="Normal"/>
    <w:uiPriority w:val="99"/>
    <w:semiHidden/>
    <w:rsid w:val="00A0420F"/>
    <w:pPr>
      <w:ind w:left="849" w:hanging="283"/>
      <w:contextualSpacing/>
    </w:pPr>
  </w:style>
  <w:style w:type="paragraph" w:styleId="List4">
    <w:name w:val="List 4"/>
    <w:basedOn w:val="Normal"/>
    <w:uiPriority w:val="99"/>
    <w:semiHidden/>
    <w:rsid w:val="00A0420F"/>
    <w:pPr>
      <w:ind w:left="1132" w:hanging="283"/>
      <w:contextualSpacing/>
    </w:pPr>
  </w:style>
  <w:style w:type="paragraph" w:styleId="List5">
    <w:name w:val="List 5"/>
    <w:basedOn w:val="Normal"/>
    <w:uiPriority w:val="99"/>
    <w:semiHidden/>
    <w:rsid w:val="00A0420F"/>
    <w:pPr>
      <w:ind w:left="1415" w:hanging="283"/>
      <w:contextualSpacing/>
    </w:pPr>
  </w:style>
  <w:style w:type="paragraph" w:styleId="ListBullet">
    <w:name w:val="List Bullet"/>
    <w:basedOn w:val="Normal"/>
    <w:uiPriority w:val="99"/>
    <w:semiHidden/>
    <w:rsid w:val="00A0420F"/>
    <w:pPr>
      <w:numPr>
        <w:numId w:val="1"/>
      </w:numPr>
      <w:contextualSpacing/>
    </w:pPr>
  </w:style>
  <w:style w:type="paragraph" w:styleId="ListBullet2">
    <w:name w:val="List Bullet 2"/>
    <w:basedOn w:val="Normal"/>
    <w:uiPriority w:val="99"/>
    <w:semiHidden/>
    <w:rsid w:val="00A0420F"/>
    <w:pPr>
      <w:numPr>
        <w:numId w:val="2"/>
      </w:numPr>
      <w:contextualSpacing/>
    </w:pPr>
  </w:style>
  <w:style w:type="paragraph" w:styleId="ListBullet3">
    <w:name w:val="List Bullet 3"/>
    <w:basedOn w:val="Normal"/>
    <w:uiPriority w:val="99"/>
    <w:semiHidden/>
    <w:rsid w:val="00A0420F"/>
    <w:pPr>
      <w:numPr>
        <w:numId w:val="3"/>
      </w:numPr>
      <w:contextualSpacing/>
    </w:pPr>
  </w:style>
  <w:style w:type="paragraph" w:styleId="ListBullet4">
    <w:name w:val="List Bullet 4"/>
    <w:basedOn w:val="Normal"/>
    <w:uiPriority w:val="99"/>
    <w:semiHidden/>
    <w:rsid w:val="00A0420F"/>
    <w:pPr>
      <w:numPr>
        <w:numId w:val="4"/>
      </w:numPr>
      <w:contextualSpacing/>
    </w:pPr>
  </w:style>
  <w:style w:type="paragraph" w:styleId="ListBullet5">
    <w:name w:val="List Bullet 5"/>
    <w:basedOn w:val="Normal"/>
    <w:uiPriority w:val="99"/>
    <w:semiHidden/>
    <w:rsid w:val="00A0420F"/>
    <w:pPr>
      <w:numPr>
        <w:numId w:val="5"/>
      </w:numPr>
      <w:contextualSpacing/>
    </w:pPr>
  </w:style>
  <w:style w:type="paragraph" w:styleId="ListContinue">
    <w:name w:val="List Continue"/>
    <w:basedOn w:val="Normal"/>
    <w:uiPriority w:val="99"/>
    <w:semiHidden/>
    <w:rsid w:val="00A0420F"/>
    <w:pPr>
      <w:spacing w:after="120"/>
      <w:ind w:left="283"/>
      <w:contextualSpacing/>
    </w:pPr>
  </w:style>
  <w:style w:type="paragraph" w:styleId="ListContinue2">
    <w:name w:val="List Continue 2"/>
    <w:basedOn w:val="Normal"/>
    <w:uiPriority w:val="99"/>
    <w:semiHidden/>
    <w:rsid w:val="00A0420F"/>
    <w:pPr>
      <w:spacing w:after="120"/>
      <w:ind w:left="566"/>
      <w:contextualSpacing/>
    </w:pPr>
  </w:style>
  <w:style w:type="paragraph" w:styleId="ListContinue3">
    <w:name w:val="List Continue 3"/>
    <w:basedOn w:val="Normal"/>
    <w:uiPriority w:val="99"/>
    <w:semiHidden/>
    <w:rsid w:val="00A0420F"/>
    <w:pPr>
      <w:spacing w:after="120"/>
      <w:ind w:left="849"/>
      <w:contextualSpacing/>
    </w:pPr>
  </w:style>
  <w:style w:type="paragraph" w:styleId="ListContinue4">
    <w:name w:val="List Continue 4"/>
    <w:basedOn w:val="Normal"/>
    <w:uiPriority w:val="99"/>
    <w:semiHidden/>
    <w:rsid w:val="00A0420F"/>
    <w:pPr>
      <w:spacing w:after="120"/>
      <w:ind w:left="1132"/>
      <w:contextualSpacing/>
    </w:pPr>
  </w:style>
  <w:style w:type="paragraph" w:styleId="ListContinue5">
    <w:name w:val="List Continue 5"/>
    <w:basedOn w:val="Normal"/>
    <w:uiPriority w:val="99"/>
    <w:semiHidden/>
    <w:rsid w:val="00A0420F"/>
    <w:pPr>
      <w:spacing w:after="120"/>
      <w:ind w:left="1415"/>
      <w:contextualSpacing/>
    </w:pPr>
  </w:style>
  <w:style w:type="paragraph" w:styleId="ListNumber">
    <w:name w:val="List Number"/>
    <w:basedOn w:val="Normal"/>
    <w:uiPriority w:val="99"/>
    <w:semiHidden/>
    <w:rsid w:val="00A0420F"/>
    <w:pPr>
      <w:numPr>
        <w:numId w:val="6"/>
      </w:numPr>
      <w:contextualSpacing/>
    </w:pPr>
  </w:style>
  <w:style w:type="paragraph" w:styleId="ListNumber2">
    <w:name w:val="List Number 2"/>
    <w:basedOn w:val="Normal"/>
    <w:uiPriority w:val="99"/>
    <w:semiHidden/>
    <w:rsid w:val="00A0420F"/>
    <w:pPr>
      <w:numPr>
        <w:numId w:val="7"/>
      </w:numPr>
      <w:contextualSpacing/>
    </w:pPr>
  </w:style>
  <w:style w:type="paragraph" w:styleId="ListNumber3">
    <w:name w:val="List Number 3"/>
    <w:basedOn w:val="Normal"/>
    <w:uiPriority w:val="99"/>
    <w:semiHidden/>
    <w:rsid w:val="00A0420F"/>
    <w:pPr>
      <w:numPr>
        <w:numId w:val="8"/>
      </w:numPr>
      <w:contextualSpacing/>
    </w:pPr>
  </w:style>
  <w:style w:type="paragraph" w:styleId="ListNumber4">
    <w:name w:val="List Number 4"/>
    <w:basedOn w:val="Normal"/>
    <w:uiPriority w:val="99"/>
    <w:semiHidden/>
    <w:rsid w:val="00A0420F"/>
    <w:pPr>
      <w:numPr>
        <w:numId w:val="9"/>
      </w:numPr>
      <w:contextualSpacing/>
    </w:pPr>
  </w:style>
  <w:style w:type="paragraph" w:styleId="ListNumber5">
    <w:name w:val="List Number 5"/>
    <w:basedOn w:val="Normal"/>
    <w:uiPriority w:val="99"/>
    <w:semiHidden/>
    <w:rsid w:val="00A0420F"/>
    <w:pPr>
      <w:numPr>
        <w:numId w:val="10"/>
      </w:numPr>
      <w:contextualSpacing/>
    </w:pPr>
  </w:style>
  <w:style w:type="paragraph" w:styleId="ListParagraph">
    <w:name w:val="List Paragraph"/>
    <w:aliases w:val="List Paragraph1,Recommendation,bullet point list,List Paragraph11"/>
    <w:basedOn w:val="Normal"/>
    <w:link w:val="ListParagraphChar"/>
    <w:uiPriority w:val="34"/>
    <w:qFormat/>
    <w:rsid w:val="00A0420F"/>
    <w:pPr>
      <w:ind w:left="720"/>
      <w:contextualSpacing/>
    </w:pPr>
  </w:style>
  <w:style w:type="paragraph" w:styleId="MacroText">
    <w:name w:val="macro"/>
    <w:link w:val="MacroTextChar"/>
    <w:uiPriority w:val="99"/>
    <w:semiHidden/>
    <w:rsid w:val="00A04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A0420F"/>
    <w:rPr>
      <w:rFonts w:ascii="Consolas" w:hAnsi="Consolas" w:cs="Consolas"/>
      <w:sz w:val="20"/>
      <w:szCs w:val="20"/>
    </w:rPr>
  </w:style>
  <w:style w:type="paragraph" w:styleId="MessageHeader">
    <w:name w:val="Message Header"/>
    <w:basedOn w:val="Normal"/>
    <w:link w:val="MessageHeaderChar"/>
    <w:uiPriority w:val="99"/>
    <w:semiHidden/>
    <w:rsid w:val="00A0420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0420F"/>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A0420F"/>
    <w:pPr>
      <w:spacing w:after="0"/>
    </w:pPr>
    <w:rPr>
      <w:rFonts w:ascii="Calibri" w:hAnsi="Calibri"/>
    </w:rPr>
  </w:style>
  <w:style w:type="paragraph" w:styleId="NormalWeb">
    <w:name w:val="Normal (Web)"/>
    <w:basedOn w:val="Normal"/>
    <w:uiPriority w:val="99"/>
    <w:semiHidden/>
    <w:rsid w:val="00A0420F"/>
    <w:rPr>
      <w:rFonts w:ascii="Times New Roman" w:hAnsi="Times New Roman" w:cs="Times New Roman"/>
      <w:sz w:val="24"/>
      <w:szCs w:val="24"/>
    </w:rPr>
  </w:style>
  <w:style w:type="paragraph" w:styleId="NormalIndent">
    <w:name w:val="Normal Indent"/>
    <w:basedOn w:val="Normal"/>
    <w:uiPriority w:val="99"/>
    <w:semiHidden/>
    <w:rsid w:val="00A0420F"/>
    <w:pPr>
      <w:ind w:left="720"/>
    </w:pPr>
  </w:style>
  <w:style w:type="paragraph" w:styleId="NoteHeading">
    <w:name w:val="Note Heading"/>
    <w:basedOn w:val="Normal"/>
    <w:next w:val="Normal"/>
    <w:link w:val="NoteHeadingChar"/>
    <w:uiPriority w:val="99"/>
    <w:semiHidden/>
    <w:rsid w:val="00A0420F"/>
  </w:style>
  <w:style w:type="character" w:customStyle="1" w:styleId="NoteHeadingChar">
    <w:name w:val="Note Heading Char"/>
    <w:basedOn w:val="DefaultParagraphFont"/>
    <w:link w:val="NoteHeading"/>
    <w:uiPriority w:val="99"/>
    <w:semiHidden/>
    <w:rsid w:val="00A0420F"/>
    <w:rPr>
      <w:rFonts w:ascii="Calibri" w:hAnsi="Calibri"/>
    </w:rPr>
  </w:style>
  <w:style w:type="character" w:styleId="PlaceholderText">
    <w:name w:val="Placeholder Text"/>
    <w:basedOn w:val="DefaultParagraphFont"/>
    <w:uiPriority w:val="99"/>
    <w:semiHidden/>
    <w:rsid w:val="00A0420F"/>
    <w:rPr>
      <w:color w:val="808080"/>
    </w:rPr>
  </w:style>
  <w:style w:type="paragraph" w:styleId="PlainText">
    <w:name w:val="Plain Text"/>
    <w:basedOn w:val="Normal"/>
    <w:link w:val="PlainTextChar"/>
    <w:uiPriority w:val="99"/>
    <w:semiHidden/>
    <w:rsid w:val="00A0420F"/>
    <w:rPr>
      <w:rFonts w:ascii="Consolas" w:hAnsi="Consolas" w:cs="Consolas"/>
      <w:sz w:val="21"/>
      <w:szCs w:val="21"/>
    </w:rPr>
  </w:style>
  <w:style w:type="character" w:customStyle="1" w:styleId="PlainTextChar">
    <w:name w:val="Plain Text Char"/>
    <w:basedOn w:val="DefaultParagraphFont"/>
    <w:link w:val="PlainText"/>
    <w:uiPriority w:val="99"/>
    <w:semiHidden/>
    <w:rsid w:val="00A0420F"/>
    <w:rPr>
      <w:rFonts w:ascii="Consolas" w:hAnsi="Consolas" w:cs="Consolas"/>
      <w:sz w:val="21"/>
      <w:szCs w:val="21"/>
    </w:rPr>
  </w:style>
  <w:style w:type="paragraph" w:styleId="Quote">
    <w:name w:val="Quote"/>
    <w:basedOn w:val="Normal"/>
    <w:next w:val="Normal"/>
    <w:link w:val="QuoteChar"/>
    <w:uiPriority w:val="29"/>
    <w:semiHidden/>
    <w:qFormat/>
    <w:rsid w:val="00A0420F"/>
    <w:rPr>
      <w:i/>
      <w:iCs/>
      <w:color w:val="00728F" w:themeColor="text1"/>
    </w:rPr>
  </w:style>
  <w:style w:type="character" w:customStyle="1" w:styleId="QuoteChar">
    <w:name w:val="Quote Char"/>
    <w:basedOn w:val="DefaultParagraphFont"/>
    <w:link w:val="Quote"/>
    <w:uiPriority w:val="29"/>
    <w:semiHidden/>
    <w:rsid w:val="00A0420F"/>
    <w:rPr>
      <w:rFonts w:ascii="Calibri" w:hAnsi="Calibri"/>
      <w:i/>
      <w:iCs/>
      <w:color w:val="00728F" w:themeColor="text1"/>
    </w:rPr>
  </w:style>
  <w:style w:type="paragraph" w:styleId="Salutation">
    <w:name w:val="Salutation"/>
    <w:basedOn w:val="Normal"/>
    <w:next w:val="Normal"/>
    <w:link w:val="SalutationChar"/>
    <w:uiPriority w:val="99"/>
    <w:semiHidden/>
    <w:rsid w:val="00A0420F"/>
  </w:style>
  <w:style w:type="character" w:customStyle="1" w:styleId="SalutationChar">
    <w:name w:val="Salutation Char"/>
    <w:basedOn w:val="DefaultParagraphFont"/>
    <w:link w:val="Salutation"/>
    <w:uiPriority w:val="99"/>
    <w:semiHidden/>
    <w:rsid w:val="00A0420F"/>
    <w:rPr>
      <w:rFonts w:ascii="Calibri" w:hAnsi="Calibri"/>
    </w:rPr>
  </w:style>
  <w:style w:type="paragraph" w:styleId="Signature">
    <w:name w:val="Signature"/>
    <w:basedOn w:val="Normal"/>
    <w:link w:val="SignatureChar"/>
    <w:uiPriority w:val="99"/>
    <w:semiHidden/>
    <w:rsid w:val="00A0420F"/>
    <w:pPr>
      <w:ind w:left="4252"/>
    </w:pPr>
  </w:style>
  <w:style w:type="character" w:customStyle="1" w:styleId="SignatureChar">
    <w:name w:val="Signature Char"/>
    <w:basedOn w:val="DefaultParagraphFont"/>
    <w:link w:val="Signature"/>
    <w:uiPriority w:val="99"/>
    <w:semiHidden/>
    <w:rsid w:val="00A0420F"/>
    <w:rPr>
      <w:rFonts w:ascii="Calibri" w:hAnsi="Calibri"/>
    </w:rPr>
  </w:style>
  <w:style w:type="paragraph" w:styleId="Subtitle">
    <w:name w:val="Subtitle"/>
    <w:basedOn w:val="Normal"/>
    <w:next w:val="Normal"/>
    <w:link w:val="SubtitleChar"/>
    <w:uiPriority w:val="15"/>
    <w:semiHidden/>
    <w:qFormat/>
    <w:rsid w:val="00A0420F"/>
    <w:pPr>
      <w:numPr>
        <w:ilvl w:val="1"/>
      </w:numPr>
      <w:ind w:left="1021" w:hanging="1021"/>
    </w:pPr>
    <w:rPr>
      <w:rFonts w:asciiTheme="majorHAnsi" w:eastAsiaTheme="majorEastAsia" w:hAnsiTheme="majorHAnsi" w:cstheme="majorBidi"/>
      <w:i/>
      <w:iCs/>
      <w:color w:val="00728F" w:themeColor="accent1"/>
      <w:spacing w:val="15"/>
      <w:sz w:val="24"/>
      <w:szCs w:val="24"/>
    </w:rPr>
  </w:style>
  <w:style w:type="character" w:customStyle="1" w:styleId="SubtitleChar">
    <w:name w:val="Subtitle Char"/>
    <w:basedOn w:val="DefaultParagraphFont"/>
    <w:link w:val="Subtitle"/>
    <w:uiPriority w:val="15"/>
    <w:semiHidden/>
    <w:rsid w:val="00A0420F"/>
    <w:rPr>
      <w:rFonts w:asciiTheme="majorHAnsi" w:eastAsiaTheme="majorEastAsia" w:hAnsiTheme="majorHAnsi" w:cstheme="majorBidi"/>
      <w:i/>
      <w:iCs/>
      <w:color w:val="00728F" w:themeColor="accent1"/>
      <w:spacing w:val="15"/>
      <w:sz w:val="24"/>
      <w:szCs w:val="24"/>
    </w:rPr>
  </w:style>
  <w:style w:type="character" w:styleId="SubtleEmphasis">
    <w:name w:val="Subtle Emphasis"/>
    <w:basedOn w:val="DefaultParagraphFont"/>
    <w:uiPriority w:val="19"/>
    <w:semiHidden/>
    <w:qFormat/>
    <w:rsid w:val="00A0420F"/>
    <w:rPr>
      <w:i/>
      <w:iCs/>
      <w:color w:val="48D9FF" w:themeColor="text1" w:themeTint="7F"/>
    </w:rPr>
  </w:style>
  <w:style w:type="character" w:styleId="SubtleReference">
    <w:name w:val="Subtle Reference"/>
    <w:basedOn w:val="DefaultParagraphFont"/>
    <w:uiPriority w:val="31"/>
    <w:semiHidden/>
    <w:qFormat/>
    <w:rsid w:val="00A0420F"/>
    <w:rPr>
      <w:smallCaps/>
      <w:color w:val="B7DDE8" w:themeColor="accent2"/>
      <w:u w:val="single"/>
    </w:rPr>
  </w:style>
  <w:style w:type="table" w:styleId="Table3Deffects1">
    <w:name w:val="Table 3D effects 1"/>
    <w:basedOn w:val="TableNormal"/>
    <w:uiPriority w:val="99"/>
    <w:semiHidden/>
    <w:unhideWhenUsed/>
    <w:rsid w:val="00A0420F"/>
    <w:pPr>
      <w:spacing w:after="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0420F"/>
    <w:pPr>
      <w:spacing w:after="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0420F"/>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0420F"/>
    <w:pPr>
      <w:spacing w:after="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0420F"/>
    <w:pPr>
      <w:spacing w:after="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0420F"/>
    <w:pPr>
      <w:spacing w:after="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0420F"/>
    <w:pPr>
      <w:spacing w:after="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A0420F"/>
    <w:pPr>
      <w:spacing w:after="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0420F"/>
    <w:pPr>
      <w:spacing w:after="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0420F"/>
    <w:pPr>
      <w:spacing w:after="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0420F"/>
    <w:pPr>
      <w:spacing w:after="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0420F"/>
    <w:pPr>
      <w:spacing w:after="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0420F"/>
    <w:pPr>
      <w:spacing w:after="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0420F"/>
    <w:pPr>
      <w:spacing w:after="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0420F"/>
    <w:pPr>
      <w:spacing w:after="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0420F"/>
    <w:pPr>
      <w:spacing w:after="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0420F"/>
    <w:pPr>
      <w:spacing w:after="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0420F"/>
    <w:pPr>
      <w:spacing w:after="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0420F"/>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0420F"/>
    <w:pPr>
      <w:spacing w:after="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0420F"/>
    <w:pPr>
      <w:spacing w:after="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0420F"/>
    <w:pPr>
      <w:spacing w:after="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0420F"/>
    <w:pPr>
      <w:ind w:left="220" w:hanging="220"/>
    </w:pPr>
  </w:style>
  <w:style w:type="paragraph" w:styleId="TableofFigures">
    <w:name w:val="table of figures"/>
    <w:basedOn w:val="Normal"/>
    <w:next w:val="Normal"/>
    <w:uiPriority w:val="99"/>
    <w:semiHidden/>
    <w:rsid w:val="00A0420F"/>
  </w:style>
  <w:style w:type="table" w:styleId="TableProfessional">
    <w:name w:val="Table Professional"/>
    <w:basedOn w:val="TableNormal"/>
    <w:uiPriority w:val="99"/>
    <w:semiHidden/>
    <w:unhideWhenUsed/>
    <w:rsid w:val="00A0420F"/>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0420F"/>
    <w:pPr>
      <w:spacing w:after="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0420F"/>
    <w:pPr>
      <w:spacing w:after="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0420F"/>
    <w:pPr>
      <w:spacing w:after="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0420F"/>
    <w:pPr>
      <w:spacing w:after="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0420F"/>
    <w:pPr>
      <w:spacing w:after="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0420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A0420F"/>
    <w:pPr>
      <w:spacing w:after="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0420F"/>
    <w:pPr>
      <w:spacing w:after="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0420F"/>
    <w:pPr>
      <w:spacing w:after="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A0420F"/>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A0420F"/>
    <w:pPr>
      <w:spacing w:after="100"/>
      <w:ind w:left="660"/>
    </w:pPr>
  </w:style>
  <w:style w:type="paragraph" w:styleId="TOC5">
    <w:name w:val="toc 5"/>
    <w:basedOn w:val="Normal"/>
    <w:next w:val="Normal"/>
    <w:autoRedefine/>
    <w:uiPriority w:val="39"/>
    <w:semiHidden/>
    <w:unhideWhenUsed/>
    <w:rsid w:val="00A0420F"/>
    <w:pPr>
      <w:spacing w:after="100"/>
      <w:ind w:left="880"/>
    </w:pPr>
  </w:style>
  <w:style w:type="paragraph" w:styleId="TOC6">
    <w:name w:val="toc 6"/>
    <w:basedOn w:val="Normal"/>
    <w:next w:val="Normal"/>
    <w:autoRedefine/>
    <w:uiPriority w:val="39"/>
    <w:semiHidden/>
    <w:unhideWhenUsed/>
    <w:rsid w:val="00A0420F"/>
    <w:pPr>
      <w:spacing w:after="100"/>
      <w:ind w:left="1100"/>
    </w:pPr>
  </w:style>
  <w:style w:type="paragraph" w:styleId="TOC7">
    <w:name w:val="toc 7"/>
    <w:basedOn w:val="Normal"/>
    <w:next w:val="Normal"/>
    <w:autoRedefine/>
    <w:uiPriority w:val="39"/>
    <w:semiHidden/>
    <w:unhideWhenUsed/>
    <w:rsid w:val="00A0420F"/>
    <w:pPr>
      <w:spacing w:after="100"/>
      <w:ind w:left="1320"/>
    </w:pPr>
  </w:style>
  <w:style w:type="paragraph" w:styleId="TOC8">
    <w:name w:val="toc 8"/>
    <w:basedOn w:val="Normal"/>
    <w:next w:val="Normal"/>
    <w:autoRedefine/>
    <w:uiPriority w:val="39"/>
    <w:semiHidden/>
    <w:unhideWhenUsed/>
    <w:rsid w:val="00A0420F"/>
    <w:pPr>
      <w:spacing w:after="100"/>
      <w:ind w:left="1540"/>
    </w:pPr>
  </w:style>
  <w:style w:type="paragraph" w:styleId="TOC9">
    <w:name w:val="toc 9"/>
    <w:basedOn w:val="Normal"/>
    <w:next w:val="Normal"/>
    <w:autoRedefine/>
    <w:uiPriority w:val="39"/>
    <w:semiHidden/>
    <w:unhideWhenUsed/>
    <w:rsid w:val="00A0420F"/>
    <w:pPr>
      <w:spacing w:after="100"/>
      <w:ind w:left="1760"/>
    </w:pPr>
  </w:style>
  <w:style w:type="paragraph" w:customStyle="1" w:styleId="Definitiontext">
    <w:name w:val="Definition text"/>
    <w:basedOn w:val="BodyText"/>
    <w:uiPriority w:val="20"/>
    <w:qFormat/>
    <w:rsid w:val="00C80837"/>
    <w:pPr>
      <w:spacing w:before="120"/>
    </w:pPr>
  </w:style>
  <w:style w:type="paragraph" w:customStyle="1" w:styleId="Definitionterm">
    <w:name w:val="Definition term"/>
    <w:basedOn w:val="Definitiontext"/>
    <w:next w:val="Definitiontext"/>
    <w:uiPriority w:val="20"/>
    <w:qFormat/>
    <w:rsid w:val="00A34761"/>
    <w:pPr>
      <w:spacing w:before="240" w:after="120"/>
    </w:pPr>
    <w:rPr>
      <w:b/>
    </w:rPr>
  </w:style>
  <w:style w:type="table" w:customStyle="1" w:styleId="ColorfulGrid1">
    <w:name w:val="Colorful Grid1"/>
    <w:basedOn w:val="TableNormal"/>
    <w:uiPriority w:val="99"/>
    <w:semiHidden/>
    <w:rsid w:val="00361DEB"/>
    <w:pPr>
      <w:spacing w:after="0"/>
    </w:pPr>
    <w:rPr>
      <w:color w:val="00728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5EFFF" w:themeFill="text1" w:themeFillTint="33"/>
    </w:tcPr>
    <w:tblStylePr w:type="firstRow">
      <w:rPr>
        <w:b/>
        <w:bCs/>
      </w:rPr>
      <w:tblPr/>
      <w:tcPr>
        <w:shd w:val="clear" w:color="auto" w:fill="6CE1FF" w:themeFill="text1" w:themeFillTint="66"/>
      </w:tcPr>
    </w:tblStylePr>
    <w:tblStylePr w:type="lastRow">
      <w:rPr>
        <w:b/>
        <w:bCs/>
        <w:color w:val="00728F" w:themeColor="text1"/>
      </w:rPr>
      <w:tblPr/>
      <w:tcPr>
        <w:shd w:val="clear" w:color="auto" w:fill="6CE1FF" w:themeFill="text1" w:themeFillTint="66"/>
      </w:tcPr>
    </w:tblStylePr>
    <w:tblStylePr w:type="firstCol">
      <w:rPr>
        <w:color w:val="FFFFFF" w:themeColor="background1"/>
      </w:rPr>
      <w:tblPr/>
      <w:tcPr>
        <w:shd w:val="clear" w:color="auto" w:fill="00556B" w:themeFill="text1" w:themeFillShade="BF"/>
      </w:tcPr>
    </w:tblStylePr>
    <w:tblStylePr w:type="lastCol">
      <w:rPr>
        <w:color w:val="FFFFFF" w:themeColor="background1"/>
      </w:rPr>
      <w:tblPr/>
      <w:tcPr>
        <w:shd w:val="clear" w:color="auto" w:fill="00556B" w:themeFill="text1" w:themeFillShade="BF"/>
      </w:tcPr>
    </w:tblStylePr>
    <w:tblStylePr w:type="band1Vert">
      <w:tblPr/>
      <w:tcPr>
        <w:shd w:val="clear" w:color="auto" w:fill="48D9FF" w:themeFill="text1" w:themeFillTint="7F"/>
      </w:tcPr>
    </w:tblStylePr>
    <w:tblStylePr w:type="band1Horz">
      <w:tblPr/>
      <w:tcPr>
        <w:shd w:val="clear" w:color="auto" w:fill="48D9FF" w:themeFill="text1" w:themeFillTint="7F"/>
      </w:tcPr>
    </w:tblStylePr>
  </w:style>
  <w:style w:type="table" w:styleId="ColorfulGrid-Accent1">
    <w:name w:val="Colorful Grid Accent 1"/>
    <w:basedOn w:val="TableNormal"/>
    <w:uiPriority w:val="99"/>
    <w:semiHidden/>
    <w:rsid w:val="00361DEB"/>
    <w:pPr>
      <w:spacing w:after="0"/>
    </w:pPr>
    <w:rPr>
      <w:color w:val="00728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5EFFF" w:themeFill="accent1" w:themeFillTint="33"/>
    </w:tcPr>
    <w:tblStylePr w:type="firstRow">
      <w:rPr>
        <w:b/>
        <w:bCs/>
      </w:rPr>
      <w:tblPr/>
      <w:tcPr>
        <w:shd w:val="clear" w:color="auto" w:fill="6CE1FF" w:themeFill="accent1" w:themeFillTint="66"/>
      </w:tcPr>
    </w:tblStylePr>
    <w:tblStylePr w:type="lastRow">
      <w:rPr>
        <w:b/>
        <w:bCs/>
        <w:color w:val="00728F" w:themeColor="text1"/>
      </w:rPr>
      <w:tblPr/>
      <w:tcPr>
        <w:shd w:val="clear" w:color="auto" w:fill="6CE1FF" w:themeFill="accent1" w:themeFillTint="66"/>
      </w:tcPr>
    </w:tblStylePr>
    <w:tblStylePr w:type="firstCol">
      <w:rPr>
        <w:color w:val="FFFFFF" w:themeColor="background1"/>
      </w:rPr>
      <w:tblPr/>
      <w:tcPr>
        <w:shd w:val="clear" w:color="auto" w:fill="00556B" w:themeFill="accent1" w:themeFillShade="BF"/>
      </w:tcPr>
    </w:tblStylePr>
    <w:tblStylePr w:type="lastCol">
      <w:rPr>
        <w:color w:val="FFFFFF" w:themeColor="background1"/>
      </w:rPr>
      <w:tblPr/>
      <w:tcPr>
        <w:shd w:val="clear" w:color="auto" w:fill="00556B" w:themeFill="accent1" w:themeFillShade="BF"/>
      </w:tcPr>
    </w:tblStylePr>
    <w:tblStylePr w:type="band1Vert">
      <w:tblPr/>
      <w:tcPr>
        <w:shd w:val="clear" w:color="auto" w:fill="48D9FF" w:themeFill="accent1" w:themeFillTint="7F"/>
      </w:tcPr>
    </w:tblStylePr>
    <w:tblStylePr w:type="band1Horz">
      <w:tblPr/>
      <w:tcPr>
        <w:shd w:val="clear" w:color="auto" w:fill="48D9FF" w:themeFill="accent1" w:themeFillTint="7F"/>
      </w:tcPr>
    </w:tblStylePr>
  </w:style>
  <w:style w:type="table" w:styleId="ColorfulGrid-Accent2">
    <w:name w:val="Colorful Grid Accent 2"/>
    <w:basedOn w:val="TableNormal"/>
    <w:uiPriority w:val="99"/>
    <w:semiHidden/>
    <w:rsid w:val="00361DEB"/>
    <w:pPr>
      <w:spacing w:after="0"/>
    </w:pPr>
    <w:rPr>
      <w:color w:val="00728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0F8FA" w:themeFill="accent2" w:themeFillTint="33"/>
    </w:tcPr>
    <w:tblStylePr w:type="firstRow">
      <w:rPr>
        <w:b/>
        <w:bCs/>
      </w:rPr>
      <w:tblPr/>
      <w:tcPr>
        <w:shd w:val="clear" w:color="auto" w:fill="E2F1F5" w:themeFill="accent2" w:themeFillTint="66"/>
      </w:tcPr>
    </w:tblStylePr>
    <w:tblStylePr w:type="lastRow">
      <w:rPr>
        <w:b/>
        <w:bCs/>
        <w:color w:val="00728F" w:themeColor="text1"/>
      </w:rPr>
      <w:tblPr/>
      <w:tcPr>
        <w:shd w:val="clear" w:color="auto" w:fill="E2F1F5" w:themeFill="accent2" w:themeFillTint="66"/>
      </w:tcPr>
    </w:tblStylePr>
    <w:tblStylePr w:type="firstCol">
      <w:rPr>
        <w:color w:val="FFFFFF" w:themeColor="background1"/>
      </w:rPr>
      <w:tblPr/>
      <w:tcPr>
        <w:shd w:val="clear" w:color="auto" w:fill="67B7CE" w:themeFill="accent2" w:themeFillShade="BF"/>
      </w:tcPr>
    </w:tblStylePr>
    <w:tblStylePr w:type="lastCol">
      <w:rPr>
        <w:color w:val="FFFFFF" w:themeColor="background1"/>
      </w:rPr>
      <w:tblPr/>
      <w:tcPr>
        <w:shd w:val="clear" w:color="auto" w:fill="67B7CE" w:themeFill="accent2" w:themeFillShade="BF"/>
      </w:tcPr>
    </w:tblStylePr>
    <w:tblStylePr w:type="band1Vert">
      <w:tblPr/>
      <w:tcPr>
        <w:shd w:val="clear" w:color="auto" w:fill="DBEEF3" w:themeFill="accent2" w:themeFillTint="7F"/>
      </w:tcPr>
    </w:tblStylePr>
    <w:tblStylePr w:type="band1Horz">
      <w:tblPr/>
      <w:tcPr>
        <w:shd w:val="clear" w:color="auto" w:fill="DBEEF3" w:themeFill="accent2" w:themeFillTint="7F"/>
      </w:tcPr>
    </w:tblStylePr>
  </w:style>
  <w:style w:type="table" w:styleId="ColorfulGrid-Accent3">
    <w:name w:val="Colorful Grid Accent 3"/>
    <w:basedOn w:val="TableNormal"/>
    <w:uiPriority w:val="99"/>
    <w:semiHidden/>
    <w:rsid w:val="00361DEB"/>
    <w:pPr>
      <w:spacing w:after="0"/>
    </w:pPr>
    <w:rPr>
      <w:color w:val="00728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7FBFC" w:themeFill="accent3" w:themeFillTint="33"/>
    </w:tcPr>
    <w:tblStylePr w:type="firstRow">
      <w:rPr>
        <w:b/>
        <w:bCs/>
      </w:rPr>
      <w:tblPr/>
      <w:tcPr>
        <w:shd w:val="clear" w:color="auto" w:fill="F0F8FA" w:themeFill="accent3" w:themeFillTint="66"/>
      </w:tcPr>
    </w:tblStylePr>
    <w:tblStylePr w:type="lastRow">
      <w:rPr>
        <w:b/>
        <w:bCs/>
        <w:color w:val="00728F" w:themeColor="text1"/>
      </w:rPr>
      <w:tblPr/>
      <w:tcPr>
        <w:shd w:val="clear" w:color="auto" w:fill="F0F8FA" w:themeFill="accent3" w:themeFillTint="66"/>
      </w:tcPr>
    </w:tblStylePr>
    <w:tblStylePr w:type="firstCol">
      <w:rPr>
        <w:color w:val="FFFFFF" w:themeColor="background1"/>
      </w:rPr>
      <w:tblPr/>
      <w:tcPr>
        <w:shd w:val="clear" w:color="auto" w:fill="84C4D6" w:themeFill="accent3" w:themeFillShade="BF"/>
      </w:tcPr>
    </w:tblStylePr>
    <w:tblStylePr w:type="lastCol">
      <w:rPr>
        <w:color w:val="FFFFFF" w:themeColor="background1"/>
      </w:rPr>
      <w:tblPr/>
      <w:tcPr>
        <w:shd w:val="clear" w:color="auto" w:fill="84C4D6" w:themeFill="accent3" w:themeFillShade="BF"/>
      </w:tcPr>
    </w:tblStylePr>
    <w:tblStylePr w:type="band1Vert">
      <w:tblPr/>
      <w:tcPr>
        <w:shd w:val="clear" w:color="auto" w:fill="EDF6F9" w:themeFill="accent3" w:themeFillTint="7F"/>
      </w:tcPr>
    </w:tblStylePr>
    <w:tblStylePr w:type="band1Horz">
      <w:tblPr/>
      <w:tcPr>
        <w:shd w:val="clear" w:color="auto" w:fill="EDF6F9" w:themeFill="accent3" w:themeFillTint="7F"/>
      </w:tcPr>
    </w:tblStylePr>
  </w:style>
  <w:style w:type="table" w:styleId="ColorfulGrid-Accent4">
    <w:name w:val="Colorful Grid Accent 4"/>
    <w:basedOn w:val="TableNormal"/>
    <w:uiPriority w:val="99"/>
    <w:semiHidden/>
    <w:rsid w:val="00361DEB"/>
    <w:pPr>
      <w:spacing w:after="0"/>
    </w:pPr>
    <w:rPr>
      <w:color w:val="00728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9F4F8" w:themeFill="accent4" w:themeFillTint="33"/>
    </w:tcPr>
    <w:tblStylePr w:type="firstRow">
      <w:rPr>
        <w:b/>
        <w:bCs/>
      </w:rPr>
      <w:tblPr/>
      <w:tcPr>
        <w:shd w:val="clear" w:color="auto" w:fill="D3EAF1" w:themeFill="accent4" w:themeFillTint="66"/>
      </w:tcPr>
    </w:tblStylePr>
    <w:tblStylePr w:type="lastRow">
      <w:rPr>
        <w:b/>
        <w:bCs/>
        <w:color w:val="00728F" w:themeColor="text1"/>
      </w:rPr>
      <w:tblPr/>
      <w:tcPr>
        <w:shd w:val="clear" w:color="auto" w:fill="D3EAF1" w:themeFill="accent4" w:themeFillTint="66"/>
      </w:tcPr>
    </w:tblStylePr>
    <w:tblStylePr w:type="firstCol">
      <w:rPr>
        <w:color w:val="FFFFFF" w:themeColor="background1"/>
      </w:rPr>
      <w:tblPr/>
      <w:tcPr>
        <w:shd w:val="clear" w:color="auto" w:fill="4CACC5" w:themeFill="accent4" w:themeFillShade="BF"/>
      </w:tcPr>
    </w:tblStylePr>
    <w:tblStylePr w:type="lastCol">
      <w:rPr>
        <w:color w:val="FFFFFF" w:themeColor="background1"/>
      </w:rPr>
      <w:tblPr/>
      <w:tcPr>
        <w:shd w:val="clear" w:color="auto" w:fill="4CACC5" w:themeFill="accent4" w:themeFillShade="BF"/>
      </w:tcPr>
    </w:tblStylePr>
    <w:tblStylePr w:type="band1Vert">
      <w:tblPr/>
      <w:tcPr>
        <w:shd w:val="clear" w:color="auto" w:fill="C8E5ED" w:themeFill="accent4" w:themeFillTint="7F"/>
      </w:tcPr>
    </w:tblStylePr>
    <w:tblStylePr w:type="band1Horz">
      <w:tblPr/>
      <w:tcPr>
        <w:shd w:val="clear" w:color="auto" w:fill="C8E5ED" w:themeFill="accent4" w:themeFillTint="7F"/>
      </w:tcPr>
    </w:tblStylePr>
  </w:style>
  <w:style w:type="table" w:styleId="ColorfulGrid-Accent5">
    <w:name w:val="Colorful Grid Accent 5"/>
    <w:basedOn w:val="TableNormal"/>
    <w:uiPriority w:val="99"/>
    <w:semiHidden/>
    <w:rsid w:val="00361DEB"/>
    <w:pPr>
      <w:spacing w:after="0"/>
    </w:pPr>
    <w:rPr>
      <w:color w:val="00728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0E9F0" w:themeFill="accent5" w:themeFillTint="33"/>
    </w:tcPr>
    <w:tblStylePr w:type="firstRow">
      <w:rPr>
        <w:b/>
        <w:bCs/>
      </w:rPr>
      <w:tblPr/>
      <w:tcPr>
        <w:shd w:val="clear" w:color="auto" w:fill="A1D4E1" w:themeFill="accent5" w:themeFillTint="66"/>
      </w:tcPr>
    </w:tblStylePr>
    <w:tblStylePr w:type="lastRow">
      <w:rPr>
        <w:b/>
        <w:bCs/>
        <w:color w:val="00728F" w:themeColor="text1"/>
      </w:rPr>
      <w:tblPr/>
      <w:tcPr>
        <w:shd w:val="clear" w:color="auto" w:fill="A1D4E1" w:themeFill="accent5" w:themeFillTint="66"/>
      </w:tcPr>
    </w:tblStylePr>
    <w:tblStylePr w:type="firstCol">
      <w:rPr>
        <w:color w:val="FFFFFF" w:themeColor="background1"/>
      </w:rPr>
      <w:tblPr/>
      <w:tcPr>
        <w:shd w:val="clear" w:color="auto" w:fill="246373" w:themeFill="accent5" w:themeFillShade="BF"/>
      </w:tcPr>
    </w:tblStylePr>
    <w:tblStylePr w:type="lastCol">
      <w:rPr>
        <w:color w:val="FFFFFF" w:themeColor="background1"/>
      </w:rPr>
      <w:tblPr/>
      <w:tcPr>
        <w:shd w:val="clear" w:color="auto" w:fill="246373" w:themeFill="accent5" w:themeFillShade="BF"/>
      </w:tcPr>
    </w:tblStylePr>
    <w:tblStylePr w:type="band1Vert">
      <w:tblPr/>
      <w:tcPr>
        <w:shd w:val="clear" w:color="auto" w:fill="8BC9DA" w:themeFill="accent5" w:themeFillTint="7F"/>
      </w:tcPr>
    </w:tblStylePr>
    <w:tblStylePr w:type="band1Horz">
      <w:tblPr/>
      <w:tcPr>
        <w:shd w:val="clear" w:color="auto" w:fill="8BC9DA" w:themeFill="accent5" w:themeFillTint="7F"/>
      </w:tcPr>
    </w:tblStylePr>
  </w:style>
  <w:style w:type="table" w:styleId="ColorfulGrid-Accent6">
    <w:name w:val="Colorful Grid Accent 6"/>
    <w:basedOn w:val="TableNormal"/>
    <w:uiPriority w:val="99"/>
    <w:semiHidden/>
    <w:rsid w:val="00361DEB"/>
    <w:pPr>
      <w:spacing w:after="0"/>
    </w:pPr>
    <w:rPr>
      <w:color w:val="00728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F0F5" w:themeFill="accent6" w:themeFillTint="33"/>
    </w:tcPr>
    <w:tblStylePr w:type="firstRow">
      <w:rPr>
        <w:b/>
        <w:bCs/>
      </w:rPr>
      <w:tblPr/>
      <w:tcPr>
        <w:shd w:val="clear" w:color="auto" w:fill="C0E2EB" w:themeFill="accent6" w:themeFillTint="66"/>
      </w:tcPr>
    </w:tblStylePr>
    <w:tblStylePr w:type="lastRow">
      <w:rPr>
        <w:b/>
        <w:bCs/>
        <w:color w:val="00728F" w:themeColor="text1"/>
      </w:rPr>
      <w:tblPr/>
      <w:tcPr>
        <w:shd w:val="clear" w:color="auto" w:fill="C0E2EB" w:themeFill="accent6" w:themeFillTint="66"/>
      </w:tcPr>
    </w:tblStylePr>
    <w:tblStylePr w:type="firstCol">
      <w:rPr>
        <w:color w:val="FFFFFF" w:themeColor="background1"/>
      </w:rPr>
      <w:tblPr/>
      <w:tcPr>
        <w:shd w:val="clear" w:color="auto" w:fill="3795AD" w:themeFill="accent6" w:themeFillShade="BF"/>
      </w:tcPr>
    </w:tblStylePr>
    <w:tblStylePr w:type="lastCol">
      <w:rPr>
        <w:color w:val="FFFFFF" w:themeColor="background1"/>
      </w:rPr>
      <w:tblPr/>
      <w:tcPr>
        <w:shd w:val="clear" w:color="auto" w:fill="3795AD" w:themeFill="accent6" w:themeFillShade="BF"/>
      </w:tcPr>
    </w:tblStylePr>
    <w:tblStylePr w:type="band1Vert">
      <w:tblPr/>
      <w:tcPr>
        <w:shd w:val="clear" w:color="auto" w:fill="B1DBE6" w:themeFill="accent6" w:themeFillTint="7F"/>
      </w:tcPr>
    </w:tblStylePr>
    <w:tblStylePr w:type="band1Horz">
      <w:tblPr/>
      <w:tcPr>
        <w:shd w:val="clear" w:color="auto" w:fill="B1DBE6" w:themeFill="accent6" w:themeFillTint="7F"/>
      </w:tcPr>
    </w:tblStylePr>
  </w:style>
  <w:style w:type="table" w:customStyle="1" w:styleId="ColorfulList1">
    <w:name w:val="Colorful List1"/>
    <w:basedOn w:val="TableNormal"/>
    <w:uiPriority w:val="99"/>
    <w:semiHidden/>
    <w:rsid w:val="00361DEB"/>
    <w:pPr>
      <w:spacing w:after="0"/>
    </w:pPr>
    <w:rPr>
      <w:color w:val="00728F" w:themeColor="text1"/>
    </w:rPr>
    <w:tblPr>
      <w:tblStyleRowBandSize w:val="1"/>
      <w:tblStyleColBandSize w:val="1"/>
      <w:tblInd w:w="0" w:type="dxa"/>
      <w:tblCellMar>
        <w:top w:w="0" w:type="dxa"/>
        <w:left w:w="108" w:type="dxa"/>
        <w:bottom w:w="0" w:type="dxa"/>
        <w:right w:w="108" w:type="dxa"/>
      </w:tblCellMar>
    </w:tblPr>
    <w:tcPr>
      <w:shd w:val="clear" w:color="auto" w:fill="DBF7FF" w:themeFill="text1"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hemeFill="text1" w:themeFillTint="3F"/>
      </w:tcPr>
    </w:tblStylePr>
    <w:tblStylePr w:type="band1Horz">
      <w:tblPr/>
      <w:tcPr>
        <w:shd w:val="clear" w:color="auto" w:fill="B5EFFF" w:themeFill="text1" w:themeFillTint="33"/>
      </w:tcPr>
    </w:tblStylePr>
  </w:style>
  <w:style w:type="table" w:styleId="ColorfulList-Accent1">
    <w:name w:val="Colorful List Accent 1"/>
    <w:basedOn w:val="TableNormal"/>
    <w:uiPriority w:val="99"/>
    <w:semiHidden/>
    <w:rsid w:val="00361DEB"/>
    <w:pPr>
      <w:spacing w:after="0"/>
    </w:pPr>
    <w:rPr>
      <w:color w:val="00728F" w:themeColor="text1"/>
    </w:rPr>
    <w:tblPr>
      <w:tblStyleRowBandSize w:val="1"/>
      <w:tblStyleColBandSize w:val="1"/>
      <w:tblInd w:w="0" w:type="dxa"/>
      <w:tblCellMar>
        <w:top w:w="0" w:type="dxa"/>
        <w:left w:w="108" w:type="dxa"/>
        <w:bottom w:w="0" w:type="dxa"/>
        <w:right w:w="108" w:type="dxa"/>
      </w:tblCellMar>
    </w:tblPr>
    <w:tcPr>
      <w:shd w:val="clear" w:color="auto" w:fill="DBF7FF" w:themeFill="accent1"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hemeFill="accent1" w:themeFillTint="3F"/>
      </w:tcPr>
    </w:tblStylePr>
    <w:tblStylePr w:type="band1Horz">
      <w:tblPr/>
      <w:tcPr>
        <w:shd w:val="clear" w:color="auto" w:fill="B5EFFF" w:themeFill="accent1" w:themeFillTint="33"/>
      </w:tcPr>
    </w:tblStylePr>
  </w:style>
  <w:style w:type="table" w:styleId="ColorfulList-Accent2">
    <w:name w:val="Colorful List Accent 2"/>
    <w:basedOn w:val="TableNormal"/>
    <w:uiPriority w:val="99"/>
    <w:semiHidden/>
    <w:rsid w:val="00361DEB"/>
    <w:pPr>
      <w:spacing w:after="0"/>
    </w:pPr>
    <w:rPr>
      <w:color w:val="00728F" w:themeColor="text1"/>
    </w:rPr>
    <w:tblPr>
      <w:tblStyleRowBandSize w:val="1"/>
      <w:tblStyleColBandSize w:val="1"/>
      <w:tblInd w:w="0" w:type="dxa"/>
      <w:tblCellMar>
        <w:top w:w="0" w:type="dxa"/>
        <w:left w:w="108" w:type="dxa"/>
        <w:bottom w:w="0" w:type="dxa"/>
        <w:right w:w="108" w:type="dxa"/>
      </w:tblCellMar>
    </w:tblPr>
    <w:tcPr>
      <w:shd w:val="clear" w:color="auto" w:fill="F7FBFC" w:themeFill="accent2"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6F9" w:themeFill="accent2" w:themeFillTint="3F"/>
      </w:tcPr>
    </w:tblStylePr>
    <w:tblStylePr w:type="band1Horz">
      <w:tblPr/>
      <w:tcPr>
        <w:shd w:val="clear" w:color="auto" w:fill="F0F8FA" w:themeFill="accent2" w:themeFillTint="33"/>
      </w:tcPr>
    </w:tblStylePr>
  </w:style>
  <w:style w:type="table" w:styleId="ColorfulList-Accent3">
    <w:name w:val="Colorful List Accent 3"/>
    <w:basedOn w:val="TableNormal"/>
    <w:uiPriority w:val="99"/>
    <w:semiHidden/>
    <w:rsid w:val="00361DEB"/>
    <w:pPr>
      <w:spacing w:after="0"/>
    </w:pPr>
    <w:rPr>
      <w:color w:val="00728F" w:themeColor="text1"/>
    </w:rPr>
    <w:tblPr>
      <w:tblStyleRowBandSize w:val="1"/>
      <w:tblStyleColBandSize w:val="1"/>
      <w:tblInd w:w="0" w:type="dxa"/>
      <w:tblCellMar>
        <w:top w:w="0" w:type="dxa"/>
        <w:left w:w="108" w:type="dxa"/>
        <w:bottom w:w="0" w:type="dxa"/>
        <w:right w:w="108" w:type="dxa"/>
      </w:tblCellMar>
    </w:tblPr>
    <w:tcPr>
      <w:shd w:val="clear" w:color="auto" w:fill="FBFDFD" w:themeFill="accent3" w:themeFillTint="19"/>
    </w:tcPr>
    <w:tblStylePr w:type="firstRow">
      <w:rPr>
        <w:b/>
        <w:bCs/>
        <w:color w:val="FFFFFF" w:themeColor="background1"/>
      </w:rPr>
      <w:tblPr/>
      <w:tcPr>
        <w:tcBorders>
          <w:bottom w:val="single" w:sz="12" w:space="0" w:color="FFFFFF" w:themeColor="background1"/>
        </w:tcBorders>
        <w:shd w:val="clear" w:color="auto" w:fill="5AB3CA" w:themeFill="accent4" w:themeFillShade="CC"/>
      </w:tcPr>
    </w:tblStylePr>
    <w:tblStylePr w:type="lastRow">
      <w:rPr>
        <w:b/>
        <w:bCs/>
        <w:color w:val="5AB3CA" w:themeColor="accent4"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AFC" w:themeFill="accent3" w:themeFillTint="3F"/>
      </w:tcPr>
    </w:tblStylePr>
    <w:tblStylePr w:type="band1Horz">
      <w:tblPr/>
      <w:tcPr>
        <w:shd w:val="clear" w:color="auto" w:fill="F7FBFC" w:themeFill="accent3" w:themeFillTint="33"/>
      </w:tcPr>
    </w:tblStylePr>
  </w:style>
  <w:style w:type="table" w:styleId="ColorfulList-Accent4">
    <w:name w:val="Colorful List Accent 4"/>
    <w:basedOn w:val="TableNormal"/>
    <w:uiPriority w:val="99"/>
    <w:semiHidden/>
    <w:rsid w:val="00361DEB"/>
    <w:pPr>
      <w:spacing w:after="0"/>
    </w:pPr>
    <w:rPr>
      <w:color w:val="00728F" w:themeColor="text1"/>
    </w:rPr>
    <w:tblPr>
      <w:tblStyleRowBandSize w:val="1"/>
      <w:tblStyleColBandSize w:val="1"/>
      <w:tblInd w:w="0" w:type="dxa"/>
      <w:tblCellMar>
        <w:top w:w="0" w:type="dxa"/>
        <w:left w:w="108" w:type="dxa"/>
        <w:bottom w:w="0" w:type="dxa"/>
        <w:right w:w="108" w:type="dxa"/>
      </w:tblCellMar>
    </w:tblPr>
    <w:tcPr>
      <w:shd w:val="clear" w:color="auto" w:fill="F4FAFB" w:themeFill="accent4" w:themeFillTint="19"/>
    </w:tcPr>
    <w:tblStylePr w:type="firstRow">
      <w:rPr>
        <w:b/>
        <w:bCs/>
        <w:color w:val="FFFFFF" w:themeColor="background1"/>
      </w:rPr>
      <w:tblPr/>
      <w:tcPr>
        <w:tcBorders>
          <w:bottom w:val="single" w:sz="12" w:space="0" w:color="FFFFFF" w:themeColor="background1"/>
        </w:tcBorders>
        <w:shd w:val="clear" w:color="auto" w:fill="95CCDB" w:themeFill="accent3" w:themeFillShade="CC"/>
      </w:tcPr>
    </w:tblStylePr>
    <w:tblStylePr w:type="lastRow">
      <w:rPr>
        <w:b/>
        <w:bCs/>
        <w:color w:val="95CCDB" w:themeColor="accent3"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2F6" w:themeFill="accent4" w:themeFillTint="3F"/>
      </w:tcPr>
    </w:tblStylePr>
    <w:tblStylePr w:type="band1Horz">
      <w:tblPr/>
      <w:tcPr>
        <w:shd w:val="clear" w:color="auto" w:fill="E9F4F8" w:themeFill="accent4" w:themeFillTint="33"/>
      </w:tcPr>
    </w:tblStylePr>
  </w:style>
  <w:style w:type="table" w:styleId="ColorfulList-Accent5">
    <w:name w:val="Colorful List Accent 5"/>
    <w:basedOn w:val="TableNormal"/>
    <w:uiPriority w:val="99"/>
    <w:semiHidden/>
    <w:rsid w:val="00361DEB"/>
    <w:pPr>
      <w:spacing w:after="0"/>
    </w:pPr>
    <w:rPr>
      <w:color w:val="00728F" w:themeColor="text1"/>
    </w:rPr>
    <w:tblPr>
      <w:tblStyleRowBandSize w:val="1"/>
      <w:tblStyleColBandSize w:val="1"/>
      <w:tblInd w:w="0" w:type="dxa"/>
      <w:tblCellMar>
        <w:top w:w="0" w:type="dxa"/>
        <w:left w:w="108" w:type="dxa"/>
        <w:bottom w:w="0" w:type="dxa"/>
        <w:right w:w="108" w:type="dxa"/>
      </w:tblCellMar>
    </w:tblPr>
    <w:tcPr>
      <w:shd w:val="clear" w:color="auto" w:fill="E8F4F7" w:themeFill="accent5" w:themeFillTint="19"/>
    </w:tcPr>
    <w:tblStylePr w:type="firstRow">
      <w:rPr>
        <w:b/>
        <w:bCs/>
        <w:color w:val="FFFFFF" w:themeColor="background1"/>
      </w:rPr>
      <w:tblPr/>
      <w:tcPr>
        <w:tcBorders>
          <w:bottom w:val="single" w:sz="12" w:space="0" w:color="FFFFFF" w:themeColor="background1"/>
        </w:tcBorders>
        <w:shd w:val="clear" w:color="auto" w:fill="3A9FB9" w:themeFill="accent6" w:themeFillShade="CC"/>
      </w:tcPr>
    </w:tblStylePr>
    <w:tblStylePr w:type="lastRow">
      <w:rPr>
        <w:b/>
        <w:bCs/>
        <w:color w:val="3A9FB9" w:themeColor="accent6"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4EC" w:themeFill="accent5" w:themeFillTint="3F"/>
      </w:tcPr>
    </w:tblStylePr>
    <w:tblStylePr w:type="band1Horz">
      <w:tblPr/>
      <w:tcPr>
        <w:shd w:val="clear" w:color="auto" w:fill="D0E9F0" w:themeFill="accent5" w:themeFillTint="33"/>
      </w:tcPr>
    </w:tblStylePr>
  </w:style>
  <w:style w:type="table" w:styleId="ColorfulList-Accent6">
    <w:name w:val="Colorful List Accent 6"/>
    <w:basedOn w:val="TableNormal"/>
    <w:uiPriority w:val="99"/>
    <w:semiHidden/>
    <w:rsid w:val="00361DEB"/>
    <w:pPr>
      <w:spacing w:after="0"/>
    </w:pPr>
    <w:rPr>
      <w:color w:val="00728F" w:themeColor="text1"/>
    </w:rPr>
    <w:tblPr>
      <w:tblStyleRowBandSize w:val="1"/>
      <w:tblStyleColBandSize w:val="1"/>
      <w:tblInd w:w="0" w:type="dxa"/>
      <w:tblCellMar>
        <w:top w:w="0" w:type="dxa"/>
        <w:left w:w="108" w:type="dxa"/>
        <w:bottom w:w="0" w:type="dxa"/>
        <w:right w:w="108" w:type="dxa"/>
      </w:tblCellMar>
    </w:tblPr>
    <w:tcPr>
      <w:shd w:val="clear" w:color="auto" w:fill="EFF8FA" w:themeFill="accent6" w:themeFillTint="19"/>
    </w:tcPr>
    <w:tblStylePr w:type="firstRow">
      <w:rPr>
        <w:b/>
        <w:bCs/>
        <w:color w:val="FFFFFF" w:themeColor="background1"/>
      </w:rPr>
      <w:tblPr/>
      <w:tcPr>
        <w:tcBorders>
          <w:bottom w:val="single" w:sz="12" w:space="0" w:color="FFFFFF" w:themeColor="background1"/>
        </w:tcBorders>
        <w:shd w:val="clear" w:color="auto" w:fill="276A7B" w:themeFill="accent5" w:themeFillShade="CC"/>
      </w:tcPr>
    </w:tblStylePr>
    <w:tblStylePr w:type="lastRow">
      <w:rPr>
        <w:b/>
        <w:bCs/>
        <w:color w:val="276A7B" w:themeColor="accent5"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DF2" w:themeFill="accent6" w:themeFillTint="3F"/>
      </w:tcPr>
    </w:tblStylePr>
    <w:tblStylePr w:type="band1Horz">
      <w:tblPr/>
      <w:tcPr>
        <w:shd w:val="clear" w:color="auto" w:fill="DFF0F5" w:themeFill="accent6" w:themeFillTint="33"/>
      </w:tcPr>
    </w:tblStylePr>
  </w:style>
  <w:style w:type="table" w:customStyle="1" w:styleId="ColorfulShading1">
    <w:name w:val="Colorful Shading1"/>
    <w:basedOn w:val="TableNormal"/>
    <w:uiPriority w:val="99"/>
    <w:semiHidden/>
    <w:rsid w:val="00361DEB"/>
    <w:pPr>
      <w:spacing w:after="0"/>
    </w:pPr>
    <w:rPr>
      <w:color w:val="00728F" w:themeColor="text1"/>
    </w:rPr>
    <w:tblPr>
      <w:tblStyleRowBandSize w:val="1"/>
      <w:tblStyleColBandSize w:val="1"/>
      <w:tblInd w:w="0" w:type="dxa"/>
      <w:tblBorders>
        <w:top w:val="single" w:sz="24" w:space="0" w:color="B7DDE8" w:themeColor="accent2"/>
        <w:left w:val="single" w:sz="4" w:space="0" w:color="00728F" w:themeColor="text1"/>
        <w:bottom w:val="single" w:sz="4" w:space="0" w:color="00728F" w:themeColor="text1"/>
        <w:right w:val="single" w:sz="4" w:space="0" w:color="00728F"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F7FF" w:themeFill="text1"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55" w:themeFill="text1" w:themeFillShade="99"/>
      </w:tcPr>
    </w:tblStylePr>
    <w:tblStylePr w:type="firstCol">
      <w:rPr>
        <w:color w:val="FFFFFF" w:themeColor="background1"/>
      </w:rPr>
      <w:tblPr/>
      <w:tcPr>
        <w:tcBorders>
          <w:top w:val="nil"/>
          <w:left w:val="nil"/>
          <w:bottom w:val="nil"/>
          <w:right w:val="nil"/>
          <w:insideH w:val="single" w:sz="4" w:space="0" w:color="004455" w:themeColor="text1" w:themeShade="99"/>
          <w:insideV w:val="nil"/>
        </w:tcBorders>
        <w:shd w:val="clear" w:color="auto" w:fill="00445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556B" w:themeFill="text1" w:themeFillShade="BF"/>
      </w:tcPr>
    </w:tblStylePr>
    <w:tblStylePr w:type="band1Vert">
      <w:tblPr/>
      <w:tcPr>
        <w:shd w:val="clear" w:color="auto" w:fill="6CE1FF" w:themeFill="text1" w:themeFillTint="66"/>
      </w:tcPr>
    </w:tblStylePr>
    <w:tblStylePr w:type="band1Horz">
      <w:tblPr/>
      <w:tcPr>
        <w:shd w:val="clear" w:color="auto" w:fill="48D9FF" w:themeFill="text1" w:themeFillTint="7F"/>
      </w:tcPr>
    </w:tblStylePr>
    <w:tblStylePr w:type="neCell">
      <w:rPr>
        <w:color w:val="00728F" w:themeColor="text1"/>
      </w:rPr>
    </w:tblStylePr>
    <w:tblStylePr w:type="nwCell">
      <w:rPr>
        <w:color w:val="00728F" w:themeColor="text1"/>
      </w:rPr>
    </w:tblStylePr>
  </w:style>
  <w:style w:type="table" w:styleId="ColorfulShading-Accent1">
    <w:name w:val="Colorful Shading Accent 1"/>
    <w:basedOn w:val="TableNormal"/>
    <w:uiPriority w:val="99"/>
    <w:semiHidden/>
    <w:rsid w:val="00361DEB"/>
    <w:pPr>
      <w:spacing w:after="0"/>
    </w:pPr>
    <w:rPr>
      <w:color w:val="00728F" w:themeColor="text1"/>
    </w:rPr>
    <w:tblPr>
      <w:tblStyleRowBandSize w:val="1"/>
      <w:tblStyleColBandSize w:val="1"/>
      <w:tblInd w:w="0" w:type="dxa"/>
      <w:tblBorders>
        <w:top w:val="single" w:sz="24" w:space="0" w:color="B7DDE8" w:themeColor="accent2"/>
        <w:left w:val="single" w:sz="4" w:space="0" w:color="00728F" w:themeColor="accent1"/>
        <w:bottom w:val="single" w:sz="4" w:space="0" w:color="00728F" w:themeColor="accent1"/>
        <w:right w:val="single" w:sz="4" w:space="0" w:color="00728F"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F7FF" w:themeFill="accent1"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55" w:themeFill="accent1" w:themeFillShade="99"/>
      </w:tcPr>
    </w:tblStylePr>
    <w:tblStylePr w:type="firstCol">
      <w:rPr>
        <w:color w:val="FFFFFF" w:themeColor="background1"/>
      </w:rPr>
      <w:tblPr/>
      <w:tcPr>
        <w:tcBorders>
          <w:top w:val="nil"/>
          <w:left w:val="nil"/>
          <w:bottom w:val="nil"/>
          <w:right w:val="nil"/>
          <w:insideH w:val="single" w:sz="4" w:space="0" w:color="004455" w:themeColor="accent1" w:themeShade="99"/>
          <w:insideV w:val="nil"/>
        </w:tcBorders>
        <w:shd w:val="clear" w:color="auto" w:fill="0044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55" w:themeFill="accent1" w:themeFillShade="99"/>
      </w:tcPr>
    </w:tblStylePr>
    <w:tblStylePr w:type="band1Vert">
      <w:tblPr/>
      <w:tcPr>
        <w:shd w:val="clear" w:color="auto" w:fill="6CE1FF" w:themeFill="accent1" w:themeFillTint="66"/>
      </w:tcPr>
    </w:tblStylePr>
    <w:tblStylePr w:type="band1Horz">
      <w:tblPr/>
      <w:tcPr>
        <w:shd w:val="clear" w:color="auto" w:fill="48D9FF" w:themeFill="accent1" w:themeFillTint="7F"/>
      </w:tcPr>
    </w:tblStylePr>
    <w:tblStylePr w:type="neCell">
      <w:rPr>
        <w:color w:val="00728F" w:themeColor="text1"/>
      </w:rPr>
    </w:tblStylePr>
    <w:tblStylePr w:type="nwCell">
      <w:rPr>
        <w:color w:val="00728F" w:themeColor="text1"/>
      </w:rPr>
    </w:tblStylePr>
  </w:style>
  <w:style w:type="table" w:styleId="ColorfulShading-Accent2">
    <w:name w:val="Colorful Shading Accent 2"/>
    <w:basedOn w:val="TableNormal"/>
    <w:uiPriority w:val="99"/>
    <w:semiHidden/>
    <w:rsid w:val="00361DEB"/>
    <w:pPr>
      <w:spacing w:after="0"/>
    </w:pPr>
    <w:rPr>
      <w:color w:val="00728F" w:themeColor="text1"/>
    </w:rPr>
    <w:tblPr>
      <w:tblStyleRowBandSize w:val="1"/>
      <w:tblStyleColBandSize w:val="1"/>
      <w:tblInd w:w="0" w:type="dxa"/>
      <w:tblBorders>
        <w:top w:val="single" w:sz="24" w:space="0" w:color="B7DDE8" w:themeColor="accent2"/>
        <w:left w:val="single" w:sz="4" w:space="0" w:color="B7DDE8" w:themeColor="accent2"/>
        <w:bottom w:val="single" w:sz="4" w:space="0" w:color="B7DDE8" w:themeColor="accent2"/>
        <w:right w:val="single" w:sz="4" w:space="0" w:color="B7DDE8"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BFC" w:themeFill="accent2"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9FBC" w:themeFill="accent2" w:themeFillShade="99"/>
      </w:tcPr>
    </w:tblStylePr>
    <w:tblStylePr w:type="firstCol">
      <w:rPr>
        <w:color w:val="FFFFFF" w:themeColor="background1"/>
      </w:rPr>
      <w:tblPr/>
      <w:tcPr>
        <w:tcBorders>
          <w:top w:val="nil"/>
          <w:left w:val="nil"/>
          <w:bottom w:val="nil"/>
          <w:right w:val="nil"/>
          <w:insideH w:val="single" w:sz="4" w:space="0" w:color="3C9FBC" w:themeColor="accent2" w:themeShade="99"/>
          <w:insideV w:val="nil"/>
        </w:tcBorders>
        <w:shd w:val="clear" w:color="auto" w:fill="3C9FB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9FBC" w:themeFill="accent2" w:themeFillShade="99"/>
      </w:tcPr>
    </w:tblStylePr>
    <w:tblStylePr w:type="band1Vert">
      <w:tblPr/>
      <w:tcPr>
        <w:shd w:val="clear" w:color="auto" w:fill="E2F1F5" w:themeFill="accent2" w:themeFillTint="66"/>
      </w:tcPr>
    </w:tblStylePr>
    <w:tblStylePr w:type="band1Horz">
      <w:tblPr/>
      <w:tcPr>
        <w:shd w:val="clear" w:color="auto" w:fill="DBEEF3" w:themeFill="accent2" w:themeFillTint="7F"/>
      </w:tcPr>
    </w:tblStylePr>
    <w:tblStylePr w:type="neCell">
      <w:rPr>
        <w:color w:val="00728F" w:themeColor="text1"/>
      </w:rPr>
    </w:tblStylePr>
    <w:tblStylePr w:type="nwCell">
      <w:rPr>
        <w:color w:val="00728F" w:themeColor="text1"/>
      </w:rPr>
    </w:tblStylePr>
  </w:style>
  <w:style w:type="table" w:styleId="ColorfulShading-Accent3">
    <w:name w:val="Colorful Shading Accent 3"/>
    <w:basedOn w:val="TableNormal"/>
    <w:uiPriority w:val="99"/>
    <w:semiHidden/>
    <w:rsid w:val="00361DEB"/>
    <w:pPr>
      <w:spacing w:after="0"/>
    </w:pPr>
    <w:rPr>
      <w:color w:val="00728F" w:themeColor="text1"/>
    </w:rPr>
    <w:tblPr>
      <w:tblStyleRowBandSize w:val="1"/>
      <w:tblStyleColBandSize w:val="1"/>
      <w:tblInd w:w="0" w:type="dxa"/>
      <w:tblBorders>
        <w:top w:val="single" w:sz="24" w:space="0" w:color="92CDDC" w:themeColor="accent4"/>
        <w:left w:val="single" w:sz="4" w:space="0" w:color="DBEEF3" w:themeColor="accent3"/>
        <w:bottom w:val="single" w:sz="4" w:space="0" w:color="DBEEF3" w:themeColor="accent3"/>
        <w:right w:val="single" w:sz="4" w:space="0" w:color="DBEEF3"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DFD" w:themeFill="accent3" w:themeFillTint="19"/>
    </w:tcPr>
    <w:tblStylePr w:type="firstRow">
      <w:rPr>
        <w:b/>
        <w:bCs/>
      </w:rPr>
      <w:tblPr/>
      <w:tcPr>
        <w:tcBorders>
          <w:top w:val="nil"/>
          <w:left w:val="nil"/>
          <w:bottom w:val="single" w:sz="24" w:space="0" w:color="92CDD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ACC4" w:themeFill="accent3" w:themeFillShade="99"/>
      </w:tcPr>
    </w:tblStylePr>
    <w:tblStylePr w:type="firstCol">
      <w:rPr>
        <w:color w:val="FFFFFF" w:themeColor="background1"/>
      </w:rPr>
      <w:tblPr/>
      <w:tcPr>
        <w:tcBorders>
          <w:top w:val="nil"/>
          <w:left w:val="nil"/>
          <w:bottom w:val="nil"/>
          <w:right w:val="nil"/>
          <w:insideH w:val="single" w:sz="4" w:space="0" w:color="50ACC4" w:themeColor="accent3" w:themeShade="99"/>
          <w:insideV w:val="nil"/>
        </w:tcBorders>
        <w:shd w:val="clear" w:color="auto" w:fill="50ACC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0ACC4" w:themeFill="accent3" w:themeFillShade="99"/>
      </w:tcPr>
    </w:tblStylePr>
    <w:tblStylePr w:type="band1Vert">
      <w:tblPr/>
      <w:tcPr>
        <w:shd w:val="clear" w:color="auto" w:fill="F0F8FA" w:themeFill="accent3" w:themeFillTint="66"/>
      </w:tcPr>
    </w:tblStylePr>
    <w:tblStylePr w:type="band1Horz">
      <w:tblPr/>
      <w:tcPr>
        <w:shd w:val="clear" w:color="auto" w:fill="EDF6F9" w:themeFill="accent3" w:themeFillTint="7F"/>
      </w:tcPr>
    </w:tblStylePr>
  </w:style>
  <w:style w:type="table" w:styleId="ColorfulShading-Accent4">
    <w:name w:val="Colorful Shading Accent 4"/>
    <w:basedOn w:val="TableNormal"/>
    <w:uiPriority w:val="99"/>
    <w:semiHidden/>
    <w:rsid w:val="00361DEB"/>
    <w:pPr>
      <w:spacing w:after="0"/>
    </w:pPr>
    <w:rPr>
      <w:color w:val="00728F" w:themeColor="text1"/>
    </w:rPr>
    <w:tblPr>
      <w:tblStyleRowBandSize w:val="1"/>
      <w:tblStyleColBandSize w:val="1"/>
      <w:tblInd w:w="0" w:type="dxa"/>
      <w:tblBorders>
        <w:top w:val="single" w:sz="24" w:space="0" w:color="DBEEF3" w:themeColor="accent3"/>
        <w:left w:val="single" w:sz="4" w:space="0" w:color="92CDDC" w:themeColor="accent4"/>
        <w:bottom w:val="single" w:sz="4" w:space="0" w:color="92CDDC" w:themeColor="accent4"/>
        <w:right w:val="single" w:sz="4" w:space="0" w:color="92CDDC"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AFB" w:themeFill="accent4" w:themeFillTint="19"/>
    </w:tcPr>
    <w:tblStylePr w:type="firstRow">
      <w:rPr>
        <w:b/>
        <w:bCs/>
      </w:rPr>
      <w:tblPr/>
      <w:tcPr>
        <w:tcBorders>
          <w:top w:val="nil"/>
          <w:left w:val="nil"/>
          <w:bottom w:val="single" w:sz="24" w:space="0" w:color="DBEEF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8FA6" w:themeFill="accent4" w:themeFillShade="99"/>
      </w:tcPr>
    </w:tblStylePr>
    <w:tblStylePr w:type="firstCol">
      <w:rPr>
        <w:color w:val="FFFFFF" w:themeColor="background1"/>
      </w:rPr>
      <w:tblPr/>
      <w:tcPr>
        <w:tcBorders>
          <w:top w:val="nil"/>
          <w:left w:val="nil"/>
          <w:bottom w:val="nil"/>
          <w:right w:val="nil"/>
          <w:insideH w:val="single" w:sz="4" w:space="0" w:color="358FA6" w:themeColor="accent4" w:themeShade="99"/>
          <w:insideV w:val="nil"/>
        </w:tcBorders>
        <w:shd w:val="clear" w:color="auto" w:fill="358FA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58FA6" w:themeFill="accent4" w:themeFillShade="99"/>
      </w:tcPr>
    </w:tblStylePr>
    <w:tblStylePr w:type="band1Vert">
      <w:tblPr/>
      <w:tcPr>
        <w:shd w:val="clear" w:color="auto" w:fill="D3EAF1" w:themeFill="accent4" w:themeFillTint="66"/>
      </w:tcPr>
    </w:tblStylePr>
    <w:tblStylePr w:type="band1Horz">
      <w:tblPr/>
      <w:tcPr>
        <w:shd w:val="clear" w:color="auto" w:fill="C8E5ED" w:themeFill="accent4" w:themeFillTint="7F"/>
      </w:tcPr>
    </w:tblStylePr>
    <w:tblStylePr w:type="neCell">
      <w:rPr>
        <w:color w:val="00728F" w:themeColor="text1"/>
      </w:rPr>
    </w:tblStylePr>
    <w:tblStylePr w:type="nwCell">
      <w:rPr>
        <w:color w:val="00728F" w:themeColor="text1"/>
      </w:rPr>
    </w:tblStylePr>
  </w:style>
  <w:style w:type="table" w:styleId="ColorfulShading-Accent5">
    <w:name w:val="Colorful Shading Accent 5"/>
    <w:basedOn w:val="TableNormal"/>
    <w:uiPriority w:val="99"/>
    <w:semiHidden/>
    <w:rsid w:val="00361DEB"/>
    <w:pPr>
      <w:spacing w:after="0"/>
    </w:pPr>
    <w:rPr>
      <w:color w:val="00728F" w:themeColor="text1"/>
    </w:rPr>
    <w:tblPr>
      <w:tblStyleRowBandSize w:val="1"/>
      <w:tblStyleColBandSize w:val="1"/>
      <w:tblInd w:w="0" w:type="dxa"/>
      <w:tblBorders>
        <w:top w:val="single" w:sz="24" w:space="0" w:color="64B8CE" w:themeColor="accent6"/>
        <w:left w:val="single" w:sz="4" w:space="0" w:color="31859B" w:themeColor="accent5"/>
        <w:bottom w:val="single" w:sz="4" w:space="0" w:color="31859B" w:themeColor="accent5"/>
        <w:right w:val="single" w:sz="4" w:space="0" w:color="31859B"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F4F7" w:themeFill="accent5" w:themeFillTint="19"/>
    </w:tcPr>
    <w:tblStylePr w:type="firstRow">
      <w:rPr>
        <w:b/>
        <w:bCs/>
      </w:rPr>
      <w:tblPr/>
      <w:tcPr>
        <w:tcBorders>
          <w:top w:val="nil"/>
          <w:left w:val="nil"/>
          <w:bottom w:val="single" w:sz="24" w:space="0" w:color="64B8C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4F5C" w:themeFill="accent5" w:themeFillShade="99"/>
      </w:tcPr>
    </w:tblStylePr>
    <w:tblStylePr w:type="firstCol">
      <w:rPr>
        <w:color w:val="FFFFFF" w:themeColor="background1"/>
      </w:rPr>
      <w:tblPr/>
      <w:tcPr>
        <w:tcBorders>
          <w:top w:val="nil"/>
          <w:left w:val="nil"/>
          <w:bottom w:val="nil"/>
          <w:right w:val="nil"/>
          <w:insideH w:val="single" w:sz="4" w:space="0" w:color="1D4F5C" w:themeColor="accent5" w:themeShade="99"/>
          <w:insideV w:val="nil"/>
        </w:tcBorders>
        <w:shd w:val="clear" w:color="auto" w:fill="1D4F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D4F5C" w:themeFill="accent5" w:themeFillShade="99"/>
      </w:tcPr>
    </w:tblStylePr>
    <w:tblStylePr w:type="band1Vert">
      <w:tblPr/>
      <w:tcPr>
        <w:shd w:val="clear" w:color="auto" w:fill="A1D4E1" w:themeFill="accent5" w:themeFillTint="66"/>
      </w:tcPr>
    </w:tblStylePr>
    <w:tblStylePr w:type="band1Horz">
      <w:tblPr/>
      <w:tcPr>
        <w:shd w:val="clear" w:color="auto" w:fill="8BC9DA" w:themeFill="accent5" w:themeFillTint="7F"/>
      </w:tcPr>
    </w:tblStylePr>
    <w:tblStylePr w:type="neCell">
      <w:rPr>
        <w:color w:val="00728F" w:themeColor="text1"/>
      </w:rPr>
    </w:tblStylePr>
    <w:tblStylePr w:type="nwCell">
      <w:rPr>
        <w:color w:val="00728F" w:themeColor="text1"/>
      </w:rPr>
    </w:tblStylePr>
  </w:style>
  <w:style w:type="table" w:styleId="ColorfulShading-Accent6">
    <w:name w:val="Colorful Shading Accent 6"/>
    <w:basedOn w:val="TableNormal"/>
    <w:uiPriority w:val="99"/>
    <w:semiHidden/>
    <w:rsid w:val="00361DEB"/>
    <w:pPr>
      <w:spacing w:after="0"/>
    </w:pPr>
    <w:rPr>
      <w:color w:val="00728F" w:themeColor="text1"/>
    </w:rPr>
    <w:tblPr>
      <w:tblStyleRowBandSize w:val="1"/>
      <w:tblStyleColBandSize w:val="1"/>
      <w:tblInd w:w="0" w:type="dxa"/>
      <w:tblBorders>
        <w:top w:val="single" w:sz="24" w:space="0" w:color="31859B" w:themeColor="accent5"/>
        <w:left w:val="single" w:sz="4" w:space="0" w:color="64B8CE" w:themeColor="accent6"/>
        <w:bottom w:val="single" w:sz="4" w:space="0" w:color="64B8CE" w:themeColor="accent6"/>
        <w:right w:val="single" w:sz="4" w:space="0" w:color="64B8C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8FA" w:themeFill="accent6" w:themeFillTint="19"/>
    </w:tcPr>
    <w:tblStylePr w:type="firstRow">
      <w:rPr>
        <w:b/>
        <w:bCs/>
      </w:rPr>
      <w:tblPr/>
      <w:tcPr>
        <w:tcBorders>
          <w:top w:val="nil"/>
          <w:left w:val="nil"/>
          <w:bottom w:val="single" w:sz="24" w:space="0" w:color="31859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778B" w:themeFill="accent6" w:themeFillShade="99"/>
      </w:tcPr>
    </w:tblStylePr>
    <w:tblStylePr w:type="firstCol">
      <w:rPr>
        <w:color w:val="FFFFFF" w:themeColor="background1"/>
      </w:rPr>
      <w:tblPr/>
      <w:tcPr>
        <w:tcBorders>
          <w:top w:val="nil"/>
          <w:left w:val="nil"/>
          <w:bottom w:val="nil"/>
          <w:right w:val="nil"/>
          <w:insideH w:val="single" w:sz="4" w:space="0" w:color="2C778B" w:themeColor="accent6" w:themeShade="99"/>
          <w:insideV w:val="nil"/>
        </w:tcBorders>
        <w:shd w:val="clear" w:color="auto" w:fill="2C778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C778B" w:themeFill="accent6" w:themeFillShade="99"/>
      </w:tcPr>
    </w:tblStylePr>
    <w:tblStylePr w:type="band1Vert">
      <w:tblPr/>
      <w:tcPr>
        <w:shd w:val="clear" w:color="auto" w:fill="C0E2EB" w:themeFill="accent6" w:themeFillTint="66"/>
      </w:tcPr>
    </w:tblStylePr>
    <w:tblStylePr w:type="band1Horz">
      <w:tblPr/>
      <w:tcPr>
        <w:shd w:val="clear" w:color="auto" w:fill="B1DBE6" w:themeFill="accent6" w:themeFillTint="7F"/>
      </w:tcPr>
    </w:tblStylePr>
    <w:tblStylePr w:type="neCell">
      <w:rPr>
        <w:color w:val="00728F" w:themeColor="text1"/>
      </w:rPr>
    </w:tblStylePr>
    <w:tblStylePr w:type="nwCell">
      <w:rPr>
        <w:color w:val="00728F" w:themeColor="text1"/>
      </w:rPr>
    </w:tblStylePr>
  </w:style>
  <w:style w:type="table" w:customStyle="1" w:styleId="DarkList1">
    <w:name w:val="Dark List1"/>
    <w:basedOn w:val="TableNormal"/>
    <w:uiPriority w:val="99"/>
    <w:semiHidden/>
    <w:rsid w:val="00361DE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728F"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003847"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6B"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556B" w:themeFill="text1" w:themeFillShade="BF"/>
      </w:tcPr>
    </w:tblStylePr>
    <w:tblStylePr w:type="band1Vert">
      <w:tblPr/>
      <w:tcPr>
        <w:tcBorders>
          <w:top w:val="nil"/>
          <w:left w:val="nil"/>
          <w:bottom w:val="nil"/>
          <w:right w:val="nil"/>
          <w:insideH w:val="nil"/>
          <w:insideV w:val="nil"/>
        </w:tcBorders>
        <w:shd w:val="clear" w:color="auto" w:fill="00556B" w:themeFill="text1" w:themeFillShade="BF"/>
      </w:tcPr>
    </w:tblStylePr>
    <w:tblStylePr w:type="band1Horz">
      <w:tblPr/>
      <w:tcPr>
        <w:tcBorders>
          <w:top w:val="nil"/>
          <w:left w:val="nil"/>
          <w:bottom w:val="nil"/>
          <w:right w:val="nil"/>
          <w:insideH w:val="nil"/>
          <w:insideV w:val="nil"/>
        </w:tcBorders>
        <w:shd w:val="clear" w:color="auto" w:fill="00556B" w:themeFill="text1" w:themeFillShade="BF"/>
      </w:tcPr>
    </w:tblStylePr>
  </w:style>
  <w:style w:type="table" w:styleId="DarkList-Accent1">
    <w:name w:val="Dark List Accent 1"/>
    <w:basedOn w:val="TableNormal"/>
    <w:uiPriority w:val="99"/>
    <w:semiHidden/>
    <w:rsid w:val="00361DE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72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0038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6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6B" w:themeFill="accent1" w:themeFillShade="BF"/>
      </w:tcPr>
    </w:tblStylePr>
    <w:tblStylePr w:type="band1Vert">
      <w:tblPr/>
      <w:tcPr>
        <w:tcBorders>
          <w:top w:val="nil"/>
          <w:left w:val="nil"/>
          <w:bottom w:val="nil"/>
          <w:right w:val="nil"/>
          <w:insideH w:val="nil"/>
          <w:insideV w:val="nil"/>
        </w:tcBorders>
        <w:shd w:val="clear" w:color="auto" w:fill="00556B" w:themeFill="accent1" w:themeFillShade="BF"/>
      </w:tcPr>
    </w:tblStylePr>
    <w:tblStylePr w:type="band1Horz">
      <w:tblPr/>
      <w:tcPr>
        <w:tcBorders>
          <w:top w:val="nil"/>
          <w:left w:val="nil"/>
          <w:bottom w:val="nil"/>
          <w:right w:val="nil"/>
          <w:insideH w:val="nil"/>
          <w:insideV w:val="nil"/>
        </w:tcBorders>
        <w:shd w:val="clear" w:color="auto" w:fill="00556B" w:themeFill="accent1" w:themeFillShade="BF"/>
      </w:tcPr>
    </w:tblStylePr>
  </w:style>
  <w:style w:type="table" w:styleId="DarkList-Accent2">
    <w:name w:val="Dark List Accent 2"/>
    <w:basedOn w:val="TableNormal"/>
    <w:uiPriority w:val="99"/>
    <w:semiHidden/>
    <w:rsid w:val="00361DE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7DDE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32849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7B7C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7B7CE" w:themeFill="accent2" w:themeFillShade="BF"/>
      </w:tcPr>
    </w:tblStylePr>
    <w:tblStylePr w:type="band1Vert">
      <w:tblPr/>
      <w:tcPr>
        <w:tcBorders>
          <w:top w:val="nil"/>
          <w:left w:val="nil"/>
          <w:bottom w:val="nil"/>
          <w:right w:val="nil"/>
          <w:insideH w:val="nil"/>
          <w:insideV w:val="nil"/>
        </w:tcBorders>
        <w:shd w:val="clear" w:color="auto" w:fill="67B7CE" w:themeFill="accent2" w:themeFillShade="BF"/>
      </w:tcPr>
    </w:tblStylePr>
    <w:tblStylePr w:type="band1Horz">
      <w:tblPr/>
      <w:tcPr>
        <w:tcBorders>
          <w:top w:val="nil"/>
          <w:left w:val="nil"/>
          <w:bottom w:val="nil"/>
          <w:right w:val="nil"/>
          <w:insideH w:val="nil"/>
          <w:insideV w:val="nil"/>
        </w:tcBorders>
        <w:shd w:val="clear" w:color="auto" w:fill="67B7CE" w:themeFill="accent2" w:themeFillShade="BF"/>
      </w:tcPr>
    </w:tblStylePr>
  </w:style>
  <w:style w:type="table" w:styleId="DarkList-Accent3">
    <w:name w:val="Dark List Accent 3"/>
    <w:basedOn w:val="TableNormal"/>
    <w:uiPriority w:val="99"/>
    <w:semiHidden/>
    <w:rsid w:val="00361DE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BEEF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3994A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C4D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C4D6" w:themeFill="accent3" w:themeFillShade="BF"/>
      </w:tcPr>
    </w:tblStylePr>
    <w:tblStylePr w:type="band1Vert">
      <w:tblPr/>
      <w:tcPr>
        <w:tcBorders>
          <w:top w:val="nil"/>
          <w:left w:val="nil"/>
          <w:bottom w:val="nil"/>
          <w:right w:val="nil"/>
          <w:insideH w:val="nil"/>
          <w:insideV w:val="nil"/>
        </w:tcBorders>
        <w:shd w:val="clear" w:color="auto" w:fill="84C4D6" w:themeFill="accent3" w:themeFillShade="BF"/>
      </w:tcPr>
    </w:tblStylePr>
    <w:tblStylePr w:type="band1Horz">
      <w:tblPr/>
      <w:tcPr>
        <w:tcBorders>
          <w:top w:val="nil"/>
          <w:left w:val="nil"/>
          <w:bottom w:val="nil"/>
          <w:right w:val="nil"/>
          <w:insideH w:val="nil"/>
          <w:insideV w:val="nil"/>
        </w:tcBorders>
        <w:shd w:val="clear" w:color="auto" w:fill="84C4D6" w:themeFill="accent3" w:themeFillShade="BF"/>
      </w:tcPr>
    </w:tblStylePr>
  </w:style>
  <w:style w:type="table" w:styleId="DarkList-Accent4">
    <w:name w:val="Dark List Accent 4"/>
    <w:basedOn w:val="TableNormal"/>
    <w:uiPriority w:val="99"/>
    <w:semiHidden/>
    <w:rsid w:val="00361DE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2CDD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2C768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ACC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ACC5" w:themeFill="accent4" w:themeFillShade="BF"/>
      </w:tcPr>
    </w:tblStylePr>
    <w:tblStylePr w:type="band1Vert">
      <w:tblPr/>
      <w:tcPr>
        <w:tcBorders>
          <w:top w:val="nil"/>
          <w:left w:val="nil"/>
          <w:bottom w:val="nil"/>
          <w:right w:val="nil"/>
          <w:insideH w:val="nil"/>
          <w:insideV w:val="nil"/>
        </w:tcBorders>
        <w:shd w:val="clear" w:color="auto" w:fill="4CACC5" w:themeFill="accent4" w:themeFillShade="BF"/>
      </w:tcPr>
    </w:tblStylePr>
    <w:tblStylePr w:type="band1Horz">
      <w:tblPr/>
      <w:tcPr>
        <w:tcBorders>
          <w:top w:val="nil"/>
          <w:left w:val="nil"/>
          <w:bottom w:val="nil"/>
          <w:right w:val="nil"/>
          <w:insideH w:val="nil"/>
          <w:insideV w:val="nil"/>
        </w:tcBorders>
        <w:shd w:val="clear" w:color="auto" w:fill="4CACC5" w:themeFill="accent4" w:themeFillShade="BF"/>
      </w:tcPr>
    </w:tblStylePr>
  </w:style>
  <w:style w:type="table" w:styleId="DarkList-Accent5">
    <w:name w:val="Dark List Accent 5"/>
    <w:basedOn w:val="TableNormal"/>
    <w:uiPriority w:val="99"/>
    <w:semiHidden/>
    <w:rsid w:val="00361DE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31859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18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463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46373" w:themeFill="accent5" w:themeFillShade="BF"/>
      </w:tcPr>
    </w:tblStylePr>
    <w:tblStylePr w:type="band1Vert">
      <w:tblPr/>
      <w:tcPr>
        <w:tcBorders>
          <w:top w:val="nil"/>
          <w:left w:val="nil"/>
          <w:bottom w:val="nil"/>
          <w:right w:val="nil"/>
          <w:insideH w:val="nil"/>
          <w:insideV w:val="nil"/>
        </w:tcBorders>
        <w:shd w:val="clear" w:color="auto" w:fill="246373" w:themeFill="accent5" w:themeFillShade="BF"/>
      </w:tcPr>
    </w:tblStylePr>
    <w:tblStylePr w:type="band1Horz">
      <w:tblPr/>
      <w:tcPr>
        <w:tcBorders>
          <w:top w:val="nil"/>
          <w:left w:val="nil"/>
          <w:bottom w:val="nil"/>
          <w:right w:val="nil"/>
          <w:insideH w:val="nil"/>
          <w:insideV w:val="nil"/>
        </w:tcBorders>
        <w:shd w:val="clear" w:color="auto" w:fill="246373" w:themeFill="accent5" w:themeFillShade="BF"/>
      </w:tcPr>
    </w:tblStylePr>
  </w:style>
  <w:style w:type="table" w:styleId="DarkList-Accent6">
    <w:name w:val="Dark List Accent 6"/>
    <w:basedOn w:val="TableNormal"/>
    <w:uiPriority w:val="99"/>
    <w:semiHidden/>
    <w:rsid w:val="00361DE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4B8C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24637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795A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795AD" w:themeFill="accent6" w:themeFillShade="BF"/>
      </w:tcPr>
    </w:tblStylePr>
    <w:tblStylePr w:type="band1Vert">
      <w:tblPr/>
      <w:tcPr>
        <w:tcBorders>
          <w:top w:val="nil"/>
          <w:left w:val="nil"/>
          <w:bottom w:val="nil"/>
          <w:right w:val="nil"/>
          <w:insideH w:val="nil"/>
          <w:insideV w:val="nil"/>
        </w:tcBorders>
        <w:shd w:val="clear" w:color="auto" w:fill="3795AD" w:themeFill="accent6" w:themeFillShade="BF"/>
      </w:tcPr>
    </w:tblStylePr>
    <w:tblStylePr w:type="band1Horz">
      <w:tblPr/>
      <w:tcPr>
        <w:tcBorders>
          <w:top w:val="nil"/>
          <w:left w:val="nil"/>
          <w:bottom w:val="nil"/>
          <w:right w:val="nil"/>
          <w:insideH w:val="nil"/>
          <w:insideV w:val="nil"/>
        </w:tcBorders>
        <w:shd w:val="clear" w:color="auto" w:fill="3795AD" w:themeFill="accent6" w:themeFillShade="BF"/>
      </w:tcPr>
    </w:tblStylePr>
  </w:style>
  <w:style w:type="table" w:customStyle="1" w:styleId="LightGrid1">
    <w:name w:val="Light Grid1"/>
    <w:basedOn w:val="TableNormal"/>
    <w:uiPriority w:val="99"/>
    <w:semiHidden/>
    <w:rsid w:val="00361DEB"/>
    <w:pPr>
      <w:spacing w:after="0"/>
    </w:pPr>
    <w:tblPr>
      <w:tblStyleRowBandSize w:val="1"/>
      <w:tblStyleColBandSize w:val="1"/>
      <w:tblInd w:w="0" w:type="dxa"/>
      <w:tblBorders>
        <w:top w:val="single" w:sz="8" w:space="0" w:color="00728F" w:themeColor="text1"/>
        <w:left w:val="single" w:sz="8" w:space="0" w:color="00728F" w:themeColor="text1"/>
        <w:bottom w:val="single" w:sz="8" w:space="0" w:color="00728F" w:themeColor="text1"/>
        <w:right w:val="single" w:sz="8" w:space="0" w:color="00728F" w:themeColor="text1"/>
        <w:insideH w:val="single" w:sz="8" w:space="0" w:color="00728F" w:themeColor="text1"/>
        <w:insideV w:val="single" w:sz="8" w:space="0" w:color="00728F"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8F" w:themeColor="text1"/>
          <w:left w:val="single" w:sz="8" w:space="0" w:color="00728F" w:themeColor="text1"/>
          <w:bottom w:val="single" w:sz="18" w:space="0" w:color="00728F" w:themeColor="text1"/>
          <w:right w:val="single" w:sz="8" w:space="0" w:color="00728F" w:themeColor="text1"/>
          <w:insideH w:val="nil"/>
          <w:insideV w:val="single" w:sz="8" w:space="0" w:color="00728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8F" w:themeColor="text1"/>
          <w:left w:val="single" w:sz="8" w:space="0" w:color="00728F" w:themeColor="text1"/>
          <w:bottom w:val="single" w:sz="8" w:space="0" w:color="00728F" w:themeColor="text1"/>
          <w:right w:val="single" w:sz="8" w:space="0" w:color="00728F" w:themeColor="text1"/>
          <w:insideH w:val="nil"/>
          <w:insideV w:val="single" w:sz="8" w:space="0" w:color="00728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tblStylePr w:type="band1Vert">
      <w:tblPr/>
      <w:tcPr>
        <w:tcBorders>
          <w:top w:val="single" w:sz="8" w:space="0" w:color="00728F" w:themeColor="text1"/>
          <w:left w:val="single" w:sz="8" w:space="0" w:color="00728F" w:themeColor="text1"/>
          <w:bottom w:val="single" w:sz="8" w:space="0" w:color="00728F" w:themeColor="text1"/>
          <w:right w:val="single" w:sz="8" w:space="0" w:color="00728F" w:themeColor="text1"/>
        </w:tcBorders>
        <w:shd w:val="clear" w:color="auto" w:fill="A4ECFF" w:themeFill="text1" w:themeFillTint="3F"/>
      </w:tcPr>
    </w:tblStylePr>
    <w:tblStylePr w:type="band1Horz">
      <w:tblPr/>
      <w:tcPr>
        <w:tcBorders>
          <w:top w:val="single" w:sz="8" w:space="0" w:color="00728F" w:themeColor="text1"/>
          <w:left w:val="single" w:sz="8" w:space="0" w:color="00728F" w:themeColor="text1"/>
          <w:bottom w:val="single" w:sz="8" w:space="0" w:color="00728F" w:themeColor="text1"/>
          <w:right w:val="single" w:sz="8" w:space="0" w:color="00728F" w:themeColor="text1"/>
          <w:insideV w:val="single" w:sz="8" w:space="0" w:color="00728F" w:themeColor="text1"/>
        </w:tcBorders>
        <w:shd w:val="clear" w:color="auto" w:fill="A4ECFF" w:themeFill="text1" w:themeFillTint="3F"/>
      </w:tcPr>
    </w:tblStylePr>
    <w:tblStylePr w:type="band2Horz">
      <w:tblPr/>
      <w:tcPr>
        <w:tcBorders>
          <w:top w:val="single" w:sz="8" w:space="0" w:color="00728F" w:themeColor="text1"/>
          <w:left w:val="single" w:sz="8" w:space="0" w:color="00728F" w:themeColor="text1"/>
          <w:bottom w:val="single" w:sz="8" w:space="0" w:color="00728F" w:themeColor="text1"/>
          <w:right w:val="single" w:sz="8" w:space="0" w:color="00728F" w:themeColor="text1"/>
          <w:insideV w:val="single" w:sz="8" w:space="0" w:color="00728F" w:themeColor="text1"/>
        </w:tcBorders>
      </w:tcPr>
    </w:tblStylePr>
  </w:style>
  <w:style w:type="table" w:customStyle="1" w:styleId="LightGrid-Accent11">
    <w:name w:val="Light Grid - Accent 11"/>
    <w:basedOn w:val="TableNormal"/>
    <w:uiPriority w:val="99"/>
    <w:semiHidden/>
    <w:rsid w:val="00361DEB"/>
    <w:pPr>
      <w:spacing w:after="0"/>
    </w:pPr>
    <w:tblPr>
      <w:tblStyleRowBandSize w:val="1"/>
      <w:tblStyleColBandSize w:val="1"/>
      <w:tblInd w:w="0" w:type="dxa"/>
      <w:tblBorders>
        <w:top w:val="single" w:sz="8" w:space="0" w:color="00728F" w:themeColor="accent1"/>
        <w:left w:val="single" w:sz="8" w:space="0" w:color="00728F" w:themeColor="accent1"/>
        <w:bottom w:val="single" w:sz="8" w:space="0" w:color="00728F" w:themeColor="accent1"/>
        <w:right w:val="single" w:sz="8" w:space="0" w:color="00728F" w:themeColor="accent1"/>
        <w:insideH w:val="single" w:sz="8" w:space="0" w:color="00728F" w:themeColor="accent1"/>
        <w:insideV w:val="single" w:sz="8" w:space="0" w:color="00728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8F" w:themeColor="accent1"/>
          <w:left w:val="single" w:sz="8" w:space="0" w:color="00728F" w:themeColor="accent1"/>
          <w:bottom w:val="single" w:sz="18" w:space="0" w:color="00728F" w:themeColor="accent1"/>
          <w:right w:val="single" w:sz="8" w:space="0" w:color="00728F" w:themeColor="accent1"/>
          <w:insideH w:val="nil"/>
          <w:insideV w:val="single" w:sz="8" w:space="0" w:color="0072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8F" w:themeColor="accent1"/>
          <w:left w:val="single" w:sz="8" w:space="0" w:color="00728F" w:themeColor="accent1"/>
          <w:bottom w:val="single" w:sz="8" w:space="0" w:color="00728F" w:themeColor="accent1"/>
          <w:right w:val="single" w:sz="8" w:space="0" w:color="00728F" w:themeColor="accent1"/>
          <w:insideH w:val="nil"/>
          <w:insideV w:val="single" w:sz="8" w:space="0" w:color="0072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tblStylePr w:type="band1Vert">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shd w:val="clear" w:color="auto" w:fill="A4ECFF" w:themeFill="accent1" w:themeFillTint="3F"/>
      </w:tcPr>
    </w:tblStylePr>
    <w:tblStylePr w:type="band1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insideV w:val="single" w:sz="8" w:space="0" w:color="00728F" w:themeColor="accent1"/>
        </w:tcBorders>
        <w:shd w:val="clear" w:color="auto" w:fill="A4ECFF" w:themeFill="accent1" w:themeFillTint="3F"/>
      </w:tcPr>
    </w:tblStylePr>
    <w:tblStylePr w:type="band2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insideV w:val="single" w:sz="8" w:space="0" w:color="00728F" w:themeColor="accent1"/>
        </w:tcBorders>
      </w:tcPr>
    </w:tblStylePr>
  </w:style>
  <w:style w:type="table" w:styleId="LightGrid-Accent2">
    <w:name w:val="Light Grid Accent 2"/>
    <w:basedOn w:val="TableNormal"/>
    <w:uiPriority w:val="99"/>
    <w:semiHidden/>
    <w:rsid w:val="00361DEB"/>
    <w:pPr>
      <w:spacing w:after="0"/>
    </w:pPr>
    <w:tblPr>
      <w:tblStyleRowBandSize w:val="1"/>
      <w:tblStyleColBandSize w:val="1"/>
      <w:tblInd w:w="0" w:type="dxa"/>
      <w:tblBorders>
        <w:top w:val="single" w:sz="8" w:space="0" w:color="B7DDE8" w:themeColor="accent2"/>
        <w:left w:val="single" w:sz="8" w:space="0" w:color="B7DDE8" w:themeColor="accent2"/>
        <w:bottom w:val="single" w:sz="8" w:space="0" w:color="B7DDE8" w:themeColor="accent2"/>
        <w:right w:val="single" w:sz="8" w:space="0" w:color="B7DDE8" w:themeColor="accent2"/>
        <w:insideH w:val="single" w:sz="8" w:space="0" w:color="B7DDE8" w:themeColor="accent2"/>
        <w:insideV w:val="single" w:sz="8" w:space="0" w:color="B7DDE8"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DDE8" w:themeColor="accent2"/>
          <w:left w:val="single" w:sz="8" w:space="0" w:color="B7DDE8" w:themeColor="accent2"/>
          <w:bottom w:val="single" w:sz="18" w:space="0" w:color="B7DDE8" w:themeColor="accent2"/>
          <w:right w:val="single" w:sz="8" w:space="0" w:color="B7DDE8" w:themeColor="accent2"/>
          <w:insideH w:val="nil"/>
          <w:insideV w:val="single" w:sz="8" w:space="0" w:color="B7DDE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DDE8" w:themeColor="accent2"/>
          <w:left w:val="single" w:sz="8" w:space="0" w:color="B7DDE8" w:themeColor="accent2"/>
          <w:bottom w:val="single" w:sz="8" w:space="0" w:color="B7DDE8" w:themeColor="accent2"/>
          <w:right w:val="single" w:sz="8" w:space="0" w:color="B7DDE8" w:themeColor="accent2"/>
          <w:insideH w:val="nil"/>
          <w:insideV w:val="single" w:sz="8" w:space="0" w:color="B7DDE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tblStylePr w:type="band1Vert">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shd w:val="clear" w:color="auto" w:fill="EDF6F9" w:themeFill="accent2" w:themeFillTint="3F"/>
      </w:tcPr>
    </w:tblStylePr>
    <w:tblStylePr w:type="band1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insideV w:val="single" w:sz="8" w:space="0" w:color="B7DDE8" w:themeColor="accent2"/>
        </w:tcBorders>
        <w:shd w:val="clear" w:color="auto" w:fill="EDF6F9" w:themeFill="accent2" w:themeFillTint="3F"/>
      </w:tcPr>
    </w:tblStylePr>
    <w:tblStylePr w:type="band2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insideV w:val="single" w:sz="8" w:space="0" w:color="B7DDE8" w:themeColor="accent2"/>
        </w:tcBorders>
      </w:tcPr>
    </w:tblStylePr>
  </w:style>
  <w:style w:type="table" w:styleId="LightGrid-Accent3">
    <w:name w:val="Light Grid Accent 3"/>
    <w:basedOn w:val="TableNormal"/>
    <w:uiPriority w:val="99"/>
    <w:semiHidden/>
    <w:rsid w:val="00361DEB"/>
    <w:pPr>
      <w:spacing w:after="0"/>
    </w:pPr>
    <w:tblPr>
      <w:tblStyleRowBandSize w:val="1"/>
      <w:tblStyleColBandSize w:val="1"/>
      <w:tblInd w:w="0" w:type="dxa"/>
      <w:tblBorders>
        <w:top w:val="single" w:sz="8" w:space="0" w:color="DBEEF3" w:themeColor="accent3"/>
        <w:left w:val="single" w:sz="8" w:space="0" w:color="DBEEF3" w:themeColor="accent3"/>
        <w:bottom w:val="single" w:sz="8" w:space="0" w:color="DBEEF3" w:themeColor="accent3"/>
        <w:right w:val="single" w:sz="8" w:space="0" w:color="DBEEF3" w:themeColor="accent3"/>
        <w:insideH w:val="single" w:sz="8" w:space="0" w:color="DBEEF3" w:themeColor="accent3"/>
        <w:insideV w:val="single" w:sz="8" w:space="0" w:color="DBEEF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BEEF3" w:themeColor="accent3"/>
          <w:left w:val="single" w:sz="8" w:space="0" w:color="DBEEF3" w:themeColor="accent3"/>
          <w:bottom w:val="single" w:sz="18" w:space="0" w:color="DBEEF3" w:themeColor="accent3"/>
          <w:right w:val="single" w:sz="8" w:space="0" w:color="DBEEF3" w:themeColor="accent3"/>
          <w:insideH w:val="nil"/>
          <w:insideV w:val="single" w:sz="8" w:space="0" w:color="DBEEF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EEF3" w:themeColor="accent3"/>
          <w:left w:val="single" w:sz="8" w:space="0" w:color="DBEEF3" w:themeColor="accent3"/>
          <w:bottom w:val="single" w:sz="8" w:space="0" w:color="DBEEF3" w:themeColor="accent3"/>
          <w:right w:val="single" w:sz="8" w:space="0" w:color="DBEEF3" w:themeColor="accent3"/>
          <w:insideH w:val="nil"/>
          <w:insideV w:val="single" w:sz="8" w:space="0" w:color="DBEEF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tblStylePr w:type="band1Vert">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shd w:val="clear" w:color="auto" w:fill="F6FAFC" w:themeFill="accent3" w:themeFillTint="3F"/>
      </w:tcPr>
    </w:tblStylePr>
    <w:tblStylePr w:type="band1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insideV w:val="single" w:sz="8" w:space="0" w:color="DBEEF3" w:themeColor="accent3"/>
        </w:tcBorders>
        <w:shd w:val="clear" w:color="auto" w:fill="F6FAFC" w:themeFill="accent3" w:themeFillTint="3F"/>
      </w:tcPr>
    </w:tblStylePr>
    <w:tblStylePr w:type="band2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insideV w:val="single" w:sz="8" w:space="0" w:color="DBEEF3" w:themeColor="accent3"/>
        </w:tcBorders>
      </w:tcPr>
    </w:tblStylePr>
  </w:style>
  <w:style w:type="table" w:styleId="LightGrid-Accent4">
    <w:name w:val="Light Grid Accent 4"/>
    <w:basedOn w:val="TableNormal"/>
    <w:uiPriority w:val="99"/>
    <w:semiHidden/>
    <w:rsid w:val="00361DEB"/>
    <w:pPr>
      <w:spacing w:after="0"/>
    </w:pPr>
    <w:tblPr>
      <w:tblStyleRowBandSize w:val="1"/>
      <w:tblStyleColBandSize w:val="1"/>
      <w:tblInd w:w="0" w:type="dxa"/>
      <w:tblBorders>
        <w:top w:val="single" w:sz="8" w:space="0" w:color="92CDDC" w:themeColor="accent4"/>
        <w:left w:val="single" w:sz="8" w:space="0" w:color="92CDDC" w:themeColor="accent4"/>
        <w:bottom w:val="single" w:sz="8" w:space="0" w:color="92CDDC" w:themeColor="accent4"/>
        <w:right w:val="single" w:sz="8" w:space="0" w:color="92CDDC" w:themeColor="accent4"/>
        <w:insideH w:val="single" w:sz="8" w:space="0" w:color="92CDDC" w:themeColor="accent4"/>
        <w:insideV w:val="single" w:sz="8" w:space="0" w:color="92CDDC"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2CDDC" w:themeColor="accent4"/>
          <w:left w:val="single" w:sz="8" w:space="0" w:color="92CDDC" w:themeColor="accent4"/>
          <w:bottom w:val="single" w:sz="18" w:space="0" w:color="92CDDC" w:themeColor="accent4"/>
          <w:right w:val="single" w:sz="8" w:space="0" w:color="92CDDC" w:themeColor="accent4"/>
          <w:insideH w:val="nil"/>
          <w:insideV w:val="single" w:sz="8" w:space="0" w:color="92CDD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CDDC" w:themeColor="accent4"/>
          <w:left w:val="single" w:sz="8" w:space="0" w:color="92CDDC" w:themeColor="accent4"/>
          <w:bottom w:val="single" w:sz="8" w:space="0" w:color="92CDDC" w:themeColor="accent4"/>
          <w:right w:val="single" w:sz="8" w:space="0" w:color="92CDDC" w:themeColor="accent4"/>
          <w:insideH w:val="nil"/>
          <w:insideV w:val="single" w:sz="8" w:space="0" w:color="92CDD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tblStylePr w:type="band1Vert">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shd w:val="clear" w:color="auto" w:fill="E4F2F6" w:themeFill="accent4" w:themeFillTint="3F"/>
      </w:tcPr>
    </w:tblStylePr>
    <w:tblStylePr w:type="band1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insideV w:val="single" w:sz="8" w:space="0" w:color="92CDDC" w:themeColor="accent4"/>
        </w:tcBorders>
        <w:shd w:val="clear" w:color="auto" w:fill="E4F2F6" w:themeFill="accent4" w:themeFillTint="3F"/>
      </w:tcPr>
    </w:tblStylePr>
    <w:tblStylePr w:type="band2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insideV w:val="single" w:sz="8" w:space="0" w:color="92CDDC" w:themeColor="accent4"/>
        </w:tcBorders>
      </w:tcPr>
    </w:tblStylePr>
  </w:style>
  <w:style w:type="table" w:styleId="LightGrid-Accent5">
    <w:name w:val="Light Grid Accent 5"/>
    <w:basedOn w:val="TableNormal"/>
    <w:uiPriority w:val="99"/>
    <w:semiHidden/>
    <w:rsid w:val="00361DEB"/>
    <w:pPr>
      <w:spacing w:after="0"/>
    </w:pPr>
    <w:tblPr>
      <w:tblStyleRowBandSize w:val="1"/>
      <w:tblStyleColBandSize w:val="1"/>
      <w:tblInd w:w="0" w:type="dxa"/>
      <w:tblBorders>
        <w:top w:val="single" w:sz="8" w:space="0" w:color="31859B" w:themeColor="accent5"/>
        <w:left w:val="single" w:sz="8" w:space="0" w:color="31859B" w:themeColor="accent5"/>
        <w:bottom w:val="single" w:sz="8" w:space="0" w:color="31859B" w:themeColor="accent5"/>
        <w:right w:val="single" w:sz="8" w:space="0" w:color="31859B" w:themeColor="accent5"/>
        <w:insideH w:val="single" w:sz="8" w:space="0" w:color="31859B" w:themeColor="accent5"/>
        <w:insideV w:val="single" w:sz="8" w:space="0" w:color="31859B"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1859B" w:themeColor="accent5"/>
          <w:left w:val="single" w:sz="8" w:space="0" w:color="31859B" w:themeColor="accent5"/>
          <w:bottom w:val="single" w:sz="18" w:space="0" w:color="31859B" w:themeColor="accent5"/>
          <w:right w:val="single" w:sz="8" w:space="0" w:color="31859B" w:themeColor="accent5"/>
          <w:insideH w:val="nil"/>
          <w:insideV w:val="single" w:sz="8" w:space="0" w:color="31859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insideH w:val="nil"/>
          <w:insideV w:val="single" w:sz="8" w:space="0" w:color="31859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shd w:val="clear" w:color="auto" w:fill="C5E4EC" w:themeFill="accent5" w:themeFillTint="3F"/>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insideV w:val="single" w:sz="8" w:space="0" w:color="31859B" w:themeColor="accent5"/>
        </w:tcBorders>
        <w:shd w:val="clear" w:color="auto" w:fill="C5E4EC" w:themeFill="accent5" w:themeFillTint="3F"/>
      </w:tcPr>
    </w:tblStylePr>
    <w:tblStylePr w:type="band2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insideV w:val="single" w:sz="8" w:space="0" w:color="31859B" w:themeColor="accent5"/>
        </w:tcBorders>
      </w:tcPr>
    </w:tblStylePr>
  </w:style>
  <w:style w:type="table" w:styleId="LightGrid-Accent6">
    <w:name w:val="Light Grid Accent 6"/>
    <w:basedOn w:val="TableNormal"/>
    <w:uiPriority w:val="99"/>
    <w:semiHidden/>
    <w:rsid w:val="00361DEB"/>
    <w:pPr>
      <w:spacing w:after="0"/>
    </w:pPr>
    <w:tblPr>
      <w:tblStyleRowBandSize w:val="1"/>
      <w:tblStyleColBandSize w:val="1"/>
      <w:tblInd w:w="0" w:type="dxa"/>
      <w:tblBorders>
        <w:top w:val="single" w:sz="8" w:space="0" w:color="64B8CE" w:themeColor="accent6"/>
        <w:left w:val="single" w:sz="8" w:space="0" w:color="64B8CE" w:themeColor="accent6"/>
        <w:bottom w:val="single" w:sz="8" w:space="0" w:color="64B8CE" w:themeColor="accent6"/>
        <w:right w:val="single" w:sz="8" w:space="0" w:color="64B8CE" w:themeColor="accent6"/>
        <w:insideH w:val="single" w:sz="8" w:space="0" w:color="64B8CE" w:themeColor="accent6"/>
        <w:insideV w:val="single" w:sz="8" w:space="0" w:color="64B8C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4B8CE" w:themeColor="accent6"/>
          <w:left w:val="single" w:sz="8" w:space="0" w:color="64B8CE" w:themeColor="accent6"/>
          <w:bottom w:val="single" w:sz="18" w:space="0" w:color="64B8CE" w:themeColor="accent6"/>
          <w:right w:val="single" w:sz="8" w:space="0" w:color="64B8CE" w:themeColor="accent6"/>
          <w:insideH w:val="nil"/>
          <w:insideV w:val="single" w:sz="8" w:space="0" w:color="64B8C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B8CE" w:themeColor="accent6"/>
          <w:left w:val="single" w:sz="8" w:space="0" w:color="64B8CE" w:themeColor="accent6"/>
          <w:bottom w:val="single" w:sz="8" w:space="0" w:color="64B8CE" w:themeColor="accent6"/>
          <w:right w:val="single" w:sz="8" w:space="0" w:color="64B8CE" w:themeColor="accent6"/>
          <w:insideH w:val="nil"/>
          <w:insideV w:val="single" w:sz="8" w:space="0" w:color="64B8C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tblStylePr w:type="band1Vert">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shd w:val="clear" w:color="auto" w:fill="D8EDF2" w:themeFill="accent6" w:themeFillTint="3F"/>
      </w:tcPr>
    </w:tblStylePr>
    <w:tblStylePr w:type="band1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insideV w:val="single" w:sz="8" w:space="0" w:color="64B8CE" w:themeColor="accent6"/>
        </w:tcBorders>
        <w:shd w:val="clear" w:color="auto" w:fill="D8EDF2" w:themeFill="accent6" w:themeFillTint="3F"/>
      </w:tcPr>
    </w:tblStylePr>
    <w:tblStylePr w:type="band2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insideV w:val="single" w:sz="8" w:space="0" w:color="64B8CE" w:themeColor="accent6"/>
        </w:tcBorders>
      </w:tcPr>
    </w:tblStylePr>
  </w:style>
  <w:style w:type="table" w:customStyle="1" w:styleId="LightList1">
    <w:name w:val="Light List1"/>
    <w:basedOn w:val="TableNormal"/>
    <w:uiPriority w:val="99"/>
    <w:semiHidden/>
    <w:rsid w:val="00361DEB"/>
    <w:pPr>
      <w:spacing w:after="0"/>
    </w:pPr>
    <w:tblPr>
      <w:tblStyleRowBandSize w:val="1"/>
      <w:tblStyleColBandSize w:val="1"/>
      <w:tblInd w:w="0" w:type="dxa"/>
      <w:tblBorders>
        <w:top w:val="single" w:sz="8" w:space="0" w:color="00728F" w:themeColor="text1"/>
        <w:left w:val="single" w:sz="8" w:space="0" w:color="00728F" w:themeColor="text1"/>
        <w:bottom w:val="single" w:sz="8" w:space="0" w:color="00728F" w:themeColor="text1"/>
        <w:right w:val="single" w:sz="8" w:space="0" w:color="00728F"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728F" w:themeFill="text1"/>
      </w:tcPr>
    </w:tblStylePr>
    <w:tblStylePr w:type="lastRow">
      <w:pPr>
        <w:spacing w:before="0" w:after="0" w:line="240" w:lineRule="auto"/>
      </w:pPr>
      <w:rPr>
        <w:b/>
        <w:bCs/>
      </w:rPr>
      <w:tblPr/>
      <w:tcPr>
        <w:tcBorders>
          <w:top w:val="double" w:sz="6" w:space="0" w:color="00728F" w:themeColor="text1"/>
          <w:left w:val="single" w:sz="8" w:space="0" w:color="00728F" w:themeColor="text1"/>
          <w:bottom w:val="single" w:sz="8" w:space="0" w:color="00728F" w:themeColor="text1"/>
          <w:right w:val="single" w:sz="8" w:space="0" w:color="00728F" w:themeColor="text1"/>
        </w:tcBorders>
      </w:tcPr>
    </w:tblStylePr>
    <w:tblStylePr w:type="firstCol">
      <w:rPr>
        <w:b/>
        <w:bCs/>
      </w:rPr>
    </w:tblStylePr>
    <w:tblStylePr w:type="lastCol">
      <w:rPr>
        <w:b/>
        <w:bCs/>
      </w:rPr>
    </w:tblStylePr>
    <w:tblStylePr w:type="band1Vert">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tblStylePr w:type="band1Horz">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style>
  <w:style w:type="table" w:customStyle="1" w:styleId="LightList-Accent11">
    <w:name w:val="Light List - Accent 11"/>
    <w:basedOn w:val="TableNormal"/>
    <w:uiPriority w:val="99"/>
    <w:semiHidden/>
    <w:rsid w:val="00361DEB"/>
    <w:pPr>
      <w:spacing w:after="0"/>
    </w:pPr>
    <w:tblPr>
      <w:tblStyleRowBandSize w:val="1"/>
      <w:tblStyleColBandSize w:val="1"/>
      <w:tblInd w:w="0" w:type="dxa"/>
      <w:tblBorders>
        <w:top w:val="single" w:sz="8" w:space="0" w:color="00728F" w:themeColor="accent1"/>
        <w:left w:val="single" w:sz="8" w:space="0" w:color="00728F" w:themeColor="accent1"/>
        <w:bottom w:val="single" w:sz="8" w:space="0" w:color="00728F" w:themeColor="accent1"/>
        <w:right w:val="single" w:sz="8" w:space="0" w:color="00728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728F" w:themeFill="accent1"/>
      </w:tcPr>
    </w:tblStylePr>
    <w:tblStylePr w:type="lastRow">
      <w:pPr>
        <w:spacing w:before="0" w:after="0" w:line="240" w:lineRule="auto"/>
      </w:pPr>
      <w:rPr>
        <w:b/>
        <w:bCs/>
      </w:rPr>
      <w:tblPr/>
      <w:tcPr>
        <w:tcBorders>
          <w:top w:val="double" w:sz="6" w:space="0" w:color="00728F" w:themeColor="accent1"/>
          <w:left w:val="single" w:sz="8" w:space="0" w:color="00728F" w:themeColor="accent1"/>
          <w:bottom w:val="single" w:sz="8" w:space="0" w:color="00728F" w:themeColor="accent1"/>
          <w:right w:val="single" w:sz="8" w:space="0" w:color="00728F" w:themeColor="accent1"/>
        </w:tcBorders>
      </w:tcPr>
    </w:tblStylePr>
    <w:tblStylePr w:type="firstCol">
      <w:rPr>
        <w:b/>
        <w:bCs/>
      </w:rPr>
    </w:tblStylePr>
    <w:tblStylePr w:type="lastCol">
      <w:rPr>
        <w:b/>
        <w:bCs/>
      </w:rPr>
    </w:tblStylePr>
    <w:tblStylePr w:type="band1Vert">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tblStylePr w:type="band1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style>
  <w:style w:type="table" w:styleId="LightList-Accent2">
    <w:name w:val="Light List Accent 2"/>
    <w:basedOn w:val="TableNormal"/>
    <w:uiPriority w:val="99"/>
    <w:semiHidden/>
    <w:rsid w:val="00361DEB"/>
    <w:pPr>
      <w:spacing w:after="0"/>
    </w:pPr>
    <w:tblPr>
      <w:tblStyleRowBandSize w:val="1"/>
      <w:tblStyleColBandSize w:val="1"/>
      <w:tblInd w:w="0" w:type="dxa"/>
      <w:tblBorders>
        <w:top w:val="single" w:sz="8" w:space="0" w:color="B7DDE8" w:themeColor="accent2"/>
        <w:left w:val="single" w:sz="8" w:space="0" w:color="B7DDE8" w:themeColor="accent2"/>
        <w:bottom w:val="single" w:sz="8" w:space="0" w:color="B7DDE8" w:themeColor="accent2"/>
        <w:right w:val="single" w:sz="8" w:space="0" w:color="B7DDE8"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7DDE8" w:themeFill="accent2"/>
      </w:tcPr>
    </w:tblStylePr>
    <w:tblStylePr w:type="lastRow">
      <w:pPr>
        <w:spacing w:before="0" w:after="0" w:line="240" w:lineRule="auto"/>
      </w:pPr>
      <w:rPr>
        <w:b/>
        <w:bCs/>
      </w:rPr>
      <w:tblPr/>
      <w:tcPr>
        <w:tcBorders>
          <w:top w:val="double" w:sz="6" w:space="0" w:color="B7DDE8" w:themeColor="accent2"/>
          <w:left w:val="single" w:sz="8" w:space="0" w:color="B7DDE8" w:themeColor="accent2"/>
          <w:bottom w:val="single" w:sz="8" w:space="0" w:color="B7DDE8" w:themeColor="accent2"/>
          <w:right w:val="single" w:sz="8" w:space="0" w:color="B7DDE8" w:themeColor="accent2"/>
        </w:tcBorders>
      </w:tcPr>
    </w:tblStylePr>
    <w:tblStylePr w:type="firstCol">
      <w:rPr>
        <w:b/>
        <w:bCs/>
      </w:rPr>
    </w:tblStylePr>
    <w:tblStylePr w:type="lastCol">
      <w:rPr>
        <w:b/>
        <w:bCs/>
      </w:rPr>
    </w:tblStylePr>
    <w:tblStylePr w:type="band1Vert">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tblStylePr w:type="band1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style>
  <w:style w:type="table" w:styleId="LightList-Accent3">
    <w:name w:val="Light List Accent 3"/>
    <w:basedOn w:val="TableNormal"/>
    <w:uiPriority w:val="99"/>
    <w:semiHidden/>
    <w:rsid w:val="00361DEB"/>
    <w:pPr>
      <w:spacing w:after="0"/>
    </w:pPr>
    <w:tblPr>
      <w:tblStyleRowBandSize w:val="1"/>
      <w:tblStyleColBandSize w:val="1"/>
      <w:tblInd w:w="0" w:type="dxa"/>
      <w:tblBorders>
        <w:top w:val="single" w:sz="8" w:space="0" w:color="DBEEF3" w:themeColor="accent3"/>
        <w:left w:val="single" w:sz="8" w:space="0" w:color="DBEEF3" w:themeColor="accent3"/>
        <w:bottom w:val="single" w:sz="8" w:space="0" w:color="DBEEF3" w:themeColor="accent3"/>
        <w:right w:val="single" w:sz="8" w:space="0" w:color="DBEEF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BEEF3" w:themeFill="accent3"/>
      </w:tcPr>
    </w:tblStylePr>
    <w:tblStylePr w:type="lastRow">
      <w:pPr>
        <w:spacing w:before="0" w:after="0" w:line="240" w:lineRule="auto"/>
      </w:pPr>
      <w:rPr>
        <w:b/>
        <w:bCs/>
      </w:rPr>
      <w:tblPr/>
      <w:tcPr>
        <w:tcBorders>
          <w:top w:val="double" w:sz="6" w:space="0" w:color="DBEEF3" w:themeColor="accent3"/>
          <w:left w:val="single" w:sz="8" w:space="0" w:color="DBEEF3" w:themeColor="accent3"/>
          <w:bottom w:val="single" w:sz="8" w:space="0" w:color="DBEEF3" w:themeColor="accent3"/>
          <w:right w:val="single" w:sz="8" w:space="0" w:color="DBEEF3" w:themeColor="accent3"/>
        </w:tcBorders>
      </w:tcPr>
    </w:tblStylePr>
    <w:tblStylePr w:type="firstCol">
      <w:rPr>
        <w:b/>
        <w:bCs/>
      </w:rPr>
    </w:tblStylePr>
    <w:tblStylePr w:type="lastCol">
      <w:rPr>
        <w:b/>
        <w:bCs/>
      </w:rPr>
    </w:tblStylePr>
    <w:tblStylePr w:type="band1Vert">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tblStylePr w:type="band1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style>
  <w:style w:type="table" w:styleId="LightList-Accent4">
    <w:name w:val="Light List Accent 4"/>
    <w:basedOn w:val="TableNormal"/>
    <w:uiPriority w:val="99"/>
    <w:semiHidden/>
    <w:rsid w:val="00361DEB"/>
    <w:pPr>
      <w:spacing w:after="0"/>
    </w:pPr>
    <w:tblPr>
      <w:tblStyleRowBandSize w:val="1"/>
      <w:tblStyleColBandSize w:val="1"/>
      <w:tblInd w:w="0" w:type="dxa"/>
      <w:tblBorders>
        <w:top w:val="single" w:sz="8" w:space="0" w:color="92CDDC" w:themeColor="accent4"/>
        <w:left w:val="single" w:sz="8" w:space="0" w:color="92CDDC" w:themeColor="accent4"/>
        <w:bottom w:val="single" w:sz="8" w:space="0" w:color="92CDDC" w:themeColor="accent4"/>
        <w:right w:val="single" w:sz="8" w:space="0" w:color="92CDD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2CDDC" w:themeFill="accent4"/>
      </w:tcPr>
    </w:tblStylePr>
    <w:tblStylePr w:type="lastRow">
      <w:pPr>
        <w:spacing w:before="0" w:after="0" w:line="240" w:lineRule="auto"/>
      </w:pPr>
      <w:rPr>
        <w:b/>
        <w:bCs/>
      </w:rPr>
      <w:tblPr/>
      <w:tcPr>
        <w:tcBorders>
          <w:top w:val="double" w:sz="6" w:space="0" w:color="92CDDC" w:themeColor="accent4"/>
          <w:left w:val="single" w:sz="8" w:space="0" w:color="92CDDC" w:themeColor="accent4"/>
          <w:bottom w:val="single" w:sz="8" w:space="0" w:color="92CDDC" w:themeColor="accent4"/>
          <w:right w:val="single" w:sz="8" w:space="0" w:color="92CDDC" w:themeColor="accent4"/>
        </w:tcBorders>
      </w:tcPr>
    </w:tblStylePr>
    <w:tblStylePr w:type="firstCol">
      <w:rPr>
        <w:b/>
        <w:bCs/>
      </w:rPr>
    </w:tblStylePr>
    <w:tblStylePr w:type="lastCol">
      <w:rPr>
        <w:b/>
        <w:bCs/>
      </w:rPr>
    </w:tblStylePr>
    <w:tblStylePr w:type="band1Vert">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tblStylePr w:type="band1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style>
  <w:style w:type="table" w:styleId="LightList-Accent5">
    <w:name w:val="Light List Accent 5"/>
    <w:basedOn w:val="TableNormal"/>
    <w:uiPriority w:val="99"/>
    <w:semiHidden/>
    <w:rsid w:val="00361DEB"/>
    <w:pPr>
      <w:spacing w:after="0"/>
    </w:pPr>
    <w:tblPr>
      <w:tblStyleRowBandSize w:val="1"/>
      <w:tblStyleColBandSize w:val="1"/>
      <w:tblInd w:w="0" w:type="dxa"/>
      <w:tblBorders>
        <w:top w:val="single" w:sz="8" w:space="0" w:color="31859B" w:themeColor="accent5"/>
        <w:left w:val="single" w:sz="8" w:space="0" w:color="31859B" w:themeColor="accent5"/>
        <w:bottom w:val="single" w:sz="8" w:space="0" w:color="31859B" w:themeColor="accent5"/>
        <w:right w:val="single" w:sz="8" w:space="0" w:color="31859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1859B" w:themeFill="accent5"/>
      </w:tcPr>
    </w:tblStylePr>
    <w:tblStylePr w:type="lastRow">
      <w:pPr>
        <w:spacing w:before="0" w:after="0" w:line="240" w:lineRule="auto"/>
      </w:pPr>
      <w:rPr>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tcBorders>
      </w:tcPr>
    </w:tblStylePr>
    <w:tblStylePr w:type="firstCol">
      <w:rPr>
        <w:b/>
        <w:bCs/>
      </w:rPr>
    </w:tblStylePr>
    <w:tblStylePr w:type="lastCol">
      <w:rPr>
        <w:b/>
        <w:bCs/>
      </w:r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style>
  <w:style w:type="table" w:styleId="LightList-Accent6">
    <w:name w:val="Light List Accent 6"/>
    <w:basedOn w:val="TableNormal"/>
    <w:uiPriority w:val="99"/>
    <w:semiHidden/>
    <w:rsid w:val="00361DEB"/>
    <w:pPr>
      <w:spacing w:after="0"/>
    </w:pPr>
    <w:tblPr>
      <w:tblStyleRowBandSize w:val="1"/>
      <w:tblStyleColBandSize w:val="1"/>
      <w:tblInd w:w="0" w:type="dxa"/>
      <w:tblBorders>
        <w:top w:val="single" w:sz="8" w:space="0" w:color="64B8CE" w:themeColor="accent6"/>
        <w:left w:val="single" w:sz="8" w:space="0" w:color="64B8CE" w:themeColor="accent6"/>
        <w:bottom w:val="single" w:sz="8" w:space="0" w:color="64B8CE" w:themeColor="accent6"/>
        <w:right w:val="single" w:sz="8" w:space="0" w:color="64B8C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4B8CE" w:themeFill="accent6"/>
      </w:tcPr>
    </w:tblStylePr>
    <w:tblStylePr w:type="lastRow">
      <w:pPr>
        <w:spacing w:before="0" w:after="0" w:line="240" w:lineRule="auto"/>
      </w:pPr>
      <w:rPr>
        <w:b/>
        <w:bCs/>
      </w:rPr>
      <w:tblPr/>
      <w:tcPr>
        <w:tcBorders>
          <w:top w:val="double" w:sz="6" w:space="0" w:color="64B8CE" w:themeColor="accent6"/>
          <w:left w:val="single" w:sz="8" w:space="0" w:color="64B8CE" w:themeColor="accent6"/>
          <w:bottom w:val="single" w:sz="8" w:space="0" w:color="64B8CE" w:themeColor="accent6"/>
          <w:right w:val="single" w:sz="8" w:space="0" w:color="64B8CE" w:themeColor="accent6"/>
        </w:tcBorders>
      </w:tcPr>
    </w:tblStylePr>
    <w:tblStylePr w:type="firstCol">
      <w:rPr>
        <w:b/>
        <w:bCs/>
      </w:rPr>
    </w:tblStylePr>
    <w:tblStylePr w:type="lastCol">
      <w:rPr>
        <w:b/>
        <w:bCs/>
      </w:rPr>
    </w:tblStylePr>
    <w:tblStylePr w:type="band1Vert">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tblStylePr w:type="band1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style>
  <w:style w:type="table" w:customStyle="1" w:styleId="LightShading1">
    <w:name w:val="Light Shading1"/>
    <w:basedOn w:val="TableNormal"/>
    <w:uiPriority w:val="99"/>
    <w:semiHidden/>
    <w:rsid w:val="00361DEB"/>
    <w:pPr>
      <w:spacing w:after="0"/>
    </w:pPr>
    <w:rPr>
      <w:color w:val="00556B" w:themeColor="text1" w:themeShade="BF"/>
    </w:rPr>
    <w:tblPr>
      <w:tblStyleRowBandSize w:val="1"/>
      <w:tblStyleColBandSize w:val="1"/>
      <w:tblInd w:w="0" w:type="dxa"/>
      <w:tblBorders>
        <w:top w:val="single" w:sz="8" w:space="0" w:color="00728F" w:themeColor="text1"/>
        <w:bottom w:val="single" w:sz="8" w:space="0" w:color="00728F"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8F" w:themeColor="text1"/>
          <w:left w:val="nil"/>
          <w:bottom w:val="single" w:sz="8" w:space="0" w:color="00728F" w:themeColor="text1"/>
          <w:right w:val="nil"/>
          <w:insideH w:val="nil"/>
          <w:insideV w:val="nil"/>
        </w:tcBorders>
      </w:tcPr>
    </w:tblStylePr>
    <w:tblStylePr w:type="lastRow">
      <w:pPr>
        <w:spacing w:before="0" w:after="0" w:line="240" w:lineRule="auto"/>
      </w:pPr>
      <w:rPr>
        <w:b/>
        <w:bCs/>
      </w:rPr>
      <w:tblPr/>
      <w:tcPr>
        <w:tcBorders>
          <w:top w:val="single" w:sz="8" w:space="0" w:color="00728F" w:themeColor="text1"/>
          <w:left w:val="nil"/>
          <w:bottom w:val="single" w:sz="8" w:space="0" w:color="00728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hemeFill="text1" w:themeFillTint="3F"/>
      </w:tcPr>
    </w:tblStylePr>
    <w:tblStylePr w:type="band1Horz">
      <w:tblPr/>
      <w:tcPr>
        <w:tcBorders>
          <w:left w:val="nil"/>
          <w:right w:val="nil"/>
          <w:insideH w:val="nil"/>
          <w:insideV w:val="nil"/>
        </w:tcBorders>
        <w:shd w:val="clear" w:color="auto" w:fill="A4ECFF" w:themeFill="text1" w:themeFillTint="3F"/>
      </w:tcPr>
    </w:tblStylePr>
  </w:style>
  <w:style w:type="table" w:customStyle="1" w:styleId="LightShading-Accent11">
    <w:name w:val="Light Shading - Accent 11"/>
    <w:basedOn w:val="TableNormal"/>
    <w:uiPriority w:val="99"/>
    <w:semiHidden/>
    <w:rsid w:val="00361DEB"/>
    <w:pPr>
      <w:spacing w:after="0"/>
    </w:pPr>
    <w:rPr>
      <w:color w:val="00556B" w:themeColor="accent1" w:themeShade="BF"/>
    </w:rPr>
    <w:tblPr>
      <w:tblStyleRowBandSize w:val="1"/>
      <w:tblStyleColBandSize w:val="1"/>
      <w:tblInd w:w="0" w:type="dxa"/>
      <w:tblBorders>
        <w:top w:val="single" w:sz="8" w:space="0" w:color="00728F" w:themeColor="accent1"/>
        <w:bottom w:val="single" w:sz="8" w:space="0" w:color="00728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8F" w:themeColor="accent1"/>
          <w:left w:val="nil"/>
          <w:bottom w:val="single" w:sz="8" w:space="0" w:color="00728F" w:themeColor="accent1"/>
          <w:right w:val="nil"/>
          <w:insideH w:val="nil"/>
          <w:insideV w:val="nil"/>
        </w:tcBorders>
      </w:tcPr>
    </w:tblStylePr>
    <w:tblStylePr w:type="lastRow">
      <w:pPr>
        <w:spacing w:before="0" w:after="0" w:line="240" w:lineRule="auto"/>
      </w:pPr>
      <w:rPr>
        <w:b/>
        <w:bCs/>
      </w:rPr>
      <w:tblPr/>
      <w:tcPr>
        <w:tcBorders>
          <w:top w:val="single" w:sz="8" w:space="0" w:color="00728F" w:themeColor="accent1"/>
          <w:left w:val="nil"/>
          <w:bottom w:val="single" w:sz="8" w:space="0" w:color="0072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hemeFill="accent1" w:themeFillTint="3F"/>
      </w:tcPr>
    </w:tblStylePr>
    <w:tblStylePr w:type="band1Horz">
      <w:tblPr/>
      <w:tcPr>
        <w:tcBorders>
          <w:left w:val="nil"/>
          <w:right w:val="nil"/>
          <w:insideH w:val="nil"/>
          <w:insideV w:val="nil"/>
        </w:tcBorders>
        <w:shd w:val="clear" w:color="auto" w:fill="A4ECFF" w:themeFill="accent1" w:themeFillTint="3F"/>
      </w:tcPr>
    </w:tblStylePr>
  </w:style>
  <w:style w:type="table" w:styleId="LightShading-Accent2">
    <w:name w:val="Light Shading Accent 2"/>
    <w:basedOn w:val="TableNormal"/>
    <w:uiPriority w:val="99"/>
    <w:semiHidden/>
    <w:rsid w:val="00361DEB"/>
    <w:pPr>
      <w:spacing w:after="0"/>
    </w:pPr>
    <w:rPr>
      <w:color w:val="67B7CE" w:themeColor="accent2" w:themeShade="BF"/>
    </w:rPr>
    <w:tblPr>
      <w:tblStyleRowBandSize w:val="1"/>
      <w:tblStyleColBandSize w:val="1"/>
      <w:tblInd w:w="0" w:type="dxa"/>
      <w:tblBorders>
        <w:top w:val="single" w:sz="8" w:space="0" w:color="B7DDE8" w:themeColor="accent2"/>
        <w:bottom w:val="single" w:sz="8" w:space="0" w:color="B7DDE8"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la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left w:val="nil"/>
          <w:right w:val="nil"/>
          <w:insideH w:val="nil"/>
          <w:insideV w:val="nil"/>
        </w:tcBorders>
        <w:shd w:val="clear" w:color="auto" w:fill="EDF6F9" w:themeFill="accent2" w:themeFillTint="3F"/>
      </w:tcPr>
    </w:tblStylePr>
  </w:style>
  <w:style w:type="table" w:styleId="LightShading-Accent3">
    <w:name w:val="Light Shading Accent 3"/>
    <w:basedOn w:val="TableNormal"/>
    <w:uiPriority w:val="99"/>
    <w:semiHidden/>
    <w:rsid w:val="00361DEB"/>
    <w:pPr>
      <w:spacing w:after="0"/>
    </w:pPr>
    <w:rPr>
      <w:color w:val="84C4D6" w:themeColor="accent3" w:themeShade="BF"/>
    </w:rPr>
    <w:tblPr>
      <w:tblStyleRowBandSize w:val="1"/>
      <w:tblStyleColBandSize w:val="1"/>
      <w:tblInd w:w="0" w:type="dxa"/>
      <w:tblBorders>
        <w:top w:val="single" w:sz="8" w:space="0" w:color="DBEEF3" w:themeColor="accent3"/>
        <w:bottom w:val="single" w:sz="8" w:space="0" w:color="DBEEF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BEEF3" w:themeColor="accent3"/>
          <w:left w:val="nil"/>
          <w:bottom w:val="single" w:sz="8" w:space="0" w:color="DBEEF3" w:themeColor="accent3"/>
          <w:right w:val="nil"/>
          <w:insideH w:val="nil"/>
          <w:insideV w:val="nil"/>
        </w:tcBorders>
      </w:tcPr>
    </w:tblStylePr>
    <w:tblStylePr w:type="lastRow">
      <w:pPr>
        <w:spacing w:before="0" w:after="0" w:line="240" w:lineRule="auto"/>
      </w:pPr>
      <w:rPr>
        <w:b/>
        <w:bCs/>
      </w:rPr>
      <w:tblPr/>
      <w:tcPr>
        <w:tcBorders>
          <w:top w:val="single" w:sz="8" w:space="0" w:color="DBEEF3" w:themeColor="accent3"/>
          <w:left w:val="nil"/>
          <w:bottom w:val="single" w:sz="8" w:space="0" w:color="DBEEF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AFC" w:themeFill="accent3" w:themeFillTint="3F"/>
      </w:tcPr>
    </w:tblStylePr>
    <w:tblStylePr w:type="band1Horz">
      <w:tblPr/>
      <w:tcPr>
        <w:tcBorders>
          <w:left w:val="nil"/>
          <w:right w:val="nil"/>
          <w:insideH w:val="nil"/>
          <w:insideV w:val="nil"/>
        </w:tcBorders>
        <w:shd w:val="clear" w:color="auto" w:fill="F6FAFC" w:themeFill="accent3" w:themeFillTint="3F"/>
      </w:tcPr>
    </w:tblStylePr>
  </w:style>
  <w:style w:type="table" w:styleId="LightShading-Accent4">
    <w:name w:val="Light Shading Accent 4"/>
    <w:basedOn w:val="TableNormal"/>
    <w:uiPriority w:val="99"/>
    <w:semiHidden/>
    <w:rsid w:val="00361DEB"/>
    <w:pPr>
      <w:spacing w:after="0"/>
    </w:pPr>
    <w:rPr>
      <w:color w:val="4CACC5" w:themeColor="accent4" w:themeShade="BF"/>
    </w:rPr>
    <w:tblPr>
      <w:tblStyleRowBandSize w:val="1"/>
      <w:tblStyleColBandSize w:val="1"/>
      <w:tblInd w:w="0" w:type="dxa"/>
      <w:tblBorders>
        <w:top w:val="single" w:sz="8" w:space="0" w:color="92CDDC" w:themeColor="accent4"/>
        <w:bottom w:val="single" w:sz="8" w:space="0" w:color="92CDD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2CDDC" w:themeColor="accent4"/>
          <w:left w:val="nil"/>
          <w:bottom w:val="single" w:sz="8" w:space="0" w:color="92CDDC" w:themeColor="accent4"/>
          <w:right w:val="nil"/>
          <w:insideH w:val="nil"/>
          <w:insideV w:val="nil"/>
        </w:tcBorders>
      </w:tcPr>
    </w:tblStylePr>
    <w:tblStylePr w:type="lastRow">
      <w:pPr>
        <w:spacing w:before="0" w:after="0" w:line="240" w:lineRule="auto"/>
      </w:pPr>
      <w:rPr>
        <w:b/>
        <w:bCs/>
      </w:rPr>
      <w:tblPr/>
      <w:tcPr>
        <w:tcBorders>
          <w:top w:val="single" w:sz="8" w:space="0" w:color="92CDDC" w:themeColor="accent4"/>
          <w:left w:val="nil"/>
          <w:bottom w:val="single" w:sz="8" w:space="0" w:color="92CDD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2F6" w:themeFill="accent4" w:themeFillTint="3F"/>
      </w:tcPr>
    </w:tblStylePr>
    <w:tblStylePr w:type="band1Horz">
      <w:tblPr/>
      <w:tcPr>
        <w:tcBorders>
          <w:left w:val="nil"/>
          <w:right w:val="nil"/>
          <w:insideH w:val="nil"/>
          <w:insideV w:val="nil"/>
        </w:tcBorders>
        <w:shd w:val="clear" w:color="auto" w:fill="E4F2F6" w:themeFill="accent4" w:themeFillTint="3F"/>
      </w:tcPr>
    </w:tblStylePr>
  </w:style>
  <w:style w:type="table" w:styleId="LightShading-Accent5">
    <w:name w:val="Light Shading Accent 5"/>
    <w:basedOn w:val="TableNormal"/>
    <w:uiPriority w:val="99"/>
    <w:semiHidden/>
    <w:rsid w:val="00361DEB"/>
    <w:pPr>
      <w:spacing w:after="0"/>
    </w:pPr>
    <w:rPr>
      <w:color w:val="246373" w:themeColor="accent5" w:themeShade="BF"/>
    </w:rPr>
    <w:tblPr>
      <w:tblStyleRowBandSize w:val="1"/>
      <w:tblStyleColBandSize w:val="1"/>
      <w:tblInd w:w="0" w:type="dxa"/>
      <w:tblBorders>
        <w:top w:val="single" w:sz="8" w:space="0" w:color="31859B" w:themeColor="accent5"/>
        <w:bottom w:val="single" w:sz="8" w:space="0" w:color="31859B"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1859B" w:themeColor="accent5"/>
          <w:left w:val="nil"/>
          <w:bottom w:val="single" w:sz="8" w:space="0" w:color="31859B" w:themeColor="accent5"/>
          <w:right w:val="nil"/>
          <w:insideH w:val="nil"/>
          <w:insideV w:val="nil"/>
        </w:tcBorders>
      </w:tcPr>
    </w:tblStylePr>
    <w:tblStylePr w:type="lastRow">
      <w:pPr>
        <w:spacing w:before="0" w:after="0" w:line="240" w:lineRule="auto"/>
      </w:pPr>
      <w:rPr>
        <w:b/>
        <w:bCs/>
      </w:rPr>
      <w:tblPr/>
      <w:tcPr>
        <w:tcBorders>
          <w:top w:val="single" w:sz="8" w:space="0" w:color="31859B" w:themeColor="accent5"/>
          <w:left w:val="nil"/>
          <w:bottom w:val="single" w:sz="8" w:space="0" w:color="31859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4EC" w:themeFill="accent5" w:themeFillTint="3F"/>
      </w:tcPr>
    </w:tblStylePr>
    <w:tblStylePr w:type="band1Horz">
      <w:tblPr/>
      <w:tcPr>
        <w:tcBorders>
          <w:left w:val="nil"/>
          <w:right w:val="nil"/>
          <w:insideH w:val="nil"/>
          <w:insideV w:val="nil"/>
        </w:tcBorders>
        <w:shd w:val="clear" w:color="auto" w:fill="C5E4EC" w:themeFill="accent5" w:themeFillTint="3F"/>
      </w:tcPr>
    </w:tblStylePr>
  </w:style>
  <w:style w:type="table" w:styleId="LightShading-Accent6">
    <w:name w:val="Light Shading Accent 6"/>
    <w:basedOn w:val="TableNormal"/>
    <w:uiPriority w:val="99"/>
    <w:semiHidden/>
    <w:rsid w:val="00361DEB"/>
    <w:pPr>
      <w:spacing w:after="0"/>
    </w:pPr>
    <w:rPr>
      <w:color w:val="3795AD" w:themeColor="accent6" w:themeShade="BF"/>
    </w:rPr>
    <w:tblPr>
      <w:tblStyleRowBandSize w:val="1"/>
      <w:tblStyleColBandSize w:val="1"/>
      <w:tblInd w:w="0" w:type="dxa"/>
      <w:tblBorders>
        <w:top w:val="single" w:sz="8" w:space="0" w:color="64B8CE" w:themeColor="accent6"/>
        <w:bottom w:val="single" w:sz="8" w:space="0" w:color="64B8C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4B8CE" w:themeColor="accent6"/>
          <w:left w:val="nil"/>
          <w:bottom w:val="single" w:sz="8" w:space="0" w:color="64B8CE" w:themeColor="accent6"/>
          <w:right w:val="nil"/>
          <w:insideH w:val="nil"/>
          <w:insideV w:val="nil"/>
        </w:tcBorders>
      </w:tcPr>
    </w:tblStylePr>
    <w:tblStylePr w:type="lastRow">
      <w:pPr>
        <w:spacing w:before="0" w:after="0" w:line="240" w:lineRule="auto"/>
      </w:pPr>
      <w:rPr>
        <w:b/>
        <w:bCs/>
      </w:rPr>
      <w:tblPr/>
      <w:tcPr>
        <w:tcBorders>
          <w:top w:val="single" w:sz="8" w:space="0" w:color="64B8CE" w:themeColor="accent6"/>
          <w:left w:val="nil"/>
          <w:bottom w:val="single" w:sz="8" w:space="0" w:color="64B8C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DF2" w:themeFill="accent6" w:themeFillTint="3F"/>
      </w:tcPr>
    </w:tblStylePr>
    <w:tblStylePr w:type="band1Horz">
      <w:tblPr/>
      <w:tcPr>
        <w:tcBorders>
          <w:left w:val="nil"/>
          <w:right w:val="nil"/>
          <w:insideH w:val="nil"/>
          <w:insideV w:val="nil"/>
        </w:tcBorders>
        <w:shd w:val="clear" w:color="auto" w:fill="D8EDF2" w:themeFill="accent6" w:themeFillTint="3F"/>
      </w:tcPr>
    </w:tblStylePr>
  </w:style>
  <w:style w:type="table" w:customStyle="1" w:styleId="MediumGrid11">
    <w:name w:val="Medium Grid 11"/>
    <w:basedOn w:val="TableNormal"/>
    <w:uiPriority w:val="99"/>
    <w:semiHidden/>
    <w:rsid w:val="00361DEB"/>
    <w:pPr>
      <w:spacing w:after="0"/>
    </w:pPr>
    <w:tblPr>
      <w:tblStyleRowBandSize w:val="1"/>
      <w:tblStyleColBandSize w:val="1"/>
      <w:tblInd w:w="0" w:type="dxa"/>
      <w:tbl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single" w:sz="8" w:space="0" w:color="00BBEB" w:themeColor="text1" w:themeTint="BF"/>
        <w:insideV w:val="single" w:sz="8" w:space="0" w:color="00BBEB" w:themeColor="text1" w:themeTint="BF"/>
      </w:tblBorders>
      <w:tblCellMar>
        <w:top w:w="0" w:type="dxa"/>
        <w:left w:w="108" w:type="dxa"/>
        <w:bottom w:w="0" w:type="dxa"/>
        <w:right w:w="108" w:type="dxa"/>
      </w:tblCellMar>
    </w:tblPr>
    <w:tcPr>
      <w:shd w:val="clear" w:color="auto" w:fill="A4ECFF" w:themeFill="text1" w:themeFillTint="3F"/>
    </w:tcPr>
    <w:tblStylePr w:type="firstRow">
      <w:rPr>
        <w:b/>
        <w:bCs/>
      </w:rPr>
    </w:tblStylePr>
    <w:tblStylePr w:type="lastRow">
      <w:rPr>
        <w:b/>
        <w:bCs/>
      </w:rPr>
      <w:tblPr/>
      <w:tcPr>
        <w:tcBorders>
          <w:top w:val="single" w:sz="18" w:space="0" w:color="00BBEB" w:themeColor="text1" w:themeTint="BF"/>
        </w:tcBorders>
      </w:tcPr>
    </w:tblStylePr>
    <w:tblStylePr w:type="firstCol">
      <w:rPr>
        <w:b/>
        <w:bCs/>
      </w:rPr>
    </w:tblStylePr>
    <w:tblStylePr w:type="lastCol">
      <w:rPr>
        <w:b/>
        <w:bCs/>
      </w:rPr>
    </w:tblStylePr>
    <w:tblStylePr w:type="band1Vert">
      <w:tblPr/>
      <w:tcPr>
        <w:shd w:val="clear" w:color="auto" w:fill="48D9FF" w:themeFill="text1" w:themeFillTint="7F"/>
      </w:tcPr>
    </w:tblStylePr>
    <w:tblStylePr w:type="band1Horz">
      <w:tblPr/>
      <w:tcPr>
        <w:shd w:val="clear" w:color="auto" w:fill="48D9FF" w:themeFill="text1" w:themeFillTint="7F"/>
      </w:tcPr>
    </w:tblStylePr>
  </w:style>
  <w:style w:type="table" w:styleId="MediumGrid1-Accent1">
    <w:name w:val="Medium Grid 1 Accent 1"/>
    <w:basedOn w:val="TableNormal"/>
    <w:uiPriority w:val="99"/>
    <w:semiHidden/>
    <w:rsid w:val="00361DEB"/>
    <w:pPr>
      <w:spacing w:after="0"/>
    </w:pPr>
    <w:tblPr>
      <w:tblStyleRowBandSize w:val="1"/>
      <w:tblStyleColBandSize w:val="1"/>
      <w:tblInd w:w="0" w:type="dxa"/>
      <w:tbl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single" w:sz="8" w:space="0" w:color="00BBEB" w:themeColor="accent1" w:themeTint="BF"/>
        <w:insideV w:val="single" w:sz="8" w:space="0" w:color="00BBEB" w:themeColor="accent1" w:themeTint="BF"/>
      </w:tblBorders>
      <w:tblCellMar>
        <w:top w:w="0" w:type="dxa"/>
        <w:left w:w="108" w:type="dxa"/>
        <w:bottom w:w="0" w:type="dxa"/>
        <w:right w:w="108" w:type="dxa"/>
      </w:tblCellMar>
    </w:tblPr>
    <w:tcPr>
      <w:shd w:val="clear" w:color="auto" w:fill="A4ECFF" w:themeFill="accent1" w:themeFillTint="3F"/>
    </w:tcPr>
    <w:tblStylePr w:type="firstRow">
      <w:rPr>
        <w:b/>
        <w:bCs/>
      </w:rPr>
    </w:tblStylePr>
    <w:tblStylePr w:type="lastRow">
      <w:rPr>
        <w:b/>
        <w:bCs/>
      </w:rPr>
      <w:tblPr/>
      <w:tcPr>
        <w:tcBorders>
          <w:top w:val="single" w:sz="18" w:space="0" w:color="00BBEB" w:themeColor="accent1" w:themeTint="BF"/>
        </w:tcBorders>
      </w:tcPr>
    </w:tblStylePr>
    <w:tblStylePr w:type="firstCol">
      <w:rPr>
        <w:b/>
        <w:bCs/>
      </w:rPr>
    </w:tblStylePr>
    <w:tblStylePr w:type="lastCol">
      <w:rPr>
        <w:b/>
        <w:bCs/>
      </w:rPr>
    </w:tblStylePr>
    <w:tblStylePr w:type="band1Vert">
      <w:tblPr/>
      <w:tcPr>
        <w:shd w:val="clear" w:color="auto" w:fill="48D9FF" w:themeFill="accent1" w:themeFillTint="7F"/>
      </w:tcPr>
    </w:tblStylePr>
    <w:tblStylePr w:type="band1Horz">
      <w:tblPr/>
      <w:tcPr>
        <w:shd w:val="clear" w:color="auto" w:fill="48D9FF" w:themeFill="accent1" w:themeFillTint="7F"/>
      </w:tcPr>
    </w:tblStylePr>
  </w:style>
  <w:style w:type="table" w:styleId="MediumGrid1-Accent2">
    <w:name w:val="Medium Grid 1 Accent 2"/>
    <w:basedOn w:val="TableNormal"/>
    <w:uiPriority w:val="99"/>
    <w:semiHidden/>
    <w:rsid w:val="00361DEB"/>
    <w:pPr>
      <w:spacing w:after="0"/>
    </w:pPr>
    <w:tblPr>
      <w:tblStyleRowBandSize w:val="1"/>
      <w:tblStyleColBandSize w:val="1"/>
      <w:tblInd w:w="0" w:type="dxa"/>
      <w:tbl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single" w:sz="8" w:space="0" w:color="C8E5ED" w:themeColor="accent2" w:themeTint="BF"/>
        <w:insideV w:val="single" w:sz="8" w:space="0" w:color="C8E5ED" w:themeColor="accent2" w:themeTint="BF"/>
      </w:tblBorders>
      <w:tblCellMar>
        <w:top w:w="0" w:type="dxa"/>
        <w:left w:w="108" w:type="dxa"/>
        <w:bottom w:w="0" w:type="dxa"/>
        <w:right w:w="108" w:type="dxa"/>
      </w:tblCellMar>
    </w:tblPr>
    <w:tcPr>
      <w:shd w:val="clear" w:color="auto" w:fill="EDF6F9" w:themeFill="accent2" w:themeFillTint="3F"/>
    </w:tcPr>
    <w:tblStylePr w:type="firstRow">
      <w:rPr>
        <w:b/>
        <w:bCs/>
      </w:rPr>
    </w:tblStylePr>
    <w:tblStylePr w:type="lastRow">
      <w:rPr>
        <w:b/>
        <w:bCs/>
      </w:rPr>
      <w:tblPr/>
      <w:tcPr>
        <w:tcBorders>
          <w:top w:val="single" w:sz="18" w:space="0" w:color="C8E5ED" w:themeColor="accent2" w:themeTint="BF"/>
        </w:tcBorders>
      </w:tcPr>
    </w:tblStylePr>
    <w:tblStylePr w:type="firstCol">
      <w:rPr>
        <w:b/>
        <w:bCs/>
      </w:rPr>
    </w:tblStylePr>
    <w:tblStylePr w:type="lastCol">
      <w:rPr>
        <w:b/>
        <w:bCs/>
      </w:rPr>
    </w:tblStylePr>
    <w:tblStylePr w:type="band1Vert">
      <w:tblPr/>
      <w:tcPr>
        <w:shd w:val="clear" w:color="auto" w:fill="DBEEF3" w:themeFill="accent2" w:themeFillTint="7F"/>
      </w:tcPr>
    </w:tblStylePr>
    <w:tblStylePr w:type="band1Horz">
      <w:tblPr/>
      <w:tcPr>
        <w:shd w:val="clear" w:color="auto" w:fill="DBEEF3" w:themeFill="accent2" w:themeFillTint="7F"/>
      </w:tcPr>
    </w:tblStylePr>
  </w:style>
  <w:style w:type="table" w:styleId="MediumGrid1-Accent3">
    <w:name w:val="Medium Grid 1 Accent 3"/>
    <w:basedOn w:val="TableNormal"/>
    <w:uiPriority w:val="99"/>
    <w:semiHidden/>
    <w:rsid w:val="00361DEB"/>
    <w:pPr>
      <w:spacing w:after="0"/>
    </w:pPr>
    <w:tblPr>
      <w:tblStyleRowBandSize w:val="1"/>
      <w:tblStyleColBandSize w:val="1"/>
      <w:tblInd w:w="0" w:type="dxa"/>
      <w:tbl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single" w:sz="8" w:space="0" w:color="E4F2F6" w:themeColor="accent3" w:themeTint="BF"/>
        <w:insideV w:val="single" w:sz="8" w:space="0" w:color="E4F2F6" w:themeColor="accent3" w:themeTint="BF"/>
      </w:tblBorders>
      <w:tblCellMar>
        <w:top w:w="0" w:type="dxa"/>
        <w:left w:w="108" w:type="dxa"/>
        <w:bottom w:w="0" w:type="dxa"/>
        <w:right w:w="108" w:type="dxa"/>
      </w:tblCellMar>
    </w:tblPr>
    <w:tcPr>
      <w:shd w:val="clear" w:color="auto" w:fill="F6FAFC" w:themeFill="accent3" w:themeFillTint="3F"/>
    </w:tcPr>
    <w:tblStylePr w:type="firstRow">
      <w:rPr>
        <w:b/>
        <w:bCs/>
      </w:rPr>
    </w:tblStylePr>
    <w:tblStylePr w:type="lastRow">
      <w:rPr>
        <w:b/>
        <w:bCs/>
      </w:rPr>
      <w:tblPr/>
      <w:tcPr>
        <w:tcBorders>
          <w:top w:val="single" w:sz="18" w:space="0" w:color="E4F2F6" w:themeColor="accent3" w:themeTint="BF"/>
        </w:tcBorders>
      </w:tcPr>
    </w:tblStylePr>
    <w:tblStylePr w:type="firstCol">
      <w:rPr>
        <w:b/>
        <w:bCs/>
      </w:rPr>
    </w:tblStylePr>
    <w:tblStylePr w:type="lastCol">
      <w:rPr>
        <w:b/>
        <w:bCs/>
      </w:rPr>
    </w:tblStylePr>
    <w:tblStylePr w:type="band1Vert">
      <w:tblPr/>
      <w:tcPr>
        <w:shd w:val="clear" w:color="auto" w:fill="EDF6F9" w:themeFill="accent3" w:themeFillTint="7F"/>
      </w:tcPr>
    </w:tblStylePr>
    <w:tblStylePr w:type="band1Horz">
      <w:tblPr/>
      <w:tcPr>
        <w:shd w:val="clear" w:color="auto" w:fill="EDF6F9" w:themeFill="accent3" w:themeFillTint="7F"/>
      </w:tcPr>
    </w:tblStylePr>
  </w:style>
  <w:style w:type="table" w:styleId="MediumGrid1-Accent4">
    <w:name w:val="Medium Grid 1 Accent 4"/>
    <w:basedOn w:val="TableNormal"/>
    <w:uiPriority w:val="99"/>
    <w:semiHidden/>
    <w:rsid w:val="00361DEB"/>
    <w:pPr>
      <w:spacing w:after="0"/>
    </w:pPr>
    <w:tblPr>
      <w:tblStyleRowBandSize w:val="1"/>
      <w:tblStyleColBandSize w:val="1"/>
      <w:tblInd w:w="0" w:type="dxa"/>
      <w:tbl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single" w:sz="8" w:space="0" w:color="ADD9E4" w:themeColor="accent4" w:themeTint="BF"/>
        <w:insideV w:val="single" w:sz="8" w:space="0" w:color="ADD9E4" w:themeColor="accent4" w:themeTint="BF"/>
      </w:tblBorders>
      <w:tblCellMar>
        <w:top w:w="0" w:type="dxa"/>
        <w:left w:w="108" w:type="dxa"/>
        <w:bottom w:w="0" w:type="dxa"/>
        <w:right w:w="108" w:type="dxa"/>
      </w:tblCellMar>
    </w:tblPr>
    <w:tcPr>
      <w:shd w:val="clear" w:color="auto" w:fill="E4F2F6" w:themeFill="accent4" w:themeFillTint="3F"/>
    </w:tcPr>
    <w:tblStylePr w:type="firstRow">
      <w:rPr>
        <w:b/>
        <w:bCs/>
      </w:rPr>
    </w:tblStylePr>
    <w:tblStylePr w:type="lastRow">
      <w:rPr>
        <w:b/>
        <w:bCs/>
      </w:rPr>
      <w:tblPr/>
      <w:tcPr>
        <w:tcBorders>
          <w:top w:val="single" w:sz="18" w:space="0" w:color="ADD9E4" w:themeColor="accent4" w:themeTint="BF"/>
        </w:tcBorders>
      </w:tcPr>
    </w:tblStylePr>
    <w:tblStylePr w:type="firstCol">
      <w:rPr>
        <w:b/>
        <w:bCs/>
      </w:rPr>
    </w:tblStylePr>
    <w:tblStylePr w:type="lastCol">
      <w:rPr>
        <w:b/>
        <w:bCs/>
      </w:rPr>
    </w:tblStylePr>
    <w:tblStylePr w:type="band1Vert">
      <w:tblPr/>
      <w:tcPr>
        <w:shd w:val="clear" w:color="auto" w:fill="C8E5ED" w:themeFill="accent4" w:themeFillTint="7F"/>
      </w:tcPr>
    </w:tblStylePr>
    <w:tblStylePr w:type="band1Horz">
      <w:tblPr/>
      <w:tcPr>
        <w:shd w:val="clear" w:color="auto" w:fill="C8E5ED" w:themeFill="accent4" w:themeFillTint="7F"/>
      </w:tcPr>
    </w:tblStylePr>
  </w:style>
  <w:style w:type="table" w:styleId="MediumGrid1-Accent5">
    <w:name w:val="Medium Grid 1 Accent 5"/>
    <w:basedOn w:val="TableNormal"/>
    <w:uiPriority w:val="99"/>
    <w:semiHidden/>
    <w:rsid w:val="00361DEB"/>
    <w:pPr>
      <w:spacing w:after="0"/>
    </w:pPr>
    <w:tblPr>
      <w:tblStyleRowBandSize w:val="1"/>
      <w:tblStyleColBandSize w:val="1"/>
      <w:tblInd w:w="0" w:type="dxa"/>
      <w:tbl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single" w:sz="8" w:space="0" w:color="50AFC8" w:themeColor="accent5" w:themeTint="BF"/>
        <w:insideV w:val="single" w:sz="8" w:space="0" w:color="50AFC8" w:themeColor="accent5" w:themeTint="BF"/>
      </w:tblBorders>
      <w:tblCellMar>
        <w:top w:w="0" w:type="dxa"/>
        <w:left w:w="108" w:type="dxa"/>
        <w:bottom w:w="0" w:type="dxa"/>
        <w:right w:w="108" w:type="dxa"/>
      </w:tblCellMar>
    </w:tblPr>
    <w:tcPr>
      <w:shd w:val="clear" w:color="auto" w:fill="C5E4EC" w:themeFill="accent5" w:themeFillTint="3F"/>
    </w:tcPr>
    <w:tblStylePr w:type="firstRow">
      <w:rPr>
        <w:b/>
        <w:bCs/>
      </w:rPr>
    </w:tblStylePr>
    <w:tblStylePr w:type="lastRow">
      <w:rPr>
        <w:b/>
        <w:bCs/>
      </w:rPr>
      <w:tblPr/>
      <w:tcPr>
        <w:tcBorders>
          <w:top w:val="single" w:sz="18" w:space="0" w:color="50AFC8" w:themeColor="accent5" w:themeTint="BF"/>
        </w:tcBorders>
      </w:tcPr>
    </w:tblStylePr>
    <w:tblStylePr w:type="firstCol">
      <w:rPr>
        <w:b/>
        <w:bCs/>
      </w:rPr>
    </w:tblStylePr>
    <w:tblStylePr w:type="lastCol">
      <w:rPr>
        <w:b/>
        <w:bCs/>
      </w:rPr>
    </w:tblStylePr>
    <w:tblStylePr w:type="band1Vert">
      <w:tblPr/>
      <w:tcPr>
        <w:shd w:val="clear" w:color="auto" w:fill="8BC9DA" w:themeFill="accent5" w:themeFillTint="7F"/>
      </w:tcPr>
    </w:tblStylePr>
    <w:tblStylePr w:type="band1Horz">
      <w:tblPr/>
      <w:tcPr>
        <w:shd w:val="clear" w:color="auto" w:fill="8BC9DA" w:themeFill="accent5" w:themeFillTint="7F"/>
      </w:tcPr>
    </w:tblStylePr>
  </w:style>
  <w:style w:type="table" w:styleId="MediumGrid1-Accent6">
    <w:name w:val="Medium Grid 1 Accent 6"/>
    <w:basedOn w:val="TableNormal"/>
    <w:uiPriority w:val="99"/>
    <w:semiHidden/>
    <w:rsid w:val="00361DEB"/>
    <w:pPr>
      <w:spacing w:after="0"/>
    </w:pPr>
    <w:tblPr>
      <w:tblStyleRowBandSize w:val="1"/>
      <w:tblStyleColBandSize w:val="1"/>
      <w:tblInd w:w="0" w:type="dxa"/>
      <w:tbl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single" w:sz="8" w:space="0" w:color="8AC9DA" w:themeColor="accent6" w:themeTint="BF"/>
        <w:insideV w:val="single" w:sz="8" w:space="0" w:color="8AC9DA" w:themeColor="accent6" w:themeTint="BF"/>
      </w:tblBorders>
      <w:tblCellMar>
        <w:top w:w="0" w:type="dxa"/>
        <w:left w:w="108" w:type="dxa"/>
        <w:bottom w:w="0" w:type="dxa"/>
        <w:right w:w="108" w:type="dxa"/>
      </w:tblCellMar>
    </w:tblPr>
    <w:tcPr>
      <w:shd w:val="clear" w:color="auto" w:fill="D8EDF2" w:themeFill="accent6" w:themeFillTint="3F"/>
    </w:tcPr>
    <w:tblStylePr w:type="firstRow">
      <w:rPr>
        <w:b/>
        <w:bCs/>
      </w:rPr>
    </w:tblStylePr>
    <w:tblStylePr w:type="lastRow">
      <w:rPr>
        <w:b/>
        <w:bCs/>
      </w:rPr>
      <w:tblPr/>
      <w:tcPr>
        <w:tcBorders>
          <w:top w:val="single" w:sz="18" w:space="0" w:color="8AC9DA" w:themeColor="accent6" w:themeTint="BF"/>
        </w:tcBorders>
      </w:tcPr>
    </w:tblStylePr>
    <w:tblStylePr w:type="firstCol">
      <w:rPr>
        <w:b/>
        <w:bCs/>
      </w:rPr>
    </w:tblStylePr>
    <w:tblStylePr w:type="lastCol">
      <w:rPr>
        <w:b/>
        <w:bCs/>
      </w:rPr>
    </w:tblStylePr>
    <w:tblStylePr w:type="band1Vert">
      <w:tblPr/>
      <w:tcPr>
        <w:shd w:val="clear" w:color="auto" w:fill="B1DBE6" w:themeFill="accent6" w:themeFillTint="7F"/>
      </w:tcPr>
    </w:tblStylePr>
    <w:tblStylePr w:type="band1Horz">
      <w:tblPr/>
      <w:tcPr>
        <w:shd w:val="clear" w:color="auto" w:fill="B1DBE6" w:themeFill="accent6" w:themeFillTint="7F"/>
      </w:tcPr>
    </w:tblStylePr>
  </w:style>
  <w:style w:type="table" w:customStyle="1" w:styleId="MediumGrid21">
    <w:name w:val="Medium Grid 2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00728F" w:themeColor="text1"/>
        <w:left w:val="single" w:sz="8" w:space="0" w:color="00728F" w:themeColor="text1"/>
        <w:bottom w:val="single" w:sz="8" w:space="0" w:color="00728F" w:themeColor="text1"/>
        <w:right w:val="single" w:sz="8" w:space="0" w:color="00728F" w:themeColor="text1"/>
        <w:insideH w:val="single" w:sz="8" w:space="0" w:color="00728F" w:themeColor="text1"/>
        <w:insideV w:val="single" w:sz="8" w:space="0" w:color="00728F" w:themeColor="text1"/>
      </w:tblBorders>
      <w:tblCellMar>
        <w:top w:w="0" w:type="dxa"/>
        <w:left w:w="108" w:type="dxa"/>
        <w:bottom w:w="0" w:type="dxa"/>
        <w:right w:w="108" w:type="dxa"/>
      </w:tblCellMar>
    </w:tblPr>
    <w:tcPr>
      <w:shd w:val="clear" w:color="auto" w:fill="A4ECFF" w:themeFill="text1" w:themeFillTint="3F"/>
    </w:tcPr>
    <w:tblStylePr w:type="firstRow">
      <w:rPr>
        <w:b/>
        <w:bCs/>
        <w:color w:val="00728F" w:themeColor="text1"/>
      </w:rPr>
      <w:tblPr/>
      <w:tcPr>
        <w:shd w:val="clear" w:color="auto" w:fill="DBF7FF" w:themeFill="text1"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B5EFFF" w:themeFill="text1" w:themeFillTint="33"/>
      </w:tcPr>
    </w:tblStylePr>
    <w:tblStylePr w:type="band1Vert">
      <w:tblPr/>
      <w:tcPr>
        <w:shd w:val="clear" w:color="auto" w:fill="48D9FF" w:themeFill="text1" w:themeFillTint="7F"/>
      </w:tcPr>
    </w:tblStylePr>
    <w:tblStylePr w:type="band1Horz">
      <w:tblPr/>
      <w:tcPr>
        <w:tcBorders>
          <w:insideH w:val="single" w:sz="6" w:space="0" w:color="00728F" w:themeColor="text1"/>
          <w:insideV w:val="single" w:sz="6" w:space="0" w:color="00728F" w:themeColor="text1"/>
        </w:tcBorders>
        <w:shd w:val="clear" w:color="auto" w:fill="48D9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00728F" w:themeColor="accent1"/>
        <w:left w:val="single" w:sz="8" w:space="0" w:color="00728F" w:themeColor="accent1"/>
        <w:bottom w:val="single" w:sz="8" w:space="0" w:color="00728F" w:themeColor="accent1"/>
        <w:right w:val="single" w:sz="8" w:space="0" w:color="00728F" w:themeColor="accent1"/>
        <w:insideH w:val="single" w:sz="8" w:space="0" w:color="00728F" w:themeColor="accent1"/>
        <w:insideV w:val="single" w:sz="8" w:space="0" w:color="00728F" w:themeColor="accent1"/>
      </w:tblBorders>
      <w:tblCellMar>
        <w:top w:w="0" w:type="dxa"/>
        <w:left w:w="108" w:type="dxa"/>
        <w:bottom w:w="0" w:type="dxa"/>
        <w:right w:w="108" w:type="dxa"/>
      </w:tblCellMar>
    </w:tblPr>
    <w:tcPr>
      <w:shd w:val="clear" w:color="auto" w:fill="A4ECFF" w:themeFill="accent1" w:themeFillTint="3F"/>
    </w:tcPr>
    <w:tblStylePr w:type="firstRow">
      <w:rPr>
        <w:b/>
        <w:bCs/>
        <w:color w:val="00728F" w:themeColor="text1"/>
      </w:rPr>
      <w:tblPr/>
      <w:tcPr>
        <w:shd w:val="clear" w:color="auto" w:fill="DBF7FF" w:themeFill="accent1"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B5EFFF" w:themeFill="accent1" w:themeFillTint="33"/>
      </w:tcPr>
    </w:tblStylePr>
    <w:tblStylePr w:type="band1Vert">
      <w:tblPr/>
      <w:tcPr>
        <w:shd w:val="clear" w:color="auto" w:fill="48D9FF" w:themeFill="accent1" w:themeFillTint="7F"/>
      </w:tcPr>
    </w:tblStylePr>
    <w:tblStylePr w:type="band1Horz">
      <w:tblPr/>
      <w:tcPr>
        <w:tcBorders>
          <w:insideH w:val="single" w:sz="6" w:space="0" w:color="00728F" w:themeColor="accent1"/>
          <w:insideV w:val="single" w:sz="6" w:space="0" w:color="00728F" w:themeColor="accent1"/>
        </w:tcBorders>
        <w:shd w:val="clear" w:color="auto" w:fill="48D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B7DDE8" w:themeColor="accent2"/>
        <w:left w:val="single" w:sz="8" w:space="0" w:color="B7DDE8" w:themeColor="accent2"/>
        <w:bottom w:val="single" w:sz="8" w:space="0" w:color="B7DDE8" w:themeColor="accent2"/>
        <w:right w:val="single" w:sz="8" w:space="0" w:color="B7DDE8" w:themeColor="accent2"/>
        <w:insideH w:val="single" w:sz="8" w:space="0" w:color="B7DDE8" w:themeColor="accent2"/>
        <w:insideV w:val="single" w:sz="8" w:space="0" w:color="B7DDE8" w:themeColor="accent2"/>
      </w:tblBorders>
      <w:tblCellMar>
        <w:top w:w="0" w:type="dxa"/>
        <w:left w:w="108" w:type="dxa"/>
        <w:bottom w:w="0" w:type="dxa"/>
        <w:right w:w="108" w:type="dxa"/>
      </w:tblCellMar>
    </w:tblPr>
    <w:tcPr>
      <w:shd w:val="clear" w:color="auto" w:fill="EDF6F9" w:themeFill="accent2" w:themeFillTint="3F"/>
    </w:tcPr>
    <w:tblStylePr w:type="firstRow">
      <w:rPr>
        <w:b/>
        <w:bCs/>
        <w:color w:val="00728F" w:themeColor="text1"/>
      </w:rPr>
      <w:tblPr/>
      <w:tcPr>
        <w:shd w:val="clear" w:color="auto" w:fill="F7FBFC" w:themeFill="accent2"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F0F8FA" w:themeFill="accent2" w:themeFillTint="33"/>
      </w:tcPr>
    </w:tblStylePr>
    <w:tblStylePr w:type="band1Vert">
      <w:tblPr/>
      <w:tcPr>
        <w:shd w:val="clear" w:color="auto" w:fill="DBEEF3" w:themeFill="accent2" w:themeFillTint="7F"/>
      </w:tcPr>
    </w:tblStylePr>
    <w:tblStylePr w:type="band1Horz">
      <w:tblPr/>
      <w:tcPr>
        <w:tcBorders>
          <w:insideH w:val="single" w:sz="6" w:space="0" w:color="B7DDE8" w:themeColor="accent2"/>
          <w:insideV w:val="single" w:sz="6" w:space="0" w:color="B7DDE8" w:themeColor="accent2"/>
        </w:tcBorders>
        <w:shd w:val="clear" w:color="auto" w:fill="DBEEF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DBEEF3" w:themeColor="accent3"/>
        <w:left w:val="single" w:sz="8" w:space="0" w:color="DBEEF3" w:themeColor="accent3"/>
        <w:bottom w:val="single" w:sz="8" w:space="0" w:color="DBEEF3" w:themeColor="accent3"/>
        <w:right w:val="single" w:sz="8" w:space="0" w:color="DBEEF3" w:themeColor="accent3"/>
        <w:insideH w:val="single" w:sz="8" w:space="0" w:color="DBEEF3" w:themeColor="accent3"/>
        <w:insideV w:val="single" w:sz="8" w:space="0" w:color="DBEEF3" w:themeColor="accent3"/>
      </w:tblBorders>
      <w:tblCellMar>
        <w:top w:w="0" w:type="dxa"/>
        <w:left w:w="108" w:type="dxa"/>
        <w:bottom w:w="0" w:type="dxa"/>
        <w:right w:w="108" w:type="dxa"/>
      </w:tblCellMar>
    </w:tblPr>
    <w:tcPr>
      <w:shd w:val="clear" w:color="auto" w:fill="F6FAFC" w:themeFill="accent3" w:themeFillTint="3F"/>
    </w:tcPr>
    <w:tblStylePr w:type="firstRow">
      <w:rPr>
        <w:b/>
        <w:bCs/>
        <w:color w:val="00728F" w:themeColor="text1"/>
      </w:rPr>
      <w:tblPr/>
      <w:tcPr>
        <w:shd w:val="clear" w:color="auto" w:fill="FBFDFD" w:themeFill="accent3"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F7FBFC" w:themeFill="accent3" w:themeFillTint="33"/>
      </w:tcPr>
    </w:tblStylePr>
    <w:tblStylePr w:type="band1Vert">
      <w:tblPr/>
      <w:tcPr>
        <w:shd w:val="clear" w:color="auto" w:fill="EDF6F9" w:themeFill="accent3" w:themeFillTint="7F"/>
      </w:tcPr>
    </w:tblStylePr>
    <w:tblStylePr w:type="band1Horz">
      <w:tblPr/>
      <w:tcPr>
        <w:tcBorders>
          <w:insideH w:val="single" w:sz="6" w:space="0" w:color="DBEEF3" w:themeColor="accent3"/>
          <w:insideV w:val="single" w:sz="6" w:space="0" w:color="DBEEF3" w:themeColor="accent3"/>
        </w:tcBorders>
        <w:shd w:val="clear" w:color="auto" w:fill="EDF6F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92CDDC" w:themeColor="accent4"/>
        <w:left w:val="single" w:sz="8" w:space="0" w:color="92CDDC" w:themeColor="accent4"/>
        <w:bottom w:val="single" w:sz="8" w:space="0" w:color="92CDDC" w:themeColor="accent4"/>
        <w:right w:val="single" w:sz="8" w:space="0" w:color="92CDDC" w:themeColor="accent4"/>
        <w:insideH w:val="single" w:sz="8" w:space="0" w:color="92CDDC" w:themeColor="accent4"/>
        <w:insideV w:val="single" w:sz="8" w:space="0" w:color="92CDDC" w:themeColor="accent4"/>
      </w:tblBorders>
      <w:tblCellMar>
        <w:top w:w="0" w:type="dxa"/>
        <w:left w:w="108" w:type="dxa"/>
        <w:bottom w:w="0" w:type="dxa"/>
        <w:right w:w="108" w:type="dxa"/>
      </w:tblCellMar>
    </w:tblPr>
    <w:tcPr>
      <w:shd w:val="clear" w:color="auto" w:fill="E4F2F6" w:themeFill="accent4" w:themeFillTint="3F"/>
    </w:tcPr>
    <w:tblStylePr w:type="firstRow">
      <w:rPr>
        <w:b/>
        <w:bCs/>
        <w:color w:val="00728F" w:themeColor="text1"/>
      </w:rPr>
      <w:tblPr/>
      <w:tcPr>
        <w:shd w:val="clear" w:color="auto" w:fill="F4FAFB" w:themeFill="accent4"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E9F4F8" w:themeFill="accent4" w:themeFillTint="33"/>
      </w:tcPr>
    </w:tblStylePr>
    <w:tblStylePr w:type="band1Vert">
      <w:tblPr/>
      <w:tcPr>
        <w:shd w:val="clear" w:color="auto" w:fill="C8E5ED" w:themeFill="accent4" w:themeFillTint="7F"/>
      </w:tcPr>
    </w:tblStylePr>
    <w:tblStylePr w:type="band1Horz">
      <w:tblPr/>
      <w:tcPr>
        <w:tcBorders>
          <w:insideH w:val="single" w:sz="6" w:space="0" w:color="92CDDC" w:themeColor="accent4"/>
          <w:insideV w:val="single" w:sz="6" w:space="0" w:color="92CDDC" w:themeColor="accent4"/>
        </w:tcBorders>
        <w:shd w:val="clear" w:color="auto" w:fill="C8E5E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31859B" w:themeColor="accent5"/>
        <w:left w:val="single" w:sz="8" w:space="0" w:color="31859B" w:themeColor="accent5"/>
        <w:bottom w:val="single" w:sz="8" w:space="0" w:color="31859B" w:themeColor="accent5"/>
        <w:right w:val="single" w:sz="8" w:space="0" w:color="31859B" w:themeColor="accent5"/>
        <w:insideH w:val="single" w:sz="8" w:space="0" w:color="31859B" w:themeColor="accent5"/>
        <w:insideV w:val="single" w:sz="8" w:space="0" w:color="31859B" w:themeColor="accent5"/>
      </w:tblBorders>
      <w:tblCellMar>
        <w:top w:w="0" w:type="dxa"/>
        <w:left w:w="108" w:type="dxa"/>
        <w:bottom w:w="0" w:type="dxa"/>
        <w:right w:w="108" w:type="dxa"/>
      </w:tblCellMar>
    </w:tblPr>
    <w:tcPr>
      <w:shd w:val="clear" w:color="auto" w:fill="C5E4EC" w:themeFill="accent5" w:themeFillTint="3F"/>
    </w:tcPr>
    <w:tblStylePr w:type="firstRow">
      <w:rPr>
        <w:b/>
        <w:bCs/>
        <w:color w:val="00728F" w:themeColor="text1"/>
      </w:rPr>
      <w:tblPr/>
      <w:tcPr>
        <w:shd w:val="clear" w:color="auto" w:fill="E8F4F7" w:themeFill="accent5"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D0E9F0" w:themeFill="accent5" w:themeFillTint="33"/>
      </w:tcPr>
    </w:tblStylePr>
    <w:tblStylePr w:type="band1Vert">
      <w:tblPr/>
      <w:tcPr>
        <w:shd w:val="clear" w:color="auto" w:fill="8BC9DA" w:themeFill="accent5" w:themeFillTint="7F"/>
      </w:tcPr>
    </w:tblStylePr>
    <w:tblStylePr w:type="band1Horz">
      <w:tblPr/>
      <w:tcPr>
        <w:tcBorders>
          <w:insideH w:val="single" w:sz="6" w:space="0" w:color="31859B" w:themeColor="accent5"/>
          <w:insideV w:val="single" w:sz="6" w:space="0" w:color="31859B" w:themeColor="accent5"/>
        </w:tcBorders>
        <w:shd w:val="clear" w:color="auto" w:fill="8BC9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64B8CE" w:themeColor="accent6"/>
        <w:left w:val="single" w:sz="8" w:space="0" w:color="64B8CE" w:themeColor="accent6"/>
        <w:bottom w:val="single" w:sz="8" w:space="0" w:color="64B8CE" w:themeColor="accent6"/>
        <w:right w:val="single" w:sz="8" w:space="0" w:color="64B8CE" w:themeColor="accent6"/>
        <w:insideH w:val="single" w:sz="8" w:space="0" w:color="64B8CE" w:themeColor="accent6"/>
        <w:insideV w:val="single" w:sz="8" w:space="0" w:color="64B8CE" w:themeColor="accent6"/>
      </w:tblBorders>
      <w:tblCellMar>
        <w:top w:w="0" w:type="dxa"/>
        <w:left w:w="108" w:type="dxa"/>
        <w:bottom w:w="0" w:type="dxa"/>
        <w:right w:w="108" w:type="dxa"/>
      </w:tblCellMar>
    </w:tblPr>
    <w:tcPr>
      <w:shd w:val="clear" w:color="auto" w:fill="D8EDF2" w:themeFill="accent6" w:themeFillTint="3F"/>
    </w:tcPr>
    <w:tblStylePr w:type="firstRow">
      <w:rPr>
        <w:b/>
        <w:bCs/>
        <w:color w:val="00728F" w:themeColor="text1"/>
      </w:rPr>
      <w:tblPr/>
      <w:tcPr>
        <w:shd w:val="clear" w:color="auto" w:fill="EFF8FA" w:themeFill="accent6"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DFF0F5" w:themeFill="accent6" w:themeFillTint="33"/>
      </w:tcPr>
    </w:tblStylePr>
    <w:tblStylePr w:type="band1Vert">
      <w:tblPr/>
      <w:tcPr>
        <w:shd w:val="clear" w:color="auto" w:fill="B1DBE6" w:themeFill="accent6" w:themeFillTint="7F"/>
      </w:tcPr>
    </w:tblStylePr>
    <w:tblStylePr w:type="band1Horz">
      <w:tblPr/>
      <w:tcPr>
        <w:tcBorders>
          <w:insideH w:val="single" w:sz="6" w:space="0" w:color="64B8CE" w:themeColor="accent6"/>
          <w:insideV w:val="single" w:sz="6" w:space="0" w:color="64B8CE" w:themeColor="accent6"/>
        </w:tcBorders>
        <w:shd w:val="clear" w:color="auto" w:fill="B1DBE6"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361DE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4EC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8F"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8F"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8F"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8F"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9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9FF" w:themeFill="text1" w:themeFillTint="7F"/>
      </w:tcPr>
    </w:tblStylePr>
  </w:style>
  <w:style w:type="table" w:styleId="MediumGrid3-Accent1">
    <w:name w:val="Medium Grid 3 Accent 1"/>
    <w:basedOn w:val="TableNormal"/>
    <w:uiPriority w:val="99"/>
    <w:semiHidden/>
    <w:rsid w:val="00361DE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4E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9FF" w:themeFill="accent1" w:themeFillTint="7F"/>
      </w:tcPr>
    </w:tblStylePr>
  </w:style>
  <w:style w:type="table" w:styleId="MediumGrid3-Accent2">
    <w:name w:val="Medium Grid 3 Accent 2"/>
    <w:basedOn w:val="TableNormal"/>
    <w:uiPriority w:val="99"/>
    <w:semiHidden/>
    <w:rsid w:val="00361DE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DF6F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DDE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DDE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DDE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DDE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EEF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EEF3" w:themeFill="accent2" w:themeFillTint="7F"/>
      </w:tcPr>
    </w:tblStylePr>
  </w:style>
  <w:style w:type="table" w:styleId="MediumGrid3-Accent3">
    <w:name w:val="Medium Grid 3 Accent 3"/>
    <w:basedOn w:val="TableNormal"/>
    <w:uiPriority w:val="99"/>
    <w:semiHidden/>
    <w:rsid w:val="00361DE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FA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EEF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EEF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EEF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EEF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F6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F6F9" w:themeFill="accent3" w:themeFillTint="7F"/>
      </w:tcPr>
    </w:tblStylePr>
  </w:style>
  <w:style w:type="table" w:styleId="MediumGrid3-Accent4">
    <w:name w:val="Medium Grid 3 Accent 4"/>
    <w:basedOn w:val="TableNormal"/>
    <w:uiPriority w:val="99"/>
    <w:semiHidden/>
    <w:rsid w:val="00361DE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4F2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CDD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CDD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CDD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CDD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5E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5ED" w:themeFill="accent4" w:themeFillTint="7F"/>
      </w:tcPr>
    </w:tblStylePr>
  </w:style>
  <w:style w:type="table" w:styleId="MediumGrid3-Accent5">
    <w:name w:val="Medium Grid 3 Accent 5"/>
    <w:basedOn w:val="TableNormal"/>
    <w:uiPriority w:val="99"/>
    <w:semiHidden/>
    <w:rsid w:val="00361DE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5E4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859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859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859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859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C9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C9DA" w:themeFill="accent5" w:themeFillTint="7F"/>
      </w:tcPr>
    </w:tblStylePr>
  </w:style>
  <w:style w:type="table" w:styleId="MediumGrid3-Accent6">
    <w:name w:val="Medium Grid 3 Accent 6"/>
    <w:basedOn w:val="TableNormal"/>
    <w:uiPriority w:val="99"/>
    <w:semiHidden/>
    <w:rsid w:val="00361DE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8EDF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B8C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B8C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B8C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B8C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BE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BE6" w:themeFill="accent6" w:themeFillTint="7F"/>
      </w:tcPr>
    </w:tblStylePr>
  </w:style>
  <w:style w:type="table" w:customStyle="1" w:styleId="MediumList11">
    <w:name w:val="Medium List 11"/>
    <w:basedOn w:val="TableNormal"/>
    <w:uiPriority w:val="99"/>
    <w:semiHidden/>
    <w:rsid w:val="00361DEB"/>
    <w:pPr>
      <w:spacing w:after="0"/>
    </w:pPr>
    <w:rPr>
      <w:color w:val="00728F" w:themeColor="text1"/>
    </w:rPr>
    <w:tblPr>
      <w:tblStyleRowBandSize w:val="1"/>
      <w:tblStyleColBandSize w:val="1"/>
      <w:tblInd w:w="0" w:type="dxa"/>
      <w:tblBorders>
        <w:top w:val="single" w:sz="8" w:space="0" w:color="00728F" w:themeColor="text1"/>
        <w:bottom w:val="single" w:sz="8" w:space="0" w:color="00728F"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8F" w:themeColor="text1"/>
        </w:tcBorders>
      </w:tcPr>
    </w:tblStylePr>
    <w:tblStylePr w:type="lastRow">
      <w:rPr>
        <w:b/>
        <w:bCs/>
        <w:color w:val="B7DDE8" w:themeColor="text2"/>
      </w:rPr>
      <w:tblPr/>
      <w:tcPr>
        <w:tcBorders>
          <w:top w:val="single" w:sz="8" w:space="0" w:color="00728F" w:themeColor="text1"/>
          <w:bottom w:val="single" w:sz="8" w:space="0" w:color="00728F" w:themeColor="text1"/>
        </w:tcBorders>
      </w:tcPr>
    </w:tblStylePr>
    <w:tblStylePr w:type="firstCol">
      <w:rPr>
        <w:b/>
        <w:bCs/>
      </w:rPr>
    </w:tblStylePr>
    <w:tblStylePr w:type="lastCol">
      <w:rPr>
        <w:b/>
        <w:bCs/>
      </w:rPr>
      <w:tblPr/>
      <w:tcPr>
        <w:tcBorders>
          <w:top w:val="single" w:sz="8" w:space="0" w:color="00728F" w:themeColor="text1"/>
          <w:bottom w:val="single" w:sz="8" w:space="0" w:color="00728F" w:themeColor="text1"/>
        </w:tcBorders>
      </w:tcPr>
    </w:tblStylePr>
    <w:tblStylePr w:type="band1Vert">
      <w:tblPr/>
      <w:tcPr>
        <w:shd w:val="clear" w:color="auto" w:fill="A4ECFF" w:themeFill="text1" w:themeFillTint="3F"/>
      </w:tcPr>
    </w:tblStylePr>
    <w:tblStylePr w:type="band1Horz">
      <w:tblPr/>
      <w:tcPr>
        <w:shd w:val="clear" w:color="auto" w:fill="A4ECFF" w:themeFill="text1" w:themeFillTint="3F"/>
      </w:tcPr>
    </w:tblStylePr>
  </w:style>
  <w:style w:type="table" w:customStyle="1" w:styleId="MediumList1-Accent11">
    <w:name w:val="Medium List 1 - Accent 11"/>
    <w:basedOn w:val="TableNormal"/>
    <w:uiPriority w:val="99"/>
    <w:semiHidden/>
    <w:rsid w:val="00361DEB"/>
    <w:pPr>
      <w:spacing w:after="0"/>
    </w:pPr>
    <w:rPr>
      <w:color w:val="00728F" w:themeColor="text1"/>
    </w:rPr>
    <w:tblPr>
      <w:tblStyleRowBandSize w:val="1"/>
      <w:tblStyleColBandSize w:val="1"/>
      <w:tblInd w:w="0" w:type="dxa"/>
      <w:tblBorders>
        <w:top w:val="single" w:sz="8" w:space="0" w:color="00728F" w:themeColor="accent1"/>
        <w:bottom w:val="single" w:sz="8" w:space="0" w:color="00728F"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8F" w:themeColor="accent1"/>
        </w:tcBorders>
      </w:tcPr>
    </w:tblStylePr>
    <w:tblStylePr w:type="lastRow">
      <w:rPr>
        <w:b/>
        <w:bCs/>
        <w:color w:val="B7DDE8" w:themeColor="text2"/>
      </w:rPr>
      <w:tblPr/>
      <w:tcPr>
        <w:tcBorders>
          <w:top w:val="single" w:sz="8" w:space="0" w:color="00728F" w:themeColor="accent1"/>
          <w:bottom w:val="single" w:sz="8" w:space="0" w:color="00728F" w:themeColor="accent1"/>
        </w:tcBorders>
      </w:tcPr>
    </w:tblStylePr>
    <w:tblStylePr w:type="firstCol">
      <w:rPr>
        <w:b/>
        <w:bCs/>
      </w:rPr>
    </w:tblStylePr>
    <w:tblStylePr w:type="lastCol">
      <w:rPr>
        <w:b/>
        <w:bCs/>
      </w:rPr>
      <w:tblPr/>
      <w:tcPr>
        <w:tcBorders>
          <w:top w:val="single" w:sz="8" w:space="0" w:color="00728F" w:themeColor="accent1"/>
          <w:bottom w:val="single" w:sz="8" w:space="0" w:color="00728F" w:themeColor="accent1"/>
        </w:tcBorders>
      </w:tcPr>
    </w:tblStylePr>
    <w:tblStylePr w:type="band1Vert">
      <w:tblPr/>
      <w:tcPr>
        <w:shd w:val="clear" w:color="auto" w:fill="A4ECFF" w:themeFill="accent1" w:themeFillTint="3F"/>
      </w:tcPr>
    </w:tblStylePr>
    <w:tblStylePr w:type="band1Horz">
      <w:tblPr/>
      <w:tcPr>
        <w:shd w:val="clear" w:color="auto" w:fill="A4ECFF" w:themeFill="accent1" w:themeFillTint="3F"/>
      </w:tcPr>
    </w:tblStylePr>
  </w:style>
  <w:style w:type="table" w:styleId="MediumList1-Accent2">
    <w:name w:val="Medium List 1 Accent 2"/>
    <w:basedOn w:val="TableNormal"/>
    <w:uiPriority w:val="99"/>
    <w:semiHidden/>
    <w:rsid w:val="00361DEB"/>
    <w:pPr>
      <w:spacing w:after="0"/>
    </w:pPr>
    <w:rPr>
      <w:color w:val="00728F" w:themeColor="text1"/>
    </w:rPr>
    <w:tblPr>
      <w:tblStyleRowBandSize w:val="1"/>
      <w:tblStyleColBandSize w:val="1"/>
      <w:tblInd w:w="0" w:type="dxa"/>
      <w:tblBorders>
        <w:top w:val="single" w:sz="8" w:space="0" w:color="B7DDE8" w:themeColor="accent2"/>
        <w:bottom w:val="single" w:sz="8" w:space="0" w:color="B7DDE8"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7DDE8" w:themeColor="accent2"/>
        </w:tcBorders>
      </w:tcPr>
    </w:tblStylePr>
    <w:tblStylePr w:type="lastRow">
      <w:rPr>
        <w:b/>
        <w:bCs/>
        <w:color w:val="B7DDE8" w:themeColor="text2"/>
      </w:rPr>
      <w:tblPr/>
      <w:tcPr>
        <w:tcBorders>
          <w:top w:val="single" w:sz="8" w:space="0" w:color="B7DDE8" w:themeColor="accent2"/>
          <w:bottom w:val="single" w:sz="8" w:space="0" w:color="B7DDE8" w:themeColor="accent2"/>
        </w:tcBorders>
      </w:tcPr>
    </w:tblStylePr>
    <w:tblStylePr w:type="firstCol">
      <w:rPr>
        <w:b/>
        <w:bCs/>
      </w:rPr>
    </w:tblStylePr>
    <w:tblStylePr w:type="lastCol">
      <w:rPr>
        <w:b/>
        <w:bCs/>
      </w:rPr>
      <w:tblPr/>
      <w:tcPr>
        <w:tcBorders>
          <w:top w:val="single" w:sz="8" w:space="0" w:color="B7DDE8" w:themeColor="accent2"/>
          <w:bottom w:val="single" w:sz="8" w:space="0" w:color="B7DDE8" w:themeColor="accent2"/>
        </w:tcBorders>
      </w:tcPr>
    </w:tblStylePr>
    <w:tblStylePr w:type="band1Vert">
      <w:tblPr/>
      <w:tcPr>
        <w:shd w:val="clear" w:color="auto" w:fill="EDF6F9" w:themeFill="accent2" w:themeFillTint="3F"/>
      </w:tcPr>
    </w:tblStylePr>
    <w:tblStylePr w:type="band1Horz">
      <w:tblPr/>
      <w:tcPr>
        <w:shd w:val="clear" w:color="auto" w:fill="EDF6F9" w:themeFill="accent2" w:themeFillTint="3F"/>
      </w:tcPr>
    </w:tblStylePr>
  </w:style>
  <w:style w:type="table" w:styleId="MediumList1-Accent3">
    <w:name w:val="Medium List 1 Accent 3"/>
    <w:basedOn w:val="TableNormal"/>
    <w:uiPriority w:val="99"/>
    <w:semiHidden/>
    <w:rsid w:val="00361DEB"/>
    <w:pPr>
      <w:spacing w:after="0"/>
    </w:pPr>
    <w:rPr>
      <w:color w:val="00728F" w:themeColor="text1"/>
    </w:rPr>
    <w:tblPr>
      <w:tblStyleRowBandSize w:val="1"/>
      <w:tblStyleColBandSize w:val="1"/>
      <w:tblInd w:w="0" w:type="dxa"/>
      <w:tblBorders>
        <w:top w:val="single" w:sz="8" w:space="0" w:color="DBEEF3" w:themeColor="accent3"/>
        <w:bottom w:val="single" w:sz="8" w:space="0" w:color="DBEEF3"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BEEF3" w:themeColor="accent3"/>
        </w:tcBorders>
      </w:tcPr>
    </w:tblStylePr>
    <w:tblStylePr w:type="lastRow">
      <w:rPr>
        <w:b/>
        <w:bCs/>
        <w:color w:val="B7DDE8" w:themeColor="text2"/>
      </w:rPr>
      <w:tblPr/>
      <w:tcPr>
        <w:tcBorders>
          <w:top w:val="single" w:sz="8" w:space="0" w:color="DBEEF3" w:themeColor="accent3"/>
          <w:bottom w:val="single" w:sz="8" w:space="0" w:color="DBEEF3" w:themeColor="accent3"/>
        </w:tcBorders>
      </w:tcPr>
    </w:tblStylePr>
    <w:tblStylePr w:type="firstCol">
      <w:rPr>
        <w:b/>
        <w:bCs/>
      </w:rPr>
    </w:tblStylePr>
    <w:tblStylePr w:type="lastCol">
      <w:rPr>
        <w:b/>
        <w:bCs/>
      </w:rPr>
      <w:tblPr/>
      <w:tcPr>
        <w:tcBorders>
          <w:top w:val="single" w:sz="8" w:space="0" w:color="DBEEF3" w:themeColor="accent3"/>
          <w:bottom w:val="single" w:sz="8" w:space="0" w:color="DBEEF3" w:themeColor="accent3"/>
        </w:tcBorders>
      </w:tcPr>
    </w:tblStylePr>
    <w:tblStylePr w:type="band1Vert">
      <w:tblPr/>
      <w:tcPr>
        <w:shd w:val="clear" w:color="auto" w:fill="F6FAFC" w:themeFill="accent3" w:themeFillTint="3F"/>
      </w:tcPr>
    </w:tblStylePr>
    <w:tblStylePr w:type="band1Horz">
      <w:tblPr/>
      <w:tcPr>
        <w:shd w:val="clear" w:color="auto" w:fill="F6FAFC" w:themeFill="accent3" w:themeFillTint="3F"/>
      </w:tcPr>
    </w:tblStylePr>
  </w:style>
  <w:style w:type="table" w:styleId="MediumList1-Accent4">
    <w:name w:val="Medium List 1 Accent 4"/>
    <w:basedOn w:val="TableNormal"/>
    <w:uiPriority w:val="99"/>
    <w:semiHidden/>
    <w:rsid w:val="00361DEB"/>
    <w:pPr>
      <w:spacing w:after="0"/>
    </w:pPr>
    <w:rPr>
      <w:color w:val="00728F" w:themeColor="text1"/>
    </w:rPr>
    <w:tblPr>
      <w:tblStyleRowBandSize w:val="1"/>
      <w:tblStyleColBandSize w:val="1"/>
      <w:tblInd w:w="0" w:type="dxa"/>
      <w:tblBorders>
        <w:top w:val="single" w:sz="8" w:space="0" w:color="92CDDC" w:themeColor="accent4"/>
        <w:bottom w:val="single" w:sz="8" w:space="0" w:color="92CDDC"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2CDDC" w:themeColor="accent4"/>
        </w:tcBorders>
      </w:tcPr>
    </w:tblStylePr>
    <w:tblStylePr w:type="lastRow">
      <w:rPr>
        <w:b/>
        <w:bCs/>
        <w:color w:val="B7DDE8" w:themeColor="text2"/>
      </w:rPr>
      <w:tblPr/>
      <w:tcPr>
        <w:tcBorders>
          <w:top w:val="single" w:sz="8" w:space="0" w:color="92CDDC" w:themeColor="accent4"/>
          <w:bottom w:val="single" w:sz="8" w:space="0" w:color="92CDDC" w:themeColor="accent4"/>
        </w:tcBorders>
      </w:tcPr>
    </w:tblStylePr>
    <w:tblStylePr w:type="firstCol">
      <w:rPr>
        <w:b/>
        <w:bCs/>
      </w:rPr>
    </w:tblStylePr>
    <w:tblStylePr w:type="lastCol">
      <w:rPr>
        <w:b/>
        <w:bCs/>
      </w:rPr>
      <w:tblPr/>
      <w:tcPr>
        <w:tcBorders>
          <w:top w:val="single" w:sz="8" w:space="0" w:color="92CDDC" w:themeColor="accent4"/>
          <w:bottom w:val="single" w:sz="8" w:space="0" w:color="92CDDC" w:themeColor="accent4"/>
        </w:tcBorders>
      </w:tcPr>
    </w:tblStylePr>
    <w:tblStylePr w:type="band1Vert">
      <w:tblPr/>
      <w:tcPr>
        <w:shd w:val="clear" w:color="auto" w:fill="E4F2F6" w:themeFill="accent4" w:themeFillTint="3F"/>
      </w:tcPr>
    </w:tblStylePr>
    <w:tblStylePr w:type="band1Horz">
      <w:tblPr/>
      <w:tcPr>
        <w:shd w:val="clear" w:color="auto" w:fill="E4F2F6" w:themeFill="accent4" w:themeFillTint="3F"/>
      </w:tcPr>
    </w:tblStylePr>
  </w:style>
  <w:style w:type="table" w:styleId="MediumList1-Accent5">
    <w:name w:val="Medium List 1 Accent 5"/>
    <w:basedOn w:val="TableNormal"/>
    <w:uiPriority w:val="99"/>
    <w:semiHidden/>
    <w:rsid w:val="00361DEB"/>
    <w:pPr>
      <w:spacing w:after="0"/>
    </w:pPr>
    <w:rPr>
      <w:color w:val="00728F" w:themeColor="text1"/>
    </w:rPr>
    <w:tblPr>
      <w:tblStyleRowBandSize w:val="1"/>
      <w:tblStyleColBandSize w:val="1"/>
      <w:tblInd w:w="0" w:type="dxa"/>
      <w:tblBorders>
        <w:top w:val="single" w:sz="8" w:space="0" w:color="31859B" w:themeColor="accent5"/>
        <w:bottom w:val="single" w:sz="8" w:space="0" w:color="31859B"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1859B" w:themeColor="accent5"/>
        </w:tcBorders>
      </w:tcPr>
    </w:tblStylePr>
    <w:tblStylePr w:type="lastRow">
      <w:rPr>
        <w:b/>
        <w:bCs/>
        <w:color w:val="B7DDE8" w:themeColor="text2"/>
      </w:rPr>
      <w:tblPr/>
      <w:tcPr>
        <w:tcBorders>
          <w:top w:val="single" w:sz="8" w:space="0" w:color="31859B" w:themeColor="accent5"/>
          <w:bottom w:val="single" w:sz="8" w:space="0" w:color="31859B" w:themeColor="accent5"/>
        </w:tcBorders>
      </w:tcPr>
    </w:tblStylePr>
    <w:tblStylePr w:type="firstCol">
      <w:rPr>
        <w:b/>
        <w:bCs/>
      </w:rPr>
    </w:tblStylePr>
    <w:tblStylePr w:type="lastCol">
      <w:rPr>
        <w:b/>
        <w:bCs/>
      </w:rPr>
      <w:tblPr/>
      <w:tcPr>
        <w:tcBorders>
          <w:top w:val="single" w:sz="8" w:space="0" w:color="31859B" w:themeColor="accent5"/>
          <w:bottom w:val="single" w:sz="8" w:space="0" w:color="31859B" w:themeColor="accent5"/>
        </w:tcBorders>
      </w:tcPr>
    </w:tblStylePr>
    <w:tblStylePr w:type="band1Vert">
      <w:tblPr/>
      <w:tcPr>
        <w:shd w:val="clear" w:color="auto" w:fill="C5E4EC" w:themeFill="accent5" w:themeFillTint="3F"/>
      </w:tcPr>
    </w:tblStylePr>
    <w:tblStylePr w:type="band1Horz">
      <w:tblPr/>
      <w:tcPr>
        <w:shd w:val="clear" w:color="auto" w:fill="C5E4EC" w:themeFill="accent5" w:themeFillTint="3F"/>
      </w:tcPr>
    </w:tblStylePr>
  </w:style>
  <w:style w:type="table" w:styleId="MediumList1-Accent6">
    <w:name w:val="Medium List 1 Accent 6"/>
    <w:basedOn w:val="TableNormal"/>
    <w:uiPriority w:val="99"/>
    <w:semiHidden/>
    <w:rsid w:val="00361DEB"/>
    <w:pPr>
      <w:spacing w:after="0"/>
    </w:pPr>
    <w:rPr>
      <w:color w:val="00728F" w:themeColor="text1"/>
    </w:rPr>
    <w:tblPr>
      <w:tblStyleRowBandSize w:val="1"/>
      <w:tblStyleColBandSize w:val="1"/>
      <w:tblInd w:w="0" w:type="dxa"/>
      <w:tblBorders>
        <w:top w:val="single" w:sz="8" w:space="0" w:color="64B8CE" w:themeColor="accent6"/>
        <w:bottom w:val="single" w:sz="8" w:space="0" w:color="64B8C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4B8CE" w:themeColor="accent6"/>
        </w:tcBorders>
      </w:tcPr>
    </w:tblStylePr>
    <w:tblStylePr w:type="lastRow">
      <w:rPr>
        <w:b/>
        <w:bCs/>
        <w:color w:val="B7DDE8" w:themeColor="text2"/>
      </w:rPr>
      <w:tblPr/>
      <w:tcPr>
        <w:tcBorders>
          <w:top w:val="single" w:sz="8" w:space="0" w:color="64B8CE" w:themeColor="accent6"/>
          <w:bottom w:val="single" w:sz="8" w:space="0" w:color="64B8CE" w:themeColor="accent6"/>
        </w:tcBorders>
      </w:tcPr>
    </w:tblStylePr>
    <w:tblStylePr w:type="firstCol">
      <w:rPr>
        <w:b/>
        <w:bCs/>
      </w:rPr>
    </w:tblStylePr>
    <w:tblStylePr w:type="lastCol">
      <w:rPr>
        <w:b/>
        <w:bCs/>
      </w:rPr>
      <w:tblPr/>
      <w:tcPr>
        <w:tcBorders>
          <w:top w:val="single" w:sz="8" w:space="0" w:color="64B8CE" w:themeColor="accent6"/>
          <w:bottom w:val="single" w:sz="8" w:space="0" w:color="64B8CE" w:themeColor="accent6"/>
        </w:tcBorders>
      </w:tcPr>
    </w:tblStylePr>
    <w:tblStylePr w:type="band1Vert">
      <w:tblPr/>
      <w:tcPr>
        <w:shd w:val="clear" w:color="auto" w:fill="D8EDF2" w:themeFill="accent6" w:themeFillTint="3F"/>
      </w:tcPr>
    </w:tblStylePr>
    <w:tblStylePr w:type="band1Horz">
      <w:tblPr/>
      <w:tcPr>
        <w:shd w:val="clear" w:color="auto" w:fill="D8EDF2" w:themeFill="accent6" w:themeFillTint="3F"/>
      </w:tcPr>
    </w:tblStylePr>
  </w:style>
  <w:style w:type="table" w:customStyle="1" w:styleId="MediumList21">
    <w:name w:val="Medium List 2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00728F" w:themeColor="text1"/>
        <w:left w:val="single" w:sz="8" w:space="0" w:color="00728F" w:themeColor="text1"/>
        <w:bottom w:val="single" w:sz="8" w:space="0" w:color="00728F" w:themeColor="text1"/>
        <w:right w:val="single" w:sz="8" w:space="0" w:color="00728F"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8F" w:themeColor="text1"/>
          <w:right w:val="nil"/>
          <w:insideH w:val="nil"/>
          <w:insideV w:val="nil"/>
        </w:tcBorders>
        <w:shd w:val="clear" w:color="auto" w:fill="FFFFFF" w:themeFill="background1"/>
      </w:tcPr>
    </w:tblStylePr>
    <w:tblStylePr w:type="lastRow">
      <w:tblPr/>
      <w:tcPr>
        <w:tcBorders>
          <w:top w:val="single" w:sz="8" w:space="0" w:color="00728F"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8F" w:themeColor="text1"/>
          <w:insideH w:val="nil"/>
          <w:insideV w:val="nil"/>
        </w:tcBorders>
        <w:shd w:val="clear" w:color="auto" w:fill="FFFFFF" w:themeFill="background1"/>
      </w:tcPr>
    </w:tblStylePr>
    <w:tblStylePr w:type="lastCol">
      <w:tblPr/>
      <w:tcPr>
        <w:tcBorders>
          <w:top w:val="nil"/>
          <w:left w:val="single" w:sz="8" w:space="0" w:color="00728F"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CFF" w:themeFill="text1" w:themeFillTint="3F"/>
      </w:tcPr>
    </w:tblStylePr>
    <w:tblStylePr w:type="band1Horz">
      <w:tblPr/>
      <w:tcPr>
        <w:tcBorders>
          <w:top w:val="nil"/>
          <w:bottom w:val="nil"/>
          <w:insideH w:val="nil"/>
          <w:insideV w:val="nil"/>
        </w:tcBorders>
        <w:shd w:val="clear" w:color="auto" w:fill="A4EC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00728F" w:themeColor="accent1"/>
        <w:left w:val="single" w:sz="8" w:space="0" w:color="00728F" w:themeColor="accent1"/>
        <w:bottom w:val="single" w:sz="8" w:space="0" w:color="00728F" w:themeColor="accent1"/>
        <w:right w:val="single" w:sz="8" w:space="0" w:color="00728F"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8F" w:themeColor="accent1"/>
          <w:right w:val="nil"/>
          <w:insideH w:val="nil"/>
          <w:insideV w:val="nil"/>
        </w:tcBorders>
        <w:shd w:val="clear" w:color="auto" w:fill="FFFFFF" w:themeFill="background1"/>
      </w:tcPr>
    </w:tblStylePr>
    <w:tblStylePr w:type="lastRow">
      <w:tblPr/>
      <w:tcPr>
        <w:tcBorders>
          <w:top w:val="single" w:sz="8" w:space="0" w:color="0072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8F" w:themeColor="accent1"/>
          <w:insideH w:val="nil"/>
          <w:insideV w:val="nil"/>
        </w:tcBorders>
        <w:shd w:val="clear" w:color="auto" w:fill="FFFFFF" w:themeFill="background1"/>
      </w:tcPr>
    </w:tblStylePr>
    <w:tblStylePr w:type="lastCol">
      <w:tblPr/>
      <w:tcPr>
        <w:tcBorders>
          <w:top w:val="nil"/>
          <w:left w:val="single" w:sz="8" w:space="0" w:color="0072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CFF" w:themeFill="accent1" w:themeFillTint="3F"/>
      </w:tcPr>
    </w:tblStylePr>
    <w:tblStylePr w:type="band1Horz">
      <w:tblPr/>
      <w:tcPr>
        <w:tcBorders>
          <w:top w:val="nil"/>
          <w:bottom w:val="nil"/>
          <w:insideH w:val="nil"/>
          <w:insideV w:val="nil"/>
        </w:tcBorders>
        <w:shd w:val="clear" w:color="auto" w:fill="A4E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B7DDE8" w:themeColor="accent2"/>
        <w:left w:val="single" w:sz="8" w:space="0" w:color="B7DDE8" w:themeColor="accent2"/>
        <w:bottom w:val="single" w:sz="8" w:space="0" w:color="B7DDE8" w:themeColor="accent2"/>
        <w:right w:val="single" w:sz="8" w:space="0" w:color="B7DDE8"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tblPr/>
      <w:tcPr>
        <w:tcBorders>
          <w:top w:val="single" w:sz="8" w:space="0" w:color="B7DDE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DDE8" w:themeColor="accent2"/>
          <w:insideH w:val="nil"/>
          <w:insideV w:val="nil"/>
        </w:tcBorders>
        <w:shd w:val="clear" w:color="auto" w:fill="FFFFFF" w:themeFill="background1"/>
      </w:tcPr>
    </w:tblStylePr>
    <w:tblStylePr w:type="lastCol">
      <w:tblPr/>
      <w:tcPr>
        <w:tcBorders>
          <w:top w:val="nil"/>
          <w:left w:val="single" w:sz="8" w:space="0" w:color="B7DDE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top w:val="nil"/>
          <w:bottom w:val="nil"/>
          <w:insideH w:val="nil"/>
          <w:insideV w:val="nil"/>
        </w:tcBorders>
        <w:shd w:val="clear" w:color="auto" w:fill="EDF6F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DBEEF3" w:themeColor="accent3"/>
        <w:left w:val="single" w:sz="8" w:space="0" w:color="DBEEF3" w:themeColor="accent3"/>
        <w:bottom w:val="single" w:sz="8" w:space="0" w:color="DBEEF3" w:themeColor="accent3"/>
        <w:right w:val="single" w:sz="8" w:space="0" w:color="DBEEF3"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DBEEF3" w:themeColor="accent3"/>
          <w:right w:val="nil"/>
          <w:insideH w:val="nil"/>
          <w:insideV w:val="nil"/>
        </w:tcBorders>
        <w:shd w:val="clear" w:color="auto" w:fill="FFFFFF" w:themeFill="background1"/>
      </w:tcPr>
    </w:tblStylePr>
    <w:tblStylePr w:type="lastRow">
      <w:tblPr/>
      <w:tcPr>
        <w:tcBorders>
          <w:top w:val="single" w:sz="8" w:space="0" w:color="DBEEF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EEF3" w:themeColor="accent3"/>
          <w:insideH w:val="nil"/>
          <w:insideV w:val="nil"/>
        </w:tcBorders>
        <w:shd w:val="clear" w:color="auto" w:fill="FFFFFF" w:themeFill="background1"/>
      </w:tcPr>
    </w:tblStylePr>
    <w:tblStylePr w:type="lastCol">
      <w:tblPr/>
      <w:tcPr>
        <w:tcBorders>
          <w:top w:val="nil"/>
          <w:left w:val="single" w:sz="8" w:space="0" w:color="DBEEF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AFC" w:themeFill="accent3" w:themeFillTint="3F"/>
      </w:tcPr>
    </w:tblStylePr>
    <w:tblStylePr w:type="band1Horz">
      <w:tblPr/>
      <w:tcPr>
        <w:tcBorders>
          <w:top w:val="nil"/>
          <w:bottom w:val="nil"/>
          <w:insideH w:val="nil"/>
          <w:insideV w:val="nil"/>
        </w:tcBorders>
        <w:shd w:val="clear" w:color="auto" w:fill="F6FA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92CDDC" w:themeColor="accent4"/>
        <w:left w:val="single" w:sz="8" w:space="0" w:color="92CDDC" w:themeColor="accent4"/>
        <w:bottom w:val="single" w:sz="8" w:space="0" w:color="92CDDC" w:themeColor="accent4"/>
        <w:right w:val="single" w:sz="8" w:space="0" w:color="92CDDC"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2CDDC" w:themeColor="accent4"/>
          <w:right w:val="nil"/>
          <w:insideH w:val="nil"/>
          <w:insideV w:val="nil"/>
        </w:tcBorders>
        <w:shd w:val="clear" w:color="auto" w:fill="FFFFFF" w:themeFill="background1"/>
      </w:tcPr>
    </w:tblStylePr>
    <w:tblStylePr w:type="lastRow">
      <w:tblPr/>
      <w:tcPr>
        <w:tcBorders>
          <w:top w:val="single" w:sz="8" w:space="0" w:color="92CDD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CDDC" w:themeColor="accent4"/>
          <w:insideH w:val="nil"/>
          <w:insideV w:val="nil"/>
        </w:tcBorders>
        <w:shd w:val="clear" w:color="auto" w:fill="FFFFFF" w:themeFill="background1"/>
      </w:tcPr>
    </w:tblStylePr>
    <w:tblStylePr w:type="lastCol">
      <w:tblPr/>
      <w:tcPr>
        <w:tcBorders>
          <w:top w:val="nil"/>
          <w:left w:val="single" w:sz="8" w:space="0" w:color="92CDD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2F6" w:themeFill="accent4" w:themeFillTint="3F"/>
      </w:tcPr>
    </w:tblStylePr>
    <w:tblStylePr w:type="band1Horz">
      <w:tblPr/>
      <w:tcPr>
        <w:tcBorders>
          <w:top w:val="nil"/>
          <w:bottom w:val="nil"/>
          <w:insideH w:val="nil"/>
          <w:insideV w:val="nil"/>
        </w:tcBorders>
        <w:shd w:val="clear" w:color="auto" w:fill="E4F2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31859B" w:themeColor="accent5"/>
        <w:left w:val="single" w:sz="8" w:space="0" w:color="31859B" w:themeColor="accent5"/>
        <w:bottom w:val="single" w:sz="8" w:space="0" w:color="31859B" w:themeColor="accent5"/>
        <w:right w:val="single" w:sz="8" w:space="0" w:color="31859B"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31859B" w:themeColor="accent5"/>
          <w:right w:val="nil"/>
          <w:insideH w:val="nil"/>
          <w:insideV w:val="nil"/>
        </w:tcBorders>
        <w:shd w:val="clear" w:color="auto" w:fill="FFFFFF" w:themeFill="background1"/>
      </w:tcPr>
    </w:tblStylePr>
    <w:tblStylePr w:type="lastRow">
      <w:tblPr/>
      <w:tcPr>
        <w:tcBorders>
          <w:top w:val="single" w:sz="8" w:space="0" w:color="31859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859B" w:themeColor="accent5"/>
          <w:insideH w:val="nil"/>
          <w:insideV w:val="nil"/>
        </w:tcBorders>
        <w:shd w:val="clear" w:color="auto" w:fill="FFFFFF" w:themeFill="background1"/>
      </w:tcPr>
    </w:tblStylePr>
    <w:tblStylePr w:type="lastCol">
      <w:tblPr/>
      <w:tcPr>
        <w:tcBorders>
          <w:top w:val="nil"/>
          <w:left w:val="single" w:sz="8" w:space="0" w:color="31859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4EC" w:themeFill="accent5" w:themeFillTint="3F"/>
      </w:tcPr>
    </w:tblStylePr>
    <w:tblStylePr w:type="band1Horz">
      <w:tblPr/>
      <w:tcPr>
        <w:tcBorders>
          <w:top w:val="nil"/>
          <w:bottom w:val="nil"/>
          <w:insideH w:val="nil"/>
          <w:insideV w:val="nil"/>
        </w:tcBorders>
        <w:shd w:val="clear" w:color="auto" w:fill="C5E4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64B8CE" w:themeColor="accent6"/>
        <w:left w:val="single" w:sz="8" w:space="0" w:color="64B8CE" w:themeColor="accent6"/>
        <w:bottom w:val="single" w:sz="8" w:space="0" w:color="64B8CE" w:themeColor="accent6"/>
        <w:right w:val="single" w:sz="8" w:space="0" w:color="64B8C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4B8CE" w:themeColor="accent6"/>
          <w:right w:val="nil"/>
          <w:insideH w:val="nil"/>
          <w:insideV w:val="nil"/>
        </w:tcBorders>
        <w:shd w:val="clear" w:color="auto" w:fill="FFFFFF" w:themeFill="background1"/>
      </w:tcPr>
    </w:tblStylePr>
    <w:tblStylePr w:type="lastRow">
      <w:tblPr/>
      <w:tcPr>
        <w:tcBorders>
          <w:top w:val="single" w:sz="8" w:space="0" w:color="64B8C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B8CE" w:themeColor="accent6"/>
          <w:insideH w:val="nil"/>
          <w:insideV w:val="nil"/>
        </w:tcBorders>
        <w:shd w:val="clear" w:color="auto" w:fill="FFFFFF" w:themeFill="background1"/>
      </w:tcPr>
    </w:tblStylePr>
    <w:tblStylePr w:type="lastCol">
      <w:tblPr/>
      <w:tcPr>
        <w:tcBorders>
          <w:top w:val="nil"/>
          <w:left w:val="single" w:sz="8" w:space="0" w:color="64B8C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DF2" w:themeFill="accent6" w:themeFillTint="3F"/>
      </w:tcPr>
    </w:tblStylePr>
    <w:tblStylePr w:type="band1Horz">
      <w:tblPr/>
      <w:tcPr>
        <w:tcBorders>
          <w:top w:val="nil"/>
          <w:bottom w:val="nil"/>
          <w:insideH w:val="nil"/>
          <w:insideV w:val="nil"/>
        </w:tcBorders>
        <w:shd w:val="clear" w:color="auto" w:fill="D8EDF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361DEB"/>
    <w:pPr>
      <w:spacing w:after="0"/>
    </w:pPr>
    <w:tblPr>
      <w:tblStyleRowBandSize w:val="1"/>
      <w:tblStyleColBandSize w:val="1"/>
      <w:tblInd w:w="0" w:type="dxa"/>
      <w:tbl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single" w:sz="8" w:space="0" w:color="00BBEB"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nil"/>
          <w:insideV w:val="nil"/>
        </w:tcBorders>
        <w:shd w:val="clear" w:color="auto" w:fill="00728F" w:themeFill="text1"/>
      </w:tcPr>
    </w:tblStylePr>
    <w:tblStylePr w:type="lastRow">
      <w:pPr>
        <w:spacing w:before="0" w:after="0" w:line="240" w:lineRule="auto"/>
      </w:pPr>
      <w:rPr>
        <w:b/>
        <w:bCs/>
      </w:rPr>
      <w:tblPr/>
      <w:tcPr>
        <w:tcBorders>
          <w:top w:val="double" w:sz="6"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nil"/>
          <w:insideV w:val="nil"/>
        </w:tcBorders>
      </w:tcPr>
    </w:tblStylePr>
    <w:tblStylePr w:type="firstCol">
      <w:rPr>
        <w:b/>
        <w:bCs/>
      </w:rPr>
    </w:tblStylePr>
    <w:tblStylePr w:type="lastCol">
      <w:rPr>
        <w:b/>
        <w:bCs/>
      </w:rPr>
    </w:tblStylePr>
    <w:tblStylePr w:type="band1Vert">
      <w:tblPr/>
      <w:tcPr>
        <w:shd w:val="clear" w:color="auto" w:fill="A4ECFF" w:themeFill="text1" w:themeFillTint="3F"/>
      </w:tcPr>
    </w:tblStylePr>
    <w:tblStylePr w:type="band1Horz">
      <w:tblPr/>
      <w:tcPr>
        <w:tcBorders>
          <w:insideH w:val="nil"/>
          <w:insideV w:val="nil"/>
        </w:tcBorders>
        <w:shd w:val="clear" w:color="auto" w:fill="A4ECFF"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361DEB"/>
    <w:pPr>
      <w:spacing w:after="0"/>
    </w:pPr>
    <w:tblPr>
      <w:tblStyleRowBandSize w:val="1"/>
      <w:tblStyleColBandSize w:val="1"/>
      <w:tblInd w:w="0" w:type="dxa"/>
      <w:tbl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single" w:sz="8" w:space="0" w:color="00BBEB"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nil"/>
          <w:insideV w:val="nil"/>
        </w:tcBorders>
        <w:shd w:val="clear" w:color="auto" w:fill="00728F" w:themeFill="accent1"/>
      </w:tcPr>
    </w:tblStylePr>
    <w:tblStylePr w:type="lastRow">
      <w:pPr>
        <w:spacing w:before="0" w:after="0" w:line="240" w:lineRule="auto"/>
      </w:pPr>
      <w:rPr>
        <w:b/>
        <w:bCs/>
      </w:rPr>
      <w:tblPr/>
      <w:tcPr>
        <w:tcBorders>
          <w:top w:val="double" w:sz="6"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4ECFF" w:themeFill="accent1" w:themeFillTint="3F"/>
      </w:tcPr>
    </w:tblStylePr>
    <w:tblStylePr w:type="band1Horz">
      <w:tblPr/>
      <w:tcPr>
        <w:tcBorders>
          <w:insideH w:val="nil"/>
          <w:insideV w:val="nil"/>
        </w:tcBorders>
        <w:shd w:val="clear" w:color="auto" w:fill="A4E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361DEB"/>
    <w:pPr>
      <w:spacing w:after="0"/>
    </w:pPr>
    <w:tblPr>
      <w:tblStyleRowBandSize w:val="1"/>
      <w:tblStyleColBandSize w:val="1"/>
      <w:tblInd w:w="0" w:type="dxa"/>
      <w:tbl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single" w:sz="8" w:space="0" w:color="C8E5ED"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nil"/>
          <w:insideV w:val="nil"/>
        </w:tcBorders>
        <w:shd w:val="clear" w:color="auto" w:fill="B7DDE8" w:themeFill="accent2"/>
      </w:tcPr>
    </w:tblStylePr>
    <w:tblStylePr w:type="lastRow">
      <w:pPr>
        <w:spacing w:before="0" w:after="0" w:line="240" w:lineRule="auto"/>
      </w:pPr>
      <w:rPr>
        <w:b/>
        <w:bCs/>
      </w:rPr>
      <w:tblPr/>
      <w:tcPr>
        <w:tcBorders>
          <w:top w:val="double" w:sz="6"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F6F9" w:themeFill="accent2" w:themeFillTint="3F"/>
      </w:tcPr>
    </w:tblStylePr>
    <w:tblStylePr w:type="band1Horz">
      <w:tblPr/>
      <w:tcPr>
        <w:tcBorders>
          <w:insideH w:val="nil"/>
          <w:insideV w:val="nil"/>
        </w:tcBorders>
        <w:shd w:val="clear" w:color="auto" w:fill="EDF6F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361DEB"/>
    <w:pPr>
      <w:spacing w:after="0"/>
    </w:pPr>
    <w:tblPr>
      <w:tblStyleRowBandSize w:val="1"/>
      <w:tblStyleColBandSize w:val="1"/>
      <w:tblInd w:w="0" w:type="dxa"/>
      <w:tbl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single" w:sz="8" w:space="0" w:color="E4F2F6"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nil"/>
          <w:insideV w:val="nil"/>
        </w:tcBorders>
        <w:shd w:val="clear" w:color="auto" w:fill="DBEEF3" w:themeFill="accent3"/>
      </w:tcPr>
    </w:tblStylePr>
    <w:tblStylePr w:type="lastRow">
      <w:pPr>
        <w:spacing w:before="0" w:after="0" w:line="240" w:lineRule="auto"/>
      </w:pPr>
      <w:rPr>
        <w:b/>
        <w:bCs/>
      </w:rPr>
      <w:tblPr/>
      <w:tcPr>
        <w:tcBorders>
          <w:top w:val="double" w:sz="6"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AFC" w:themeFill="accent3" w:themeFillTint="3F"/>
      </w:tcPr>
    </w:tblStylePr>
    <w:tblStylePr w:type="band1Horz">
      <w:tblPr/>
      <w:tcPr>
        <w:tcBorders>
          <w:insideH w:val="nil"/>
          <w:insideV w:val="nil"/>
        </w:tcBorders>
        <w:shd w:val="clear" w:color="auto" w:fill="F6FAF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361DEB"/>
    <w:pPr>
      <w:spacing w:after="0"/>
    </w:pPr>
    <w:tblPr>
      <w:tblStyleRowBandSize w:val="1"/>
      <w:tblStyleColBandSize w:val="1"/>
      <w:tblInd w:w="0" w:type="dxa"/>
      <w:tbl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single" w:sz="8" w:space="0" w:color="ADD9E4"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nil"/>
          <w:insideV w:val="nil"/>
        </w:tcBorders>
        <w:shd w:val="clear" w:color="auto" w:fill="92CDDC" w:themeFill="accent4"/>
      </w:tcPr>
    </w:tblStylePr>
    <w:tblStylePr w:type="lastRow">
      <w:pPr>
        <w:spacing w:before="0" w:after="0" w:line="240" w:lineRule="auto"/>
      </w:pPr>
      <w:rPr>
        <w:b/>
        <w:bCs/>
      </w:rPr>
      <w:tblPr/>
      <w:tcPr>
        <w:tcBorders>
          <w:top w:val="double" w:sz="6"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F2F6" w:themeFill="accent4" w:themeFillTint="3F"/>
      </w:tcPr>
    </w:tblStylePr>
    <w:tblStylePr w:type="band1Horz">
      <w:tblPr/>
      <w:tcPr>
        <w:tcBorders>
          <w:insideH w:val="nil"/>
          <w:insideV w:val="nil"/>
        </w:tcBorders>
        <w:shd w:val="clear" w:color="auto" w:fill="E4F2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361DEB"/>
    <w:pPr>
      <w:spacing w:after="0"/>
    </w:pPr>
    <w:tblPr>
      <w:tblStyleRowBandSize w:val="1"/>
      <w:tblStyleColBandSize w:val="1"/>
      <w:tblInd w:w="0" w:type="dxa"/>
      <w:tbl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single" w:sz="8" w:space="0" w:color="50AFC8"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nil"/>
          <w:insideV w:val="nil"/>
        </w:tcBorders>
        <w:shd w:val="clear" w:color="auto" w:fill="31859B" w:themeFill="accent5"/>
      </w:tcPr>
    </w:tblStylePr>
    <w:tblStylePr w:type="lastRow">
      <w:pPr>
        <w:spacing w:before="0" w:after="0" w:line="240" w:lineRule="auto"/>
      </w:pPr>
      <w:rPr>
        <w:b/>
        <w:bCs/>
      </w:rPr>
      <w:tblPr/>
      <w:tcPr>
        <w:tcBorders>
          <w:top w:val="double" w:sz="6"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5E4EC" w:themeFill="accent5" w:themeFillTint="3F"/>
      </w:tcPr>
    </w:tblStylePr>
    <w:tblStylePr w:type="band1Horz">
      <w:tblPr/>
      <w:tcPr>
        <w:tcBorders>
          <w:insideH w:val="nil"/>
          <w:insideV w:val="nil"/>
        </w:tcBorders>
        <w:shd w:val="clear" w:color="auto" w:fill="C5E4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361DEB"/>
    <w:pPr>
      <w:spacing w:after="0"/>
    </w:pPr>
    <w:tblPr>
      <w:tblStyleRowBandSize w:val="1"/>
      <w:tblStyleColBandSize w:val="1"/>
      <w:tblInd w:w="0" w:type="dxa"/>
      <w:tbl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single" w:sz="8" w:space="0" w:color="8AC9DA"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nil"/>
          <w:insideV w:val="nil"/>
        </w:tcBorders>
        <w:shd w:val="clear" w:color="auto" w:fill="64B8CE" w:themeFill="accent6"/>
      </w:tcPr>
    </w:tblStylePr>
    <w:tblStylePr w:type="lastRow">
      <w:pPr>
        <w:spacing w:before="0" w:after="0" w:line="240" w:lineRule="auto"/>
      </w:pPr>
      <w:rPr>
        <w:b/>
        <w:bCs/>
      </w:rPr>
      <w:tblPr/>
      <w:tcPr>
        <w:tcBorders>
          <w:top w:val="double" w:sz="6"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EDF2" w:themeFill="accent6" w:themeFillTint="3F"/>
      </w:tcPr>
    </w:tblStylePr>
    <w:tblStylePr w:type="band1Horz">
      <w:tblPr/>
      <w:tcPr>
        <w:tcBorders>
          <w:insideH w:val="nil"/>
          <w:insideV w:val="nil"/>
        </w:tcBorders>
        <w:shd w:val="clear" w:color="auto" w:fill="D8EDF2"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361DE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8F"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8F" w:themeFill="text1"/>
      </w:tcPr>
    </w:tblStylePr>
    <w:tblStylePr w:type="lastCol">
      <w:rPr>
        <w:b/>
        <w:bCs/>
        <w:color w:val="FFFFFF" w:themeColor="background1"/>
      </w:rPr>
      <w:tblPr/>
      <w:tcPr>
        <w:tcBorders>
          <w:left w:val="nil"/>
          <w:right w:val="nil"/>
          <w:insideH w:val="nil"/>
          <w:insideV w:val="nil"/>
        </w:tcBorders>
        <w:shd w:val="clear" w:color="auto" w:fill="00728F"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361DE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8F" w:themeFill="accent1"/>
      </w:tcPr>
    </w:tblStylePr>
    <w:tblStylePr w:type="lastCol">
      <w:rPr>
        <w:b/>
        <w:bCs/>
        <w:color w:val="FFFFFF" w:themeColor="background1"/>
      </w:rPr>
      <w:tblPr/>
      <w:tcPr>
        <w:tcBorders>
          <w:left w:val="nil"/>
          <w:right w:val="nil"/>
          <w:insideH w:val="nil"/>
          <w:insideV w:val="nil"/>
        </w:tcBorders>
        <w:shd w:val="clear" w:color="auto" w:fill="0072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361DE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DDE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DDE8" w:themeFill="accent2"/>
      </w:tcPr>
    </w:tblStylePr>
    <w:tblStylePr w:type="lastCol">
      <w:rPr>
        <w:b/>
        <w:bCs/>
        <w:color w:val="FFFFFF" w:themeColor="background1"/>
      </w:rPr>
      <w:tblPr/>
      <w:tcPr>
        <w:tcBorders>
          <w:left w:val="nil"/>
          <w:right w:val="nil"/>
          <w:insideH w:val="nil"/>
          <w:insideV w:val="nil"/>
        </w:tcBorders>
        <w:shd w:val="clear" w:color="auto" w:fill="B7DDE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361DE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EEF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EEF3" w:themeFill="accent3"/>
      </w:tcPr>
    </w:tblStylePr>
    <w:tblStylePr w:type="lastCol">
      <w:rPr>
        <w:b/>
        <w:bCs/>
        <w:color w:val="FFFFFF" w:themeColor="background1"/>
      </w:rPr>
      <w:tblPr/>
      <w:tcPr>
        <w:tcBorders>
          <w:left w:val="nil"/>
          <w:right w:val="nil"/>
          <w:insideH w:val="nil"/>
          <w:insideV w:val="nil"/>
        </w:tcBorders>
        <w:shd w:val="clear" w:color="auto" w:fill="DBEEF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361DE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CDD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CDDC" w:themeFill="accent4"/>
      </w:tcPr>
    </w:tblStylePr>
    <w:tblStylePr w:type="lastCol">
      <w:rPr>
        <w:b/>
        <w:bCs/>
        <w:color w:val="FFFFFF" w:themeColor="background1"/>
      </w:rPr>
      <w:tblPr/>
      <w:tcPr>
        <w:tcBorders>
          <w:left w:val="nil"/>
          <w:right w:val="nil"/>
          <w:insideH w:val="nil"/>
          <w:insideV w:val="nil"/>
        </w:tcBorders>
        <w:shd w:val="clear" w:color="auto" w:fill="92CDD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361DE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859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859B" w:themeFill="accent5"/>
      </w:tcPr>
    </w:tblStylePr>
    <w:tblStylePr w:type="lastCol">
      <w:rPr>
        <w:b/>
        <w:bCs/>
        <w:color w:val="FFFFFF" w:themeColor="background1"/>
      </w:rPr>
      <w:tblPr/>
      <w:tcPr>
        <w:tcBorders>
          <w:left w:val="nil"/>
          <w:right w:val="nil"/>
          <w:insideH w:val="nil"/>
          <w:insideV w:val="nil"/>
        </w:tcBorders>
        <w:shd w:val="clear" w:color="auto" w:fill="31859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361DE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B8C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B8CE" w:themeFill="accent6"/>
      </w:tcPr>
    </w:tblStylePr>
    <w:tblStylePr w:type="lastCol">
      <w:rPr>
        <w:b/>
        <w:bCs/>
        <w:color w:val="FFFFFF" w:themeColor="background1"/>
      </w:rPr>
      <w:tblPr/>
      <w:tcPr>
        <w:tcBorders>
          <w:left w:val="nil"/>
          <w:right w:val="nil"/>
          <w:insideH w:val="nil"/>
          <w:insideV w:val="nil"/>
        </w:tcBorders>
        <w:shd w:val="clear" w:color="auto" w:fill="64B8C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olorful1">
    <w:name w:val="Table Colorful 1"/>
    <w:basedOn w:val="TableNormal"/>
    <w:uiPriority w:val="99"/>
    <w:semiHidden/>
    <w:rsid w:val="00361DEB"/>
    <w:pPr>
      <w:spacing w:after="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61DEB"/>
    <w:pPr>
      <w:spacing w:after="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61DEB"/>
    <w:pPr>
      <w:spacing w:after="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99"/>
    <w:semiHidden/>
    <w:rsid w:val="00361DE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361DEB"/>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61DEB"/>
    <w:pPr>
      <w:spacing w:after="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61DEB"/>
    <w:pPr>
      <w:spacing w:after="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61DEB"/>
    <w:pPr>
      <w:spacing w:after="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61DEB"/>
    <w:pPr>
      <w:spacing w:after="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61DEB"/>
    <w:pPr>
      <w:spacing w:after="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61DEB"/>
    <w:pPr>
      <w:spacing w:after="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61DEB"/>
    <w:pPr>
      <w:spacing w:after="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5"/>
    <w:semiHidden/>
    <w:qFormat/>
    <w:rsid w:val="00361DEB"/>
    <w:pPr>
      <w:pBdr>
        <w:bottom w:val="single" w:sz="8" w:space="4" w:color="00728F" w:themeColor="accent1"/>
      </w:pBdr>
      <w:spacing w:after="300"/>
      <w:contextualSpacing/>
    </w:pPr>
    <w:rPr>
      <w:rFonts w:asciiTheme="majorHAnsi" w:eastAsiaTheme="majorEastAsia" w:hAnsiTheme="majorHAnsi" w:cstheme="majorBidi"/>
      <w:color w:val="67B7CE" w:themeColor="text2" w:themeShade="BF"/>
      <w:spacing w:val="5"/>
      <w:kern w:val="28"/>
      <w:sz w:val="52"/>
      <w:szCs w:val="52"/>
    </w:rPr>
  </w:style>
  <w:style w:type="character" w:customStyle="1" w:styleId="TitleChar">
    <w:name w:val="Title Char"/>
    <w:basedOn w:val="DefaultParagraphFont"/>
    <w:link w:val="Title"/>
    <w:uiPriority w:val="15"/>
    <w:semiHidden/>
    <w:rsid w:val="00361DEB"/>
    <w:rPr>
      <w:rFonts w:asciiTheme="majorHAnsi" w:eastAsiaTheme="majorEastAsia" w:hAnsiTheme="majorHAnsi" w:cstheme="majorBidi"/>
      <w:color w:val="67B7CE" w:themeColor="text2" w:themeShade="BF"/>
      <w:spacing w:val="5"/>
      <w:kern w:val="28"/>
      <w:sz w:val="52"/>
      <w:szCs w:val="52"/>
    </w:rPr>
  </w:style>
  <w:style w:type="character" w:customStyle="1" w:styleId="FigurecaptionCharChar">
    <w:name w:val="Figure caption Char Char"/>
    <w:basedOn w:val="DefaultParagraphFont"/>
    <w:link w:val="Figurecaption"/>
    <w:uiPriority w:val="10"/>
    <w:locked/>
    <w:rsid w:val="004902C0"/>
    <w:rPr>
      <w:rFonts w:ascii="Calibri" w:hAnsi="Calibri"/>
      <w:b/>
      <w:bCs/>
      <w:color w:val="00728F"/>
      <w:sz w:val="18"/>
      <w:szCs w:val="18"/>
    </w:rPr>
  </w:style>
  <w:style w:type="paragraph" w:customStyle="1" w:styleId="Reference">
    <w:name w:val="Reference"/>
    <w:basedOn w:val="BodyText"/>
    <w:uiPriority w:val="20"/>
    <w:qFormat/>
    <w:rsid w:val="00D24D34"/>
    <w:pPr>
      <w:spacing w:before="360" w:after="360"/>
    </w:pPr>
    <w:rPr>
      <w:noProof/>
    </w:rPr>
  </w:style>
  <w:style w:type="character" w:customStyle="1" w:styleId="BodyTextChar">
    <w:name w:val="Body Text Char"/>
    <w:basedOn w:val="DefaultParagraphFont"/>
    <w:link w:val="BodyText"/>
    <w:rsid w:val="00BA5622"/>
    <w:rPr>
      <w:rFonts w:ascii="Calibri" w:hAnsi="Calibri"/>
    </w:rPr>
  </w:style>
  <w:style w:type="paragraph" w:customStyle="1" w:styleId="Bodytext-Quote">
    <w:name w:val="Body text - Quote"/>
    <w:basedOn w:val="BodyText"/>
    <w:next w:val="BodyText"/>
    <w:qFormat/>
    <w:rsid w:val="00DF7C5F"/>
    <w:pPr>
      <w:ind w:left="567" w:right="567"/>
    </w:pPr>
  </w:style>
  <w:style w:type="paragraph" w:customStyle="1" w:styleId="FigureImagewithoutrule">
    <w:name w:val="Figure/Image without rule"/>
    <w:basedOn w:val="BodyText"/>
    <w:next w:val="BodyText"/>
    <w:uiPriority w:val="10"/>
    <w:qFormat/>
    <w:rsid w:val="002A69C4"/>
    <w:pPr>
      <w:spacing w:after="360"/>
    </w:pPr>
    <w:rPr>
      <w:noProof/>
      <w:lang w:eastAsia="en-AU"/>
    </w:rPr>
  </w:style>
  <w:style w:type="paragraph" w:customStyle="1" w:styleId="DBCDElogo">
    <w:name w:val="DBCDE logo"/>
    <w:basedOn w:val="Normal"/>
    <w:next w:val="BodyText"/>
    <w:semiHidden/>
    <w:qFormat/>
    <w:rsid w:val="00665016"/>
    <w:pPr>
      <w:jc w:val="center"/>
    </w:pPr>
    <w:rPr>
      <w:noProof/>
      <w:lang w:eastAsia="en-AU"/>
    </w:rPr>
  </w:style>
  <w:style w:type="character" w:customStyle="1" w:styleId="Instructionaltext">
    <w:name w:val="Instructional text"/>
    <w:basedOn w:val="DefaultParagraphFont"/>
    <w:uiPriority w:val="59"/>
    <w:qFormat/>
    <w:rsid w:val="003600D8"/>
    <w:rPr>
      <w:i/>
      <w:color w:val="0066FF"/>
    </w:rPr>
  </w:style>
  <w:style w:type="paragraph" w:customStyle="1" w:styleId="Instructionaltext-Numberedlist">
    <w:name w:val="Instructional text - Numbered list"/>
    <w:basedOn w:val="Normal"/>
    <w:uiPriority w:val="59"/>
    <w:qFormat/>
    <w:rsid w:val="003C6FB6"/>
    <w:pPr>
      <w:numPr>
        <w:numId w:val="21"/>
      </w:numPr>
      <w:spacing w:after="240"/>
    </w:pPr>
    <w:rPr>
      <w:i/>
      <w:color w:val="0066FF"/>
    </w:rPr>
  </w:style>
  <w:style w:type="character" w:customStyle="1" w:styleId="Exampletext">
    <w:name w:val="Example text"/>
    <w:basedOn w:val="DefaultParagraphFont"/>
    <w:uiPriority w:val="60"/>
    <w:qFormat/>
    <w:rsid w:val="00135456"/>
    <w:rPr>
      <w:color w:val="CC0000"/>
    </w:rPr>
  </w:style>
  <w:style w:type="character" w:customStyle="1" w:styleId="Heading2Char">
    <w:name w:val="Heading 2 Char"/>
    <w:basedOn w:val="DefaultParagraphFont"/>
    <w:link w:val="Heading2"/>
    <w:uiPriority w:val="9"/>
    <w:rsid w:val="000E03CD"/>
    <w:rPr>
      <w:rFonts w:ascii="Cambria" w:eastAsiaTheme="majorEastAsia" w:hAnsi="Cambria" w:cstheme="majorBidi"/>
      <w:bCs/>
      <w:color w:val="00728F"/>
      <w:sz w:val="26"/>
      <w:szCs w:val="26"/>
    </w:rPr>
  </w:style>
  <w:style w:type="character" w:customStyle="1" w:styleId="FooterChar">
    <w:name w:val="Footer Char"/>
    <w:basedOn w:val="DefaultParagraphFont"/>
    <w:link w:val="Footer"/>
    <w:rsid w:val="008E0426"/>
    <w:rPr>
      <w:rFonts w:ascii="Calibri" w:hAnsi="Calibri"/>
      <w:color w:val="00728F"/>
      <w:sz w:val="20"/>
    </w:rPr>
  </w:style>
  <w:style w:type="paragraph" w:customStyle="1" w:styleId="Documenttype">
    <w:name w:val="Document type"/>
    <w:basedOn w:val="Normal"/>
    <w:uiPriority w:val="17"/>
    <w:qFormat/>
    <w:rsid w:val="008E0426"/>
    <w:pPr>
      <w:spacing w:before="120"/>
      <w:jc w:val="right"/>
    </w:pPr>
    <w:rPr>
      <w:rFonts w:ascii="Cambria" w:eastAsia="Times New Roman" w:hAnsi="Cambria" w:cs="Times New Roman"/>
      <w:b/>
      <w:color w:val="00728F"/>
      <w:kern w:val="28"/>
      <w:sz w:val="24"/>
      <w:szCs w:val="52"/>
    </w:rPr>
  </w:style>
  <w:style w:type="character" w:customStyle="1" w:styleId="HeaderChar">
    <w:name w:val="Header Char"/>
    <w:basedOn w:val="DefaultParagraphFont"/>
    <w:link w:val="Header"/>
    <w:rsid w:val="008E0426"/>
    <w:rPr>
      <w:rFonts w:ascii="Calibri" w:hAnsi="Calibri"/>
      <w:color w:val="00728F"/>
      <w:sz w:val="20"/>
    </w:rPr>
  </w:style>
  <w:style w:type="character" w:customStyle="1" w:styleId="CommentTextChar">
    <w:name w:val="Comment Text Char"/>
    <w:basedOn w:val="DefaultParagraphFont"/>
    <w:link w:val="CommentText"/>
    <w:uiPriority w:val="99"/>
    <w:semiHidden/>
    <w:rsid w:val="005A3AD2"/>
    <w:rPr>
      <w:rFonts w:ascii="Calibri" w:hAnsi="Calibri"/>
      <w:sz w:val="20"/>
      <w:szCs w:val="20"/>
    </w:rPr>
  </w:style>
  <w:style w:type="character" w:customStyle="1" w:styleId="NoSpacingChar">
    <w:name w:val="No Spacing Char"/>
    <w:link w:val="NoSpacing"/>
    <w:uiPriority w:val="1"/>
    <w:locked/>
    <w:rsid w:val="005A3AD2"/>
    <w:rPr>
      <w:rFonts w:ascii="Calibri" w:hAnsi="Calibri"/>
    </w:rPr>
  </w:style>
  <w:style w:type="character" w:customStyle="1" w:styleId="ListParagraphChar">
    <w:name w:val="List Paragraph Char"/>
    <w:aliases w:val="List Paragraph1 Char,Recommendation Char,bullet point list Char,List Paragraph11 Char"/>
    <w:basedOn w:val="DefaultParagraphFont"/>
    <w:link w:val="ListParagraph"/>
    <w:uiPriority w:val="34"/>
    <w:rsid w:val="001928F6"/>
    <w:rPr>
      <w:rFonts w:ascii="Calibri" w:hAnsi="Calibri"/>
    </w:rPr>
  </w:style>
  <w:style w:type="paragraph" w:customStyle="1" w:styleId="Boxsub-headingQUESTION">
    <w:name w:val="Box sub-heading QUESTION"/>
    <w:basedOn w:val="Boxsub-heading"/>
    <w:next w:val="Normal"/>
    <w:qFormat/>
    <w:rsid w:val="001928F6"/>
    <w:pPr>
      <w:pBdr>
        <w:top w:val="single" w:sz="4" w:space="8" w:color="005491"/>
        <w:left w:val="single" w:sz="4" w:space="8" w:color="005491"/>
        <w:bottom w:val="single" w:sz="4" w:space="8" w:color="005491"/>
        <w:right w:val="single" w:sz="4" w:space="0" w:color="005491"/>
      </w:pBdr>
      <w:shd w:val="clear" w:color="auto" w:fill="005491"/>
      <w:spacing w:before="0" w:after="0"/>
    </w:pPr>
    <w:rPr>
      <w:color w:val="FFFFFF" w:themeColor="background1"/>
    </w:rPr>
  </w:style>
  <w:style w:type="paragraph" w:customStyle="1" w:styleId="BoxtextQUESTIONITALICS">
    <w:name w:val="Box text QUESTION ITALICS"/>
    <w:basedOn w:val="Normal"/>
    <w:qFormat/>
    <w:rsid w:val="001928F6"/>
    <w:pPr>
      <w:pBdr>
        <w:top w:val="single" w:sz="4" w:space="8" w:color="808080" w:themeColor="background1" w:themeShade="80"/>
        <w:left w:val="single" w:sz="4" w:space="8" w:color="808080" w:themeColor="background1" w:themeShade="80"/>
        <w:bottom w:val="single" w:sz="4" w:space="8" w:color="808080" w:themeColor="background1" w:themeShade="80"/>
        <w:right w:val="single" w:sz="4" w:space="0" w:color="808080" w:themeColor="background1" w:themeShade="80"/>
      </w:pBdr>
      <w:shd w:val="clear" w:color="auto" w:fill="F3F5F4"/>
      <w:spacing w:before="0" w:after="240"/>
      <w:ind w:left="198"/>
    </w:pPr>
    <w:rPr>
      <w:b/>
      <w:i/>
    </w:rPr>
  </w:style>
  <w:style w:type="paragraph" w:customStyle="1" w:styleId="BoxtextQUESTION">
    <w:name w:val="Box text QUESTION"/>
    <w:basedOn w:val="Normal"/>
    <w:qFormat/>
    <w:rsid w:val="00B844FF"/>
    <w:pPr>
      <w:pBdr>
        <w:top w:val="single" w:sz="4" w:space="8" w:color="808080" w:themeColor="background1" w:themeShade="80"/>
        <w:left w:val="single" w:sz="4" w:space="8" w:color="808080" w:themeColor="background1" w:themeShade="80"/>
        <w:bottom w:val="single" w:sz="4" w:space="8" w:color="808080" w:themeColor="background1" w:themeShade="80"/>
        <w:right w:val="single" w:sz="4" w:space="0" w:color="808080" w:themeColor="background1" w:themeShade="80"/>
      </w:pBdr>
      <w:shd w:val="clear" w:color="auto" w:fill="F3F5F4"/>
      <w:spacing w:before="0" w:after="240"/>
      <w:ind w:left="198"/>
    </w:pPr>
  </w:style>
  <w:style w:type="paragraph" w:customStyle="1" w:styleId="BulletList2">
    <w:name w:val="Bullet List 2"/>
    <w:basedOn w:val="BulletList1"/>
    <w:qFormat/>
    <w:rsid w:val="009D0877"/>
    <w:pPr>
      <w:numPr>
        <w:ilvl w:val="1"/>
      </w:numPr>
      <w:tabs>
        <w:tab w:val="clear" w:pos="1084"/>
        <w:tab w:val="num" w:pos="360"/>
      </w:tabs>
      <w:ind w:left="360" w:hanging="360"/>
    </w:pPr>
  </w:style>
  <w:style w:type="paragraph" w:customStyle="1" w:styleId="BulletList1">
    <w:name w:val="Bullet List 1"/>
    <w:basedOn w:val="Normal"/>
    <w:link w:val="BulletList1Char"/>
    <w:qFormat/>
    <w:rsid w:val="009D0877"/>
    <w:pPr>
      <w:numPr>
        <w:numId w:val="23"/>
      </w:numPr>
      <w:spacing w:before="120" w:after="120" w:line="287" w:lineRule="auto"/>
    </w:pPr>
    <w:rPr>
      <w:rFonts w:ascii="Arial" w:eastAsia="Times New Roman" w:hAnsi="Arial" w:cs="Times New Roman"/>
      <w:sz w:val="20"/>
      <w:szCs w:val="24"/>
      <w:lang w:val="en-GB" w:eastAsia="en-GB"/>
    </w:rPr>
  </w:style>
  <w:style w:type="paragraph" w:customStyle="1" w:styleId="BulletList3">
    <w:name w:val="Bullet List 3"/>
    <w:basedOn w:val="BulletList2"/>
    <w:qFormat/>
    <w:rsid w:val="009D0877"/>
    <w:pPr>
      <w:numPr>
        <w:ilvl w:val="2"/>
      </w:numPr>
      <w:tabs>
        <w:tab w:val="clear" w:pos="1484"/>
        <w:tab w:val="num" w:pos="360"/>
      </w:tabs>
      <w:ind w:left="360" w:hanging="360"/>
    </w:pPr>
  </w:style>
  <w:style w:type="paragraph" w:customStyle="1" w:styleId="BulletList4">
    <w:name w:val="Bullet List 4"/>
    <w:basedOn w:val="BulletList3"/>
    <w:rsid w:val="009D0877"/>
    <w:pPr>
      <w:numPr>
        <w:ilvl w:val="3"/>
      </w:numPr>
      <w:tabs>
        <w:tab w:val="clear" w:pos="1644"/>
        <w:tab w:val="num" w:pos="360"/>
      </w:tabs>
      <w:ind w:left="360" w:hanging="360"/>
    </w:pPr>
  </w:style>
  <w:style w:type="paragraph" w:customStyle="1" w:styleId="BulletList5">
    <w:name w:val="Bullet List 5"/>
    <w:basedOn w:val="BulletList4"/>
    <w:rsid w:val="009D0877"/>
    <w:pPr>
      <w:numPr>
        <w:ilvl w:val="4"/>
      </w:numPr>
      <w:tabs>
        <w:tab w:val="clear" w:pos="1984"/>
        <w:tab w:val="num" w:pos="360"/>
      </w:tabs>
      <w:ind w:left="360" w:hanging="360"/>
    </w:pPr>
  </w:style>
  <w:style w:type="paragraph" w:customStyle="1" w:styleId="BulletList6">
    <w:name w:val="Bullet List 6"/>
    <w:basedOn w:val="BulletList5"/>
    <w:rsid w:val="009D0877"/>
    <w:pPr>
      <w:numPr>
        <w:ilvl w:val="5"/>
      </w:numPr>
      <w:tabs>
        <w:tab w:val="clear" w:pos="2324"/>
        <w:tab w:val="num" w:pos="360"/>
      </w:tabs>
      <w:ind w:left="360" w:hanging="360"/>
    </w:pPr>
  </w:style>
  <w:style w:type="paragraph" w:customStyle="1" w:styleId="BulletList7">
    <w:name w:val="Bullet List 7"/>
    <w:basedOn w:val="BulletList6"/>
    <w:rsid w:val="009D0877"/>
    <w:pPr>
      <w:numPr>
        <w:ilvl w:val="6"/>
      </w:numPr>
      <w:tabs>
        <w:tab w:val="clear" w:pos="2664"/>
        <w:tab w:val="num" w:pos="360"/>
      </w:tabs>
      <w:ind w:left="360" w:hanging="360"/>
    </w:pPr>
  </w:style>
  <w:style w:type="paragraph" w:customStyle="1" w:styleId="BulletList8">
    <w:name w:val="Bullet List 8"/>
    <w:basedOn w:val="BulletList7"/>
    <w:rsid w:val="009D0877"/>
    <w:pPr>
      <w:numPr>
        <w:ilvl w:val="7"/>
      </w:numPr>
      <w:tabs>
        <w:tab w:val="clear" w:pos="3004"/>
        <w:tab w:val="num" w:pos="360"/>
      </w:tabs>
      <w:ind w:left="360" w:hanging="360"/>
    </w:pPr>
  </w:style>
  <w:style w:type="paragraph" w:customStyle="1" w:styleId="BulletList9">
    <w:name w:val="Bullet List 9"/>
    <w:basedOn w:val="BulletList8"/>
    <w:rsid w:val="009D0877"/>
    <w:pPr>
      <w:numPr>
        <w:ilvl w:val="8"/>
      </w:numPr>
      <w:tabs>
        <w:tab w:val="clear" w:pos="3344"/>
        <w:tab w:val="num" w:pos="360"/>
      </w:tabs>
      <w:ind w:left="360" w:hanging="360"/>
    </w:pPr>
  </w:style>
  <w:style w:type="character" w:customStyle="1" w:styleId="BulletList1Char">
    <w:name w:val="Bullet List 1 Char"/>
    <w:link w:val="BulletList1"/>
    <w:locked/>
    <w:rsid w:val="009D0877"/>
    <w:rPr>
      <w:rFonts w:ascii="Arial" w:eastAsia="Times New Roman" w:hAnsi="Arial" w:cs="Times New Roman"/>
      <w:sz w:val="20"/>
      <w:szCs w:val="24"/>
      <w:lang w:val="en-GB" w:eastAsia="en-GB"/>
    </w:rPr>
  </w:style>
  <w:style w:type="character" w:customStyle="1" w:styleId="FootnoteTextChar">
    <w:name w:val="Footnote Text Char"/>
    <w:basedOn w:val="DefaultParagraphFont"/>
    <w:link w:val="FootnoteText"/>
    <w:uiPriority w:val="99"/>
    <w:rsid w:val="00AB2F5F"/>
    <w:rPr>
      <w:rFonts w:ascii="Calibri" w:hAnsi="Calibri"/>
      <w:sz w:val="20"/>
      <w:szCs w:val="20"/>
    </w:rPr>
  </w:style>
  <w:style w:type="paragraph" w:customStyle="1" w:styleId="Default">
    <w:name w:val="Default"/>
    <w:rsid w:val="00213CD2"/>
    <w:pPr>
      <w:autoSpaceDE w:val="0"/>
      <w:autoSpaceDN w:val="0"/>
      <w:adjustRightInd w:val="0"/>
      <w:spacing w:before="0" w:after="0"/>
      <w:ind w:left="0" w:firstLine="0"/>
    </w:pPr>
    <w:rPr>
      <w:rFonts w:ascii="Calibri" w:hAnsi="Calibri" w:cs="Calibri"/>
      <w:color w:val="000000"/>
      <w:sz w:val="24"/>
      <w:szCs w:val="24"/>
    </w:rPr>
  </w:style>
  <w:style w:type="character" w:customStyle="1" w:styleId="Text-Normal">
    <w:name w:val="Text - Normal"/>
    <w:uiPriority w:val="1"/>
    <w:unhideWhenUsed/>
    <w:qFormat/>
    <w:rsid w:val="00416D7A"/>
    <w:rPr>
      <w:color w:val="000000"/>
      <w:sz w:val="24"/>
      <w:szCs w:val="24"/>
    </w:rPr>
  </w:style>
  <w:style w:type="paragraph" w:styleId="Revision">
    <w:name w:val="Revision"/>
    <w:hidden/>
    <w:uiPriority w:val="99"/>
    <w:semiHidden/>
    <w:rsid w:val="00D559AC"/>
    <w:pPr>
      <w:spacing w:before="0" w:after="0"/>
      <w:ind w:left="0" w:firstLine="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5590">
      <w:bodyDiv w:val="1"/>
      <w:marLeft w:val="0"/>
      <w:marRight w:val="0"/>
      <w:marTop w:val="0"/>
      <w:marBottom w:val="0"/>
      <w:divBdr>
        <w:top w:val="none" w:sz="0" w:space="0" w:color="auto"/>
        <w:left w:val="none" w:sz="0" w:space="0" w:color="auto"/>
        <w:bottom w:val="none" w:sz="0" w:space="0" w:color="auto"/>
        <w:right w:val="none" w:sz="0" w:space="0" w:color="auto"/>
      </w:divBdr>
    </w:div>
    <w:div w:id="18818640">
      <w:bodyDiv w:val="1"/>
      <w:marLeft w:val="0"/>
      <w:marRight w:val="0"/>
      <w:marTop w:val="0"/>
      <w:marBottom w:val="0"/>
      <w:divBdr>
        <w:top w:val="none" w:sz="0" w:space="0" w:color="auto"/>
        <w:left w:val="none" w:sz="0" w:space="0" w:color="auto"/>
        <w:bottom w:val="none" w:sz="0" w:space="0" w:color="auto"/>
        <w:right w:val="none" w:sz="0" w:space="0" w:color="auto"/>
      </w:divBdr>
    </w:div>
    <w:div w:id="30737886">
      <w:bodyDiv w:val="1"/>
      <w:marLeft w:val="0"/>
      <w:marRight w:val="0"/>
      <w:marTop w:val="0"/>
      <w:marBottom w:val="0"/>
      <w:divBdr>
        <w:top w:val="none" w:sz="0" w:space="0" w:color="auto"/>
        <w:left w:val="none" w:sz="0" w:space="0" w:color="auto"/>
        <w:bottom w:val="none" w:sz="0" w:space="0" w:color="auto"/>
        <w:right w:val="none" w:sz="0" w:space="0" w:color="auto"/>
      </w:divBdr>
    </w:div>
    <w:div w:id="357120489">
      <w:bodyDiv w:val="1"/>
      <w:marLeft w:val="0"/>
      <w:marRight w:val="0"/>
      <w:marTop w:val="0"/>
      <w:marBottom w:val="0"/>
      <w:divBdr>
        <w:top w:val="none" w:sz="0" w:space="0" w:color="auto"/>
        <w:left w:val="none" w:sz="0" w:space="0" w:color="auto"/>
        <w:bottom w:val="none" w:sz="0" w:space="0" w:color="auto"/>
        <w:right w:val="none" w:sz="0" w:space="0" w:color="auto"/>
      </w:divBdr>
    </w:div>
    <w:div w:id="371274810">
      <w:bodyDiv w:val="1"/>
      <w:marLeft w:val="0"/>
      <w:marRight w:val="0"/>
      <w:marTop w:val="0"/>
      <w:marBottom w:val="0"/>
      <w:divBdr>
        <w:top w:val="none" w:sz="0" w:space="0" w:color="auto"/>
        <w:left w:val="none" w:sz="0" w:space="0" w:color="auto"/>
        <w:bottom w:val="none" w:sz="0" w:space="0" w:color="auto"/>
        <w:right w:val="none" w:sz="0" w:space="0" w:color="auto"/>
      </w:divBdr>
    </w:div>
    <w:div w:id="473182892">
      <w:bodyDiv w:val="1"/>
      <w:marLeft w:val="0"/>
      <w:marRight w:val="0"/>
      <w:marTop w:val="0"/>
      <w:marBottom w:val="0"/>
      <w:divBdr>
        <w:top w:val="none" w:sz="0" w:space="0" w:color="auto"/>
        <w:left w:val="none" w:sz="0" w:space="0" w:color="auto"/>
        <w:bottom w:val="none" w:sz="0" w:space="0" w:color="auto"/>
        <w:right w:val="none" w:sz="0" w:space="0" w:color="auto"/>
      </w:divBdr>
    </w:div>
    <w:div w:id="493109895">
      <w:bodyDiv w:val="1"/>
      <w:marLeft w:val="0"/>
      <w:marRight w:val="0"/>
      <w:marTop w:val="0"/>
      <w:marBottom w:val="0"/>
      <w:divBdr>
        <w:top w:val="none" w:sz="0" w:space="0" w:color="auto"/>
        <w:left w:val="none" w:sz="0" w:space="0" w:color="auto"/>
        <w:bottom w:val="none" w:sz="0" w:space="0" w:color="auto"/>
        <w:right w:val="none" w:sz="0" w:space="0" w:color="auto"/>
      </w:divBdr>
    </w:div>
    <w:div w:id="590286324">
      <w:bodyDiv w:val="1"/>
      <w:marLeft w:val="0"/>
      <w:marRight w:val="0"/>
      <w:marTop w:val="0"/>
      <w:marBottom w:val="0"/>
      <w:divBdr>
        <w:top w:val="none" w:sz="0" w:space="0" w:color="auto"/>
        <w:left w:val="none" w:sz="0" w:space="0" w:color="auto"/>
        <w:bottom w:val="none" w:sz="0" w:space="0" w:color="auto"/>
        <w:right w:val="none" w:sz="0" w:space="0" w:color="auto"/>
      </w:divBdr>
    </w:div>
    <w:div w:id="592594878">
      <w:bodyDiv w:val="1"/>
      <w:marLeft w:val="0"/>
      <w:marRight w:val="0"/>
      <w:marTop w:val="0"/>
      <w:marBottom w:val="0"/>
      <w:divBdr>
        <w:top w:val="none" w:sz="0" w:space="0" w:color="auto"/>
        <w:left w:val="none" w:sz="0" w:space="0" w:color="auto"/>
        <w:bottom w:val="none" w:sz="0" w:space="0" w:color="auto"/>
        <w:right w:val="none" w:sz="0" w:space="0" w:color="auto"/>
      </w:divBdr>
    </w:div>
    <w:div w:id="679744597">
      <w:bodyDiv w:val="1"/>
      <w:marLeft w:val="0"/>
      <w:marRight w:val="0"/>
      <w:marTop w:val="0"/>
      <w:marBottom w:val="0"/>
      <w:divBdr>
        <w:top w:val="none" w:sz="0" w:space="0" w:color="auto"/>
        <w:left w:val="none" w:sz="0" w:space="0" w:color="auto"/>
        <w:bottom w:val="none" w:sz="0" w:space="0" w:color="auto"/>
        <w:right w:val="none" w:sz="0" w:space="0" w:color="auto"/>
      </w:divBdr>
    </w:div>
    <w:div w:id="853613637">
      <w:bodyDiv w:val="1"/>
      <w:marLeft w:val="0"/>
      <w:marRight w:val="0"/>
      <w:marTop w:val="0"/>
      <w:marBottom w:val="0"/>
      <w:divBdr>
        <w:top w:val="none" w:sz="0" w:space="0" w:color="auto"/>
        <w:left w:val="none" w:sz="0" w:space="0" w:color="auto"/>
        <w:bottom w:val="none" w:sz="0" w:space="0" w:color="auto"/>
        <w:right w:val="none" w:sz="0" w:space="0" w:color="auto"/>
      </w:divBdr>
    </w:div>
    <w:div w:id="1047070269">
      <w:bodyDiv w:val="1"/>
      <w:marLeft w:val="0"/>
      <w:marRight w:val="0"/>
      <w:marTop w:val="0"/>
      <w:marBottom w:val="0"/>
      <w:divBdr>
        <w:top w:val="none" w:sz="0" w:space="0" w:color="auto"/>
        <w:left w:val="none" w:sz="0" w:space="0" w:color="auto"/>
        <w:bottom w:val="none" w:sz="0" w:space="0" w:color="auto"/>
        <w:right w:val="none" w:sz="0" w:space="0" w:color="auto"/>
      </w:divBdr>
    </w:div>
    <w:div w:id="1094671970">
      <w:bodyDiv w:val="1"/>
      <w:marLeft w:val="0"/>
      <w:marRight w:val="0"/>
      <w:marTop w:val="0"/>
      <w:marBottom w:val="0"/>
      <w:divBdr>
        <w:top w:val="none" w:sz="0" w:space="0" w:color="auto"/>
        <w:left w:val="none" w:sz="0" w:space="0" w:color="auto"/>
        <w:bottom w:val="none" w:sz="0" w:space="0" w:color="auto"/>
        <w:right w:val="none" w:sz="0" w:space="0" w:color="auto"/>
      </w:divBdr>
    </w:div>
    <w:div w:id="1163164907">
      <w:bodyDiv w:val="1"/>
      <w:marLeft w:val="0"/>
      <w:marRight w:val="0"/>
      <w:marTop w:val="0"/>
      <w:marBottom w:val="0"/>
      <w:divBdr>
        <w:top w:val="none" w:sz="0" w:space="0" w:color="auto"/>
        <w:left w:val="none" w:sz="0" w:space="0" w:color="auto"/>
        <w:bottom w:val="none" w:sz="0" w:space="0" w:color="auto"/>
        <w:right w:val="none" w:sz="0" w:space="0" w:color="auto"/>
      </w:divBdr>
    </w:div>
    <w:div w:id="1165902111">
      <w:bodyDiv w:val="1"/>
      <w:marLeft w:val="0"/>
      <w:marRight w:val="0"/>
      <w:marTop w:val="0"/>
      <w:marBottom w:val="0"/>
      <w:divBdr>
        <w:top w:val="none" w:sz="0" w:space="0" w:color="auto"/>
        <w:left w:val="none" w:sz="0" w:space="0" w:color="auto"/>
        <w:bottom w:val="none" w:sz="0" w:space="0" w:color="auto"/>
        <w:right w:val="none" w:sz="0" w:space="0" w:color="auto"/>
      </w:divBdr>
    </w:div>
    <w:div w:id="1180201314">
      <w:bodyDiv w:val="1"/>
      <w:marLeft w:val="0"/>
      <w:marRight w:val="0"/>
      <w:marTop w:val="0"/>
      <w:marBottom w:val="0"/>
      <w:divBdr>
        <w:top w:val="none" w:sz="0" w:space="0" w:color="auto"/>
        <w:left w:val="none" w:sz="0" w:space="0" w:color="auto"/>
        <w:bottom w:val="none" w:sz="0" w:space="0" w:color="auto"/>
        <w:right w:val="none" w:sz="0" w:space="0" w:color="auto"/>
      </w:divBdr>
    </w:div>
    <w:div w:id="1213154750">
      <w:bodyDiv w:val="1"/>
      <w:marLeft w:val="0"/>
      <w:marRight w:val="0"/>
      <w:marTop w:val="0"/>
      <w:marBottom w:val="0"/>
      <w:divBdr>
        <w:top w:val="none" w:sz="0" w:space="0" w:color="auto"/>
        <w:left w:val="none" w:sz="0" w:space="0" w:color="auto"/>
        <w:bottom w:val="none" w:sz="0" w:space="0" w:color="auto"/>
        <w:right w:val="none" w:sz="0" w:space="0" w:color="auto"/>
      </w:divBdr>
    </w:div>
    <w:div w:id="1216165501">
      <w:bodyDiv w:val="1"/>
      <w:marLeft w:val="0"/>
      <w:marRight w:val="0"/>
      <w:marTop w:val="0"/>
      <w:marBottom w:val="0"/>
      <w:divBdr>
        <w:top w:val="none" w:sz="0" w:space="0" w:color="auto"/>
        <w:left w:val="none" w:sz="0" w:space="0" w:color="auto"/>
        <w:bottom w:val="none" w:sz="0" w:space="0" w:color="auto"/>
        <w:right w:val="none" w:sz="0" w:space="0" w:color="auto"/>
      </w:divBdr>
    </w:div>
    <w:div w:id="1228882103">
      <w:bodyDiv w:val="1"/>
      <w:marLeft w:val="0"/>
      <w:marRight w:val="0"/>
      <w:marTop w:val="0"/>
      <w:marBottom w:val="0"/>
      <w:divBdr>
        <w:top w:val="none" w:sz="0" w:space="0" w:color="auto"/>
        <w:left w:val="none" w:sz="0" w:space="0" w:color="auto"/>
        <w:bottom w:val="none" w:sz="0" w:space="0" w:color="auto"/>
        <w:right w:val="none" w:sz="0" w:space="0" w:color="auto"/>
      </w:divBdr>
    </w:div>
    <w:div w:id="1229851042">
      <w:bodyDiv w:val="1"/>
      <w:marLeft w:val="0"/>
      <w:marRight w:val="0"/>
      <w:marTop w:val="0"/>
      <w:marBottom w:val="0"/>
      <w:divBdr>
        <w:top w:val="none" w:sz="0" w:space="0" w:color="auto"/>
        <w:left w:val="none" w:sz="0" w:space="0" w:color="auto"/>
        <w:bottom w:val="none" w:sz="0" w:space="0" w:color="auto"/>
        <w:right w:val="none" w:sz="0" w:space="0" w:color="auto"/>
      </w:divBdr>
    </w:div>
    <w:div w:id="1357803395">
      <w:bodyDiv w:val="1"/>
      <w:marLeft w:val="0"/>
      <w:marRight w:val="0"/>
      <w:marTop w:val="0"/>
      <w:marBottom w:val="0"/>
      <w:divBdr>
        <w:top w:val="none" w:sz="0" w:space="0" w:color="auto"/>
        <w:left w:val="none" w:sz="0" w:space="0" w:color="auto"/>
        <w:bottom w:val="none" w:sz="0" w:space="0" w:color="auto"/>
        <w:right w:val="none" w:sz="0" w:space="0" w:color="auto"/>
      </w:divBdr>
    </w:div>
    <w:div w:id="1370953392">
      <w:bodyDiv w:val="1"/>
      <w:marLeft w:val="0"/>
      <w:marRight w:val="0"/>
      <w:marTop w:val="0"/>
      <w:marBottom w:val="0"/>
      <w:divBdr>
        <w:top w:val="none" w:sz="0" w:space="0" w:color="auto"/>
        <w:left w:val="none" w:sz="0" w:space="0" w:color="auto"/>
        <w:bottom w:val="none" w:sz="0" w:space="0" w:color="auto"/>
        <w:right w:val="none" w:sz="0" w:space="0" w:color="auto"/>
      </w:divBdr>
    </w:div>
    <w:div w:id="1477061914">
      <w:bodyDiv w:val="1"/>
      <w:marLeft w:val="0"/>
      <w:marRight w:val="0"/>
      <w:marTop w:val="0"/>
      <w:marBottom w:val="0"/>
      <w:divBdr>
        <w:top w:val="none" w:sz="0" w:space="0" w:color="auto"/>
        <w:left w:val="none" w:sz="0" w:space="0" w:color="auto"/>
        <w:bottom w:val="none" w:sz="0" w:space="0" w:color="auto"/>
        <w:right w:val="none" w:sz="0" w:space="0" w:color="auto"/>
      </w:divBdr>
    </w:div>
    <w:div w:id="1583182622">
      <w:bodyDiv w:val="1"/>
      <w:marLeft w:val="0"/>
      <w:marRight w:val="0"/>
      <w:marTop w:val="0"/>
      <w:marBottom w:val="0"/>
      <w:divBdr>
        <w:top w:val="none" w:sz="0" w:space="0" w:color="auto"/>
        <w:left w:val="none" w:sz="0" w:space="0" w:color="auto"/>
        <w:bottom w:val="none" w:sz="0" w:space="0" w:color="auto"/>
        <w:right w:val="none" w:sz="0" w:space="0" w:color="auto"/>
      </w:divBdr>
    </w:div>
    <w:div w:id="1627617523">
      <w:bodyDiv w:val="1"/>
      <w:marLeft w:val="0"/>
      <w:marRight w:val="0"/>
      <w:marTop w:val="0"/>
      <w:marBottom w:val="0"/>
      <w:divBdr>
        <w:top w:val="none" w:sz="0" w:space="0" w:color="auto"/>
        <w:left w:val="none" w:sz="0" w:space="0" w:color="auto"/>
        <w:bottom w:val="none" w:sz="0" w:space="0" w:color="auto"/>
        <w:right w:val="none" w:sz="0" w:space="0" w:color="auto"/>
      </w:divBdr>
    </w:div>
    <w:div w:id="1770003967">
      <w:bodyDiv w:val="1"/>
      <w:marLeft w:val="0"/>
      <w:marRight w:val="0"/>
      <w:marTop w:val="0"/>
      <w:marBottom w:val="0"/>
      <w:divBdr>
        <w:top w:val="none" w:sz="0" w:space="0" w:color="auto"/>
        <w:left w:val="none" w:sz="0" w:space="0" w:color="auto"/>
        <w:bottom w:val="none" w:sz="0" w:space="0" w:color="auto"/>
        <w:right w:val="none" w:sz="0" w:space="0" w:color="auto"/>
      </w:divBdr>
    </w:div>
    <w:div w:id="1873613204">
      <w:bodyDiv w:val="1"/>
      <w:marLeft w:val="0"/>
      <w:marRight w:val="0"/>
      <w:marTop w:val="0"/>
      <w:marBottom w:val="0"/>
      <w:divBdr>
        <w:top w:val="none" w:sz="0" w:space="0" w:color="auto"/>
        <w:left w:val="none" w:sz="0" w:space="0" w:color="auto"/>
        <w:bottom w:val="none" w:sz="0" w:space="0" w:color="auto"/>
        <w:right w:val="none" w:sz="0" w:space="0" w:color="auto"/>
      </w:divBdr>
      <w:divsChild>
        <w:div w:id="1642147409">
          <w:marLeft w:val="0"/>
          <w:marRight w:val="0"/>
          <w:marTop w:val="0"/>
          <w:marBottom w:val="0"/>
          <w:divBdr>
            <w:top w:val="none" w:sz="0" w:space="0" w:color="auto"/>
            <w:left w:val="none" w:sz="0" w:space="0" w:color="auto"/>
            <w:bottom w:val="none" w:sz="0" w:space="0" w:color="auto"/>
            <w:right w:val="none" w:sz="0" w:space="0" w:color="auto"/>
          </w:divBdr>
          <w:divsChild>
            <w:div w:id="1034118590">
              <w:marLeft w:val="0"/>
              <w:marRight w:val="0"/>
              <w:marTop w:val="0"/>
              <w:marBottom w:val="0"/>
              <w:divBdr>
                <w:top w:val="none" w:sz="0" w:space="0" w:color="auto"/>
                <w:left w:val="none" w:sz="0" w:space="0" w:color="auto"/>
                <w:bottom w:val="none" w:sz="0" w:space="0" w:color="auto"/>
                <w:right w:val="none" w:sz="0" w:space="0" w:color="auto"/>
              </w:divBdr>
              <w:divsChild>
                <w:div w:id="1707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065973">
      <w:bodyDiv w:val="1"/>
      <w:marLeft w:val="0"/>
      <w:marRight w:val="0"/>
      <w:marTop w:val="0"/>
      <w:marBottom w:val="0"/>
      <w:divBdr>
        <w:top w:val="none" w:sz="0" w:space="0" w:color="auto"/>
        <w:left w:val="none" w:sz="0" w:space="0" w:color="auto"/>
        <w:bottom w:val="none" w:sz="0" w:space="0" w:color="auto"/>
        <w:right w:val="none" w:sz="0" w:space="0" w:color="auto"/>
      </w:divBdr>
    </w:div>
    <w:div w:id="1961061267">
      <w:bodyDiv w:val="1"/>
      <w:marLeft w:val="0"/>
      <w:marRight w:val="0"/>
      <w:marTop w:val="0"/>
      <w:marBottom w:val="0"/>
      <w:divBdr>
        <w:top w:val="none" w:sz="0" w:space="0" w:color="auto"/>
        <w:left w:val="none" w:sz="0" w:space="0" w:color="auto"/>
        <w:bottom w:val="none" w:sz="0" w:space="0" w:color="auto"/>
        <w:right w:val="none" w:sz="0" w:space="0" w:color="auto"/>
      </w:divBdr>
    </w:div>
    <w:div w:id="2003118502">
      <w:bodyDiv w:val="1"/>
      <w:marLeft w:val="0"/>
      <w:marRight w:val="0"/>
      <w:marTop w:val="0"/>
      <w:marBottom w:val="0"/>
      <w:divBdr>
        <w:top w:val="none" w:sz="0" w:space="0" w:color="auto"/>
        <w:left w:val="none" w:sz="0" w:space="0" w:color="auto"/>
        <w:bottom w:val="none" w:sz="0" w:space="0" w:color="auto"/>
        <w:right w:val="none" w:sz="0" w:space="0" w:color="auto"/>
      </w:divBdr>
    </w:div>
    <w:div w:id="2045909323">
      <w:bodyDiv w:val="1"/>
      <w:marLeft w:val="0"/>
      <w:marRight w:val="0"/>
      <w:marTop w:val="0"/>
      <w:marBottom w:val="0"/>
      <w:divBdr>
        <w:top w:val="none" w:sz="0" w:space="0" w:color="auto"/>
        <w:left w:val="none" w:sz="0" w:space="0" w:color="auto"/>
        <w:bottom w:val="none" w:sz="0" w:space="0" w:color="auto"/>
        <w:right w:val="none" w:sz="0" w:space="0" w:color="auto"/>
      </w:divBdr>
    </w:div>
    <w:div w:id="2061318832">
      <w:bodyDiv w:val="1"/>
      <w:marLeft w:val="0"/>
      <w:marRight w:val="0"/>
      <w:marTop w:val="0"/>
      <w:marBottom w:val="0"/>
      <w:divBdr>
        <w:top w:val="none" w:sz="0" w:space="0" w:color="auto"/>
        <w:left w:val="none" w:sz="0" w:space="0" w:color="auto"/>
        <w:bottom w:val="none" w:sz="0" w:space="0" w:color="auto"/>
        <w:right w:val="none" w:sz="0" w:space="0" w:color="auto"/>
      </w:divBdr>
      <w:divsChild>
        <w:div w:id="2001275618">
          <w:marLeft w:val="0"/>
          <w:marRight w:val="0"/>
          <w:marTop w:val="100"/>
          <w:marBottom w:val="100"/>
          <w:divBdr>
            <w:top w:val="none" w:sz="0" w:space="0" w:color="auto"/>
            <w:left w:val="none" w:sz="0" w:space="0" w:color="auto"/>
            <w:bottom w:val="none" w:sz="0" w:space="0" w:color="auto"/>
            <w:right w:val="none" w:sz="0" w:space="0" w:color="auto"/>
          </w:divBdr>
          <w:divsChild>
            <w:div w:id="20430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ctrumreview@communication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ommunication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nalysysmason.com/About-Us/News/Insight/Economic-value-of-spectrum-Jan2013/" TargetMode="External"/><Relationship Id="rId2" Type="http://schemas.openxmlformats.org/officeDocument/2006/relationships/hyperlink" Target="http://www.acma.gov.au/theACMA/Library/researchacma/Research-reports/economic-impacts-of-mobile-broadband-1" TargetMode="External"/><Relationship Id="rId1" Type="http://schemas.openxmlformats.org/officeDocument/2006/relationships/hyperlink" Target="http://www.communications.gov.au/consultation_and_submissions/spectrum_revie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BCDE Corporate Colours">
      <a:dk1>
        <a:srgbClr val="00728F"/>
      </a:dk1>
      <a:lt1>
        <a:sysClr val="window" lastClr="FFFFFF"/>
      </a:lt1>
      <a:dk2>
        <a:srgbClr val="B7DDE8"/>
      </a:dk2>
      <a:lt2>
        <a:srgbClr val="DBEEF3"/>
      </a:lt2>
      <a:accent1>
        <a:srgbClr val="00728F"/>
      </a:accent1>
      <a:accent2>
        <a:srgbClr val="B7DDE8"/>
      </a:accent2>
      <a:accent3>
        <a:srgbClr val="DBEEF3"/>
      </a:accent3>
      <a:accent4>
        <a:srgbClr val="92CDDC"/>
      </a:accent4>
      <a:accent5>
        <a:srgbClr val="31859B"/>
      </a:accent5>
      <a:accent6>
        <a:srgbClr val="64B8CE"/>
      </a:accent6>
      <a:hlink>
        <a:srgbClr val="0000FF"/>
      </a:hlink>
      <a:folHlink>
        <a:srgbClr val="800080"/>
      </a:folHlink>
    </a:clrScheme>
    <a:fontScheme name="DBCDE Corporate Fonts">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PT DOCUMENT" ma:contentTypeID="0x010100407620DDFF47524F86BCF55EDD3946430100C8DCE7509DC18F408E5ACB0BE541B6BD" ma:contentTypeVersion="18" ma:contentTypeDescription="106" ma:contentTypeScope="" ma:versionID="2b319f57ee5d99c2188b17ac6031fe5b">
  <xsd:schema xmlns:xsd="http://www.w3.org/2001/XMLSchema" xmlns:xs="http://www.w3.org/2001/XMLSchema" xmlns:p="http://schemas.microsoft.com/office/2006/metadata/properties" xmlns:ns2="4597da67-68a3-4e9d-8803-ba3e1787ab6c" targetNamespace="http://schemas.microsoft.com/office/2006/metadata/properties" ma:root="true" ma:fieldsID="7565b05217e68dd819d60f5503df44cc"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trimRootDocACLCanViewMetadata" minOccurs="0"/>
                <xsd:element ref="ns2:trimRootDocACLCanUpdateDocument" minOccurs="0"/>
                <xsd:element ref="ns2:trimRootDocACLCanUpdateMetadata" minOccurs="0"/>
                <xsd:element ref="ns2:trimRootDocACLCanModifyAccess" minOccurs="0"/>
                <xsd:element ref="ns2:trimRootDocNotes" minOccurs="0"/>
                <xsd:element ref="ns2:hab31d4ae2264d5c8e77fd86c07e7635" minOccurs="0"/>
                <xsd:element ref="ns2:c1aa94c1bcce43cc9138ccb9c7bf6e69" minOccurs="0"/>
                <xsd:element ref="ns2:e65fcc6ef396426b9c231bd6b3bc54de" minOccurs="0"/>
                <xsd:element ref="ns2:dd9c7627a75f4720a6ccce58a35e4d75" minOccurs="0"/>
                <xsd:element ref="ns2:trimRootDocACLCanContributeDocuments" minOccurs="0"/>
                <xsd:element ref="ns2:l30152c64bc5409cb0d6af5fc7998329" minOccurs="0"/>
                <xsd:element ref="ns2:TaxCatchAll" minOccurs="0"/>
                <xsd:element ref="ns2:ie56bdfdc4a44ef997c05b4ed8c67594" minOccurs="0"/>
                <xsd:element ref="ns2:TaxCatchAllLabel"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39" minOccurs="0"/>
                <xsd:element ref="ns2:TrimUDF_String_40" minOccurs="0"/>
                <xsd:element ref="ns2:TrimUDF_String_696" minOccurs="0"/>
                <xsd:element ref="ns2:TrimUDF_Text_698" minOccurs="0"/>
                <xsd:element ref="ns2:TrimUDF_Text_7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2" nillable="true" ma:displayName="URI" ma:hidden="true" ma:internalName="trimRootDocURI" ma:readOnly="false">
      <xsd:simpleType>
        <xsd:restriction base="dms:Text">
          <xsd:maxLength value="255"/>
        </xsd:restriction>
      </xsd:simpleType>
    </xsd:element>
    <xsd:element name="trimRootDocParentURI" ma:index="3" nillable="true" ma:displayName="Parent URI" ma:internalName="trimRootDocParentURI" ma:readOnly="false">
      <xsd:simpleType>
        <xsd:restriction base="dms:Number"/>
      </xsd:simpleType>
    </xsd:element>
    <xsd:element name="trimRootDocSecurityLevel" ma:index="4" nillable="true" ma:displayName="Security Level" ma:default="For Official Use Only" ma:format="Dropdown" ma:internalName="trimRootDocSecurityLevel" ma:readOnly="false">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5" nillable="true" ma:displayName="Security Caveats" ma:default="Departmental Staff" ma:internalName="trimRootDocSecurityCaveats" ma:readOnly="false">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6" nillable="true" ma:displayName="Can View Document" ma:format="RadioButtons" ma:internalName="trimRootDocACLCanViewDocument" ma:readOnly="false">
      <xsd:simpleType>
        <xsd:restriction base="dms:Choice">
          <xsd:enumeration value="Inherit"/>
          <xsd:enumeration value="Everyone"/>
          <xsd:enumeration value="Custom"/>
        </xsd:restriction>
      </xsd:simpleType>
    </xsd:element>
    <xsd:element name="trimRootDocACLCanViewMetadata" ma:index="8" nillable="true" ma:displayName="Can View Metadata" ma:format="RadioButtons" ma:internalName="trimRootDocACLCanViewMetadata" ma:readOnly="false">
      <xsd:simpleType>
        <xsd:restriction base="dms:Choice">
          <xsd:enumeration value="Inherit"/>
          <xsd:enumeration value="Everyone"/>
          <xsd:enumeration value="Custom"/>
        </xsd:restriction>
      </xsd:simpleType>
    </xsd:element>
    <xsd:element name="trimRootDocACLCanUpdateDocument" ma:index="10" nillable="true" ma:displayName="Can Update Document" ma:format="RadioButtons" ma:internalName="trimRootDocACLCanUpdateDocument" ma:readOnly="false">
      <xsd:simpleType>
        <xsd:restriction base="dms:Choice">
          <xsd:enumeration value="Inherit"/>
          <xsd:enumeration value="Everyone"/>
          <xsd:enumeration value="Custom"/>
        </xsd:restriction>
      </xsd:simpleType>
    </xsd:element>
    <xsd:element name="trimRootDocACLCanUpdateMetadata" ma:index="12" nillable="true" ma:displayName="Can Update Metadata" ma:format="RadioButtons" ma:internalName="trimRootDocACLCanUpdateMetadata" ma:readOnly="false">
      <xsd:simpleType>
        <xsd:restriction base="dms:Choice">
          <xsd:enumeration value="Inherit"/>
          <xsd:enumeration value="Everyone"/>
          <xsd:enumeration value="Custom"/>
        </xsd:restriction>
      </xsd:simpleType>
    </xsd:element>
    <xsd:element name="trimRootDocACLCanModifyAccess" ma:index="14" nillable="true" ma:displayName="Can Modify Access" ma:format="RadioButtons" ma:internalName="trimRootDocACLCanModifyAccess" ma:readOnly="false">
      <xsd:simpleType>
        <xsd:restriction base="dms:Choice">
          <xsd:enumeration value="Inherit"/>
          <xsd:enumeration value="Everyone"/>
          <xsd:enumeration value="Custom"/>
        </xsd:restriction>
      </xsd:simpleType>
    </xsd:element>
    <xsd:element name="trimRootDocNotes" ma:index="16" nillable="true" ma:displayName="Notes" ma:internalName="trimRootDocNotes" ma:readOnly="false">
      <xsd:simpleType>
        <xsd:restriction base="dms:Note"/>
      </xsd:simpleType>
    </xsd:element>
    <xsd:element name="hab31d4ae2264d5c8e77fd86c07e7635" ma:index="18" nillable="true" ma:taxonomy="true" ma:internalName="hab31d4ae2264d5c8e77fd86c07e7635" ma:taxonomyFieldName="trimRootDocACLCanViewMetadata_List" ma:displayName="Can View Metadata List" ma:readOnly="false"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c1aa94c1bcce43cc9138ccb9c7bf6e69" ma:index="21" nillable="true" ma:taxonomy="true" ma:internalName="c1aa94c1bcce43cc9138ccb9c7bf6e69" ma:taxonomyFieldName="trimRootDocACLCanUpdateDocument_List" ma:displayName="Can Update Document List" ma:readOnly="false"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65fcc6ef396426b9c231bd6b3bc54de" ma:index="24" nillable="true" ma:taxonomy="true" ma:internalName="e65fcc6ef396426b9c231bd6b3bc54de" ma:taxonomyFieldName="trimRootDocACLCanUpdateMetadata_List" ma:displayName="Can Update Metadata List" ma:readOnly="false"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dd9c7627a75f4720a6ccce58a35e4d75" ma:index="25" nillable="true" ma:taxonomy="true" ma:internalName="dd9c7627a75f4720a6ccce58a35e4d75" ma:taxonomyFieldName="trimRootDocACLCanViewDocument_List" ma:displayName="Can View Document List" ma:readOnly="false"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ie56bdfdc4a44ef997c05b4ed8c67594" ma:index="30" nillable="true" ma:taxonomy="true" ma:internalName="ie56bdfdc4a44ef997c05b4ed8c67594" ma:taxonomyFieldName="trimRootDocACLCanModifyAccess_List" ma:displayName="Can Modify Access List" ma:readOnly="false"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readOnly="false"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39" ma:index="41" nillable="true" ma:displayName="Document Type" ma:format="Dropdown" ma:hidden="true" ma:internalName="TrimUDF_String_39" ma:readOnly="false">
      <xsd:simpleType>
        <xsd:restriction base="dms:Choice">
          <xsd:enumeration value="COMMUNITY RELATIONS"/>
          <xsd:enumeration value="EQUIPMENT, STORES AND VECHICLES"/>
          <xsd:enumeration value="FINANCIAL MANAGEMENT"/>
          <xsd:enumeration value="GOVERNMENT AND IT &amp; T"/>
          <xsd:enumeration value="GOVERNMENT RELATIONS"/>
          <xsd:enumeration value="INDUSTRY DEVELOPMENT"/>
          <xsd:enumeration value="INFORMATION MANAGEMENT"/>
          <xsd:enumeration value="INFORMATION SYSTEMS"/>
          <xsd:enumeration value="LEGAL SERVICES"/>
          <xsd:enumeration value="PROPERTY MANAGEMENT"/>
          <xsd:enumeration value="RESEARCH AND STATISTICS"/>
          <xsd:enumeration value="STRATEGIC MANAGEMENT"/>
        </xsd:restriction>
      </xsd:simpleType>
    </xsd:element>
    <xsd:element name="TrimUDF_String_40" ma:index="42" nillable="true" ma:displayName="Classification 2" ma:format="Dropdown" ma:hidden="true" ma:internalName="TrimUDF_String_40" ma:readOnly="false">
      <xsd:simpleType>
        <xsd:restriction base="dms:Choice">
          <xsd:enumeration value="ACCESS AND EQUITY"/>
          <xsd:enumeration value="ACQUISITION AND DISPOSAL"/>
          <xsd:enumeration value="ASSET MANAGEMENT"/>
          <xsd:enumeration value="AUDITS"/>
          <xsd:enumeration value="BUDGETING"/>
          <xsd:enumeration value="BUSINESS IMPROVEMENT"/>
          <xsd:enumeration value="INTERGOVERNMENT LIAISON"/>
          <xsd:enumeration value="LEASING"/>
          <xsd:enumeration value="LEGAL ADVICE"/>
          <xsd:enumeration value="MAINTENANCE"/>
          <xsd:enumeration value="MEDIA RELATIONS"/>
          <xsd:enumeration value="PRIVACY"/>
          <xsd:enumeration value="PROJECTS"/>
          <xsd:enumeration value="PUBLIC REACTION"/>
          <xsd:enumeration value="REVIEWS"/>
          <xsd:enumeration value="RISK MANAGEMENT"/>
          <xsd:enumeration value="SECURITY"/>
          <xsd:enumeration value="STATISTICS"/>
        </xsd:restriction>
      </xsd:simpleType>
    </xsd:element>
    <xsd:element name="TrimUDF_String_696" ma:index="43" nillable="true" ma:displayName="Delete" ma:format="Dropdown" ma:hidden="true" ma:internalName="TrimUDF_String_696" ma:readOnly="false">
      <xsd:simpleType>
        <xsd:restriction base="dms:Choice">
          <xsd:enumeration value="Copy"/>
          <xsd:enumeration value="Draft"/>
          <xsd:enumeration value="Personal"/>
          <xsd:enumeration value="Published"/>
          <xsd:enumeration value="Transitory"/>
          <xsd:enumeration value="Working Paper"/>
        </xsd:restriction>
      </xsd:simpleType>
    </xsd:element>
    <xsd:element name="TrimUDF_Text_698" ma:index="44" nillable="true" ma:displayName="IMS Display" ma:hidden="true" ma:internalName="TrimUDF_Text_698" ma:readOnly="false">
      <xsd:simpleType>
        <xsd:restriction base="dms:Note"/>
      </xsd:simpleType>
    </xsd:element>
    <xsd:element name="TrimUDF_Text_706" ma:index="45" nillable="true" ma:displayName="Published" ma:hidden="true" ma:internalName="TrimUDF_Text_706"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imRootDocACLCanViewDocument xmlns="4597da67-68a3-4e9d-8803-ba3e1787ab6c" xsi:nil="true"/>
    <trimRootDocNotes xmlns="4597da67-68a3-4e9d-8803-ba3e1787ab6c" xsi:nil="true"/>
    <trimRootDocACLCanUpdateMetadata xmlns="4597da67-68a3-4e9d-8803-ba3e1787ab6c" xsi:nil="true"/>
    <trimRootDocACLCanModifyAccess xmlns="4597da67-68a3-4e9d-8803-ba3e1787ab6c" xsi:nil="true"/>
    <trimRootDocSecurityCaveats xmlns="4597da67-68a3-4e9d-8803-ba3e1787ab6c"/>
    <trimRootDocSecurityLevel xmlns="4597da67-68a3-4e9d-8803-ba3e1787ab6c" xsi:nil="true"/>
    <trimRootDocACLCanContributeDocuments xmlns="4597da67-68a3-4e9d-8803-ba3e1787ab6c" xsi:nil="true"/>
    <trimRootDocACLCanUpdateDocument xmlns="4597da67-68a3-4e9d-8803-ba3e1787ab6c" xsi:nil="true"/>
    <trimRootDocACLCanViewMetadata xmlns="4597da67-68a3-4e9d-8803-ba3e1787ab6c" xsi:nil="true"/>
    <TaxCatchAll xmlns="4597da67-68a3-4e9d-8803-ba3e1787ab6c">
      <Value>108</Value>
    </TaxCatchAll>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TermInfo xmlns="http://schemas.microsoft.com/office/infopath/2007/PartnerControls">
          <TermName xmlns="http://schemas.microsoft.com/office/infopath/2007/PartnerControls">Digital Services [Organization] [internal] [39651]</TermName>
          <TermId xmlns="http://schemas.microsoft.com/office/infopath/2007/PartnerControls">92173ae4-1943-468d-b866-209df659728d</TermId>
        </TermInfo>
      </Terms>
    </me786d0e3c9949dc83d6a9826d3f7afb>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c1aa94c1bcce43cc9138ccb9c7bf6e69 xmlns="4597da67-68a3-4e9d-8803-ba3e1787ab6c">
      <Terms xmlns="http://schemas.microsoft.com/office/infopath/2007/PartnerControls"/>
    </c1aa94c1bcce43cc9138ccb9c7bf6e69>
    <TrimUDF_String_40 xmlns="4597da67-68a3-4e9d-8803-ba3e1787ab6c" xsi:nil="true"/>
    <TrimUDF_Text_698 xmlns="4597da67-68a3-4e9d-8803-ba3e1787ab6c" xsi:nil="true"/>
    <TrimUDF_String_696 xmlns="4597da67-68a3-4e9d-8803-ba3e1787ab6c" xsi:nil="true"/>
    <TrimUDF_Text_706 xmlns="4597da67-68a3-4e9d-8803-ba3e1787ab6c" xsi:nil="true"/>
    <TrimUDF_String_39 xmlns="4597da67-68a3-4e9d-8803-ba3e1787ab6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354C4-AC5D-4A92-9F72-7702A63F7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6685C-B996-4B4B-BA56-E26D1F2395D2}">
  <ds:schemaRefs>
    <ds:schemaRef ds:uri="http://schemas.microsoft.com/sharepoint/v3/contenttype/forms"/>
  </ds:schemaRefs>
</ds:datastoreItem>
</file>

<file path=customXml/itemProps3.xml><?xml version="1.0" encoding="utf-8"?>
<ds:datastoreItem xmlns:ds="http://schemas.openxmlformats.org/officeDocument/2006/customXml" ds:itemID="{66011A2A-5942-4842-A4A8-5D8D21708BD8}">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4597da67-68a3-4e9d-8803-ba3e1787ab6c"/>
    <ds:schemaRef ds:uri="http://www.w3.org/XML/1998/namespace"/>
    <ds:schemaRef ds:uri="http://purl.org/dc/dcmitype/"/>
  </ds:schemaRefs>
</ds:datastoreItem>
</file>

<file path=customXml/itemProps4.xml><?xml version="1.0" encoding="utf-8"?>
<ds:datastoreItem xmlns:ds="http://schemas.openxmlformats.org/officeDocument/2006/customXml" ds:itemID="{F478D8E7-D86C-421C-B780-BB9DD0F1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6978</Words>
  <Characters>39779</Characters>
  <Application>Microsoft Office Word</Application>
  <DocSecurity>4</DocSecurity>
  <Lines>331</Lines>
  <Paragraphs>93</Paragraphs>
  <ScaleCrop>false</ScaleCrop>
  <HeadingPairs>
    <vt:vector size="2" baseType="variant">
      <vt:variant>
        <vt:lpstr>Title</vt:lpstr>
      </vt:variant>
      <vt:variant>
        <vt:i4>1</vt:i4>
      </vt:variant>
    </vt:vector>
  </HeadingPairs>
  <TitlesOfParts>
    <vt:vector size="1" baseType="lpstr">
      <vt:lpstr>Spectrum review directions paper - Final</vt:lpstr>
    </vt:vector>
  </TitlesOfParts>
  <Company>DBCDE</Company>
  <LinksUpToDate>false</LinksUpToDate>
  <CharactersWithSpaces>46664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review directions paper - Final</dc:title>
  <dc:subject>spectrum, spectrum review</dc:subject>
  <dc:creator>Tracey Smith</dc:creator>
  <dc:description>Issues for Review</dc:description>
  <cp:lastModifiedBy>Anderson, Luisa</cp:lastModifiedBy>
  <cp:revision>2</cp:revision>
  <cp:lastPrinted>2014-10-16T03:34:00Z</cp:lastPrinted>
  <dcterms:created xsi:type="dcterms:W3CDTF">2014-11-10T03:04:00Z</dcterms:created>
  <dcterms:modified xsi:type="dcterms:W3CDTF">2014-11-10T03:04:00Z</dcterms:modified>
  <cp:category>Other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DEPT DOCUMENT</vt:lpwstr>
  </property>
  <property fmtid="{D5CDD505-2E9C-101B-9397-08002B2CF9AE}" pid="3" name="ContentTypeId">
    <vt:lpwstr>0x010100407620DDFF47524F86BCF55EDD3946430100C8DCE7509DC18F408E5ACB0BE541B6BD</vt:lpwstr>
  </property>
  <property fmtid="{D5CDD505-2E9C-101B-9397-08002B2CF9AE}" pid="4" name="trimRootDocClassification">
    <vt:lpwstr/>
  </property>
  <property fmtid="{D5CDD505-2E9C-101B-9397-08002B2CF9AE}" pid="5" name="trimRootDocAssigneeLocation">
    <vt:lpwstr/>
  </property>
  <property fmtid="{D5CDD505-2E9C-101B-9397-08002B2CF9AE}" pid="6" name="trimRootDocACLCanUpdateMetadata_List">
    <vt:lpwstr/>
  </property>
  <property fmtid="{D5CDD505-2E9C-101B-9397-08002B2CF9AE}" pid="7" name="trimRootDocOtherContactLocation">
    <vt:lpwstr/>
  </property>
  <property fmtid="{D5CDD505-2E9C-101B-9397-08002B2CF9AE}" pid="8" name="trimRootDocACLCanModifyAccess_List">
    <vt:lpwstr/>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trimRootDocACLCanViewDocument_List">
    <vt:lpwstr/>
  </property>
  <property fmtid="{D5CDD505-2E9C-101B-9397-08002B2CF9AE}" pid="12" name="trimRootDocOwnerLocation">
    <vt:lpwstr>108;#Digital Services [Organization] [internal] [39651]|92173ae4-1943-468d-b866-209df659728d</vt:lpwstr>
  </property>
  <property fmtid="{D5CDD505-2E9C-101B-9397-08002B2CF9AE}" pid="13" name="trimRootDocACLCanContributeDocuments_List">
    <vt:lpwstr/>
  </property>
  <property fmtid="{D5CDD505-2E9C-101B-9397-08002B2CF9AE}" pid="14" name="TrimRevisionNumber">
    <vt:i4>7</vt:i4>
  </property>
</Properties>
</file>