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12E" w:rsidRPr="00B6112E" w:rsidRDefault="00B6112E" w:rsidP="00B6112E">
      <w:pPr>
        <w:spacing w:line="240" w:lineRule="auto"/>
        <w:jc w:val="center"/>
        <w:rPr>
          <w:b/>
          <w:sz w:val="36"/>
        </w:rPr>
      </w:pPr>
      <w:bookmarkStart w:id="0" w:name="_GoBack"/>
      <w:bookmarkEnd w:id="0"/>
      <w:r w:rsidRPr="00B6112E">
        <w:rPr>
          <w:b/>
          <w:sz w:val="36"/>
        </w:rPr>
        <w:t>Private Sector Use of Open Government Data</w:t>
      </w:r>
    </w:p>
    <w:p w:rsidR="00B6112E" w:rsidRPr="00B6112E" w:rsidRDefault="00B6112E" w:rsidP="00B6112E">
      <w:pPr>
        <w:spacing w:line="240" w:lineRule="auto"/>
        <w:jc w:val="center"/>
        <w:rPr>
          <w:b/>
          <w:sz w:val="28"/>
        </w:rPr>
      </w:pPr>
      <w:r w:rsidRPr="00B6112E">
        <w:rPr>
          <w:b/>
          <w:sz w:val="28"/>
        </w:rPr>
        <w:t>Results from the Open Data 500 Australia</w:t>
      </w:r>
    </w:p>
    <w:p w:rsidR="00FF6EAF" w:rsidRPr="000C7E92" w:rsidRDefault="00D5405A" w:rsidP="000C7E92">
      <w:pPr>
        <w:spacing w:line="240" w:lineRule="auto"/>
        <w:rPr>
          <w:b/>
        </w:rPr>
      </w:pPr>
      <w:r w:rsidRPr="000C7E92">
        <w:rPr>
          <w:b/>
        </w:rPr>
        <w:t>Economic Value of Open Data</w:t>
      </w:r>
    </w:p>
    <w:p w:rsidR="009F20EA" w:rsidRPr="009F20EA" w:rsidRDefault="009F20EA" w:rsidP="009F20EA">
      <w:pPr>
        <w:spacing w:before="180" w:after="180" w:line="240" w:lineRule="auto"/>
        <w:rPr>
          <w:rFonts w:cs="Times New Roman"/>
        </w:rPr>
      </w:pPr>
      <w:r w:rsidRPr="009F20EA">
        <w:rPr>
          <w:rFonts w:cs="Times New Roman"/>
        </w:rPr>
        <w:t xml:space="preserve">Open data is data that is publicly available at no cost to end-users. Open data can be used to launch commercial and non-profit ventures, do research, make data-driven decisions, and solve complex problems. </w:t>
      </w:r>
    </w:p>
    <w:p w:rsidR="009F20EA" w:rsidRPr="009F20EA" w:rsidRDefault="009F20EA" w:rsidP="009F20EA">
      <w:pPr>
        <w:spacing w:before="180" w:after="180" w:line="240" w:lineRule="auto"/>
        <w:rPr>
          <w:rFonts w:cs="Times New Roman"/>
        </w:rPr>
      </w:pPr>
      <w:r w:rsidRPr="009F20EA">
        <w:rPr>
          <w:rFonts w:cs="Times New Roman"/>
        </w:rPr>
        <w:t xml:space="preserve">Data produced and held by the Government is a valuable service of government to the general public, business and non-profit sector. However, until recently, there has been limited scope to realise the full value of this data. </w:t>
      </w:r>
    </w:p>
    <w:p w:rsidR="009F20EA" w:rsidRPr="009F20EA" w:rsidRDefault="009F20EA" w:rsidP="009F20EA">
      <w:pPr>
        <w:spacing w:before="180" w:after="180" w:line="240" w:lineRule="auto"/>
        <w:rPr>
          <w:rFonts w:cs="Times New Roman"/>
        </w:rPr>
      </w:pPr>
      <w:r w:rsidRPr="009F20EA">
        <w:rPr>
          <w:rFonts w:cs="Times New Roman"/>
        </w:rPr>
        <w:t xml:space="preserve">There are three drivers influencing the economic value of open data: new business created through apps and websites; more efficient interaction between Government and the private sector; and more efficient business practices within Government itself. </w:t>
      </w:r>
    </w:p>
    <w:p w:rsidR="009F20EA" w:rsidRDefault="009F20EA" w:rsidP="009F20EA">
      <w:pPr>
        <w:spacing w:before="180" w:after="180" w:line="240" w:lineRule="auto"/>
        <w:rPr>
          <w:rFonts w:cs="Roboto Light"/>
          <w:color w:val="626365"/>
          <w:position w:val="6"/>
          <w:sz w:val="11"/>
          <w:szCs w:val="11"/>
          <w:vertAlign w:val="superscript"/>
        </w:rPr>
      </w:pPr>
      <w:r w:rsidRPr="009F20EA">
        <w:rPr>
          <w:rFonts w:cs="Times New Roman"/>
        </w:rPr>
        <w:t>A 2013 report by PricewaterhouseCoopers estimated that data-driven innovation added $67 billion in new value to the Australian economy, or 4.4 percent of GDP. However, the report also indicates there is substantial room to improve, with an estimated $48 billion left on the table in potential value from data-driven innovation in 2013.</w:t>
      </w:r>
      <w:r w:rsidRPr="009F20EA">
        <w:rPr>
          <w:rFonts w:cs="Roboto Light"/>
          <w:position w:val="6"/>
          <w:vertAlign w:val="superscript"/>
        </w:rPr>
        <w:t xml:space="preserve">1 </w:t>
      </w:r>
    </w:p>
    <w:p w:rsidR="00D5405A" w:rsidRPr="000C7E92" w:rsidRDefault="00D5405A" w:rsidP="009F20EA">
      <w:pPr>
        <w:spacing w:line="240" w:lineRule="auto"/>
        <w:rPr>
          <w:b/>
        </w:rPr>
      </w:pPr>
      <w:r w:rsidRPr="000C7E92">
        <w:rPr>
          <w:b/>
        </w:rPr>
        <w:t>The Open Data Initiative</w:t>
      </w:r>
    </w:p>
    <w:p w:rsidR="009F20EA" w:rsidRPr="009F20EA" w:rsidRDefault="009F20EA" w:rsidP="009F20EA">
      <w:pPr>
        <w:spacing w:before="180" w:after="180" w:line="240" w:lineRule="auto"/>
        <w:rPr>
          <w:rFonts w:cs="Times New Roman"/>
        </w:rPr>
      </w:pPr>
      <w:r w:rsidRPr="009F20EA">
        <w:rPr>
          <w:rFonts w:cs="Times New Roman"/>
        </w:rPr>
        <w:t xml:space="preserve">In the Coalition’s Policy for E-Government and the Digital Economy, the Government committed to consulting a range of private sector and community organisations to identify value-adding public datasets not currently on data.gov.au. The Government further committed to working with agencies to expedite access to these datasets. </w:t>
      </w:r>
    </w:p>
    <w:p w:rsidR="009F20EA" w:rsidRPr="009F20EA" w:rsidRDefault="009F20EA" w:rsidP="009F20EA">
      <w:pPr>
        <w:spacing w:before="180" w:after="180" w:line="240" w:lineRule="auto"/>
        <w:rPr>
          <w:rFonts w:cs="Times New Roman"/>
        </w:rPr>
      </w:pPr>
      <w:r w:rsidRPr="009F20EA">
        <w:rPr>
          <w:rFonts w:cs="Times New Roman"/>
        </w:rPr>
        <w:t xml:space="preserve">At the time the election commitment was released only 514 datasets were available on data.gov.au. There are now over 7,000 datasets discoverable through the Government’s data portal (as at 29 July 2015). The Government has also worked to improve data delivery, with 2,200 datasets available on the NationalMap. </w:t>
      </w:r>
    </w:p>
    <w:p w:rsidR="009F20EA" w:rsidRPr="009F20EA" w:rsidRDefault="009F20EA" w:rsidP="009F20EA">
      <w:pPr>
        <w:spacing w:before="180" w:after="180" w:line="240" w:lineRule="auto"/>
        <w:rPr>
          <w:rFonts w:cs="Times New Roman"/>
        </w:rPr>
      </w:pPr>
      <w:r w:rsidRPr="009F20EA">
        <w:rPr>
          <w:rFonts w:cs="Times New Roman"/>
        </w:rPr>
        <w:t xml:space="preserve">The focus is on the publication of high value datasets, with an emphasis on quality rather than quantity. High value datasets are those which are valuable to business; help the public make informed decisions or improve user experiences; or assist government in making or communicating evidence-based policy decisions. </w:t>
      </w:r>
    </w:p>
    <w:p w:rsidR="00D5405A" w:rsidRPr="000C7E92" w:rsidRDefault="00D5405A" w:rsidP="009F20EA">
      <w:pPr>
        <w:spacing w:line="240" w:lineRule="auto"/>
        <w:rPr>
          <w:b/>
        </w:rPr>
      </w:pPr>
      <w:r w:rsidRPr="000C7E92">
        <w:rPr>
          <w:b/>
        </w:rPr>
        <w:t>Overview of the Open Data 500 Australia</w:t>
      </w:r>
    </w:p>
    <w:p w:rsidR="00D5405A" w:rsidRPr="000C7E92" w:rsidRDefault="00D5405A" w:rsidP="000C7E92">
      <w:pPr>
        <w:tabs>
          <w:tab w:val="left" w:pos="1657"/>
        </w:tabs>
        <w:spacing w:line="240" w:lineRule="auto"/>
        <w:rPr>
          <w:u w:val="single"/>
        </w:rPr>
      </w:pPr>
      <w:r w:rsidRPr="000C7E92">
        <w:rPr>
          <w:u w:val="single"/>
        </w:rPr>
        <w:t>Objectives</w:t>
      </w:r>
    </w:p>
    <w:p w:rsidR="009F20EA" w:rsidRPr="009F20EA" w:rsidRDefault="009F20EA" w:rsidP="009F20EA">
      <w:pPr>
        <w:spacing w:before="180" w:after="180" w:line="240" w:lineRule="auto"/>
        <w:rPr>
          <w:rFonts w:cs="Times New Roman"/>
        </w:rPr>
      </w:pPr>
      <w:r w:rsidRPr="009F20EA">
        <w:rPr>
          <w:rFonts w:cs="Times New Roman"/>
        </w:rPr>
        <w:t xml:space="preserve">The Open Data 500 Australia is the first comprehensive study of Australian companies and non-government organisations that use open government data to generate new business, develop new products and services or create social value. </w:t>
      </w:r>
    </w:p>
    <w:p w:rsidR="003F14B0" w:rsidRPr="000C7E92" w:rsidRDefault="003F14B0" w:rsidP="000C7E92">
      <w:pPr>
        <w:pStyle w:val="BodyText"/>
      </w:pPr>
      <w:r w:rsidRPr="000C7E92">
        <w:t>The objectives of the study are to:</w:t>
      </w:r>
    </w:p>
    <w:p w:rsidR="003F14B0" w:rsidRPr="000C7E92" w:rsidRDefault="003F14B0" w:rsidP="000C7E92">
      <w:pPr>
        <w:pStyle w:val="BodyText"/>
        <w:numPr>
          <w:ilvl w:val="0"/>
          <w:numId w:val="1"/>
        </w:numPr>
      </w:pPr>
      <w:r w:rsidRPr="000C7E92">
        <w:t xml:space="preserve">provide a basis for assessing the economic value of government open data; </w:t>
      </w:r>
    </w:p>
    <w:p w:rsidR="003F14B0" w:rsidRPr="000C7E92" w:rsidRDefault="003F14B0" w:rsidP="000C7E92">
      <w:pPr>
        <w:pStyle w:val="BodyText"/>
        <w:numPr>
          <w:ilvl w:val="0"/>
          <w:numId w:val="1"/>
        </w:numPr>
      </w:pPr>
      <w:r w:rsidRPr="000C7E92">
        <w:t>encourage the development of new open data companies; and</w:t>
      </w:r>
    </w:p>
    <w:p w:rsidR="003F14B0" w:rsidRPr="000C7E92" w:rsidRDefault="003F14B0" w:rsidP="000C7E92">
      <w:pPr>
        <w:pStyle w:val="BodyText"/>
        <w:numPr>
          <w:ilvl w:val="0"/>
          <w:numId w:val="1"/>
        </w:numPr>
      </w:pPr>
      <w:r w:rsidRPr="000C7E92">
        <w:t>foster a dialogue between government and business on how government data can be made more useful.</w:t>
      </w:r>
    </w:p>
    <w:p w:rsidR="00D5405A" w:rsidRPr="000C7E92" w:rsidRDefault="00D5405A" w:rsidP="000C7E92">
      <w:pPr>
        <w:spacing w:line="240" w:lineRule="auto"/>
        <w:rPr>
          <w:u w:val="single"/>
        </w:rPr>
      </w:pPr>
      <w:r w:rsidRPr="000C7E92">
        <w:rPr>
          <w:u w:val="single"/>
        </w:rPr>
        <w:t>Eligibility</w:t>
      </w:r>
    </w:p>
    <w:p w:rsidR="003F14B0" w:rsidRPr="000C7E92" w:rsidRDefault="003F14B0" w:rsidP="000C7E92">
      <w:pPr>
        <w:spacing w:line="240" w:lineRule="auto"/>
      </w:pPr>
      <w:r w:rsidRPr="000C7E92">
        <w:lastRenderedPageBreak/>
        <w:t>To qualify for the Open Data 500 Australia, an organisation must:</w:t>
      </w:r>
    </w:p>
    <w:p w:rsidR="003F14B0" w:rsidRPr="000C7E92" w:rsidRDefault="003F14B0" w:rsidP="000C7E92">
      <w:pPr>
        <w:pStyle w:val="BodyText"/>
        <w:numPr>
          <w:ilvl w:val="0"/>
          <w:numId w:val="1"/>
        </w:numPr>
      </w:pPr>
      <w:r w:rsidRPr="000C7E92">
        <w:t xml:space="preserve">have an operating presence in Australia; </w:t>
      </w:r>
    </w:p>
    <w:p w:rsidR="003F14B0" w:rsidRPr="000C7E92" w:rsidRDefault="003F14B0" w:rsidP="000C7E92">
      <w:pPr>
        <w:pStyle w:val="BodyText"/>
        <w:numPr>
          <w:ilvl w:val="0"/>
          <w:numId w:val="1"/>
        </w:numPr>
      </w:pPr>
      <w:r w:rsidRPr="000C7E92">
        <w:t>earn revenue from its products and services (non-profits may qualify if they have a sustainable revenue stream); and</w:t>
      </w:r>
    </w:p>
    <w:p w:rsidR="003F14B0" w:rsidRPr="000C7E92" w:rsidRDefault="002D13A0" w:rsidP="000C7E92">
      <w:pPr>
        <w:pStyle w:val="BodyText"/>
        <w:numPr>
          <w:ilvl w:val="0"/>
          <w:numId w:val="1"/>
        </w:numPr>
      </w:pPr>
      <w:r>
        <w:t>u</w:t>
      </w:r>
      <w:r w:rsidR="003F14B0" w:rsidRPr="000C7E92">
        <w:t>se open government data as a business or operation resource.</w:t>
      </w:r>
    </w:p>
    <w:p w:rsidR="00D5405A" w:rsidRPr="000C7E92" w:rsidRDefault="00D5405A" w:rsidP="000C7E92">
      <w:pPr>
        <w:spacing w:line="240" w:lineRule="auto"/>
        <w:rPr>
          <w:u w:val="single"/>
        </w:rPr>
      </w:pPr>
      <w:r w:rsidRPr="000C7E92">
        <w:rPr>
          <w:u w:val="single"/>
        </w:rPr>
        <w:t>Timeframes</w:t>
      </w:r>
    </w:p>
    <w:p w:rsidR="003F14B0" w:rsidRPr="000C7E92" w:rsidRDefault="003F14B0" w:rsidP="000C7E92">
      <w:pPr>
        <w:spacing w:line="240" w:lineRule="auto"/>
      </w:pPr>
      <w:r w:rsidRPr="000C7E92">
        <w:t>The Minister for Communications, the Hon. Malcolm Turnbull MP, launched the Open Data 500 Australia on 10 March 2015. This report analyses results received up until 6 July 2015.</w:t>
      </w:r>
    </w:p>
    <w:p w:rsidR="00D5405A" w:rsidRPr="000C7E92" w:rsidRDefault="00D5405A" w:rsidP="000C7E92">
      <w:pPr>
        <w:spacing w:line="240" w:lineRule="auto"/>
        <w:rPr>
          <w:b/>
        </w:rPr>
      </w:pPr>
      <w:r w:rsidRPr="000C7E92">
        <w:rPr>
          <w:b/>
        </w:rPr>
        <w:t>Results</w:t>
      </w:r>
    </w:p>
    <w:p w:rsidR="00D5405A" w:rsidRPr="000C7E92" w:rsidRDefault="00D5405A" w:rsidP="000C7E92">
      <w:pPr>
        <w:spacing w:line="240" w:lineRule="auto"/>
        <w:rPr>
          <w:u w:val="single"/>
        </w:rPr>
      </w:pPr>
      <w:r w:rsidRPr="000C7E92">
        <w:rPr>
          <w:u w:val="single"/>
        </w:rPr>
        <w:t>Quantitative analysis</w:t>
      </w:r>
    </w:p>
    <w:p w:rsidR="000C7E92" w:rsidRPr="000C7E92" w:rsidRDefault="000C7E92" w:rsidP="000C7E92">
      <w:r w:rsidRPr="000C7E92">
        <w:t xml:space="preserve">There were 65 </w:t>
      </w:r>
      <w:r w:rsidR="000A6FD3">
        <w:t xml:space="preserve">use cases provided </w:t>
      </w:r>
      <w:r w:rsidR="000A6FD3" w:rsidRPr="000C7E92">
        <w:t>by eligible organisations</w:t>
      </w:r>
      <w:r w:rsidR="000A6FD3">
        <w:t xml:space="preserve"> to</w:t>
      </w:r>
      <w:r w:rsidRPr="000C7E92">
        <w:t xml:space="preserve"> the Open Data 500 </w:t>
      </w:r>
      <w:r w:rsidR="009F20EA">
        <w:t xml:space="preserve">Australia </w:t>
      </w:r>
      <w:r w:rsidRPr="000C7E92">
        <w:t>as at 6 July 2015.</w:t>
      </w:r>
    </w:p>
    <w:p w:rsidR="000C7E92" w:rsidRPr="000C7E92" w:rsidRDefault="000C7E92" w:rsidP="000C7E92">
      <w:r w:rsidRPr="000C7E92">
        <w:t xml:space="preserve">The majority of participants in the Open Data 500 were: </w:t>
      </w:r>
    </w:p>
    <w:p w:rsidR="000C7E92" w:rsidRPr="000C7E92" w:rsidRDefault="000C7E92" w:rsidP="000C7E92">
      <w:pPr>
        <w:pStyle w:val="BodyText"/>
        <w:numPr>
          <w:ilvl w:val="0"/>
          <w:numId w:val="1"/>
        </w:numPr>
      </w:pPr>
      <w:r w:rsidRPr="000C7E92">
        <w:t xml:space="preserve">data/technology companies (25%); </w:t>
      </w:r>
    </w:p>
    <w:p w:rsidR="000C7E92" w:rsidRPr="000C7E92" w:rsidRDefault="000C7E92" w:rsidP="000C7E92">
      <w:pPr>
        <w:pStyle w:val="BodyText"/>
        <w:numPr>
          <w:ilvl w:val="0"/>
          <w:numId w:val="1"/>
        </w:numPr>
      </w:pPr>
      <w:r w:rsidRPr="000C7E92">
        <w:t xml:space="preserve">research/consulting companies (15%); and </w:t>
      </w:r>
    </w:p>
    <w:p w:rsidR="000C7E92" w:rsidRPr="000C7E92" w:rsidRDefault="000C7E92" w:rsidP="000C7E92">
      <w:pPr>
        <w:pStyle w:val="BodyText"/>
        <w:numPr>
          <w:ilvl w:val="0"/>
          <w:numId w:val="1"/>
        </w:numPr>
      </w:pPr>
      <w:r w:rsidRPr="000C7E92">
        <w:t xml:space="preserve">geospatial/mapping organisations (12%). </w:t>
      </w:r>
    </w:p>
    <w:p w:rsidR="000C7E92" w:rsidRPr="000C7E92" w:rsidRDefault="000C7E92" w:rsidP="000C7E92">
      <w:r w:rsidRPr="000C7E92">
        <w:t xml:space="preserve">Most were private organisations (69%) </w:t>
      </w:r>
      <w:r w:rsidR="009F20EA">
        <w:t>or non-profit organisations (20</w:t>
      </w:r>
      <w:r w:rsidRPr="000C7E92">
        <w:t xml:space="preserve">%). Revenue sources included consulting (49%), government contracts (43%) and data analysis for clients (29%). </w:t>
      </w:r>
    </w:p>
    <w:p w:rsidR="000C7E92" w:rsidRPr="000C7E92" w:rsidRDefault="009F20EA" w:rsidP="000C7E92">
      <w:r>
        <w:t>78</w:t>
      </w:r>
      <w:r w:rsidR="000C7E92" w:rsidRPr="000C7E92">
        <w:t>% of participants were small businesses with less than 50 full time employees. This is in line with the US study, where 50% of respondents had ten or fewer employees.</w:t>
      </w:r>
    </w:p>
    <w:p w:rsidR="000C7E92" w:rsidRPr="000C7E92" w:rsidRDefault="000C7E92" w:rsidP="000C7E92">
      <w:r w:rsidRPr="000C7E92">
        <w:t>However, unlike the US study, where two thirds of respondents were founded in the last five years, 74% of participants in the Australia study were founded prior to 2010.</w:t>
      </w:r>
    </w:p>
    <w:p w:rsidR="000C7E92" w:rsidRPr="000C7E92" w:rsidRDefault="000C7E92" w:rsidP="000C7E92">
      <w:pPr>
        <w:pStyle w:val="BodyText"/>
      </w:pPr>
      <w:r w:rsidRPr="000C7E92">
        <w:t>40% of participants said they use between 11 and 50 data sources, 31% use less than ten and 22% use more than 100.</w:t>
      </w:r>
    </w:p>
    <w:p w:rsidR="009F20EA" w:rsidRDefault="009F20EA" w:rsidP="009F20EA">
      <w:pPr>
        <w:spacing w:after="120"/>
      </w:pPr>
      <w:r>
        <w:t>Government datasets are used:</w:t>
      </w:r>
    </w:p>
    <w:p w:rsidR="009F20EA" w:rsidRDefault="009F20EA" w:rsidP="009F20EA">
      <w:pPr>
        <w:pStyle w:val="BodyText"/>
        <w:numPr>
          <w:ilvl w:val="0"/>
          <w:numId w:val="1"/>
        </w:numPr>
      </w:pPr>
      <w:r>
        <w:t>for clients, research, government and private sector projects;</w:t>
      </w:r>
    </w:p>
    <w:p w:rsidR="009F20EA" w:rsidRDefault="009F20EA" w:rsidP="009F20EA">
      <w:pPr>
        <w:pStyle w:val="BodyText"/>
        <w:numPr>
          <w:ilvl w:val="0"/>
          <w:numId w:val="1"/>
        </w:numPr>
      </w:pPr>
      <w:r>
        <w:t>to assist with analysis and design;</w:t>
      </w:r>
    </w:p>
    <w:p w:rsidR="009F20EA" w:rsidRDefault="009F20EA" w:rsidP="009F20EA">
      <w:pPr>
        <w:pStyle w:val="BodyText"/>
        <w:numPr>
          <w:ilvl w:val="0"/>
          <w:numId w:val="1"/>
        </w:numPr>
      </w:pPr>
      <w:r>
        <w:t>to help forecast sales; and</w:t>
      </w:r>
    </w:p>
    <w:p w:rsidR="009F20EA" w:rsidRDefault="009F20EA" w:rsidP="009F20EA">
      <w:pPr>
        <w:pStyle w:val="BodyText"/>
        <w:numPr>
          <w:ilvl w:val="0"/>
          <w:numId w:val="1"/>
        </w:numPr>
      </w:pPr>
      <w:r>
        <w:t>to contribute to asset lifecycles.</w:t>
      </w:r>
    </w:p>
    <w:p w:rsidR="000C7E92" w:rsidRPr="000C7E92" w:rsidRDefault="000C7E92" w:rsidP="000C7E92">
      <w:pPr>
        <w:pStyle w:val="BodyText"/>
      </w:pPr>
      <w:r w:rsidRPr="000C7E92">
        <w:t>The most commonly used data was geospatial/mapping data, with 60% of participants saying they use it within their organisation. Other types of data commonly used by the private sector included environment</w:t>
      </w:r>
      <w:r w:rsidR="009F20EA">
        <w:t>al data</w:t>
      </w:r>
      <w:r w:rsidRPr="000C7E92">
        <w:t xml:space="preserve"> (49%), demographic and social </w:t>
      </w:r>
      <w:r w:rsidR="009F20EA">
        <w:t xml:space="preserve">data </w:t>
      </w:r>
      <w:r w:rsidRPr="000C7E92">
        <w:t xml:space="preserve">(45%) and positioning/GPS </w:t>
      </w:r>
      <w:r w:rsidR="009F20EA">
        <w:t xml:space="preserve">data </w:t>
      </w:r>
      <w:r w:rsidRPr="000C7E92">
        <w:t>(42%).</w:t>
      </w:r>
    </w:p>
    <w:p w:rsidR="000C7E92" w:rsidRPr="000C7E92" w:rsidRDefault="000C7E92" w:rsidP="000C7E92">
      <w:pPr>
        <w:spacing w:line="240" w:lineRule="auto"/>
        <w:rPr>
          <w:u w:val="single"/>
        </w:rPr>
      </w:pPr>
      <w:r w:rsidRPr="000C7E92">
        <w:t>Most Australian organisations are using open data to create new or improved products and services (65%), to generate cost efficiencies (55%) and to identify new opportunities (51%).</w:t>
      </w:r>
    </w:p>
    <w:p w:rsidR="00AA73A1" w:rsidRDefault="00AA73A1" w:rsidP="00AA73A1">
      <w:pPr>
        <w:spacing w:after="120"/>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The biggest challenges in using open data were related to access, accuracy and level of detail of the data.</w:t>
      </w:r>
    </w:p>
    <w:p w:rsidR="009F20EA" w:rsidRPr="000C7E92" w:rsidRDefault="009F20EA" w:rsidP="009F20EA">
      <w:r w:rsidRPr="000C7E92">
        <w:t>Participants were asked if their organisation’s mission had a direct, beneficial social impact. The top social impacts cited were:</w:t>
      </w:r>
    </w:p>
    <w:p w:rsidR="009F20EA" w:rsidRPr="000C7E92" w:rsidRDefault="009F20EA" w:rsidP="009F20EA">
      <w:pPr>
        <w:pStyle w:val="BodyText"/>
        <w:numPr>
          <w:ilvl w:val="0"/>
          <w:numId w:val="1"/>
        </w:numPr>
      </w:pPr>
      <w:r w:rsidRPr="000C7E92">
        <w:t>citizen engagement and participation (52%);</w:t>
      </w:r>
    </w:p>
    <w:p w:rsidR="009F20EA" w:rsidRPr="000C7E92" w:rsidRDefault="009F20EA" w:rsidP="009F20EA">
      <w:pPr>
        <w:pStyle w:val="BodyText"/>
        <w:numPr>
          <w:ilvl w:val="0"/>
          <w:numId w:val="1"/>
        </w:numPr>
      </w:pPr>
      <w:r w:rsidRPr="000C7E92">
        <w:t>environment and climate change (48%); and</w:t>
      </w:r>
    </w:p>
    <w:p w:rsidR="009F20EA" w:rsidRPr="000C7E92" w:rsidRDefault="009F20EA" w:rsidP="009F20EA">
      <w:pPr>
        <w:pStyle w:val="BodyText"/>
        <w:numPr>
          <w:ilvl w:val="0"/>
          <w:numId w:val="1"/>
        </w:numPr>
      </w:pPr>
      <w:r w:rsidRPr="000C7E92">
        <w:t>good governance (40%).</w:t>
      </w:r>
    </w:p>
    <w:p w:rsidR="009F20EA" w:rsidRDefault="009F20EA" w:rsidP="009F20EA">
      <w:pPr>
        <w:pStyle w:val="BodyText"/>
        <w:rPr>
          <w:rFonts w:eastAsia="Times New Roman" w:cs="Times New Roman"/>
          <w:color w:val="000000"/>
          <w:lang w:eastAsia="en-AU"/>
        </w:rPr>
      </w:pPr>
      <w:r>
        <w:t>Social outcomes listed by participants included building trust with the community, e</w:t>
      </w:r>
      <w:r w:rsidRPr="0063596F">
        <w:rPr>
          <w:rFonts w:eastAsia="Times New Roman" w:cs="Times New Roman"/>
          <w:color w:val="000000"/>
          <w:lang w:eastAsia="en-AU"/>
        </w:rPr>
        <w:t xml:space="preserve">mpowering people to make more informed decisions, </w:t>
      </w:r>
      <w:r>
        <w:rPr>
          <w:rFonts w:eastAsia="Times New Roman" w:cs="Times New Roman"/>
          <w:color w:val="000000"/>
          <w:lang w:eastAsia="en-AU"/>
        </w:rPr>
        <w:t xml:space="preserve">and </w:t>
      </w:r>
      <w:r w:rsidRPr="0063596F">
        <w:rPr>
          <w:rFonts w:eastAsia="Times New Roman" w:cs="Times New Roman"/>
          <w:color w:val="000000"/>
          <w:lang w:eastAsia="en-AU"/>
        </w:rPr>
        <w:t>enabling people to self-serve and find information they need</w:t>
      </w:r>
      <w:r>
        <w:rPr>
          <w:rFonts w:eastAsia="Times New Roman" w:cs="Times New Roman"/>
          <w:color w:val="000000"/>
          <w:lang w:eastAsia="en-AU"/>
        </w:rPr>
        <w:t>.</w:t>
      </w:r>
    </w:p>
    <w:p w:rsidR="00AA73A1" w:rsidRPr="000C7E92" w:rsidRDefault="00AA73A1" w:rsidP="00AA73A1">
      <w:pPr>
        <w:spacing w:line="240" w:lineRule="auto"/>
        <w:rPr>
          <w:u w:val="single"/>
        </w:rPr>
      </w:pPr>
      <w:r>
        <w:rPr>
          <w:u w:val="single"/>
        </w:rPr>
        <w:t>Quotes</w:t>
      </w:r>
    </w:p>
    <w:p w:rsidR="009F20EA" w:rsidRDefault="009F20EA" w:rsidP="00AA73A1">
      <w:pPr>
        <w:spacing w:after="120"/>
      </w:pPr>
      <w:r>
        <w:t>“</w:t>
      </w:r>
      <w:r w:rsidRPr="009F20EA">
        <w:t>I would like to see the Government working more closely with industry to help coordinate open data opportunities that will improve those industries with regard to transparency, participation with stakeholders and collaboration within the value chain.</w:t>
      </w:r>
      <w:r>
        <w:t xml:space="preserve">” </w:t>
      </w:r>
      <w:r w:rsidRPr="009F20EA">
        <w:rPr>
          <w:i/>
        </w:rPr>
        <w:t>– Link Digital</w:t>
      </w:r>
    </w:p>
    <w:p w:rsidR="00AA73A1" w:rsidRPr="009F20EA" w:rsidRDefault="00AA73A1" w:rsidP="00AA73A1">
      <w:pPr>
        <w:spacing w:after="120"/>
        <w:rPr>
          <w:i/>
        </w:rPr>
      </w:pPr>
      <w:r>
        <w:t>“</w:t>
      </w:r>
      <w:r w:rsidRPr="00D75503">
        <w:t xml:space="preserve">Having </w:t>
      </w:r>
      <w:r w:rsidRPr="00D82CF4">
        <w:rPr>
          <w:b/>
        </w:rPr>
        <w:t>national, consistent datasets</w:t>
      </w:r>
      <w:r w:rsidRPr="00D75503">
        <w:t xml:space="preserve"> would allow governments, business and the community to use </w:t>
      </w:r>
      <w:r w:rsidRPr="009F20EA">
        <w:t xml:space="preserve">the data more readily and to better understand the risks.” – </w:t>
      </w:r>
      <w:r w:rsidRPr="009F20EA">
        <w:rPr>
          <w:i/>
        </w:rPr>
        <w:t>IAG Ltd</w:t>
      </w:r>
    </w:p>
    <w:p w:rsidR="00AA73A1" w:rsidRPr="009F20EA" w:rsidRDefault="00AA73A1" w:rsidP="00AA73A1">
      <w:pPr>
        <w:spacing w:after="120"/>
        <w:rPr>
          <w:i/>
        </w:rPr>
      </w:pPr>
      <w:r w:rsidRPr="009F20EA">
        <w:t xml:space="preserve">“Data that helps us </w:t>
      </w:r>
      <w:r w:rsidRPr="009F20EA">
        <w:rPr>
          <w:b/>
        </w:rPr>
        <w:t>measure our social impact</w:t>
      </w:r>
      <w:r w:rsidRPr="009F20EA">
        <w:t xml:space="preserve"> (the social return on investment) would also be valuable for our organisation as well as many others trying the benchmark and measure.” - </w:t>
      </w:r>
      <w:r w:rsidRPr="009F20EA">
        <w:rPr>
          <w:i/>
        </w:rPr>
        <w:t>Parklands Albury Wodonga Ltd</w:t>
      </w:r>
    </w:p>
    <w:p w:rsidR="00AA73A1" w:rsidRDefault="009F20EA" w:rsidP="00AA73A1">
      <w:pPr>
        <w:spacing w:after="120"/>
        <w:rPr>
          <w:i/>
          <w:color w:val="000000"/>
        </w:rPr>
      </w:pPr>
      <w:r w:rsidRPr="009F20EA">
        <w:rPr>
          <w:rFonts w:eastAsia="Times New Roman" w:cs="Times New Roman"/>
          <w:color w:val="000000"/>
          <w:lang w:eastAsia="en-AU"/>
        </w:rPr>
        <w:t xml:space="preserve"> </w:t>
      </w:r>
      <w:r w:rsidR="00AA73A1" w:rsidRPr="009F20EA">
        <w:rPr>
          <w:rFonts w:eastAsia="Times New Roman" w:cs="Times New Roman"/>
          <w:color w:val="000000"/>
          <w:lang w:eastAsia="en-AU"/>
        </w:rPr>
        <w:t xml:space="preserve">“Our experience to date is that most systems are </w:t>
      </w:r>
      <w:r w:rsidR="00AA73A1" w:rsidRPr="009F20EA">
        <w:rPr>
          <w:rFonts w:eastAsia="Times New Roman" w:cs="Times New Roman"/>
          <w:b/>
          <w:color w:val="000000"/>
          <w:lang w:eastAsia="en-AU"/>
        </w:rPr>
        <w:t>cumbersome</w:t>
      </w:r>
      <w:r w:rsidR="00AA73A1" w:rsidRPr="009F20EA">
        <w:rPr>
          <w:rFonts w:eastAsia="Times New Roman" w:cs="Times New Roman"/>
          <w:color w:val="000000"/>
          <w:lang w:eastAsia="en-AU"/>
        </w:rPr>
        <w:t xml:space="preserve"> and could be streamlined to allow smaller organisations such as ours to retrieve the information we are looking for in a much more efficient manner.” </w:t>
      </w:r>
      <w:r w:rsidRPr="009F20EA">
        <w:rPr>
          <w:rFonts w:eastAsia="Times New Roman" w:cs="Times New Roman"/>
          <w:color w:val="000000"/>
          <w:lang w:eastAsia="en-AU"/>
        </w:rPr>
        <w:t>–</w:t>
      </w:r>
      <w:r w:rsidR="00AA73A1" w:rsidRPr="009F20EA">
        <w:rPr>
          <w:rFonts w:eastAsia="Times New Roman" w:cs="Times New Roman"/>
          <w:color w:val="000000"/>
          <w:lang w:eastAsia="en-AU"/>
        </w:rPr>
        <w:t xml:space="preserve"> </w:t>
      </w:r>
      <w:r w:rsidR="00AA73A1" w:rsidRPr="009F20EA">
        <w:rPr>
          <w:i/>
          <w:color w:val="000000"/>
        </w:rPr>
        <w:t>GreenBizCheck</w:t>
      </w:r>
    </w:p>
    <w:p w:rsidR="00D5405A" w:rsidRPr="000C7E92" w:rsidRDefault="00D5405A" w:rsidP="000C7E92">
      <w:pPr>
        <w:spacing w:line="240" w:lineRule="auto"/>
        <w:rPr>
          <w:b/>
        </w:rPr>
      </w:pPr>
      <w:r w:rsidRPr="000C7E92">
        <w:rPr>
          <w:b/>
        </w:rPr>
        <w:t>Next Steps</w:t>
      </w:r>
    </w:p>
    <w:p w:rsidR="00ED698D" w:rsidRDefault="009F20EA" w:rsidP="000C7E92">
      <w:pPr>
        <w:spacing w:line="240" w:lineRule="auto"/>
        <w:rPr>
          <w:u w:val="single"/>
        </w:rPr>
      </w:pPr>
      <w:r>
        <w:rPr>
          <w:u w:val="single"/>
        </w:rPr>
        <w:t>Participate</w:t>
      </w:r>
    </w:p>
    <w:p w:rsidR="00ED698D" w:rsidRPr="00ED698D" w:rsidRDefault="00D5405A" w:rsidP="000C7E92">
      <w:pPr>
        <w:pStyle w:val="ListParagraph"/>
        <w:numPr>
          <w:ilvl w:val="0"/>
          <w:numId w:val="4"/>
        </w:numPr>
        <w:spacing w:line="240" w:lineRule="auto"/>
        <w:rPr>
          <w:u w:val="single"/>
        </w:rPr>
      </w:pPr>
      <w:r w:rsidRPr="00ED698D">
        <w:rPr>
          <w:b/>
        </w:rPr>
        <w:t>Survey to remain open</w:t>
      </w:r>
      <w:r w:rsidR="00ED698D" w:rsidRPr="00ED698D">
        <w:rPr>
          <w:b/>
        </w:rPr>
        <w:t xml:space="preserve"> - </w:t>
      </w:r>
      <w:r w:rsidR="000C7E92" w:rsidRPr="000C7E92">
        <w:t>The Open Data 500 Australia will remain open (</w:t>
      </w:r>
      <w:hyperlink r:id="rId7" w:history="1">
        <w:r w:rsidR="000C7E92" w:rsidRPr="000C7E92">
          <w:rPr>
            <w:rStyle w:val="Hyperlink"/>
          </w:rPr>
          <w:t>www.opendata500.com/au/submitCompany/</w:t>
        </w:r>
      </w:hyperlink>
      <w:r w:rsidR="000C7E92" w:rsidRPr="000C7E92">
        <w:t>) in order to continue to build the catalogue of open data use cases</w:t>
      </w:r>
      <w:r w:rsidR="00ED698D">
        <w:t>.</w:t>
      </w:r>
    </w:p>
    <w:p w:rsidR="009F20EA" w:rsidRPr="009F20EA" w:rsidRDefault="009F20EA" w:rsidP="009F20EA">
      <w:pPr>
        <w:spacing w:line="240" w:lineRule="auto"/>
        <w:rPr>
          <w:u w:val="single"/>
        </w:rPr>
      </w:pPr>
      <w:r w:rsidRPr="009F20EA">
        <w:rPr>
          <w:u w:val="single"/>
        </w:rPr>
        <w:t>Full use cases</w:t>
      </w:r>
    </w:p>
    <w:p w:rsidR="000C7E92" w:rsidRPr="00ED698D" w:rsidRDefault="00D5405A" w:rsidP="000C7E92">
      <w:pPr>
        <w:pStyle w:val="ListParagraph"/>
        <w:numPr>
          <w:ilvl w:val="0"/>
          <w:numId w:val="4"/>
        </w:numPr>
        <w:spacing w:line="240" w:lineRule="auto"/>
        <w:rPr>
          <w:b/>
        </w:rPr>
      </w:pPr>
      <w:r w:rsidRPr="00ED698D">
        <w:rPr>
          <w:b/>
        </w:rPr>
        <w:t>Results released as a dataset</w:t>
      </w:r>
      <w:r w:rsidR="00ED698D">
        <w:rPr>
          <w:b/>
        </w:rPr>
        <w:t xml:space="preserve"> - </w:t>
      </w:r>
      <w:r w:rsidR="000C7E92">
        <w:t xml:space="preserve">The responses received (up until 6 July 2015) are available as an open dataset on data.gov.au </w:t>
      </w:r>
      <w:r w:rsidR="002D13A0">
        <w:t>and the location of participating organisations</w:t>
      </w:r>
      <w:r w:rsidR="000C7E92">
        <w:t xml:space="preserve"> can be visualised on the NationalMap.</w:t>
      </w:r>
    </w:p>
    <w:p w:rsidR="00ED698D" w:rsidRDefault="00226203" w:rsidP="000C7E92">
      <w:pPr>
        <w:spacing w:line="240" w:lineRule="auto"/>
        <w:rPr>
          <w:u w:val="single"/>
        </w:rPr>
      </w:pPr>
      <w:r>
        <w:rPr>
          <w:u w:val="single"/>
        </w:rPr>
        <w:t>Next steps</w:t>
      </w:r>
    </w:p>
    <w:p w:rsidR="00226203" w:rsidRDefault="00226203" w:rsidP="00226203">
      <w:pPr>
        <w:pStyle w:val="ListParagraph"/>
        <w:numPr>
          <w:ilvl w:val="0"/>
          <w:numId w:val="5"/>
        </w:numPr>
        <w:spacing w:line="240" w:lineRule="auto"/>
      </w:pPr>
      <w:r>
        <w:rPr>
          <w:b/>
        </w:rPr>
        <w:t xml:space="preserve">More datasets released – </w:t>
      </w:r>
      <w:r w:rsidRPr="00FF5084">
        <w:t>I</w:t>
      </w:r>
      <w:r>
        <w:t>dentifying and publishing high value datasets in a manner that is as streamlined as possible and focussed on the user.</w:t>
      </w:r>
    </w:p>
    <w:p w:rsidR="00226203" w:rsidRDefault="00226203" w:rsidP="00226203">
      <w:pPr>
        <w:pStyle w:val="ListParagraph"/>
        <w:spacing w:line="240" w:lineRule="auto"/>
      </w:pPr>
    </w:p>
    <w:p w:rsidR="00226203" w:rsidRDefault="00226203" w:rsidP="00226203">
      <w:pPr>
        <w:pStyle w:val="ListParagraph"/>
        <w:numPr>
          <w:ilvl w:val="0"/>
          <w:numId w:val="5"/>
        </w:numPr>
        <w:spacing w:line="240" w:lineRule="auto"/>
      </w:pPr>
      <w:r>
        <w:rPr>
          <w:b/>
        </w:rPr>
        <w:t>More accessible data –</w:t>
      </w:r>
      <w:r>
        <w:t xml:space="preserve"> Ensuring licensing arrangements are appropriate and do not restrict innovation.</w:t>
      </w:r>
    </w:p>
    <w:p w:rsidR="00226203" w:rsidRDefault="00226203" w:rsidP="00226203">
      <w:pPr>
        <w:pStyle w:val="ListParagraph"/>
      </w:pPr>
    </w:p>
    <w:p w:rsidR="00226203" w:rsidRPr="00B14CDF" w:rsidRDefault="00226203" w:rsidP="00226203">
      <w:pPr>
        <w:pStyle w:val="ListParagraph"/>
        <w:numPr>
          <w:ilvl w:val="0"/>
          <w:numId w:val="5"/>
        </w:numPr>
        <w:spacing w:line="240" w:lineRule="auto"/>
        <w:rPr>
          <w:u w:val="single"/>
        </w:rPr>
      </w:pPr>
      <w:r>
        <w:rPr>
          <w:b/>
        </w:rPr>
        <w:t>More industry c</w:t>
      </w:r>
      <w:r w:rsidRPr="00ED698D">
        <w:rPr>
          <w:b/>
        </w:rPr>
        <w:t>onsultation -</w:t>
      </w:r>
      <w:r>
        <w:t xml:space="preserve"> E</w:t>
      </w:r>
      <w:r w:rsidRPr="000C7E92">
        <w:t>ngag</w:t>
      </w:r>
      <w:r>
        <w:t>ing Australian organisations</w:t>
      </w:r>
      <w:r w:rsidRPr="000C7E92">
        <w:t xml:space="preserve"> on a broader scale to understand how open government data can become more accessible and useable, including engaging those organisation</w:t>
      </w:r>
      <w:r>
        <w:t>s</w:t>
      </w:r>
      <w:r w:rsidRPr="000C7E92">
        <w:t xml:space="preserve"> that are not currently using open government data.</w:t>
      </w:r>
    </w:p>
    <w:p w:rsidR="00B14CDF" w:rsidRPr="00B14CDF" w:rsidRDefault="00B14CDF" w:rsidP="00B14CDF">
      <w:pPr>
        <w:pStyle w:val="ListParagraph"/>
        <w:rPr>
          <w:u w:val="single"/>
        </w:rPr>
      </w:pPr>
    </w:p>
    <w:p w:rsidR="00B14CDF" w:rsidRPr="00B14CDF" w:rsidRDefault="00B14CDF" w:rsidP="00B14CDF">
      <w:pPr>
        <w:spacing w:line="240" w:lineRule="auto"/>
        <w:rPr>
          <w:u w:val="single"/>
        </w:rPr>
      </w:pPr>
      <w:r w:rsidRPr="00B14CDF">
        <w:rPr>
          <w:u w:val="single"/>
        </w:rPr>
        <w:t xml:space="preserve">Join in the conversation </w:t>
      </w:r>
    </w:p>
    <w:p w:rsidR="00B14CDF" w:rsidRPr="00B14CDF" w:rsidRDefault="00B14CDF" w:rsidP="00B14CDF">
      <w:pPr>
        <w:spacing w:line="240" w:lineRule="auto"/>
      </w:pPr>
      <w:r w:rsidRPr="00B14CDF">
        <w:t xml:space="preserve">Web: opendata500.com/au </w:t>
      </w:r>
    </w:p>
    <w:p w:rsidR="00B14CDF" w:rsidRPr="00B14CDF" w:rsidRDefault="00B14CDF" w:rsidP="00B14CDF">
      <w:pPr>
        <w:spacing w:line="240" w:lineRule="auto"/>
      </w:pPr>
      <w:r w:rsidRPr="00B14CDF">
        <w:t xml:space="preserve">Email: opendata@communications.gov.au </w:t>
      </w:r>
    </w:p>
    <w:p w:rsidR="00B14CDF" w:rsidRPr="00B14CDF" w:rsidRDefault="00B14CDF" w:rsidP="00B14CDF">
      <w:pPr>
        <w:spacing w:line="240" w:lineRule="auto"/>
      </w:pPr>
      <w:r w:rsidRPr="00B14CDF">
        <w:t>Twitter: #OD500AU</w:t>
      </w:r>
    </w:p>
    <w:p w:rsidR="000C7E92" w:rsidRPr="00ED698D" w:rsidRDefault="000C7E92" w:rsidP="00226203">
      <w:pPr>
        <w:pStyle w:val="ListParagraph"/>
        <w:spacing w:line="240" w:lineRule="auto"/>
        <w:rPr>
          <w:u w:val="single"/>
        </w:rPr>
      </w:pPr>
    </w:p>
    <w:sectPr w:rsidR="000C7E92" w:rsidRPr="00ED698D" w:rsidSect="00B6112E">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E92" w:rsidRDefault="000C7E92" w:rsidP="000C7E92">
      <w:pPr>
        <w:spacing w:after="0" w:line="240" w:lineRule="auto"/>
      </w:pPr>
      <w:r>
        <w:separator/>
      </w:r>
    </w:p>
  </w:endnote>
  <w:endnote w:type="continuationSeparator" w:id="0">
    <w:p w:rsidR="000C7E92" w:rsidRDefault="000C7E92" w:rsidP="000C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Roboto Light">
    <w:altName w:val="Roboto Light"/>
    <w:panose1 w:val="00000000000000000000"/>
    <w:charset w:val="00"/>
    <w:family w:val="swiss"/>
    <w:notTrueType/>
    <w:pitch w:val="default"/>
    <w:sig w:usb0="00000003" w:usb1="00000000" w:usb2="00000000" w:usb3="00000000" w:csb0="00000001" w:csb1="00000000"/>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E92" w:rsidRDefault="000C7E92" w:rsidP="000C7E92">
      <w:pPr>
        <w:spacing w:after="0" w:line="240" w:lineRule="auto"/>
      </w:pPr>
      <w:r>
        <w:separator/>
      </w:r>
    </w:p>
  </w:footnote>
  <w:footnote w:type="continuationSeparator" w:id="0">
    <w:p w:rsidR="000C7E92" w:rsidRDefault="000C7E92" w:rsidP="000C7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313"/>
    <w:multiLevelType w:val="hybridMultilevel"/>
    <w:tmpl w:val="1CF41212"/>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1" w15:restartNumberingAfterBreak="0">
    <w:nsid w:val="079337DD"/>
    <w:multiLevelType w:val="hybridMultilevel"/>
    <w:tmpl w:val="A8648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D0CC8"/>
    <w:multiLevelType w:val="hybridMultilevel"/>
    <w:tmpl w:val="105AB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F7546"/>
    <w:multiLevelType w:val="hybridMultilevel"/>
    <w:tmpl w:val="922411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48D0805"/>
    <w:multiLevelType w:val="hybridMultilevel"/>
    <w:tmpl w:val="D5966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5A"/>
    <w:rsid w:val="000A6FD3"/>
    <w:rsid w:val="000C7E92"/>
    <w:rsid w:val="00226203"/>
    <w:rsid w:val="002D13A0"/>
    <w:rsid w:val="003A53FB"/>
    <w:rsid w:val="003F14B0"/>
    <w:rsid w:val="009627F8"/>
    <w:rsid w:val="009E1900"/>
    <w:rsid w:val="009F20EA"/>
    <w:rsid w:val="00A6776B"/>
    <w:rsid w:val="00AA73A1"/>
    <w:rsid w:val="00B14CDF"/>
    <w:rsid w:val="00B272F7"/>
    <w:rsid w:val="00B6112E"/>
    <w:rsid w:val="00D25776"/>
    <w:rsid w:val="00D5405A"/>
    <w:rsid w:val="00DD3531"/>
    <w:rsid w:val="00ED698D"/>
    <w:rsid w:val="00FA0C86"/>
    <w:rsid w:val="00FF6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4F348-0E70-4466-8693-E20EC3E6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53FB"/>
    <w:pPr>
      <w:spacing w:before="240" w:after="240" w:line="240" w:lineRule="auto"/>
    </w:pPr>
    <w:rPr>
      <w:rFonts w:ascii="Calibri" w:hAnsi="Calibri"/>
    </w:rPr>
  </w:style>
  <w:style w:type="character" w:customStyle="1" w:styleId="BodyTextChar">
    <w:name w:val="Body Text Char"/>
    <w:basedOn w:val="DefaultParagraphFont"/>
    <w:link w:val="BodyText"/>
    <w:rsid w:val="003A53FB"/>
    <w:rPr>
      <w:rFonts w:ascii="Calibri" w:hAnsi="Calibri"/>
    </w:rPr>
  </w:style>
  <w:style w:type="character" w:styleId="Hyperlink">
    <w:name w:val="Hyperlink"/>
    <w:basedOn w:val="DefaultParagraphFont"/>
    <w:uiPriority w:val="99"/>
    <w:unhideWhenUsed/>
    <w:rsid w:val="003F14B0"/>
    <w:rPr>
      <w:color w:val="006DFF"/>
      <w:u w:val="single"/>
    </w:rPr>
  </w:style>
  <w:style w:type="paragraph" w:styleId="ListParagraph">
    <w:name w:val="List Paragraph"/>
    <w:basedOn w:val="Normal"/>
    <w:uiPriority w:val="34"/>
    <w:qFormat/>
    <w:rsid w:val="000C7E92"/>
    <w:pPr>
      <w:ind w:left="720"/>
      <w:contextualSpacing/>
    </w:pPr>
  </w:style>
  <w:style w:type="paragraph" w:styleId="FootnoteText">
    <w:name w:val="footnote text"/>
    <w:basedOn w:val="Normal"/>
    <w:link w:val="FootnoteTextChar"/>
    <w:uiPriority w:val="99"/>
    <w:rsid w:val="000C7E92"/>
    <w:pPr>
      <w:spacing w:after="0"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0C7E92"/>
    <w:rPr>
      <w:rFonts w:ascii="Times New Roman" w:eastAsia="Times New Roman" w:hAnsi="Times New Roman" w:cs="Times New Roman"/>
      <w:sz w:val="24"/>
      <w:szCs w:val="24"/>
      <w:lang w:val="en-US"/>
    </w:rPr>
  </w:style>
  <w:style w:type="character" w:styleId="FootnoteReference">
    <w:name w:val="footnote reference"/>
    <w:uiPriority w:val="99"/>
    <w:rsid w:val="000C7E92"/>
    <w:rPr>
      <w:vertAlign w:val="superscript"/>
    </w:rPr>
  </w:style>
  <w:style w:type="paragraph" w:styleId="BalloonText">
    <w:name w:val="Balloon Text"/>
    <w:basedOn w:val="Normal"/>
    <w:link w:val="BalloonTextChar"/>
    <w:uiPriority w:val="99"/>
    <w:semiHidden/>
    <w:unhideWhenUsed/>
    <w:rsid w:val="00B61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12E"/>
    <w:rPr>
      <w:rFonts w:ascii="Segoe UI" w:hAnsi="Segoe UI" w:cs="Segoe UI"/>
      <w:sz w:val="18"/>
      <w:szCs w:val="18"/>
    </w:rPr>
  </w:style>
  <w:style w:type="paragraph" w:customStyle="1" w:styleId="Pa0">
    <w:name w:val="Pa0"/>
    <w:basedOn w:val="Normal"/>
    <w:next w:val="Normal"/>
    <w:uiPriority w:val="99"/>
    <w:rsid w:val="009F20EA"/>
    <w:pPr>
      <w:autoSpaceDE w:val="0"/>
      <w:autoSpaceDN w:val="0"/>
      <w:adjustRightInd w:val="0"/>
      <w:spacing w:after="0" w:line="241" w:lineRule="atLeast"/>
    </w:pPr>
    <w:rPr>
      <w:rFonts w:ascii="Roboto Light" w:hAnsi="Roboto Light"/>
      <w:sz w:val="24"/>
      <w:szCs w:val="24"/>
    </w:rPr>
  </w:style>
  <w:style w:type="paragraph" w:customStyle="1" w:styleId="Pa2">
    <w:name w:val="Pa2"/>
    <w:basedOn w:val="Normal"/>
    <w:next w:val="Normal"/>
    <w:uiPriority w:val="99"/>
    <w:rsid w:val="009F20EA"/>
    <w:pPr>
      <w:autoSpaceDE w:val="0"/>
      <w:autoSpaceDN w:val="0"/>
      <w:adjustRightInd w:val="0"/>
      <w:spacing w:after="0" w:line="191" w:lineRule="atLeast"/>
    </w:pPr>
    <w:rPr>
      <w:rFonts w:ascii="Roboto Light" w:hAnsi="Roboto Light"/>
      <w:sz w:val="24"/>
      <w:szCs w:val="24"/>
    </w:rPr>
  </w:style>
  <w:style w:type="character" w:customStyle="1" w:styleId="A16">
    <w:name w:val="A16"/>
    <w:uiPriority w:val="99"/>
    <w:rsid w:val="00B14CDF"/>
    <w:rPr>
      <w:rFonts w:ascii="Roboto Light" w:hAnsi="Roboto Light" w:cs="Roboto Light"/>
      <w:color w:val="1F5D9F"/>
      <w:sz w:val="19"/>
      <w:szCs w:val="19"/>
      <w:u w:val="single"/>
    </w:rPr>
  </w:style>
  <w:style w:type="paragraph" w:customStyle="1" w:styleId="Pa13">
    <w:name w:val="Pa13"/>
    <w:basedOn w:val="Normal"/>
    <w:next w:val="Normal"/>
    <w:uiPriority w:val="99"/>
    <w:rsid w:val="00B14CDF"/>
    <w:pPr>
      <w:autoSpaceDE w:val="0"/>
      <w:autoSpaceDN w:val="0"/>
      <w:adjustRightInd w:val="0"/>
      <w:spacing w:after="0" w:line="191" w:lineRule="atLeast"/>
    </w:pPr>
    <w:rPr>
      <w:rFonts w:ascii="Roboto" w:hAnsi="Robo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data500.com/au/submitCompa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B844A6A9.dotm</Template>
  <TotalTime>1</TotalTime>
  <Pages>6</Pages>
  <Words>1090</Words>
  <Characters>6217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Perdomo, Naomi</dc:creator>
  <cp:keywords/>
  <dc:description/>
  <cp:lastModifiedBy>Tsimeris, Tarni</cp:lastModifiedBy>
  <cp:revision>2</cp:revision>
  <cp:lastPrinted>2015-07-14T05:08:00Z</cp:lastPrinted>
  <dcterms:created xsi:type="dcterms:W3CDTF">2015-08-10T02:15:00Z</dcterms:created>
  <dcterms:modified xsi:type="dcterms:W3CDTF">2015-08-10T02:15:00Z</dcterms:modified>
</cp:coreProperties>
</file>