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8B748" w14:textId="77777777" w:rsidR="00C61801" w:rsidRPr="00866A71" w:rsidRDefault="00C61801" w:rsidP="00665016">
      <w:pPr>
        <w:pStyle w:val="DBCDElogo"/>
      </w:pPr>
    </w:p>
    <w:p w14:paraId="3D4C01D9" w14:textId="77777777" w:rsidR="00583203" w:rsidRDefault="00583203" w:rsidP="009B3DEC">
      <w:pPr>
        <w:pStyle w:val="Titleheading"/>
        <w:contextualSpacing/>
      </w:pPr>
    </w:p>
    <w:p w14:paraId="27EFC09E" w14:textId="77777777" w:rsidR="00583203" w:rsidRDefault="00583203" w:rsidP="009B3DEC">
      <w:pPr>
        <w:pStyle w:val="Titleheading"/>
        <w:contextualSpacing/>
      </w:pPr>
    </w:p>
    <w:p w14:paraId="33BD3E9F" w14:textId="77777777" w:rsidR="00E5068E" w:rsidRPr="00E5068E" w:rsidRDefault="00E5068E" w:rsidP="00E5068E">
      <w:pPr>
        <w:pStyle w:val="BodyText"/>
      </w:pPr>
    </w:p>
    <w:p w14:paraId="7E182FB3" w14:textId="11944285" w:rsidR="009B3DEC" w:rsidRDefault="00B37C48" w:rsidP="00E76823">
      <w:pPr>
        <w:pStyle w:val="Titleheading"/>
        <w:ind w:left="1276"/>
        <w:contextualSpacing/>
        <w:rPr>
          <w:spacing w:val="-20"/>
          <w:sz w:val="48"/>
          <w:szCs w:val="48"/>
        </w:rPr>
      </w:pPr>
      <w:r w:rsidRPr="00AD0C24">
        <w:rPr>
          <w:spacing w:val="-20"/>
          <w:sz w:val="48"/>
          <w:szCs w:val="48"/>
        </w:rPr>
        <w:t>Amending c</w:t>
      </w:r>
      <w:r w:rsidR="00575DB7" w:rsidRPr="00AD0C24">
        <w:rPr>
          <w:spacing w:val="-20"/>
          <w:sz w:val="48"/>
          <w:szCs w:val="48"/>
        </w:rPr>
        <w:t>arrier powers &amp; immunities</w:t>
      </w:r>
      <w:r w:rsidRPr="00AD0C24">
        <w:rPr>
          <w:spacing w:val="-20"/>
          <w:sz w:val="48"/>
          <w:szCs w:val="48"/>
        </w:rPr>
        <w:br/>
      </w:r>
      <w:r w:rsidR="00575DB7" w:rsidRPr="00AD0C24">
        <w:rPr>
          <w:spacing w:val="-20"/>
          <w:sz w:val="48"/>
          <w:szCs w:val="48"/>
        </w:rPr>
        <w:t xml:space="preserve">to support </w:t>
      </w:r>
      <w:r w:rsidRPr="00AD0C24">
        <w:rPr>
          <w:spacing w:val="-20"/>
          <w:sz w:val="48"/>
          <w:szCs w:val="48"/>
        </w:rPr>
        <w:t xml:space="preserve">multi-technology rollouts of </w:t>
      </w:r>
      <w:r w:rsidRPr="00AD0C24">
        <w:rPr>
          <w:spacing w:val="-20"/>
          <w:sz w:val="48"/>
          <w:szCs w:val="48"/>
        </w:rPr>
        <w:br/>
      </w:r>
      <w:r w:rsidR="00EE150C" w:rsidRPr="00AD0C24">
        <w:rPr>
          <w:spacing w:val="-20"/>
          <w:sz w:val="48"/>
          <w:szCs w:val="48"/>
        </w:rPr>
        <w:t>high-</w:t>
      </w:r>
      <w:r w:rsidR="00464A8B" w:rsidRPr="00AD0C24">
        <w:rPr>
          <w:spacing w:val="-20"/>
          <w:sz w:val="48"/>
          <w:szCs w:val="48"/>
        </w:rPr>
        <w:t xml:space="preserve">speed </w:t>
      </w:r>
      <w:r w:rsidR="00575DB7" w:rsidRPr="00AD0C24">
        <w:rPr>
          <w:spacing w:val="-20"/>
          <w:sz w:val="48"/>
          <w:szCs w:val="48"/>
        </w:rPr>
        <w:t xml:space="preserve">broadband </w:t>
      </w:r>
    </w:p>
    <w:p w14:paraId="1677DDA3" w14:textId="77777777" w:rsidR="00AD0C24" w:rsidRPr="00AD0C24" w:rsidRDefault="00AD0C24" w:rsidP="00AD0C24">
      <w:pPr>
        <w:pStyle w:val="BodyText"/>
        <w:rPr>
          <w:sz w:val="16"/>
          <w:szCs w:val="16"/>
        </w:rPr>
      </w:pPr>
    </w:p>
    <w:p w14:paraId="00EAF359" w14:textId="77777777" w:rsidR="009B3DEC" w:rsidRPr="00AD0C24" w:rsidRDefault="00E76823" w:rsidP="00E5068E">
      <w:pPr>
        <w:pStyle w:val="Titlesub-heading"/>
        <w:ind w:left="1440"/>
      </w:pPr>
      <w:r w:rsidRPr="00AD0C24">
        <w:t>Consultation paper</w:t>
      </w:r>
    </w:p>
    <w:p w14:paraId="496A02CE" w14:textId="78071D39" w:rsidR="009B3DEC" w:rsidRDefault="00170D4C" w:rsidP="00E5068E">
      <w:pPr>
        <w:pStyle w:val="Titledate"/>
        <w:ind w:left="1440"/>
      </w:pPr>
      <w:r>
        <w:t>12</w:t>
      </w:r>
      <w:r w:rsidR="003D35A1">
        <w:t xml:space="preserve"> </w:t>
      </w:r>
      <w:r w:rsidR="00D43A9C">
        <w:t>June</w:t>
      </w:r>
      <w:r w:rsidR="009B3DEC">
        <w:t xml:space="preserve"> </w:t>
      </w:r>
      <w:r w:rsidR="00E76823">
        <w:t>2015</w:t>
      </w:r>
    </w:p>
    <w:p w14:paraId="02FA857C" w14:textId="77777777" w:rsidR="009C1549" w:rsidRPr="00866A71" w:rsidRDefault="009C1549" w:rsidP="00E5068E">
      <w:pPr>
        <w:pStyle w:val="BodyText"/>
        <w:ind w:left="1440"/>
      </w:pPr>
    </w:p>
    <w:p w14:paraId="5FDFA80F" w14:textId="77777777" w:rsidR="002F3D38" w:rsidRDefault="00C61801" w:rsidP="008A135A">
      <w:r>
        <w:br w:type="page"/>
      </w:r>
    </w:p>
    <w:p w14:paraId="223F2244" w14:textId="77777777" w:rsidR="008A135A" w:rsidRDefault="008A135A" w:rsidP="006241BB">
      <w:pPr>
        <w:pStyle w:val="copyrighttextStyles"/>
      </w:pPr>
    </w:p>
    <w:p w14:paraId="6B125AE0" w14:textId="77777777" w:rsidR="00F818F8" w:rsidRDefault="00F818F8" w:rsidP="00F818F8">
      <w:pPr>
        <w:pStyle w:val="copyrightHeading2Styles"/>
      </w:pPr>
      <w:r>
        <w:t>Disclaimer</w:t>
      </w:r>
    </w:p>
    <w:p w14:paraId="3A352ADA" w14:textId="77777777" w:rsidR="001C5FDD" w:rsidRDefault="001C5FDD" w:rsidP="001C5FDD">
      <w:pPr>
        <w:pStyle w:val="copyrighttextStyles"/>
      </w:pPr>
      <w:r w:rsidRPr="001C5FDD">
        <w:t xml:space="preserve">The material in this </w:t>
      </w:r>
      <w:r w:rsidR="00474D68" w:rsidRPr="00474D68">
        <w:t>consultation paper</w:t>
      </w:r>
      <w:r w:rsidRPr="00474D68">
        <w:t xml:space="preserve"> is</w:t>
      </w:r>
      <w:r w:rsidRPr="001C5FDD">
        <w:t xml:space="preserve">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24B9C131" w14:textId="77777777" w:rsidR="001C5FDD" w:rsidRPr="001C5FDD" w:rsidRDefault="001C5FDD" w:rsidP="001C5FDD">
      <w:pPr>
        <w:pStyle w:val="copyrighttextStyles"/>
      </w:pPr>
      <w:r w:rsidRPr="001C5FDD">
        <w:t xml:space="preserve">The Commonwealth accepts no responsibility or liability for any damage, loss or expense incurred as a result of the reliance on information contained in this </w:t>
      </w:r>
      <w:r w:rsidR="00474D68">
        <w:t>consultation paper</w:t>
      </w:r>
      <w:r w:rsidRPr="001C5FDD">
        <w:t>.</w:t>
      </w:r>
    </w:p>
    <w:p w14:paraId="05354008" w14:textId="77777777" w:rsidR="00F818F8" w:rsidRPr="00F818F8" w:rsidRDefault="001C5FDD" w:rsidP="001C5FDD">
      <w:pPr>
        <w:pStyle w:val="copyrighttextStyles"/>
      </w:pPr>
      <w:r w:rsidRPr="001C5FDD">
        <w:t xml:space="preserve">This </w:t>
      </w:r>
      <w:r w:rsidR="003504F4">
        <w:t>consultation paper</w:t>
      </w:r>
      <w:r w:rsidR="00821F5D" w:rsidRPr="001C5FDD">
        <w:t xml:space="preserve"> </w:t>
      </w:r>
      <w:r w:rsidRPr="001C5FDD">
        <w:t xml:space="preserve">has been prepared for consultation purposes only and does not indicate the Commonwealth’s </w:t>
      </w:r>
      <w:r w:rsidRPr="003504F4">
        <w:t xml:space="preserve">commitment to a particular course of action. Additionally, any third party views or recommendations included in this </w:t>
      </w:r>
      <w:r w:rsidR="003504F4" w:rsidRPr="003504F4">
        <w:t>consultation paper</w:t>
      </w:r>
      <w:r w:rsidR="00821F5D" w:rsidRPr="003504F4">
        <w:t xml:space="preserve"> </w:t>
      </w:r>
      <w:r w:rsidRPr="003504F4">
        <w:t>do</w:t>
      </w:r>
      <w:r w:rsidRPr="001C5FDD">
        <w:t xml:space="preserve"> not reflect the views of the Commonwealth, or indicate its commitment to a particular course of action.</w:t>
      </w:r>
    </w:p>
    <w:p w14:paraId="66E63477" w14:textId="77777777" w:rsidR="00F41987" w:rsidRDefault="00F41987" w:rsidP="006241BB">
      <w:pPr>
        <w:pStyle w:val="copyrightHeading2Styles"/>
        <w:rPr>
          <w:lang w:eastAsia="en-AU"/>
        </w:rPr>
      </w:pPr>
      <w:r>
        <w:rPr>
          <w:lang w:eastAsia="en-AU"/>
        </w:rPr>
        <w:t>Copyright</w:t>
      </w:r>
    </w:p>
    <w:p w14:paraId="2877B6F6" w14:textId="77777777" w:rsidR="00F41987" w:rsidRDefault="00F41987" w:rsidP="006241BB">
      <w:pPr>
        <w:pStyle w:val="copyrighttextStyles"/>
        <w:rPr>
          <w:rFonts w:ascii="Calibri" w:hAnsi="Calibri" w:cs="Calibri"/>
          <w:color w:val="auto"/>
          <w:lang w:eastAsia="en-AU"/>
        </w:rPr>
      </w:pPr>
      <w:bookmarkStart w:id="0" w:name="_Toc356292516"/>
      <w:r>
        <w:rPr>
          <w:lang w:eastAsia="en-AU"/>
        </w:rPr>
        <w:t xml:space="preserve">© Commonwealth of Australia </w:t>
      </w:r>
      <w:bookmarkEnd w:id="0"/>
      <w:r w:rsidR="00FC1444" w:rsidRPr="00FC1444">
        <w:rPr>
          <w:lang w:eastAsia="en-AU"/>
        </w:rPr>
        <w:t>2015</w:t>
      </w:r>
      <w:r>
        <w:rPr>
          <w:lang w:eastAsia="en-AU"/>
        </w:rPr>
        <w:t xml:space="preserve"> </w:t>
      </w:r>
    </w:p>
    <w:p w14:paraId="13B2CD44" w14:textId="77777777" w:rsidR="00F41987" w:rsidRDefault="00F41987" w:rsidP="006241BB">
      <w:pPr>
        <w:pStyle w:val="copyrighttextStyles"/>
        <w:rPr>
          <w:lang w:eastAsia="en-AU"/>
        </w:rPr>
      </w:pPr>
      <w:bookmarkStart w:id="1" w:name="_Toc356292517"/>
      <w:r>
        <w:rPr>
          <w:noProof/>
          <w:lang w:eastAsia="en-AU"/>
        </w:rPr>
        <w:drawing>
          <wp:inline distT="0" distB="0" distL="0" distR="0" wp14:anchorId="66A07044" wp14:editId="33FFBFB7">
            <wp:extent cx="836930" cy="293370"/>
            <wp:effectExtent l="0" t="0" r="0" b="0"/>
            <wp:docPr id="1" name="Picture 1" descr="cid:image001.jpg@01CF4DB8.C9F87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1"/>
      <w:r>
        <w:rPr>
          <w:lang w:eastAsia="en-AU"/>
        </w:rPr>
        <w:t>  The material in this</w:t>
      </w:r>
      <w:r w:rsidR="00FC1444">
        <w:rPr>
          <w:lang w:eastAsia="en-AU"/>
        </w:rPr>
        <w:t xml:space="preserve"> consultation</w:t>
      </w:r>
      <w:r>
        <w:rPr>
          <w:lang w:eastAsia="en-AU"/>
        </w:rPr>
        <w:t xml:space="preserve"> paper is licensed under a Creative Commons Attribution—3.0 Australia license, with the exception of:</w:t>
      </w:r>
    </w:p>
    <w:p w14:paraId="4D7971A2" w14:textId="77777777" w:rsidR="00F41987" w:rsidRDefault="00F41987" w:rsidP="006241BB">
      <w:pPr>
        <w:pStyle w:val="copyrighttextStyles"/>
        <w:numPr>
          <w:ilvl w:val="0"/>
          <w:numId w:val="37"/>
        </w:numPr>
        <w:rPr>
          <w:lang w:eastAsia="en-AU"/>
        </w:rPr>
      </w:pPr>
      <w:bookmarkStart w:id="2" w:name="_Toc356292518"/>
      <w:r>
        <w:rPr>
          <w:lang w:eastAsia="en-AU"/>
        </w:rPr>
        <w:t>the Commonwealth Coat of Arms</w:t>
      </w:r>
      <w:bookmarkEnd w:id="2"/>
      <w:r>
        <w:rPr>
          <w:lang w:eastAsia="en-AU"/>
        </w:rPr>
        <w:t>;</w:t>
      </w:r>
    </w:p>
    <w:p w14:paraId="47093C14" w14:textId="77777777" w:rsidR="00F41987" w:rsidRDefault="00F41987" w:rsidP="006241BB">
      <w:pPr>
        <w:pStyle w:val="copyrighttextStyles"/>
        <w:numPr>
          <w:ilvl w:val="0"/>
          <w:numId w:val="37"/>
        </w:numPr>
        <w:rPr>
          <w:lang w:eastAsia="en-AU"/>
        </w:rPr>
      </w:pPr>
      <w:bookmarkStart w:id="3" w:name="_Toc356292519"/>
      <w:r>
        <w:rPr>
          <w:lang w:eastAsia="en-AU"/>
        </w:rPr>
        <w:t>this Department’s logo</w:t>
      </w:r>
      <w:bookmarkEnd w:id="3"/>
      <w:r>
        <w:rPr>
          <w:lang w:eastAsia="en-AU"/>
        </w:rPr>
        <w:t>;</w:t>
      </w:r>
    </w:p>
    <w:p w14:paraId="48529824" w14:textId="77777777" w:rsidR="00F41987" w:rsidRDefault="00F41987" w:rsidP="006241BB">
      <w:pPr>
        <w:pStyle w:val="copyrighttextStyles"/>
        <w:numPr>
          <w:ilvl w:val="0"/>
          <w:numId w:val="37"/>
        </w:numPr>
        <w:rPr>
          <w:lang w:eastAsia="en-AU"/>
        </w:rPr>
      </w:pPr>
      <w:r>
        <w:rPr>
          <w:lang w:eastAsia="en-AU"/>
        </w:rPr>
        <w:t>any third party material;</w:t>
      </w:r>
    </w:p>
    <w:p w14:paraId="23A384DB" w14:textId="77777777" w:rsidR="00F41987" w:rsidRDefault="00F41987" w:rsidP="006241BB">
      <w:pPr>
        <w:pStyle w:val="copyrighttextStyles"/>
        <w:numPr>
          <w:ilvl w:val="0"/>
          <w:numId w:val="37"/>
        </w:numPr>
        <w:rPr>
          <w:lang w:eastAsia="en-AU"/>
        </w:rPr>
      </w:pPr>
      <w:r>
        <w:rPr>
          <w:lang w:eastAsia="en-AU"/>
        </w:rPr>
        <w:t>any material protected by a trademark; and</w:t>
      </w:r>
    </w:p>
    <w:p w14:paraId="532C8EFD" w14:textId="77777777" w:rsidR="00F41987" w:rsidRDefault="00F41987" w:rsidP="006241BB">
      <w:pPr>
        <w:pStyle w:val="copyrighttextStyles"/>
        <w:numPr>
          <w:ilvl w:val="0"/>
          <w:numId w:val="37"/>
        </w:numPr>
        <w:rPr>
          <w:lang w:eastAsia="en-AU"/>
        </w:rPr>
      </w:pPr>
      <w:r>
        <w:rPr>
          <w:lang w:eastAsia="en-AU"/>
        </w:rPr>
        <w:t>any images and/or photographs.</w:t>
      </w:r>
    </w:p>
    <w:p w14:paraId="6F765A0C" w14:textId="75664AC5" w:rsidR="00F41987" w:rsidRPr="006241BB" w:rsidRDefault="00F41987" w:rsidP="006241BB">
      <w:pPr>
        <w:pStyle w:val="copyrighttextStyles"/>
      </w:pPr>
      <w:bookmarkStart w:id="4" w:name="_Toc356292520"/>
      <w:r w:rsidRPr="006241BB">
        <w:t>More information on this CC BY license is set out at</w:t>
      </w:r>
      <w:r w:rsidR="00533634">
        <w:t xml:space="preserve"> the creative commons website:</w:t>
      </w:r>
      <w:r w:rsidRPr="006241BB">
        <w:t xml:space="preserve"> </w:t>
      </w:r>
      <w:bookmarkEnd w:id="4"/>
      <w:r w:rsidR="00235F66">
        <w:fldChar w:fldCharType="begin"/>
      </w:r>
      <w:r w:rsidR="00235F66">
        <w:instrText xml:space="preserve"> HYPERLINK "http://www.creativecommons.org/licenses/by/3.0/au/" </w:instrText>
      </w:r>
      <w:r w:rsidR="00235F66">
        <w:fldChar w:fldCharType="separate"/>
      </w:r>
      <w:r w:rsidRPr="006241BB">
        <w:rPr>
          <w:rStyle w:val="Hyperlink"/>
        </w:rPr>
        <w:t>www.creativecommons.org/licenses/by/3.0/au/</w:t>
      </w:r>
      <w:r w:rsidR="00235F66">
        <w:fldChar w:fldCharType="end"/>
      </w:r>
      <w:r w:rsidR="00533634">
        <w:t>.</w:t>
      </w:r>
      <w:r w:rsidR="00235F66">
        <w:t xml:space="preserve"> </w:t>
      </w:r>
      <w:r w:rsidRPr="006241BB">
        <w:t xml:space="preserve">Enquiries about this license and any use of this </w:t>
      </w:r>
      <w:r w:rsidR="00532BF5">
        <w:t>consultation paper</w:t>
      </w:r>
      <w:r w:rsidRPr="006241BB">
        <w:t xml:space="preserve"> can be sent to: </w:t>
      </w:r>
      <w:r w:rsidR="00FC1444" w:rsidRPr="00FC1444">
        <w:t>Market Structure Branch</w:t>
      </w:r>
      <w:r w:rsidRPr="00FC1444">
        <w:t>, Department</w:t>
      </w:r>
      <w:r w:rsidRPr="006241BB">
        <w:t xml:space="preserve"> of Communications, GPO Box 2154, Canberra, ACT, 2601.</w:t>
      </w:r>
    </w:p>
    <w:p w14:paraId="2A696BE8" w14:textId="77777777" w:rsidR="00F41987" w:rsidRDefault="00F41987" w:rsidP="006241BB">
      <w:pPr>
        <w:pStyle w:val="copyrighttextStyles"/>
        <w:rPr>
          <w:b/>
          <w:bCs/>
          <w:lang w:eastAsia="en-AU"/>
        </w:rPr>
      </w:pPr>
      <w:bookmarkStart w:id="5" w:name="_Toc356292521"/>
      <w:r>
        <w:rPr>
          <w:b/>
          <w:bCs/>
          <w:lang w:eastAsia="en-AU"/>
        </w:rPr>
        <w:t>Attribution</w:t>
      </w:r>
      <w:bookmarkEnd w:id="5"/>
    </w:p>
    <w:p w14:paraId="295D6C57" w14:textId="77777777" w:rsidR="00F41987" w:rsidRDefault="00F41987" w:rsidP="006241BB">
      <w:pPr>
        <w:pStyle w:val="copyrighttextStyles"/>
        <w:rPr>
          <w:lang w:eastAsia="en-AU"/>
        </w:rPr>
      </w:pPr>
      <w:bookmarkStart w:id="6" w:name="_Toc356292522"/>
      <w:r>
        <w:rPr>
          <w:lang w:eastAsia="en-AU"/>
        </w:rPr>
        <w:t xml:space="preserve">Use of all or part of </w:t>
      </w:r>
      <w:r w:rsidRPr="00BB3B0D">
        <w:rPr>
          <w:lang w:eastAsia="en-AU"/>
        </w:rPr>
        <w:t xml:space="preserve">this </w:t>
      </w:r>
      <w:r w:rsidR="00BB3B0D" w:rsidRPr="00BB3B0D">
        <w:t>consultation paper</w:t>
      </w:r>
      <w:r w:rsidR="00821F5D">
        <w:t xml:space="preserve"> </w:t>
      </w:r>
      <w:r>
        <w:rPr>
          <w:lang w:eastAsia="en-AU"/>
        </w:rPr>
        <w:t>must include the following attribution:</w:t>
      </w:r>
      <w:bookmarkEnd w:id="6"/>
    </w:p>
    <w:p w14:paraId="0011FCE8" w14:textId="77777777" w:rsidR="00F41987" w:rsidRDefault="00F41987" w:rsidP="00F818F8">
      <w:pPr>
        <w:pStyle w:val="copyrighttextStyles"/>
        <w:ind w:left="720"/>
        <w:rPr>
          <w:lang w:eastAsia="en-AU"/>
        </w:rPr>
      </w:pPr>
      <w:bookmarkStart w:id="7" w:name="_Toc356292523"/>
      <w:r>
        <w:rPr>
          <w:lang w:eastAsia="en-AU"/>
        </w:rPr>
        <w:t xml:space="preserve">© Commonwealth of Australia </w:t>
      </w:r>
      <w:bookmarkEnd w:id="7"/>
      <w:r w:rsidR="00BB3B0D" w:rsidRPr="00BB3B0D">
        <w:rPr>
          <w:lang w:eastAsia="en-AU"/>
        </w:rPr>
        <w:t>2015</w:t>
      </w:r>
    </w:p>
    <w:p w14:paraId="4D2005B4" w14:textId="77777777" w:rsidR="00F41987" w:rsidRDefault="00F41987" w:rsidP="006241BB">
      <w:pPr>
        <w:pStyle w:val="copyrighttextStyles"/>
        <w:rPr>
          <w:b/>
          <w:bCs/>
          <w:lang w:eastAsia="en-AU"/>
        </w:rPr>
      </w:pPr>
      <w:bookmarkStart w:id="8" w:name="_Toc356292524"/>
      <w:r>
        <w:rPr>
          <w:b/>
          <w:bCs/>
          <w:lang w:eastAsia="en-AU"/>
        </w:rPr>
        <w:t>Using the Commonwealth Coat of Arms</w:t>
      </w:r>
      <w:bookmarkEnd w:id="8"/>
    </w:p>
    <w:p w14:paraId="6087B7C9" w14:textId="77777777" w:rsidR="006241BB" w:rsidRPr="006241BB" w:rsidRDefault="00F41987" w:rsidP="006241BB">
      <w:pPr>
        <w:pStyle w:val="copyrighttextStyles"/>
      </w:pPr>
      <w:bookmarkStart w:id="9" w:name="_Toc356292525"/>
      <w:r w:rsidRPr="006241BB">
        <w:t xml:space="preserve">The terms of use for the Coat of Arms are available from the </w:t>
      </w:r>
      <w:r w:rsidRPr="006241BB">
        <w:rPr>
          <w:i/>
        </w:rPr>
        <w:t xml:space="preserve">It’s an Honour </w:t>
      </w:r>
      <w:r w:rsidRPr="006241BB">
        <w:t xml:space="preserve">website </w:t>
      </w:r>
      <w:r w:rsidRPr="006241BB">
        <w:br/>
        <w:t xml:space="preserve">(see </w:t>
      </w:r>
      <w:bookmarkEnd w:id="9"/>
      <w:r w:rsidR="00235F66">
        <w:fldChar w:fldCharType="begin"/>
      </w:r>
      <w:r w:rsidR="00235F66">
        <w:instrText xml:space="preserve"> HYPERLINK "http://www.itsanhonour.gov.au/" </w:instrText>
      </w:r>
      <w:r w:rsidR="00235F66">
        <w:fldChar w:fldCharType="separate"/>
      </w:r>
      <w:r w:rsidRPr="006241BB">
        <w:rPr>
          <w:rStyle w:val="Hyperlink"/>
        </w:rPr>
        <w:t>www.itsanhonour.gov.au</w:t>
      </w:r>
      <w:r w:rsidR="00235F66">
        <w:fldChar w:fldCharType="end"/>
      </w:r>
      <w:r w:rsidRPr="006241BB">
        <w:t xml:space="preserve"> and click ‘Commonwealth Coat of Arms’).</w:t>
      </w:r>
    </w:p>
    <w:p w14:paraId="51A288FD" w14:textId="77777777" w:rsidR="002F3D38" w:rsidRPr="008828C2" w:rsidRDefault="002F3D38" w:rsidP="006241BB">
      <w:pPr>
        <w:pStyle w:val="copyrighttextStyles"/>
        <w:rPr>
          <w:rFonts w:eastAsia="Arial"/>
        </w:rPr>
      </w:pPr>
      <w:r>
        <w:lastRenderedPageBreak/>
        <w:br w:type="page"/>
      </w:r>
    </w:p>
    <w:p w14:paraId="636E2C1F" w14:textId="77777777" w:rsidR="00C61801" w:rsidRDefault="00C61801" w:rsidP="00DE44E7">
      <w:pPr>
        <w:pStyle w:val="TOCHeading"/>
        <w:rPr>
          <w:rFonts w:eastAsiaTheme="minorHAnsi"/>
        </w:rPr>
      </w:pPr>
      <w:r w:rsidRPr="00D153EC">
        <w:lastRenderedPageBreak/>
        <w:t>Contents</w:t>
      </w:r>
    </w:p>
    <w:p w14:paraId="1FAF445E" w14:textId="77777777" w:rsidR="00F31F21" w:rsidRDefault="00AB0EF0">
      <w:pPr>
        <w:pStyle w:val="TOC1"/>
        <w:rPr>
          <w:rFonts w:asciiTheme="minorHAnsi" w:eastAsiaTheme="minorEastAsia" w:hAnsiTheme="minorHAnsi"/>
          <w:color w:val="auto"/>
          <w:sz w:val="22"/>
          <w:lang w:eastAsia="en-AU"/>
        </w:rPr>
      </w:pPr>
      <w:r>
        <w:fldChar w:fldCharType="begin"/>
      </w:r>
      <w:r w:rsidR="00A52637">
        <w:instrText xml:space="preserve"> TOC \o "1-1" \h \z \t "Heading 2,2,Heading 3,3" </w:instrText>
      </w:r>
      <w:r>
        <w:fldChar w:fldCharType="separate"/>
      </w:r>
      <w:hyperlink w:anchor="_Toc421721116" w:history="1">
        <w:r w:rsidR="00F31F21" w:rsidRPr="00B73A83">
          <w:rPr>
            <w:rStyle w:val="Hyperlink"/>
          </w:rPr>
          <w:t>1.</w:t>
        </w:r>
        <w:r w:rsidR="00F31F21">
          <w:rPr>
            <w:rFonts w:asciiTheme="minorHAnsi" w:eastAsiaTheme="minorEastAsia" w:hAnsiTheme="minorHAnsi"/>
            <w:color w:val="auto"/>
            <w:sz w:val="22"/>
            <w:lang w:eastAsia="en-AU"/>
          </w:rPr>
          <w:tab/>
        </w:r>
        <w:r w:rsidR="00F31F21" w:rsidRPr="00B73A83">
          <w:rPr>
            <w:rStyle w:val="Hyperlink"/>
          </w:rPr>
          <w:t>Overview</w:t>
        </w:r>
        <w:r w:rsidR="00F31F21">
          <w:rPr>
            <w:webHidden/>
          </w:rPr>
          <w:tab/>
        </w:r>
        <w:r w:rsidR="00F31F21">
          <w:rPr>
            <w:webHidden/>
          </w:rPr>
          <w:fldChar w:fldCharType="begin"/>
        </w:r>
        <w:r w:rsidR="00F31F21">
          <w:rPr>
            <w:webHidden/>
          </w:rPr>
          <w:instrText xml:space="preserve"> PAGEREF _Toc421721116 \h </w:instrText>
        </w:r>
        <w:r w:rsidR="00F31F21">
          <w:rPr>
            <w:webHidden/>
          </w:rPr>
        </w:r>
        <w:r w:rsidR="00F31F21">
          <w:rPr>
            <w:webHidden/>
          </w:rPr>
          <w:fldChar w:fldCharType="separate"/>
        </w:r>
        <w:r w:rsidR="00F31F21">
          <w:rPr>
            <w:webHidden/>
          </w:rPr>
          <w:t>4</w:t>
        </w:r>
        <w:r w:rsidR="00F31F21">
          <w:rPr>
            <w:webHidden/>
          </w:rPr>
          <w:fldChar w:fldCharType="end"/>
        </w:r>
      </w:hyperlink>
    </w:p>
    <w:p w14:paraId="21DE98FA" w14:textId="77777777" w:rsidR="00F31F21" w:rsidRDefault="00E96F00">
      <w:pPr>
        <w:pStyle w:val="TOC1"/>
        <w:rPr>
          <w:rFonts w:asciiTheme="minorHAnsi" w:eastAsiaTheme="minorEastAsia" w:hAnsiTheme="minorHAnsi"/>
          <w:color w:val="auto"/>
          <w:sz w:val="22"/>
          <w:lang w:eastAsia="en-AU"/>
        </w:rPr>
      </w:pPr>
      <w:hyperlink w:anchor="_Toc421721117" w:history="1">
        <w:r w:rsidR="00F31F21" w:rsidRPr="00B73A83">
          <w:rPr>
            <w:rStyle w:val="Hyperlink"/>
          </w:rPr>
          <w:t>2.</w:t>
        </w:r>
        <w:r w:rsidR="00F31F21">
          <w:rPr>
            <w:rFonts w:asciiTheme="minorHAnsi" w:eastAsiaTheme="minorEastAsia" w:hAnsiTheme="minorHAnsi"/>
            <w:color w:val="auto"/>
            <w:sz w:val="22"/>
            <w:lang w:eastAsia="en-AU"/>
          </w:rPr>
          <w:tab/>
        </w:r>
        <w:r w:rsidR="00F31F21" w:rsidRPr="00B73A83">
          <w:rPr>
            <w:rStyle w:val="Hyperlink"/>
          </w:rPr>
          <w:t>Background</w:t>
        </w:r>
        <w:r w:rsidR="00F31F21">
          <w:rPr>
            <w:webHidden/>
          </w:rPr>
          <w:tab/>
        </w:r>
        <w:r w:rsidR="00F31F21">
          <w:rPr>
            <w:webHidden/>
          </w:rPr>
          <w:fldChar w:fldCharType="begin"/>
        </w:r>
        <w:r w:rsidR="00F31F21">
          <w:rPr>
            <w:webHidden/>
          </w:rPr>
          <w:instrText xml:space="preserve"> PAGEREF _Toc421721117 \h </w:instrText>
        </w:r>
        <w:r w:rsidR="00F31F21">
          <w:rPr>
            <w:webHidden/>
          </w:rPr>
        </w:r>
        <w:r w:rsidR="00F31F21">
          <w:rPr>
            <w:webHidden/>
          </w:rPr>
          <w:fldChar w:fldCharType="separate"/>
        </w:r>
        <w:r w:rsidR="00F31F21">
          <w:rPr>
            <w:webHidden/>
          </w:rPr>
          <w:t>5</w:t>
        </w:r>
        <w:r w:rsidR="00F31F21">
          <w:rPr>
            <w:webHidden/>
          </w:rPr>
          <w:fldChar w:fldCharType="end"/>
        </w:r>
      </w:hyperlink>
    </w:p>
    <w:p w14:paraId="739F6597" w14:textId="77777777" w:rsidR="00F31F21" w:rsidRDefault="00E96F00">
      <w:pPr>
        <w:pStyle w:val="TOC2"/>
        <w:rPr>
          <w:rFonts w:asciiTheme="minorHAnsi" w:eastAsiaTheme="minorEastAsia" w:hAnsiTheme="minorHAnsi"/>
          <w:noProof/>
          <w:lang w:eastAsia="en-AU"/>
        </w:rPr>
      </w:pPr>
      <w:hyperlink w:anchor="_Toc421721118" w:history="1">
        <w:r w:rsidR="00F31F21" w:rsidRPr="00B73A83">
          <w:rPr>
            <w:rStyle w:val="Hyperlink"/>
            <w:noProof/>
          </w:rPr>
          <w:t>2.1.</w:t>
        </w:r>
        <w:r w:rsidR="00F31F21">
          <w:rPr>
            <w:rFonts w:asciiTheme="minorHAnsi" w:eastAsiaTheme="minorEastAsia" w:hAnsiTheme="minorHAnsi"/>
            <w:noProof/>
            <w:lang w:eastAsia="en-AU"/>
          </w:rPr>
          <w:tab/>
        </w:r>
        <w:r w:rsidR="00F31F21" w:rsidRPr="00B73A83">
          <w:rPr>
            <w:rStyle w:val="Hyperlink"/>
            <w:noProof/>
          </w:rPr>
          <w:t>Carrier powers and immunities</w:t>
        </w:r>
        <w:r w:rsidR="00F31F21">
          <w:rPr>
            <w:noProof/>
            <w:webHidden/>
          </w:rPr>
          <w:tab/>
        </w:r>
        <w:r w:rsidR="00F31F21">
          <w:rPr>
            <w:noProof/>
            <w:webHidden/>
          </w:rPr>
          <w:fldChar w:fldCharType="begin"/>
        </w:r>
        <w:r w:rsidR="00F31F21">
          <w:rPr>
            <w:noProof/>
            <w:webHidden/>
          </w:rPr>
          <w:instrText xml:space="preserve"> PAGEREF _Toc421721118 \h </w:instrText>
        </w:r>
        <w:r w:rsidR="00F31F21">
          <w:rPr>
            <w:noProof/>
            <w:webHidden/>
          </w:rPr>
        </w:r>
        <w:r w:rsidR="00F31F21">
          <w:rPr>
            <w:noProof/>
            <w:webHidden/>
          </w:rPr>
          <w:fldChar w:fldCharType="separate"/>
        </w:r>
        <w:r w:rsidR="00F31F21">
          <w:rPr>
            <w:noProof/>
            <w:webHidden/>
          </w:rPr>
          <w:t>5</w:t>
        </w:r>
        <w:r w:rsidR="00F31F21">
          <w:rPr>
            <w:noProof/>
            <w:webHidden/>
          </w:rPr>
          <w:fldChar w:fldCharType="end"/>
        </w:r>
      </w:hyperlink>
    </w:p>
    <w:p w14:paraId="45094997" w14:textId="77777777" w:rsidR="00F31F21" w:rsidRDefault="00E96F00">
      <w:pPr>
        <w:pStyle w:val="TOC3"/>
        <w:tabs>
          <w:tab w:val="left" w:pos="1320"/>
        </w:tabs>
        <w:rPr>
          <w:rFonts w:asciiTheme="minorHAnsi" w:eastAsiaTheme="minorEastAsia" w:hAnsiTheme="minorHAnsi"/>
          <w:noProof/>
          <w:lang w:eastAsia="en-AU"/>
        </w:rPr>
      </w:pPr>
      <w:hyperlink w:anchor="_Toc421721119" w:history="1">
        <w:r w:rsidR="00F31F21" w:rsidRPr="00B73A83">
          <w:rPr>
            <w:rStyle w:val="Hyperlink"/>
            <w:noProof/>
          </w:rPr>
          <w:t>2.1.1.</w:t>
        </w:r>
        <w:r w:rsidR="00F31F21">
          <w:rPr>
            <w:rFonts w:asciiTheme="minorHAnsi" w:eastAsiaTheme="minorEastAsia" w:hAnsiTheme="minorHAnsi"/>
            <w:noProof/>
            <w:lang w:eastAsia="en-AU"/>
          </w:rPr>
          <w:tab/>
        </w:r>
        <w:r w:rsidR="00F31F21" w:rsidRPr="00B73A83">
          <w:rPr>
            <w:rStyle w:val="Hyperlink"/>
            <w:noProof/>
          </w:rPr>
          <w:t>Telecommunications Regulations</w:t>
        </w:r>
        <w:r w:rsidR="00F31F21">
          <w:rPr>
            <w:noProof/>
            <w:webHidden/>
          </w:rPr>
          <w:tab/>
        </w:r>
        <w:r w:rsidR="00F31F21">
          <w:rPr>
            <w:noProof/>
            <w:webHidden/>
          </w:rPr>
          <w:fldChar w:fldCharType="begin"/>
        </w:r>
        <w:r w:rsidR="00F31F21">
          <w:rPr>
            <w:noProof/>
            <w:webHidden/>
          </w:rPr>
          <w:instrText xml:space="preserve"> PAGEREF _Toc421721119 \h </w:instrText>
        </w:r>
        <w:r w:rsidR="00F31F21">
          <w:rPr>
            <w:noProof/>
            <w:webHidden/>
          </w:rPr>
        </w:r>
        <w:r w:rsidR="00F31F21">
          <w:rPr>
            <w:noProof/>
            <w:webHidden/>
          </w:rPr>
          <w:fldChar w:fldCharType="separate"/>
        </w:r>
        <w:r w:rsidR="00F31F21">
          <w:rPr>
            <w:noProof/>
            <w:webHidden/>
          </w:rPr>
          <w:t>5</w:t>
        </w:r>
        <w:r w:rsidR="00F31F21">
          <w:rPr>
            <w:noProof/>
            <w:webHidden/>
          </w:rPr>
          <w:fldChar w:fldCharType="end"/>
        </w:r>
      </w:hyperlink>
    </w:p>
    <w:p w14:paraId="105909E3" w14:textId="77777777" w:rsidR="00F31F21" w:rsidRDefault="00E96F00">
      <w:pPr>
        <w:pStyle w:val="TOC3"/>
        <w:tabs>
          <w:tab w:val="left" w:pos="1320"/>
        </w:tabs>
        <w:rPr>
          <w:rFonts w:asciiTheme="minorHAnsi" w:eastAsiaTheme="minorEastAsia" w:hAnsiTheme="minorHAnsi"/>
          <w:noProof/>
          <w:lang w:eastAsia="en-AU"/>
        </w:rPr>
      </w:pPr>
      <w:hyperlink w:anchor="_Toc421721120" w:history="1">
        <w:r w:rsidR="00F31F21" w:rsidRPr="00B73A83">
          <w:rPr>
            <w:rStyle w:val="Hyperlink"/>
            <w:noProof/>
          </w:rPr>
          <w:t>2.1.2.</w:t>
        </w:r>
        <w:r w:rsidR="00F31F21">
          <w:rPr>
            <w:rFonts w:asciiTheme="minorHAnsi" w:eastAsiaTheme="minorEastAsia" w:hAnsiTheme="minorHAnsi"/>
            <w:noProof/>
            <w:lang w:eastAsia="en-AU"/>
          </w:rPr>
          <w:tab/>
        </w:r>
        <w:r w:rsidR="00F31F21" w:rsidRPr="00B73A83">
          <w:rPr>
            <w:rStyle w:val="Hyperlink"/>
            <w:noProof/>
          </w:rPr>
          <w:t>Low-impact facilities</w:t>
        </w:r>
        <w:r w:rsidR="00F31F21">
          <w:rPr>
            <w:noProof/>
            <w:webHidden/>
          </w:rPr>
          <w:tab/>
        </w:r>
        <w:r w:rsidR="00F31F21">
          <w:rPr>
            <w:noProof/>
            <w:webHidden/>
          </w:rPr>
          <w:fldChar w:fldCharType="begin"/>
        </w:r>
        <w:r w:rsidR="00F31F21">
          <w:rPr>
            <w:noProof/>
            <w:webHidden/>
          </w:rPr>
          <w:instrText xml:space="preserve"> PAGEREF _Toc421721120 \h </w:instrText>
        </w:r>
        <w:r w:rsidR="00F31F21">
          <w:rPr>
            <w:noProof/>
            <w:webHidden/>
          </w:rPr>
        </w:r>
        <w:r w:rsidR="00F31F21">
          <w:rPr>
            <w:noProof/>
            <w:webHidden/>
          </w:rPr>
          <w:fldChar w:fldCharType="separate"/>
        </w:r>
        <w:r w:rsidR="00F31F21">
          <w:rPr>
            <w:noProof/>
            <w:webHidden/>
          </w:rPr>
          <w:t>5</w:t>
        </w:r>
        <w:r w:rsidR="00F31F21">
          <w:rPr>
            <w:noProof/>
            <w:webHidden/>
          </w:rPr>
          <w:fldChar w:fldCharType="end"/>
        </w:r>
      </w:hyperlink>
    </w:p>
    <w:p w14:paraId="42DD0FBF" w14:textId="77777777" w:rsidR="00F31F21" w:rsidRDefault="00E96F00">
      <w:pPr>
        <w:pStyle w:val="TOC2"/>
        <w:rPr>
          <w:rFonts w:asciiTheme="minorHAnsi" w:eastAsiaTheme="minorEastAsia" w:hAnsiTheme="minorHAnsi"/>
          <w:noProof/>
          <w:lang w:eastAsia="en-AU"/>
        </w:rPr>
      </w:pPr>
      <w:hyperlink w:anchor="_Toc421721121" w:history="1">
        <w:r w:rsidR="00F31F21" w:rsidRPr="00B73A83">
          <w:rPr>
            <w:rStyle w:val="Hyperlink"/>
            <w:noProof/>
          </w:rPr>
          <w:t>2.2.</w:t>
        </w:r>
        <w:r w:rsidR="00F31F21">
          <w:rPr>
            <w:rFonts w:asciiTheme="minorHAnsi" w:eastAsiaTheme="minorEastAsia" w:hAnsiTheme="minorHAnsi"/>
            <w:noProof/>
            <w:lang w:eastAsia="en-AU"/>
          </w:rPr>
          <w:tab/>
        </w:r>
        <w:r w:rsidR="00F31F21" w:rsidRPr="00B73A83">
          <w:rPr>
            <w:rStyle w:val="Hyperlink"/>
            <w:noProof/>
          </w:rPr>
          <w:t>National Broadband Network</w:t>
        </w:r>
        <w:r w:rsidR="00F31F21">
          <w:rPr>
            <w:noProof/>
            <w:webHidden/>
          </w:rPr>
          <w:tab/>
        </w:r>
        <w:r w:rsidR="00F31F21">
          <w:rPr>
            <w:noProof/>
            <w:webHidden/>
          </w:rPr>
          <w:fldChar w:fldCharType="begin"/>
        </w:r>
        <w:r w:rsidR="00F31F21">
          <w:rPr>
            <w:noProof/>
            <w:webHidden/>
          </w:rPr>
          <w:instrText xml:space="preserve"> PAGEREF _Toc421721121 \h </w:instrText>
        </w:r>
        <w:r w:rsidR="00F31F21">
          <w:rPr>
            <w:noProof/>
            <w:webHidden/>
          </w:rPr>
        </w:r>
        <w:r w:rsidR="00F31F21">
          <w:rPr>
            <w:noProof/>
            <w:webHidden/>
          </w:rPr>
          <w:fldChar w:fldCharType="separate"/>
        </w:r>
        <w:r w:rsidR="00F31F21">
          <w:rPr>
            <w:noProof/>
            <w:webHidden/>
          </w:rPr>
          <w:t>6</w:t>
        </w:r>
        <w:r w:rsidR="00F31F21">
          <w:rPr>
            <w:noProof/>
            <w:webHidden/>
          </w:rPr>
          <w:fldChar w:fldCharType="end"/>
        </w:r>
      </w:hyperlink>
    </w:p>
    <w:p w14:paraId="35B1FAC3" w14:textId="77777777" w:rsidR="00F31F21" w:rsidRDefault="00E96F00">
      <w:pPr>
        <w:pStyle w:val="TOC2"/>
        <w:rPr>
          <w:rFonts w:asciiTheme="minorHAnsi" w:eastAsiaTheme="minorEastAsia" w:hAnsiTheme="minorHAnsi"/>
          <w:noProof/>
          <w:lang w:eastAsia="en-AU"/>
        </w:rPr>
      </w:pPr>
      <w:hyperlink w:anchor="_Toc421721122" w:history="1">
        <w:r w:rsidR="00F31F21" w:rsidRPr="00B73A83">
          <w:rPr>
            <w:rStyle w:val="Hyperlink"/>
            <w:noProof/>
          </w:rPr>
          <w:t>2.3.</w:t>
        </w:r>
        <w:r w:rsidR="00F31F21">
          <w:rPr>
            <w:rFonts w:asciiTheme="minorHAnsi" w:eastAsiaTheme="minorEastAsia" w:hAnsiTheme="minorHAnsi"/>
            <w:noProof/>
            <w:lang w:eastAsia="en-AU"/>
          </w:rPr>
          <w:tab/>
        </w:r>
        <w:r w:rsidR="00F31F21" w:rsidRPr="00B73A83">
          <w:rPr>
            <w:rStyle w:val="Hyperlink"/>
            <w:noProof/>
          </w:rPr>
          <w:t>Regulation Impact Statement</w:t>
        </w:r>
        <w:r w:rsidR="00F31F21">
          <w:rPr>
            <w:noProof/>
            <w:webHidden/>
          </w:rPr>
          <w:tab/>
        </w:r>
        <w:r w:rsidR="00F31F21">
          <w:rPr>
            <w:noProof/>
            <w:webHidden/>
          </w:rPr>
          <w:fldChar w:fldCharType="begin"/>
        </w:r>
        <w:r w:rsidR="00F31F21">
          <w:rPr>
            <w:noProof/>
            <w:webHidden/>
          </w:rPr>
          <w:instrText xml:space="preserve"> PAGEREF _Toc421721122 \h </w:instrText>
        </w:r>
        <w:r w:rsidR="00F31F21">
          <w:rPr>
            <w:noProof/>
            <w:webHidden/>
          </w:rPr>
        </w:r>
        <w:r w:rsidR="00F31F21">
          <w:rPr>
            <w:noProof/>
            <w:webHidden/>
          </w:rPr>
          <w:fldChar w:fldCharType="separate"/>
        </w:r>
        <w:r w:rsidR="00F31F21">
          <w:rPr>
            <w:noProof/>
            <w:webHidden/>
          </w:rPr>
          <w:t>6</w:t>
        </w:r>
        <w:r w:rsidR="00F31F21">
          <w:rPr>
            <w:noProof/>
            <w:webHidden/>
          </w:rPr>
          <w:fldChar w:fldCharType="end"/>
        </w:r>
      </w:hyperlink>
    </w:p>
    <w:p w14:paraId="07EDE5A8" w14:textId="77777777" w:rsidR="00F31F21" w:rsidRDefault="00E96F00">
      <w:pPr>
        <w:pStyle w:val="TOC1"/>
        <w:rPr>
          <w:rFonts w:asciiTheme="minorHAnsi" w:eastAsiaTheme="minorEastAsia" w:hAnsiTheme="minorHAnsi"/>
          <w:color w:val="auto"/>
          <w:sz w:val="22"/>
          <w:lang w:eastAsia="en-AU"/>
        </w:rPr>
      </w:pPr>
      <w:hyperlink w:anchor="_Toc421721123" w:history="1">
        <w:r w:rsidR="00F31F21" w:rsidRPr="00B73A83">
          <w:rPr>
            <w:rStyle w:val="Hyperlink"/>
          </w:rPr>
          <w:t>3.</w:t>
        </w:r>
        <w:r w:rsidR="00F31F21">
          <w:rPr>
            <w:rFonts w:asciiTheme="minorHAnsi" w:eastAsiaTheme="minorEastAsia" w:hAnsiTheme="minorHAnsi"/>
            <w:color w:val="auto"/>
            <w:sz w:val="22"/>
            <w:lang w:eastAsia="en-AU"/>
          </w:rPr>
          <w:tab/>
        </w:r>
        <w:r w:rsidR="00F31F21" w:rsidRPr="00B73A83">
          <w:rPr>
            <w:rStyle w:val="Hyperlink"/>
          </w:rPr>
          <w:t>Proposed amendments</w:t>
        </w:r>
        <w:r w:rsidR="00F31F21">
          <w:rPr>
            <w:webHidden/>
          </w:rPr>
          <w:tab/>
        </w:r>
        <w:r w:rsidR="00F31F21">
          <w:rPr>
            <w:webHidden/>
          </w:rPr>
          <w:fldChar w:fldCharType="begin"/>
        </w:r>
        <w:r w:rsidR="00F31F21">
          <w:rPr>
            <w:webHidden/>
          </w:rPr>
          <w:instrText xml:space="preserve"> PAGEREF _Toc421721123 \h </w:instrText>
        </w:r>
        <w:r w:rsidR="00F31F21">
          <w:rPr>
            <w:webHidden/>
          </w:rPr>
        </w:r>
        <w:r w:rsidR="00F31F21">
          <w:rPr>
            <w:webHidden/>
          </w:rPr>
          <w:fldChar w:fldCharType="separate"/>
        </w:r>
        <w:r w:rsidR="00F31F21">
          <w:rPr>
            <w:webHidden/>
          </w:rPr>
          <w:t>7</w:t>
        </w:r>
        <w:r w:rsidR="00F31F21">
          <w:rPr>
            <w:webHidden/>
          </w:rPr>
          <w:fldChar w:fldCharType="end"/>
        </w:r>
      </w:hyperlink>
    </w:p>
    <w:p w14:paraId="4C901733" w14:textId="77777777" w:rsidR="00F31F21" w:rsidRDefault="00E96F00">
      <w:pPr>
        <w:pStyle w:val="TOC2"/>
        <w:rPr>
          <w:rFonts w:asciiTheme="minorHAnsi" w:eastAsiaTheme="minorEastAsia" w:hAnsiTheme="minorHAnsi"/>
          <w:noProof/>
          <w:lang w:eastAsia="en-AU"/>
        </w:rPr>
      </w:pPr>
      <w:hyperlink w:anchor="_Toc421721124" w:history="1">
        <w:r w:rsidR="00F31F21" w:rsidRPr="00B73A83">
          <w:rPr>
            <w:rStyle w:val="Hyperlink"/>
            <w:noProof/>
          </w:rPr>
          <w:t>3.1.</w:t>
        </w:r>
        <w:r w:rsidR="00F31F21">
          <w:rPr>
            <w:rFonts w:asciiTheme="minorHAnsi" w:eastAsiaTheme="minorEastAsia" w:hAnsiTheme="minorHAnsi"/>
            <w:noProof/>
            <w:lang w:eastAsia="en-AU"/>
          </w:rPr>
          <w:tab/>
        </w:r>
        <w:r w:rsidR="00F31F21" w:rsidRPr="00B73A83">
          <w:rPr>
            <w:rStyle w:val="Hyperlink"/>
            <w:noProof/>
          </w:rPr>
          <w:t>Telecommunications Regulations</w:t>
        </w:r>
        <w:r w:rsidR="00F31F21">
          <w:rPr>
            <w:noProof/>
            <w:webHidden/>
          </w:rPr>
          <w:tab/>
        </w:r>
        <w:r w:rsidR="00F31F21">
          <w:rPr>
            <w:noProof/>
            <w:webHidden/>
          </w:rPr>
          <w:fldChar w:fldCharType="begin"/>
        </w:r>
        <w:r w:rsidR="00F31F21">
          <w:rPr>
            <w:noProof/>
            <w:webHidden/>
          </w:rPr>
          <w:instrText xml:space="preserve"> PAGEREF _Toc421721124 \h </w:instrText>
        </w:r>
        <w:r w:rsidR="00F31F21">
          <w:rPr>
            <w:noProof/>
            <w:webHidden/>
          </w:rPr>
        </w:r>
        <w:r w:rsidR="00F31F21">
          <w:rPr>
            <w:noProof/>
            <w:webHidden/>
          </w:rPr>
          <w:fldChar w:fldCharType="separate"/>
        </w:r>
        <w:r w:rsidR="00F31F21">
          <w:rPr>
            <w:noProof/>
            <w:webHidden/>
          </w:rPr>
          <w:t>7</w:t>
        </w:r>
        <w:r w:rsidR="00F31F21">
          <w:rPr>
            <w:noProof/>
            <w:webHidden/>
          </w:rPr>
          <w:fldChar w:fldCharType="end"/>
        </w:r>
      </w:hyperlink>
    </w:p>
    <w:p w14:paraId="4ED6F012" w14:textId="77777777" w:rsidR="00F31F21" w:rsidRDefault="00E96F00">
      <w:pPr>
        <w:pStyle w:val="TOC2"/>
        <w:rPr>
          <w:rFonts w:asciiTheme="minorHAnsi" w:eastAsiaTheme="minorEastAsia" w:hAnsiTheme="minorHAnsi"/>
          <w:noProof/>
          <w:lang w:eastAsia="en-AU"/>
        </w:rPr>
      </w:pPr>
      <w:hyperlink w:anchor="_Toc421721125" w:history="1">
        <w:r w:rsidR="00F31F21" w:rsidRPr="00B73A83">
          <w:rPr>
            <w:rStyle w:val="Hyperlink"/>
            <w:noProof/>
          </w:rPr>
          <w:t>3.2.</w:t>
        </w:r>
        <w:r w:rsidR="00F31F21">
          <w:rPr>
            <w:rFonts w:asciiTheme="minorHAnsi" w:eastAsiaTheme="minorEastAsia" w:hAnsiTheme="minorHAnsi"/>
            <w:noProof/>
            <w:lang w:eastAsia="en-AU"/>
          </w:rPr>
          <w:tab/>
        </w:r>
        <w:r w:rsidR="00F31F21" w:rsidRPr="00B73A83">
          <w:rPr>
            <w:rStyle w:val="Hyperlink"/>
            <w:noProof/>
          </w:rPr>
          <w:t>Low-impact Facilities Determination</w:t>
        </w:r>
        <w:r w:rsidR="00F31F21">
          <w:rPr>
            <w:noProof/>
            <w:webHidden/>
          </w:rPr>
          <w:tab/>
        </w:r>
        <w:r w:rsidR="00F31F21">
          <w:rPr>
            <w:noProof/>
            <w:webHidden/>
          </w:rPr>
          <w:fldChar w:fldCharType="begin"/>
        </w:r>
        <w:r w:rsidR="00F31F21">
          <w:rPr>
            <w:noProof/>
            <w:webHidden/>
          </w:rPr>
          <w:instrText xml:space="preserve"> PAGEREF _Toc421721125 \h </w:instrText>
        </w:r>
        <w:r w:rsidR="00F31F21">
          <w:rPr>
            <w:noProof/>
            <w:webHidden/>
          </w:rPr>
        </w:r>
        <w:r w:rsidR="00F31F21">
          <w:rPr>
            <w:noProof/>
            <w:webHidden/>
          </w:rPr>
          <w:fldChar w:fldCharType="separate"/>
        </w:r>
        <w:r w:rsidR="00F31F21">
          <w:rPr>
            <w:noProof/>
            <w:webHidden/>
          </w:rPr>
          <w:t>8</w:t>
        </w:r>
        <w:r w:rsidR="00F31F21">
          <w:rPr>
            <w:noProof/>
            <w:webHidden/>
          </w:rPr>
          <w:fldChar w:fldCharType="end"/>
        </w:r>
      </w:hyperlink>
    </w:p>
    <w:p w14:paraId="26C4B5A3" w14:textId="77777777" w:rsidR="00F31F21" w:rsidRDefault="00E96F00">
      <w:pPr>
        <w:pStyle w:val="TOC3"/>
        <w:tabs>
          <w:tab w:val="left" w:pos="1320"/>
        </w:tabs>
        <w:rPr>
          <w:rFonts w:asciiTheme="minorHAnsi" w:eastAsiaTheme="minorEastAsia" w:hAnsiTheme="minorHAnsi"/>
          <w:noProof/>
          <w:lang w:eastAsia="en-AU"/>
        </w:rPr>
      </w:pPr>
      <w:hyperlink w:anchor="_Toc421721126" w:history="1">
        <w:r w:rsidR="00F31F21" w:rsidRPr="00B73A83">
          <w:rPr>
            <w:rStyle w:val="Hyperlink"/>
            <w:noProof/>
          </w:rPr>
          <w:t>3.2.1.</w:t>
        </w:r>
        <w:r w:rsidR="00F31F21">
          <w:rPr>
            <w:rFonts w:asciiTheme="minorHAnsi" w:eastAsiaTheme="minorEastAsia" w:hAnsiTheme="minorHAnsi"/>
            <w:noProof/>
            <w:lang w:eastAsia="en-AU"/>
          </w:rPr>
          <w:tab/>
        </w:r>
        <w:r w:rsidR="00F31F21" w:rsidRPr="00B73A83">
          <w:rPr>
            <w:rStyle w:val="Hyperlink"/>
            <w:noProof/>
          </w:rPr>
          <w:t>Section 1.3 – Definitions</w:t>
        </w:r>
        <w:r w:rsidR="00F31F21">
          <w:rPr>
            <w:noProof/>
            <w:webHidden/>
          </w:rPr>
          <w:tab/>
        </w:r>
        <w:r w:rsidR="00F31F21">
          <w:rPr>
            <w:noProof/>
            <w:webHidden/>
          </w:rPr>
          <w:fldChar w:fldCharType="begin"/>
        </w:r>
        <w:r w:rsidR="00F31F21">
          <w:rPr>
            <w:noProof/>
            <w:webHidden/>
          </w:rPr>
          <w:instrText xml:space="preserve"> PAGEREF _Toc421721126 \h </w:instrText>
        </w:r>
        <w:r w:rsidR="00F31F21">
          <w:rPr>
            <w:noProof/>
            <w:webHidden/>
          </w:rPr>
        </w:r>
        <w:r w:rsidR="00F31F21">
          <w:rPr>
            <w:noProof/>
            <w:webHidden/>
          </w:rPr>
          <w:fldChar w:fldCharType="separate"/>
        </w:r>
        <w:r w:rsidR="00F31F21">
          <w:rPr>
            <w:noProof/>
            <w:webHidden/>
          </w:rPr>
          <w:t>9</w:t>
        </w:r>
        <w:r w:rsidR="00F31F21">
          <w:rPr>
            <w:noProof/>
            <w:webHidden/>
          </w:rPr>
          <w:fldChar w:fldCharType="end"/>
        </w:r>
      </w:hyperlink>
    </w:p>
    <w:p w14:paraId="6378F28C" w14:textId="77777777" w:rsidR="00F31F21" w:rsidRDefault="00E96F00">
      <w:pPr>
        <w:pStyle w:val="TOC3"/>
        <w:tabs>
          <w:tab w:val="left" w:pos="1320"/>
        </w:tabs>
        <w:rPr>
          <w:rFonts w:asciiTheme="minorHAnsi" w:eastAsiaTheme="minorEastAsia" w:hAnsiTheme="minorHAnsi"/>
          <w:noProof/>
          <w:lang w:eastAsia="en-AU"/>
        </w:rPr>
      </w:pPr>
      <w:hyperlink w:anchor="_Toc421721127" w:history="1">
        <w:r w:rsidR="00F31F21" w:rsidRPr="00B73A83">
          <w:rPr>
            <w:rStyle w:val="Hyperlink"/>
            <w:noProof/>
          </w:rPr>
          <w:t>3.2.2.</w:t>
        </w:r>
        <w:r w:rsidR="00F31F21">
          <w:rPr>
            <w:rFonts w:asciiTheme="minorHAnsi" w:eastAsiaTheme="minorEastAsia" w:hAnsiTheme="minorHAnsi"/>
            <w:noProof/>
            <w:lang w:eastAsia="en-AU"/>
          </w:rPr>
          <w:tab/>
        </w:r>
        <w:r w:rsidR="00F31F21" w:rsidRPr="00B73A83">
          <w:rPr>
            <w:rStyle w:val="Hyperlink"/>
            <w:noProof/>
          </w:rPr>
          <w:t>Schedule Part 3 – Above ground housing</w:t>
        </w:r>
        <w:r w:rsidR="00F31F21">
          <w:rPr>
            <w:noProof/>
            <w:webHidden/>
          </w:rPr>
          <w:tab/>
        </w:r>
        <w:r w:rsidR="00F31F21">
          <w:rPr>
            <w:noProof/>
            <w:webHidden/>
          </w:rPr>
          <w:fldChar w:fldCharType="begin"/>
        </w:r>
        <w:r w:rsidR="00F31F21">
          <w:rPr>
            <w:noProof/>
            <w:webHidden/>
          </w:rPr>
          <w:instrText xml:space="preserve"> PAGEREF _Toc421721127 \h </w:instrText>
        </w:r>
        <w:r w:rsidR="00F31F21">
          <w:rPr>
            <w:noProof/>
            <w:webHidden/>
          </w:rPr>
        </w:r>
        <w:r w:rsidR="00F31F21">
          <w:rPr>
            <w:noProof/>
            <w:webHidden/>
          </w:rPr>
          <w:fldChar w:fldCharType="separate"/>
        </w:r>
        <w:r w:rsidR="00F31F21">
          <w:rPr>
            <w:noProof/>
            <w:webHidden/>
          </w:rPr>
          <w:t>12</w:t>
        </w:r>
        <w:r w:rsidR="00F31F21">
          <w:rPr>
            <w:noProof/>
            <w:webHidden/>
          </w:rPr>
          <w:fldChar w:fldCharType="end"/>
        </w:r>
      </w:hyperlink>
    </w:p>
    <w:p w14:paraId="31FDD7E0" w14:textId="77777777" w:rsidR="00F31F21" w:rsidRDefault="00E96F00">
      <w:pPr>
        <w:pStyle w:val="TOC3"/>
        <w:tabs>
          <w:tab w:val="left" w:pos="1320"/>
        </w:tabs>
        <w:rPr>
          <w:rFonts w:asciiTheme="minorHAnsi" w:eastAsiaTheme="minorEastAsia" w:hAnsiTheme="minorHAnsi"/>
          <w:noProof/>
          <w:lang w:eastAsia="en-AU"/>
        </w:rPr>
      </w:pPr>
      <w:hyperlink w:anchor="_Toc421721128" w:history="1">
        <w:r w:rsidR="00F31F21" w:rsidRPr="00B73A83">
          <w:rPr>
            <w:rStyle w:val="Hyperlink"/>
            <w:noProof/>
          </w:rPr>
          <w:t>3.2.3.</w:t>
        </w:r>
        <w:r w:rsidR="00F31F21">
          <w:rPr>
            <w:rFonts w:asciiTheme="minorHAnsi" w:eastAsiaTheme="minorEastAsia" w:hAnsiTheme="minorHAnsi"/>
            <w:noProof/>
            <w:lang w:eastAsia="en-AU"/>
          </w:rPr>
          <w:tab/>
        </w:r>
        <w:r w:rsidR="00F31F21" w:rsidRPr="00B73A83">
          <w:rPr>
            <w:rStyle w:val="Hyperlink"/>
            <w:noProof/>
          </w:rPr>
          <w:t>Schedule Part 4 – Underground facilities (for fixed-line networks)</w:t>
        </w:r>
        <w:r w:rsidR="00F31F21">
          <w:rPr>
            <w:noProof/>
            <w:webHidden/>
          </w:rPr>
          <w:tab/>
        </w:r>
        <w:r w:rsidR="00F31F21">
          <w:rPr>
            <w:noProof/>
            <w:webHidden/>
          </w:rPr>
          <w:fldChar w:fldCharType="begin"/>
        </w:r>
        <w:r w:rsidR="00F31F21">
          <w:rPr>
            <w:noProof/>
            <w:webHidden/>
          </w:rPr>
          <w:instrText xml:space="preserve"> PAGEREF _Toc421721128 \h </w:instrText>
        </w:r>
        <w:r w:rsidR="00F31F21">
          <w:rPr>
            <w:noProof/>
            <w:webHidden/>
          </w:rPr>
        </w:r>
        <w:r w:rsidR="00F31F21">
          <w:rPr>
            <w:noProof/>
            <w:webHidden/>
          </w:rPr>
          <w:fldChar w:fldCharType="separate"/>
        </w:r>
        <w:r w:rsidR="00F31F21">
          <w:rPr>
            <w:noProof/>
            <w:webHidden/>
          </w:rPr>
          <w:t>12</w:t>
        </w:r>
        <w:r w:rsidR="00F31F21">
          <w:rPr>
            <w:noProof/>
            <w:webHidden/>
          </w:rPr>
          <w:fldChar w:fldCharType="end"/>
        </w:r>
      </w:hyperlink>
    </w:p>
    <w:p w14:paraId="724F7F3E" w14:textId="77777777" w:rsidR="00F31F21" w:rsidRDefault="00E96F00">
      <w:pPr>
        <w:pStyle w:val="TOC3"/>
        <w:tabs>
          <w:tab w:val="left" w:pos="1320"/>
        </w:tabs>
        <w:rPr>
          <w:rFonts w:asciiTheme="minorHAnsi" w:eastAsiaTheme="minorEastAsia" w:hAnsiTheme="minorHAnsi"/>
          <w:noProof/>
          <w:lang w:eastAsia="en-AU"/>
        </w:rPr>
      </w:pPr>
      <w:hyperlink w:anchor="_Toc421721129" w:history="1">
        <w:r w:rsidR="00F31F21" w:rsidRPr="00B73A83">
          <w:rPr>
            <w:rStyle w:val="Hyperlink"/>
            <w:noProof/>
          </w:rPr>
          <w:t>3.2.4.</w:t>
        </w:r>
        <w:r w:rsidR="00F31F21">
          <w:rPr>
            <w:rFonts w:asciiTheme="minorHAnsi" w:eastAsiaTheme="minorEastAsia" w:hAnsiTheme="minorHAnsi"/>
            <w:noProof/>
            <w:lang w:eastAsia="en-AU"/>
          </w:rPr>
          <w:tab/>
        </w:r>
        <w:r w:rsidR="00F31F21" w:rsidRPr="00B73A83">
          <w:rPr>
            <w:rStyle w:val="Hyperlink"/>
            <w:noProof/>
          </w:rPr>
          <w:t>Schedule Part 4A – Above ground facilities (for fixed-line networks)</w:t>
        </w:r>
        <w:r w:rsidR="00F31F21">
          <w:rPr>
            <w:noProof/>
            <w:webHidden/>
          </w:rPr>
          <w:tab/>
        </w:r>
        <w:r w:rsidR="00F31F21">
          <w:rPr>
            <w:noProof/>
            <w:webHidden/>
          </w:rPr>
          <w:fldChar w:fldCharType="begin"/>
        </w:r>
        <w:r w:rsidR="00F31F21">
          <w:rPr>
            <w:noProof/>
            <w:webHidden/>
          </w:rPr>
          <w:instrText xml:space="preserve"> PAGEREF _Toc421721129 \h </w:instrText>
        </w:r>
        <w:r w:rsidR="00F31F21">
          <w:rPr>
            <w:noProof/>
            <w:webHidden/>
          </w:rPr>
        </w:r>
        <w:r w:rsidR="00F31F21">
          <w:rPr>
            <w:noProof/>
            <w:webHidden/>
          </w:rPr>
          <w:fldChar w:fldCharType="separate"/>
        </w:r>
        <w:r w:rsidR="00F31F21">
          <w:rPr>
            <w:noProof/>
            <w:webHidden/>
          </w:rPr>
          <w:t>13</w:t>
        </w:r>
        <w:r w:rsidR="00F31F21">
          <w:rPr>
            <w:noProof/>
            <w:webHidden/>
          </w:rPr>
          <w:fldChar w:fldCharType="end"/>
        </w:r>
      </w:hyperlink>
    </w:p>
    <w:p w14:paraId="6ED169AD" w14:textId="77777777" w:rsidR="00F31F21" w:rsidRDefault="00E96F00">
      <w:pPr>
        <w:pStyle w:val="TOC3"/>
        <w:tabs>
          <w:tab w:val="left" w:pos="1320"/>
        </w:tabs>
        <w:rPr>
          <w:rFonts w:asciiTheme="minorHAnsi" w:eastAsiaTheme="minorEastAsia" w:hAnsiTheme="minorHAnsi"/>
          <w:noProof/>
          <w:lang w:eastAsia="en-AU"/>
        </w:rPr>
      </w:pPr>
      <w:hyperlink w:anchor="_Toc421721130" w:history="1">
        <w:r w:rsidR="00F31F21" w:rsidRPr="00B73A83">
          <w:rPr>
            <w:rStyle w:val="Hyperlink"/>
            <w:noProof/>
          </w:rPr>
          <w:t>3.2.5.</w:t>
        </w:r>
        <w:r w:rsidR="00F31F21">
          <w:rPr>
            <w:rFonts w:asciiTheme="minorHAnsi" w:eastAsiaTheme="minorEastAsia" w:hAnsiTheme="minorHAnsi"/>
            <w:noProof/>
            <w:lang w:eastAsia="en-AU"/>
          </w:rPr>
          <w:tab/>
        </w:r>
        <w:r w:rsidR="00F31F21" w:rsidRPr="00B73A83">
          <w:rPr>
            <w:rStyle w:val="Hyperlink"/>
            <w:noProof/>
          </w:rPr>
          <w:t>Schedule Part 4B – Above ground hybrid fibre-coaxial facilities</w:t>
        </w:r>
        <w:r w:rsidR="00F31F21">
          <w:rPr>
            <w:noProof/>
            <w:webHidden/>
          </w:rPr>
          <w:tab/>
        </w:r>
        <w:r w:rsidR="00F31F21">
          <w:rPr>
            <w:noProof/>
            <w:webHidden/>
          </w:rPr>
          <w:fldChar w:fldCharType="begin"/>
        </w:r>
        <w:r w:rsidR="00F31F21">
          <w:rPr>
            <w:noProof/>
            <w:webHidden/>
          </w:rPr>
          <w:instrText xml:space="preserve"> PAGEREF _Toc421721130 \h </w:instrText>
        </w:r>
        <w:r w:rsidR="00F31F21">
          <w:rPr>
            <w:noProof/>
            <w:webHidden/>
          </w:rPr>
        </w:r>
        <w:r w:rsidR="00F31F21">
          <w:rPr>
            <w:noProof/>
            <w:webHidden/>
          </w:rPr>
          <w:fldChar w:fldCharType="separate"/>
        </w:r>
        <w:r w:rsidR="00F31F21">
          <w:rPr>
            <w:noProof/>
            <w:webHidden/>
          </w:rPr>
          <w:t>17</w:t>
        </w:r>
        <w:r w:rsidR="00F31F21">
          <w:rPr>
            <w:noProof/>
            <w:webHidden/>
          </w:rPr>
          <w:fldChar w:fldCharType="end"/>
        </w:r>
      </w:hyperlink>
    </w:p>
    <w:p w14:paraId="72D0114C" w14:textId="77777777" w:rsidR="00F31F21" w:rsidRDefault="00E96F00">
      <w:pPr>
        <w:pStyle w:val="TOC1"/>
        <w:rPr>
          <w:rFonts w:asciiTheme="minorHAnsi" w:eastAsiaTheme="minorEastAsia" w:hAnsiTheme="minorHAnsi"/>
          <w:color w:val="auto"/>
          <w:sz w:val="22"/>
          <w:lang w:eastAsia="en-AU"/>
        </w:rPr>
      </w:pPr>
      <w:hyperlink w:anchor="_Toc421721131" w:history="1">
        <w:r w:rsidR="00F31F21" w:rsidRPr="00B73A83">
          <w:rPr>
            <w:rStyle w:val="Hyperlink"/>
          </w:rPr>
          <w:t>4.</w:t>
        </w:r>
        <w:r w:rsidR="00F31F21">
          <w:rPr>
            <w:rFonts w:asciiTheme="minorHAnsi" w:eastAsiaTheme="minorEastAsia" w:hAnsiTheme="minorHAnsi"/>
            <w:color w:val="auto"/>
            <w:sz w:val="22"/>
            <w:lang w:eastAsia="en-AU"/>
          </w:rPr>
          <w:tab/>
        </w:r>
        <w:r w:rsidR="00F31F21" w:rsidRPr="00B73A83">
          <w:rPr>
            <w:rStyle w:val="Hyperlink"/>
          </w:rPr>
          <w:t>How to make a submission</w:t>
        </w:r>
        <w:r w:rsidR="00F31F21">
          <w:rPr>
            <w:webHidden/>
          </w:rPr>
          <w:tab/>
        </w:r>
        <w:r w:rsidR="00F31F21">
          <w:rPr>
            <w:webHidden/>
          </w:rPr>
          <w:fldChar w:fldCharType="begin"/>
        </w:r>
        <w:r w:rsidR="00F31F21">
          <w:rPr>
            <w:webHidden/>
          </w:rPr>
          <w:instrText xml:space="preserve"> PAGEREF _Toc421721131 \h </w:instrText>
        </w:r>
        <w:r w:rsidR="00F31F21">
          <w:rPr>
            <w:webHidden/>
          </w:rPr>
        </w:r>
        <w:r w:rsidR="00F31F21">
          <w:rPr>
            <w:webHidden/>
          </w:rPr>
          <w:fldChar w:fldCharType="separate"/>
        </w:r>
        <w:r w:rsidR="00F31F21">
          <w:rPr>
            <w:webHidden/>
          </w:rPr>
          <w:t>18</w:t>
        </w:r>
        <w:r w:rsidR="00F31F21">
          <w:rPr>
            <w:webHidden/>
          </w:rPr>
          <w:fldChar w:fldCharType="end"/>
        </w:r>
      </w:hyperlink>
    </w:p>
    <w:p w14:paraId="33348FC4" w14:textId="77777777" w:rsidR="00F31F21" w:rsidRDefault="00E96F00">
      <w:pPr>
        <w:pStyle w:val="TOC2"/>
        <w:rPr>
          <w:rFonts w:asciiTheme="minorHAnsi" w:eastAsiaTheme="minorEastAsia" w:hAnsiTheme="minorHAnsi"/>
          <w:noProof/>
          <w:lang w:eastAsia="en-AU"/>
        </w:rPr>
      </w:pPr>
      <w:hyperlink w:anchor="_Toc421721132" w:history="1">
        <w:r w:rsidR="00F31F21" w:rsidRPr="00B73A83">
          <w:rPr>
            <w:rStyle w:val="Hyperlink"/>
            <w:noProof/>
          </w:rPr>
          <w:t>4.1.</w:t>
        </w:r>
        <w:r w:rsidR="00F31F21">
          <w:rPr>
            <w:rFonts w:asciiTheme="minorHAnsi" w:eastAsiaTheme="minorEastAsia" w:hAnsiTheme="minorHAnsi"/>
            <w:noProof/>
            <w:lang w:eastAsia="en-AU"/>
          </w:rPr>
          <w:tab/>
        </w:r>
        <w:r w:rsidR="00F31F21" w:rsidRPr="00B73A83">
          <w:rPr>
            <w:rStyle w:val="Hyperlink"/>
            <w:noProof/>
          </w:rPr>
          <w:t>Publication of submissions</w:t>
        </w:r>
        <w:r w:rsidR="00F31F21">
          <w:rPr>
            <w:noProof/>
            <w:webHidden/>
          </w:rPr>
          <w:tab/>
        </w:r>
        <w:r w:rsidR="00F31F21">
          <w:rPr>
            <w:noProof/>
            <w:webHidden/>
          </w:rPr>
          <w:fldChar w:fldCharType="begin"/>
        </w:r>
        <w:r w:rsidR="00F31F21">
          <w:rPr>
            <w:noProof/>
            <w:webHidden/>
          </w:rPr>
          <w:instrText xml:space="preserve"> PAGEREF _Toc421721132 \h </w:instrText>
        </w:r>
        <w:r w:rsidR="00F31F21">
          <w:rPr>
            <w:noProof/>
            <w:webHidden/>
          </w:rPr>
        </w:r>
        <w:r w:rsidR="00F31F21">
          <w:rPr>
            <w:noProof/>
            <w:webHidden/>
          </w:rPr>
          <w:fldChar w:fldCharType="separate"/>
        </w:r>
        <w:r w:rsidR="00F31F21">
          <w:rPr>
            <w:noProof/>
            <w:webHidden/>
          </w:rPr>
          <w:t>18</w:t>
        </w:r>
        <w:r w:rsidR="00F31F21">
          <w:rPr>
            <w:noProof/>
            <w:webHidden/>
          </w:rPr>
          <w:fldChar w:fldCharType="end"/>
        </w:r>
      </w:hyperlink>
    </w:p>
    <w:p w14:paraId="027C0F20" w14:textId="77777777" w:rsidR="00F31F21" w:rsidRDefault="00E96F00">
      <w:pPr>
        <w:pStyle w:val="TOC2"/>
        <w:rPr>
          <w:rFonts w:asciiTheme="minorHAnsi" w:eastAsiaTheme="minorEastAsia" w:hAnsiTheme="minorHAnsi"/>
          <w:noProof/>
          <w:lang w:eastAsia="en-AU"/>
        </w:rPr>
      </w:pPr>
      <w:hyperlink w:anchor="_Toc421721133" w:history="1">
        <w:r w:rsidR="00F31F21" w:rsidRPr="00B73A83">
          <w:rPr>
            <w:rStyle w:val="Hyperlink"/>
            <w:noProof/>
          </w:rPr>
          <w:t>4.2.</w:t>
        </w:r>
        <w:r w:rsidR="00F31F21">
          <w:rPr>
            <w:rFonts w:asciiTheme="minorHAnsi" w:eastAsiaTheme="minorEastAsia" w:hAnsiTheme="minorHAnsi"/>
            <w:noProof/>
            <w:lang w:eastAsia="en-AU"/>
          </w:rPr>
          <w:tab/>
        </w:r>
        <w:r w:rsidR="00F31F21" w:rsidRPr="00B73A83">
          <w:rPr>
            <w:rStyle w:val="Hyperlink"/>
            <w:noProof/>
          </w:rPr>
          <w:t>Release of submissions where authorised or required by law</w:t>
        </w:r>
        <w:r w:rsidR="00F31F21">
          <w:rPr>
            <w:noProof/>
            <w:webHidden/>
          </w:rPr>
          <w:tab/>
        </w:r>
        <w:r w:rsidR="00F31F21">
          <w:rPr>
            <w:noProof/>
            <w:webHidden/>
          </w:rPr>
          <w:fldChar w:fldCharType="begin"/>
        </w:r>
        <w:r w:rsidR="00F31F21">
          <w:rPr>
            <w:noProof/>
            <w:webHidden/>
          </w:rPr>
          <w:instrText xml:space="preserve"> PAGEREF _Toc421721133 \h </w:instrText>
        </w:r>
        <w:r w:rsidR="00F31F21">
          <w:rPr>
            <w:noProof/>
            <w:webHidden/>
          </w:rPr>
        </w:r>
        <w:r w:rsidR="00F31F21">
          <w:rPr>
            <w:noProof/>
            <w:webHidden/>
          </w:rPr>
          <w:fldChar w:fldCharType="separate"/>
        </w:r>
        <w:r w:rsidR="00F31F21">
          <w:rPr>
            <w:noProof/>
            <w:webHidden/>
          </w:rPr>
          <w:t>18</w:t>
        </w:r>
        <w:r w:rsidR="00F31F21">
          <w:rPr>
            <w:noProof/>
            <w:webHidden/>
          </w:rPr>
          <w:fldChar w:fldCharType="end"/>
        </w:r>
      </w:hyperlink>
    </w:p>
    <w:p w14:paraId="6C5CE596" w14:textId="77777777" w:rsidR="00F31F21" w:rsidRDefault="00E96F00">
      <w:pPr>
        <w:pStyle w:val="TOC2"/>
        <w:rPr>
          <w:rFonts w:asciiTheme="minorHAnsi" w:eastAsiaTheme="minorEastAsia" w:hAnsiTheme="minorHAnsi"/>
          <w:noProof/>
          <w:lang w:eastAsia="en-AU"/>
        </w:rPr>
      </w:pPr>
      <w:hyperlink w:anchor="_Toc421721134" w:history="1">
        <w:r w:rsidR="00F31F21" w:rsidRPr="00B73A83">
          <w:rPr>
            <w:rStyle w:val="Hyperlink"/>
            <w:noProof/>
          </w:rPr>
          <w:t>4.3.</w:t>
        </w:r>
        <w:r w:rsidR="00F31F21">
          <w:rPr>
            <w:rFonts w:asciiTheme="minorHAnsi" w:eastAsiaTheme="minorEastAsia" w:hAnsiTheme="minorHAnsi"/>
            <w:noProof/>
            <w:lang w:eastAsia="en-AU"/>
          </w:rPr>
          <w:tab/>
        </w:r>
        <w:r w:rsidR="00F31F21" w:rsidRPr="00B73A83">
          <w:rPr>
            <w:rStyle w:val="Hyperlink"/>
            <w:noProof/>
          </w:rPr>
          <w:t>Contact us</w:t>
        </w:r>
        <w:r w:rsidR="00F31F21">
          <w:rPr>
            <w:noProof/>
            <w:webHidden/>
          </w:rPr>
          <w:tab/>
        </w:r>
        <w:r w:rsidR="00F31F21">
          <w:rPr>
            <w:noProof/>
            <w:webHidden/>
          </w:rPr>
          <w:fldChar w:fldCharType="begin"/>
        </w:r>
        <w:r w:rsidR="00F31F21">
          <w:rPr>
            <w:noProof/>
            <w:webHidden/>
          </w:rPr>
          <w:instrText xml:space="preserve"> PAGEREF _Toc421721134 \h </w:instrText>
        </w:r>
        <w:r w:rsidR="00F31F21">
          <w:rPr>
            <w:noProof/>
            <w:webHidden/>
          </w:rPr>
        </w:r>
        <w:r w:rsidR="00F31F21">
          <w:rPr>
            <w:noProof/>
            <w:webHidden/>
          </w:rPr>
          <w:fldChar w:fldCharType="separate"/>
        </w:r>
        <w:r w:rsidR="00F31F21">
          <w:rPr>
            <w:noProof/>
            <w:webHidden/>
          </w:rPr>
          <w:t>19</w:t>
        </w:r>
        <w:r w:rsidR="00F31F21">
          <w:rPr>
            <w:noProof/>
            <w:webHidden/>
          </w:rPr>
          <w:fldChar w:fldCharType="end"/>
        </w:r>
      </w:hyperlink>
    </w:p>
    <w:p w14:paraId="42E096B8" w14:textId="77777777" w:rsidR="00F31F21" w:rsidRDefault="00E96F00">
      <w:pPr>
        <w:pStyle w:val="TOC1"/>
        <w:rPr>
          <w:rFonts w:asciiTheme="minorHAnsi" w:eastAsiaTheme="minorEastAsia" w:hAnsiTheme="minorHAnsi"/>
          <w:color w:val="auto"/>
          <w:sz w:val="22"/>
          <w:lang w:eastAsia="en-AU"/>
        </w:rPr>
      </w:pPr>
      <w:hyperlink w:anchor="_Toc421721135" w:history="1">
        <w:r w:rsidR="00F31F21" w:rsidRPr="00B73A83">
          <w:rPr>
            <w:rStyle w:val="Hyperlink"/>
          </w:rPr>
          <w:t>5.</w:t>
        </w:r>
        <w:r w:rsidR="00F31F21">
          <w:rPr>
            <w:rFonts w:asciiTheme="minorHAnsi" w:eastAsiaTheme="minorEastAsia" w:hAnsiTheme="minorHAnsi"/>
            <w:color w:val="auto"/>
            <w:sz w:val="22"/>
            <w:lang w:eastAsia="en-AU"/>
          </w:rPr>
          <w:tab/>
        </w:r>
        <w:r w:rsidR="00F31F21" w:rsidRPr="00B73A83">
          <w:rPr>
            <w:rStyle w:val="Hyperlink"/>
          </w:rPr>
          <w:t>Glossary</w:t>
        </w:r>
        <w:r w:rsidR="00F31F21">
          <w:rPr>
            <w:webHidden/>
          </w:rPr>
          <w:tab/>
        </w:r>
        <w:r w:rsidR="00F31F21">
          <w:rPr>
            <w:webHidden/>
          </w:rPr>
          <w:fldChar w:fldCharType="begin"/>
        </w:r>
        <w:r w:rsidR="00F31F21">
          <w:rPr>
            <w:webHidden/>
          </w:rPr>
          <w:instrText xml:space="preserve"> PAGEREF _Toc421721135 \h </w:instrText>
        </w:r>
        <w:r w:rsidR="00F31F21">
          <w:rPr>
            <w:webHidden/>
          </w:rPr>
        </w:r>
        <w:r w:rsidR="00F31F21">
          <w:rPr>
            <w:webHidden/>
          </w:rPr>
          <w:fldChar w:fldCharType="separate"/>
        </w:r>
        <w:r w:rsidR="00F31F21">
          <w:rPr>
            <w:webHidden/>
          </w:rPr>
          <w:t>20</w:t>
        </w:r>
        <w:r w:rsidR="00F31F21">
          <w:rPr>
            <w:webHidden/>
          </w:rPr>
          <w:fldChar w:fldCharType="end"/>
        </w:r>
      </w:hyperlink>
    </w:p>
    <w:p w14:paraId="4A36071A" w14:textId="77777777" w:rsidR="00B46E1B" w:rsidRPr="00B46E1B" w:rsidRDefault="00AB0EF0" w:rsidP="006917CB">
      <w:r>
        <w:rPr>
          <w:noProof/>
          <w:color w:val="00728F"/>
          <w:sz w:val="24"/>
        </w:rPr>
        <w:fldChar w:fldCharType="end"/>
      </w:r>
      <w:r w:rsidR="00C61801">
        <w:br w:type="page"/>
      </w:r>
      <w:bookmarkStart w:id="10" w:name="_Toc382493210"/>
      <w:bookmarkStart w:id="11" w:name="_Toc382580071"/>
    </w:p>
    <w:p w14:paraId="15BB4198" w14:textId="77777777" w:rsidR="00C61801" w:rsidRDefault="007344BC" w:rsidP="001435DB">
      <w:pPr>
        <w:pStyle w:val="Heading1"/>
      </w:pPr>
      <w:bookmarkStart w:id="12" w:name="_Toc421721116"/>
      <w:bookmarkEnd w:id="10"/>
      <w:bookmarkEnd w:id="11"/>
      <w:r>
        <w:lastRenderedPageBreak/>
        <w:t>Overview</w:t>
      </w:r>
      <w:bookmarkEnd w:id="12"/>
    </w:p>
    <w:p w14:paraId="4BD03331" w14:textId="263D79EB" w:rsidR="007344BC" w:rsidRDefault="007344BC" w:rsidP="007344BC">
      <w:pPr>
        <w:spacing w:after="120"/>
      </w:pPr>
      <w:bookmarkStart w:id="13" w:name="_Toc382493212"/>
      <w:r>
        <w:t xml:space="preserve">The Government is proposing to make amendments to telecommunications carrier powers and immunities to support the rollout of the multi-technology mix (MTM) National Broadband Network (NBN) and other next-generation broadband networks. </w:t>
      </w:r>
      <w:r w:rsidRPr="003E0A79">
        <w:t>The</w:t>
      </w:r>
      <w:r w:rsidR="00544720" w:rsidRPr="003E0A79">
        <w:t xml:space="preserve"> propose</w:t>
      </w:r>
      <w:r w:rsidR="00064541" w:rsidRPr="003E0A79">
        <w:t>d</w:t>
      </w:r>
      <w:r w:rsidR="00544720" w:rsidRPr="003E0A79">
        <w:t xml:space="preserve"> </w:t>
      </w:r>
      <w:r w:rsidRPr="003E0A79">
        <w:t xml:space="preserve">amendments </w:t>
      </w:r>
      <w:r w:rsidR="00544720" w:rsidRPr="003E0A79">
        <w:t xml:space="preserve">relate </w:t>
      </w:r>
      <w:r w:rsidRPr="003E0A79">
        <w:t xml:space="preserve">to the </w:t>
      </w:r>
      <w:r w:rsidRPr="003E0A79">
        <w:rPr>
          <w:i/>
        </w:rPr>
        <w:t>Telecommunications Regulations 2001</w:t>
      </w:r>
      <w:r w:rsidRPr="003E0A79">
        <w:t xml:space="preserve"> (the Regulations)</w:t>
      </w:r>
      <w:r w:rsidR="00B37C48" w:rsidRPr="00B37C48">
        <w:t xml:space="preserve"> </w:t>
      </w:r>
      <w:r w:rsidR="00B37C48">
        <w:t xml:space="preserve">and the </w:t>
      </w:r>
      <w:r w:rsidR="005B591B">
        <w:t>Telecommunications (Low-</w:t>
      </w:r>
      <w:r w:rsidR="00B37C48" w:rsidRPr="00B37C48">
        <w:t>impact Facilities) Determination 1997 (LIFD)</w:t>
      </w:r>
      <w:r w:rsidRPr="003E0A79">
        <w:t>.</w:t>
      </w:r>
    </w:p>
    <w:p w14:paraId="0D48C9E0" w14:textId="77777777" w:rsidR="00D15063" w:rsidRDefault="00D15063" w:rsidP="00D15063">
      <w:r w:rsidRPr="007A151E">
        <w:t xml:space="preserve">The proposed amendments to the LIFD </w:t>
      </w:r>
      <w:r>
        <w:t>do the following:</w:t>
      </w:r>
    </w:p>
    <w:p w14:paraId="3C755F81" w14:textId="77777777" w:rsidR="00D15063" w:rsidRDefault="00D15063" w:rsidP="00D15063">
      <w:pPr>
        <w:pStyle w:val="ListParagraph"/>
        <w:numPr>
          <w:ilvl w:val="0"/>
          <w:numId w:val="47"/>
        </w:numPr>
      </w:pPr>
      <w:r w:rsidRPr="007A151E">
        <w:t>make definitions of fixed-line communications facilities in the LIFD technology neutral</w:t>
      </w:r>
      <w:r w:rsidR="00544720">
        <w:t>;</w:t>
      </w:r>
    </w:p>
    <w:p w14:paraId="7DDDBC7D" w14:textId="77777777" w:rsidR="00D15063" w:rsidRDefault="00D15063" w:rsidP="00D15063">
      <w:pPr>
        <w:pStyle w:val="ListParagraph"/>
        <w:numPr>
          <w:ilvl w:val="0"/>
          <w:numId w:val="47"/>
        </w:numPr>
      </w:pPr>
      <w:r>
        <w:t>provide for a small number of new types of facilities</w:t>
      </w:r>
      <w:r w:rsidR="008F5C91">
        <w:t xml:space="preserve"> on an ongoing basis</w:t>
      </w:r>
      <w:r w:rsidR="00544720">
        <w:t>;</w:t>
      </w:r>
      <w:r>
        <w:t xml:space="preserve"> </w:t>
      </w:r>
    </w:p>
    <w:p w14:paraId="3E950571" w14:textId="77777777" w:rsidR="00D15063" w:rsidRDefault="00D15063" w:rsidP="00D15063">
      <w:pPr>
        <w:pStyle w:val="ListParagraph"/>
        <w:numPr>
          <w:ilvl w:val="0"/>
          <w:numId w:val="47"/>
        </w:numPr>
      </w:pPr>
      <w:r w:rsidRPr="007A151E">
        <w:t>allow thicker overhead communicatio</w:t>
      </w:r>
      <w:r>
        <w:t>ns cabling to be classed as low</w:t>
      </w:r>
      <w:r>
        <w:noBreakHyphen/>
      </w:r>
      <w:r w:rsidRPr="007A151E">
        <w:t>impact facilities</w:t>
      </w:r>
      <w:r w:rsidR="00544720">
        <w:t>;</w:t>
      </w:r>
      <w:r w:rsidRPr="007A151E">
        <w:t xml:space="preserve"> </w:t>
      </w:r>
    </w:p>
    <w:p w14:paraId="75FE879B" w14:textId="77777777" w:rsidR="00D15063" w:rsidRDefault="00D15063" w:rsidP="00D15063">
      <w:pPr>
        <w:pStyle w:val="ListParagraph"/>
        <w:numPr>
          <w:ilvl w:val="0"/>
          <w:numId w:val="47"/>
        </w:numPr>
      </w:pPr>
      <w:r w:rsidRPr="007A151E">
        <w:t>permit some facilities to be attached to the outsi</w:t>
      </w:r>
      <w:r>
        <w:t>de of multi</w:t>
      </w:r>
      <w:r>
        <w:noBreakHyphen/>
        <w:t xml:space="preserve">unit buildings and </w:t>
      </w:r>
      <w:r w:rsidRPr="007A151E">
        <w:t xml:space="preserve">allow </w:t>
      </w:r>
      <w:r>
        <w:t xml:space="preserve">some </w:t>
      </w:r>
      <w:r w:rsidRPr="007A151E">
        <w:t xml:space="preserve">larger facilities to be installed inside </w:t>
      </w:r>
      <w:r>
        <w:t xml:space="preserve">multi-unit </w:t>
      </w:r>
      <w:r w:rsidRPr="007A151E">
        <w:t>buildings</w:t>
      </w:r>
      <w:r w:rsidR="00544720">
        <w:t>;</w:t>
      </w:r>
      <w:r w:rsidRPr="007A151E">
        <w:t xml:space="preserve"> </w:t>
      </w:r>
    </w:p>
    <w:p w14:paraId="40A5310E" w14:textId="77777777" w:rsidR="00D15063" w:rsidRDefault="00D15063" w:rsidP="00D15063">
      <w:pPr>
        <w:pStyle w:val="ListParagraph"/>
        <w:numPr>
          <w:ilvl w:val="0"/>
          <w:numId w:val="47"/>
        </w:numPr>
      </w:pPr>
      <w:r w:rsidRPr="007A151E">
        <w:t>make earlier temporary amendments to the</w:t>
      </w:r>
      <w:r>
        <w:t xml:space="preserve"> LIFD </w:t>
      </w:r>
      <w:r w:rsidR="00C65936">
        <w:t>made on 30 March 2</w:t>
      </w:r>
      <w:r w:rsidR="00915C38">
        <w:t>0</w:t>
      </w:r>
      <w:r w:rsidR="00C65936">
        <w:t xml:space="preserve">15 (and which came </w:t>
      </w:r>
      <w:r w:rsidR="00915C38">
        <w:t xml:space="preserve">into </w:t>
      </w:r>
      <w:r w:rsidR="00C65936">
        <w:t xml:space="preserve">effect on 2 </w:t>
      </w:r>
      <w:r>
        <w:t>April 2015</w:t>
      </w:r>
      <w:r w:rsidR="00C65936">
        <w:t xml:space="preserve">) </w:t>
      </w:r>
      <w:r>
        <w:t>ongoing</w:t>
      </w:r>
      <w:r w:rsidR="00544720">
        <w:t>; and</w:t>
      </w:r>
    </w:p>
    <w:p w14:paraId="1C57C7B8" w14:textId="77777777" w:rsidR="00D15063" w:rsidRPr="007A151E" w:rsidRDefault="00D15063" w:rsidP="00D15063">
      <w:pPr>
        <w:pStyle w:val="ListParagraph"/>
        <w:numPr>
          <w:ilvl w:val="0"/>
          <w:numId w:val="47"/>
        </w:numPr>
      </w:pPr>
      <w:r>
        <w:t>remove temporary geographic restriction</w:t>
      </w:r>
      <w:r w:rsidRPr="007A151E">
        <w:t>s on the installation of HFC facilities</w:t>
      </w:r>
      <w:r>
        <w:t xml:space="preserve"> in pilot areas</w:t>
      </w:r>
      <w:r w:rsidRPr="007A151E">
        <w:t>.</w:t>
      </w:r>
    </w:p>
    <w:p w14:paraId="6E95AB51" w14:textId="232B0843" w:rsidR="007344BC" w:rsidRDefault="007344BC" w:rsidP="007344BC">
      <w:pPr>
        <w:spacing w:after="120"/>
      </w:pPr>
      <w:r>
        <w:t xml:space="preserve">These proposed amendments follow temporary amendments </w:t>
      </w:r>
      <w:r w:rsidR="00544720">
        <w:t xml:space="preserve">made in April 2015 to the LIFD </w:t>
      </w:r>
      <w:r>
        <w:t xml:space="preserve">to support the rollout of the NBN and other next-generation </w:t>
      </w:r>
      <w:r w:rsidR="00544720">
        <w:t xml:space="preserve">national </w:t>
      </w:r>
      <w:r>
        <w:t>broadband networks. The</w:t>
      </w:r>
      <w:r w:rsidR="00544720">
        <w:t>se</w:t>
      </w:r>
      <w:r>
        <w:t xml:space="preserve"> temporary changes allow NBN </w:t>
      </w:r>
      <w:r w:rsidR="00B50D47">
        <w:t xml:space="preserve">Co </w:t>
      </w:r>
      <w:r>
        <w:t xml:space="preserve">and other comparable carriers to more readily deploy </w:t>
      </w:r>
      <w:r w:rsidR="00595DA8">
        <w:t>high speed</w:t>
      </w:r>
      <w:r>
        <w:t xml:space="preserve"> broadband technologies, connect premises, and locate and install equipment in multi-unit buildings. These temporary amendments to the LIFD were on a 12 month basis and were mostly limited to </w:t>
      </w:r>
      <w:r w:rsidR="00595DA8">
        <w:t>specified trial locations</w:t>
      </w:r>
      <w:r>
        <w:t xml:space="preserve"> for the </w:t>
      </w:r>
      <w:r w:rsidR="00B37C48">
        <w:t xml:space="preserve">NBN </w:t>
      </w:r>
      <w:r>
        <w:t xml:space="preserve">MTM rollout, following a targeted consultation process. They were </w:t>
      </w:r>
      <w:r w:rsidR="00042244">
        <w:t xml:space="preserve">based on </w:t>
      </w:r>
      <w:r w:rsidR="00B37C48">
        <w:t>the premise</w:t>
      </w:r>
      <w:r w:rsidR="008E2CF8">
        <w:t xml:space="preserve"> </w:t>
      </w:r>
      <w:r w:rsidR="00042244">
        <w:t>that any propos</w:t>
      </w:r>
      <w:r w:rsidR="00915C38">
        <w:t>als</w:t>
      </w:r>
      <w:r w:rsidR="00042244">
        <w:t xml:space="preserve"> to allow the installation of these kind of facilities on </w:t>
      </w:r>
      <w:r w:rsidR="008A392A">
        <w:t>an</w:t>
      </w:r>
      <w:r w:rsidR="00042244">
        <w:t xml:space="preserve"> ongoing basis would be the subject of wide </w:t>
      </w:r>
      <w:r>
        <w:t>public consultation</w:t>
      </w:r>
      <w:r w:rsidR="00B37C48">
        <w:t xml:space="preserve"> such as that provided for in this document</w:t>
      </w:r>
      <w:r>
        <w:t xml:space="preserve">. </w:t>
      </w:r>
    </w:p>
    <w:p w14:paraId="7EDA3B95" w14:textId="77777777" w:rsidR="007A151E" w:rsidRDefault="007344BC" w:rsidP="007344BC">
      <w:r w:rsidRPr="007344BC">
        <w:lastRenderedPageBreak/>
        <w:t>The Department of Communications welcomes submissions on the proposed amendments in this consultation paper.</w:t>
      </w:r>
      <w:r w:rsidR="007A151E">
        <w:br w:type="page"/>
      </w:r>
    </w:p>
    <w:p w14:paraId="152CB865" w14:textId="77777777" w:rsidR="007A151E" w:rsidRDefault="007A151E" w:rsidP="007A151E">
      <w:pPr>
        <w:pStyle w:val="Heading1"/>
      </w:pPr>
      <w:bookmarkStart w:id="14" w:name="_Toc421721117"/>
      <w:r>
        <w:lastRenderedPageBreak/>
        <w:t>Background</w:t>
      </w:r>
      <w:bookmarkEnd w:id="14"/>
    </w:p>
    <w:p w14:paraId="6FAAB881" w14:textId="77777777" w:rsidR="007A151E" w:rsidRPr="007A151E" w:rsidRDefault="007A151E" w:rsidP="00D65A7B">
      <w:pPr>
        <w:pStyle w:val="Heading2"/>
      </w:pPr>
      <w:bookmarkStart w:id="15" w:name="_Toc417918499"/>
      <w:bookmarkStart w:id="16" w:name="_Toc421721118"/>
      <w:r w:rsidRPr="007A151E">
        <w:t>Carrier powers and immunities</w:t>
      </w:r>
      <w:bookmarkEnd w:id="15"/>
      <w:bookmarkEnd w:id="16"/>
    </w:p>
    <w:p w14:paraId="03752773" w14:textId="7682538B" w:rsidR="007A151E" w:rsidRPr="007A151E" w:rsidRDefault="007A151E" w:rsidP="007A151E">
      <w:r w:rsidRPr="007A151E">
        <w:t xml:space="preserve">Schedule 3 </w:t>
      </w:r>
      <w:r w:rsidR="00544720">
        <w:t>t</w:t>
      </w:r>
      <w:r w:rsidRPr="007A151E">
        <w:t xml:space="preserve">o the </w:t>
      </w:r>
      <w:r w:rsidRPr="007A151E">
        <w:rPr>
          <w:i/>
        </w:rPr>
        <w:t>Telecommunications Act 1997</w:t>
      </w:r>
      <w:r w:rsidRPr="007A151E">
        <w:t xml:space="preserve"> (the Act) provides carriers with powers to e</w:t>
      </w:r>
      <w:r w:rsidR="00F60853">
        <w:t>nter land (including buildings)</w:t>
      </w:r>
      <w:r w:rsidRPr="007A151E">
        <w:t xml:space="preserve"> </w:t>
      </w:r>
      <w:r w:rsidR="00B37C48">
        <w:t>for</w:t>
      </w:r>
      <w:r w:rsidR="00B37C48" w:rsidRPr="007A151E">
        <w:t xml:space="preserve"> </w:t>
      </w:r>
      <w:r w:rsidRPr="007A151E">
        <w:t>inspect</w:t>
      </w:r>
      <w:r w:rsidR="00B37C48">
        <w:t>ion</w:t>
      </w:r>
      <w:r w:rsidRPr="007A151E">
        <w:t>, and to maintain and install certain types of facilities. It also provides certain immunities, including from</w:t>
      </w:r>
      <w:r w:rsidR="00B50D47">
        <w:t xml:space="preserve"> a range of S</w:t>
      </w:r>
      <w:r w:rsidRPr="007A151E">
        <w:t xml:space="preserve">tate and </w:t>
      </w:r>
      <w:r w:rsidR="00B50D47">
        <w:t>T</w:t>
      </w:r>
      <w:r w:rsidRPr="007A151E">
        <w:t>erritory laws</w:t>
      </w:r>
      <w:r w:rsidR="00B50D47">
        <w:t xml:space="preserve"> (such as laws relating</w:t>
      </w:r>
      <w:r w:rsidR="008B4FF1">
        <w:t xml:space="preserve"> to land use, planning, design, constriction, siting, tenancy, environmental assessments and protection</w:t>
      </w:r>
      <w:r w:rsidR="00CB3189">
        <w:t xml:space="preserve">, </w:t>
      </w:r>
      <w:r w:rsidR="008B4FF1">
        <w:t>collectively referred to as ‘planning laws’ in this paper)</w:t>
      </w:r>
      <w:r w:rsidRPr="007A151E">
        <w:t>, when carrying out those activities.</w:t>
      </w:r>
    </w:p>
    <w:p w14:paraId="4077208C" w14:textId="77777777" w:rsidR="007A151E" w:rsidRPr="007A151E" w:rsidRDefault="007A151E" w:rsidP="007A151E">
      <w:r w:rsidRPr="007A151E">
        <w:t xml:space="preserve">Schedule 3 supports the fast and efficient rollout of infrastructure by allowing it to be done nationally under a uniform streamlined process, rather than multiple state, territory and local government requirements. This </w:t>
      </w:r>
      <w:r w:rsidR="00F60853">
        <w:t>helps carriers meet consumer demand</w:t>
      </w:r>
      <w:r w:rsidRPr="007A151E">
        <w:t xml:space="preserve"> for services while reducing the administrative burden on carriers and these tiers of government.</w:t>
      </w:r>
      <w:r w:rsidRPr="007A151E">
        <w:rPr>
          <w:rFonts w:ascii="Times New Roman" w:eastAsia="Calibri" w:hAnsi="Times New Roman" w:cs="Times New Roman"/>
          <w:sz w:val="24"/>
          <w:szCs w:val="24"/>
        </w:rPr>
        <w:t xml:space="preserve"> </w:t>
      </w:r>
      <w:r w:rsidRPr="007A151E">
        <w:t xml:space="preserve">Carriers exercising their powers under Schedule 3 must do so in accordance with obligations set out in the Act and the </w:t>
      </w:r>
      <w:r w:rsidRPr="007A151E">
        <w:rPr>
          <w:i/>
        </w:rPr>
        <w:t>Telecommunications Code of Practice 1997</w:t>
      </w:r>
      <w:r w:rsidRPr="007A151E">
        <w:t xml:space="preserve"> (the Code).</w:t>
      </w:r>
    </w:p>
    <w:p w14:paraId="3528766C" w14:textId="77777777" w:rsidR="007A151E" w:rsidRPr="007A151E" w:rsidRDefault="007A151E" w:rsidP="007A151E">
      <w:r w:rsidRPr="007A151E">
        <w:t>Schedule 3 covers</w:t>
      </w:r>
      <w:r w:rsidR="00544720">
        <w:t xml:space="preserve">, among other things, </w:t>
      </w:r>
      <w:r w:rsidRPr="007A151E">
        <w:t>the installation of low-impact facilities</w:t>
      </w:r>
      <w:r w:rsidR="004C0A99">
        <w:t>,</w:t>
      </w:r>
      <w:r w:rsidR="00160B73">
        <w:t xml:space="preserve"> which are specified in the LIFD</w:t>
      </w:r>
      <w:r w:rsidRPr="007A151E">
        <w:t xml:space="preserve">. Schedule 3 does not provide powers and immunities if a facility does not belong to one of these classes. If </w:t>
      </w:r>
      <w:r w:rsidR="00DC19EE">
        <w:t>Schedule 3 does not apply</w:t>
      </w:r>
      <w:r w:rsidRPr="007A151E">
        <w:t xml:space="preserve">, carriers will need to comply with </w:t>
      </w:r>
      <w:r w:rsidR="00544720">
        <w:t xml:space="preserve">applicable </w:t>
      </w:r>
      <w:r w:rsidR="00B50D47">
        <w:t>S</w:t>
      </w:r>
      <w:r w:rsidRPr="007A151E">
        <w:t xml:space="preserve">tate and </w:t>
      </w:r>
      <w:r w:rsidR="00B50D47">
        <w:t>T</w:t>
      </w:r>
      <w:r w:rsidRPr="007A151E">
        <w:t>erritory planning laws</w:t>
      </w:r>
      <w:r w:rsidR="008F5C91">
        <w:t xml:space="preserve"> and obtain landowner consent</w:t>
      </w:r>
      <w:r w:rsidRPr="007A151E">
        <w:t>.</w:t>
      </w:r>
    </w:p>
    <w:p w14:paraId="6C53E5B9" w14:textId="601858B4" w:rsidR="007A151E" w:rsidRPr="007A151E" w:rsidRDefault="007A151E" w:rsidP="00EB2C05">
      <w:pPr>
        <w:pStyle w:val="Heading3"/>
      </w:pPr>
      <w:bookmarkStart w:id="17" w:name="_Toc417918500"/>
      <w:bookmarkStart w:id="18" w:name="_Toc421721119"/>
      <w:r w:rsidRPr="007A151E">
        <w:t>Telecommunications Regulations</w:t>
      </w:r>
      <w:bookmarkStart w:id="19" w:name="_Toc419291384"/>
      <w:bookmarkStart w:id="20" w:name="_Toc419291434"/>
      <w:bookmarkEnd w:id="17"/>
      <w:bookmarkEnd w:id="19"/>
      <w:bookmarkEnd w:id="20"/>
      <w:bookmarkEnd w:id="18"/>
    </w:p>
    <w:p w14:paraId="69A0D7E6" w14:textId="1A278142" w:rsidR="008C15ED" w:rsidRPr="007A151E" w:rsidRDefault="00544720" w:rsidP="00EB2C05">
      <w:pPr>
        <w:spacing w:after="240"/>
      </w:pPr>
      <w:r>
        <w:t xml:space="preserve">In accordance with </w:t>
      </w:r>
      <w:r w:rsidR="008C15ED">
        <w:t xml:space="preserve">clause 3 </w:t>
      </w:r>
      <w:r>
        <w:t>t</w:t>
      </w:r>
      <w:r w:rsidR="008C15ED">
        <w:t>o Schedule 3 of the Act</w:t>
      </w:r>
      <w:r>
        <w:t xml:space="preserve">, </w:t>
      </w:r>
      <w:r w:rsidR="008F5C91">
        <w:t xml:space="preserve">a </w:t>
      </w:r>
      <w:r w:rsidR="008C15ED">
        <w:t>‘</w:t>
      </w:r>
      <w:r>
        <w:t>d</w:t>
      </w:r>
      <w:r w:rsidR="008C15ED">
        <w:t>esignated overh</w:t>
      </w:r>
      <w:r w:rsidR="00161DFE">
        <w:t>ead line’</w:t>
      </w:r>
      <w:r>
        <w:t xml:space="preserve"> (essentially </w:t>
      </w:r>
      <w:r w:rsidR="00161DFE">
        <w:t>overhead cabling</w:t>
      </w:r>
      <w:r>
        <w:t>)</w:t>
      </w:r>
      <w:r w:rsidR="00161DFE">
        <w:t xml:space="preserve"> cannot</w:t>
      </w:r>
      <w:r w:rsidR="008C15ED">
        <w:t xml:space="preserve"> be installed using carrier powers and immunities if it is of a diameter greater than 13 millimetres (mm) unless another distance is specified in the Regulations. </w:t>
      </w:r>
      <w:r w:rsidR="00A40CE9">
        <w:t xml:space="preserve">Currently, the </w:t>
      </w:r>
      <w:r>
        <w:t xml:space="preserve">maximum diameter specified in the </w:t>
      </w:r>
      <w:r w:rsidR="00A40CE9">
        <w:t>Regulations</w:t>
      </w:r>
      <w:r w:rsidR="008C15ED">
        <w:t xml:space="preserve"> </w:t>
      </w:r>
      <w:r>
        <w:t xml:space="preserve">for this purposes is </w:t>
      </w:r>
      <w:r w:rsidR="008C15ED">
        <w:t>30mm in diameter. This maximum diameter is reflected in the LIFD</w:t>
      </w:r>
      <w:r w:rsidR="00A40CE9">
        <w:t xml:space="preserve"> to allow carriers to install overhead cabling up to this size as low-impact facilities</w:t>
      </w:r>
      <w:r w:rsidR="008C15ED">
        <w:t xml:space="preserve">. </w:t>
      </w:r>
      <w:bookmarkStart w:id="21" w:name="_Toc419291385"/>
      <w:bookmarkStart w:id="22" w:name="_Toc419291435"/>
      <w:bookmarkEnd w:id="21"/>
      <w:bookmarkEnd w:id="22"/>
    </w:p>
    <w:p w14:paraId="5A878FC2" w14:textId="77777777" w:rsidR="007A151E" w:rsidRPr="007A151E" w:rsidRDefault="007A151E" w:rsidP="00EB2C05">
      <w:pPr>
        <w:pStyle w:val="Heading3"/>
      </w:pPr>
      <w:bookmarkStart w:id="23" w:name="_Toc417918501"/>
      <w:bookmarkStart w:id="24" w:name="_Toc421721120"/>
      <w:r w:rsidRPr="007A151E">
        <w:lastRenderedPageBreak/>
        <w:t>Low-impact facilities</w:t>
      </w:r>
      <w:bookmarkEnd w:id="23"/>
      <w:bookmarkEnd w:id="24"/>
    </w:p>
    <w:p w14:paraId="1DA2F353" w14:textId="77777777" w:rsidR="007A151E" w:rsidRPr="007A151E" w:rsidRDefault="007A151E" w:rsidP="007A151E">
      <w:r w:rsidRPr="007A151E">
        <w:t>Low-impact facilities are designated by the Minister for Communications in the LIFD. They include some radiocommunications facilities, underground and above-ground housing, underground and some aerial cables, public payphones, emergency and co-located facilities.</w:t>
      </w:r>
    </w:p>
    <w:p w14:paraId="0F5D7592" w14:textId="77777777" w:rsidR="007A151E" w:rsidRPr="007A151E" w:rsidRDefault="007A151E" w:rsidP="007A151E">
      <w:r w:rsidRPr="007A151E">
        <w:t xml:space="preserve">The types of facilities that are </w:t>
      </w:r>
      <w:r w:rsidR="00D37106">
        <w:t xml:space="preserve">specified in the LIFD </w:t>
      </w:r>
      <w:r w:rsidRPr="007A151E">
        <w:t>as low-impact are those considered to be essential to the effective and efficient operation of telecommunications networks in providing services to the public, but are considered to be of low visual impact and unlikely to cause significant disruption to the community during installation or operation.</w:t>
      </w:r>
    </w:p>
    <w:p w14:paraId="0F742148" w14:textId="77777777" w:rsidR="007A151E" w:rsidRPr="007A151E" w:rsidRDefault="007A151E" w:rsidP="007A151E">
      <w:r w:rsidRPr="007A151E">
        <w:t>This approach to the specification of low-impact facilities encourages carriers to roll out networks using components that fall within strict type, size, colour and location limitations, thereby minimising the impact of telecommunications infrastructure on the community generally while expediting the supply of services.</w:t>
      </w:r>
    </w:p>
    <w:p w14:paraId="752D8651" w14:textId="77777777" w:rsidR="007A151E" w:rsidRPr="007A151E" w:rsidRDefault="007A151E" w:rsidP="007A151E">
      <w:r w:rsidRPr="007A151E">
        <w:t xml:space="preserve">Schedule 3 </w:t>
      </w:r>
      <w:r w:rsidR="00D37106">
        <w:t>t</w:t>
      </w:r>
      <w:r w:rsidRPr="007A151E">
        <w:t xml:space="preserve">o the Act requires carriers to notify land owners and occupiers of intended activities enabled by the LIFD. Land owners may object to proposed activities. The Code requires carriers to make reasonable efforts to resolve valid objections from land owners or occupiers. If the land owner or occupier is not satisfied with the carrier’s proposed resolution, and no agreement can be reached, they may ask the carrier, in writing, to refer the objection to the Telecommunications Industry Ombudsman (TIO) for resolution if </w:t>
      </w:r>
      <w:r w:rsidR="002D2BC3">
        <w:t>the carrier</w:t>
      </w:r>
      <w:r w:rsidRPr="007A151E">
        <w:t xml:space="preserve"> wishes to continue with the activity. The carrier must comply with the request to refer the matter to the TIO. Carriers must comply with any direction made by the TIO.</w:t>
      </w:r>
    </w:p>
    <w:p w14:paraId="6E86D659" w14:textId="77777777" w:rsidR="00DD3542" w:rsidRDefault="00520A17" w:rsidP="007A151E">
      <w:r>
        <w:t xml:space="preserve">When using carrier powers and immunities, </w:t>
      </w:r>
      <w:r w:rsidR="009F2377">
        <w:t xml:space="preserve">Schedule 3 </w:t>
      </w:r>
      <w:r>
        <w:t xml:space="preserve">also </w:t>
      </w:r>
      <w:r w:rsidR="009F2377">
        <w:t>requires carriers to act in accordance with good engineering practice, protect the safety of people and property, interfere with other users of the land as little as practicable</w:t>
      </w:r>
      <w:r w:rsidR="00F5610A">
        <w:t>,</w:t>
      </w:r>
      <w:r w:rsidR="009F2377">
        <w:t xml:space="preserve"> and protect the environment. </w:t>
      </w:r>
    </w:p>
    <w:p w14:paraId="45D9F72A" w14:textId="77777777" w:rsidR="007A151E" w:rsidRPr="007A151E" w:rsidRDefault="007A151E" w:rsidP="007A151E">
      <w:r w:rsidRPr="007A151E">
        <w:t xml:space="preserve">Facilities to be installed in areas of environmental significance—including those listed under Commonwealth, </w:t>
      </w:r>
      <w:r w:rsidR="00B50D47">
        <w:t>S</w:t>
      </w:r>
      <w:r w:rsidRPr="007A151E">
        <w:t xml:space="preserve">tate or </w:t>
      </w:r>
      <w:r w:rsidR="00B50D47">
        <w:t>T</w:t>
      </w:r>
      <w:r w:rsidRPr="007A151E">
        <w:t xml:space="preserve">erritory heritage registers—cannot be low-impact facilities </w:t>
      </w:r>
      <w:r w:rsidRPr="007A151E">
        <w:lastRenderedPageBreak/>
        <w:t xml:space="preserve">and would </w:t>
      </w:r>
      <w:r w:rsidR="00B50D47">
        <w:t xml:space="preserve">otherwise </w:t>
      </w:r>
      <w:r w:rsidRPr="007A151E">
        <w:t xml:space="preserve">be subject to </w:t>
      </w:r>
      <w:r w:rsidR="00B50D47">
        <w:t xml:space="preserve">other </w:t>
      </w:r>
      <w:r w:rsidRPr="007A151E">
        <w:t xml:space="preserve">Commonwealth, </w:t>
      </w:r>
      <w:r w:rsidR="00B50D47">
        <w:t>S</w:t>
      </w:r>
      <w:r w:rsidRPr="007A151E">
        <w:t xml:space="preserve">tate or </w:t>
      </w:r>
      <w:r w:rsidR="00B50D47">
        <w:t>T</w:t>
      </w:r>
      <w:r w:rsidRPr="007A151E">
        <w:t xml:space="preserve">erritory approval processes. Facilities remain subject to other Commonwealth laws which would ordinarily apply, such as the </w:t>
      </w:r>
      <w:r w:rsidRPr="007A151E">
        <w:rPr>
          <w:i/>
        </w:rPr>
        <w:t>Environment Protection and Biodiversity Conservation Act 1999</w:t>
      </w:r>
      <w:r w:rsidR="00D37106">
        <w:rPr>
          <w:i/>
        </w:rPr>
        <w:t xml:space="preserve"> </w:t>
      </w:r>
      <w:r w:rsidR="00D37106" w:rsidRPr="00D37106">
        <w:t>(Cth)</w:t>
      </w:r>
      <w:r w:rsidRPr="007A151E">
        <w:t>.</w:t>
      </w:r>
    </w:p>
    <w:p w14:paraId="55EBD036" w14:textId="77777777" w:rsidR="007A151E" w:rsidRPr="00291E28" w:rsidRDefault="007A151E">
      <w:pPr>
        <w:pStyle w:val="Heading2"/>
      </w:pPr>
      <w:bookmarkStart w:id="25" w:name="_Toc417918502"/>
      <w:bookmarkStart w:id="26" w:name="_Toc421721121"/>
      <w:r w:rsidRPr="00291E28">
        <w:t>National Broadband Network</w:t>
      </w:r>
      <w:bookmarkEnd w:id="25"/>
      <w:bookmarkEnd w:id="26"/>
    </w:p>
    <w:p w14:paraId="529F8C2C" w14:textId="77777777" w:rsidR="007A151E" w:rsidRPr="007A151E" w:rsidRDefault="007A151E" w:rsidP="007A151E">
      <w:pPr>
        <w:spacing w:after="240"/>
      </w:pPr>
      <w:r w:rsidRPr="007A151E">
        <w:t>The Australian Government is committed to the delivery of better broadband to Australians</w:t>
      </w:r>
      <w:r w:rsidR="008F5C91">
        <w:t xml:space="preserve"> and is doing this through the rollout of the NBN</w:t>
      </w:r>
      <w:r w:rsidRPr="007A151E">
        <w:t xml:space="preserve">. The Strategic Review of the NBN in December 2013 recommended that the NBN should be completed using a multi-technology mix to deliver fast broadband sooner and at less cost to taxpayers. In light of this, the Government issued a new Statement of Expectations to NBN Co </w:t>
      </w:r>
      <w:r w:rsidR="00F25D47">
        <w:t>Limited (NBN</w:t>
      </w:r>
      <w:r w:rsidR="008B4FF1">
        <w:t xml:space="preserve"> Co</w:t>
      </w:r>
      <w:r w:rsidR="00F25D47">
        <w:t xml:space="preserve">) </w:t>
      </w:r>
      <w:r w:rsidRPr="007A151E">
        <w:t xml:space="preserve">on 8 April 2014. The </w:t>
      </w:r>
      <w:r w:rsidR="00F25D47">
        <w:t>Statement instructs NBN</w:t>
      </w:r>
      <w:r w:rsidRPr="007A151E">
        <w:t xml:space="preserve"> </w:t>
      </w:r>
      <w:r w:rsidR="004E1E4A">
        <w:t xml:space="preserve">Co </w:t>
      </w:r>
      <w:r w:rsidRPr="007A151E">
        <w:t>to build the network in a cost-effective way using the technology best matched to each area of Australia.</w:t>
      </w:r>
    </w:p>
    <w:p w14:paraId="4DD144AE" w14:textId="77777777" w:rsidR="007A151E" w:rsidRPr="007A151E" w:rsidRDefault="007A151E" w:rsidP="007A151E">
      <w:pPr>
        <w:spacing w:after="240"/>
      </w:pPr>
      <w:r w:rsidRPr="007A151E">
        <w:t>The Strategic Review identified technologies that may be used by NBN</w:t>
      </w:r>
      <w:r w:rsidR="001D5251">
        <w:t xml:space="preserve"> Co</w:t>
      </w:r>
      <w:r w:rsidRPr="007A151E">
        <w:t xml:space="preserve"> include fibre-to-the-node (FTTN), fibre-to-the-premises (FTTP), fibre-to-the-basement (FTTB), hybrid fibre-coaxial (HFC), fixe</w:t>
      </w:r>
      <w:r w:rsidR="00F25D47">
        <w:t>d wireless and satellite. NBN</w:t>
      </w:r>
      <w:r w:rsidRPr="007A151E">
        <w:t xml:space="preserve"> </w:t>
      </w:r>
      <w:r w:rsidR="002D2CEF">
        <w:t xml:space="preserve">Co </w:t>
      </w:r>
      <w:r w:rsidRPr="007A151E">
        <w:t>continues to rollout FTTP, fixed wireless and satellite, has commenced the rollout of FTTB, and is currently trialling FTTN and HFC deployments.</w:t>
      </w:r>
    </w:p>
    <w:p w14:paraId="7044B919" w14:textId="77777777" w:rsidR="007A151E" w:rsidRPr="007A151E" w:rsidRDefault="007A151E" w:rsidP="007A151E">
      <w:pPr>
        <w:spacing w:after="240"/>
      </w:pPr>
      <w:r w:rsidRPr="007A151E">
        <w:t>In 2011, the Regulations and the LIFD were amended to suppo</w:t>
      </w:r>
      <w:r w:rsidR="00F25D47">
        <w:t>rt the rollout of FTTP by NBN</w:t>
      </w:r>
      <w:r w:rsidR="00A83389">
        <w:t xml:space="preserve"> Co</w:t>
      </w:r>
      <w:r w:rsidRPr="007A151E">
        <w:t xml:space="preserve"> and other carriers</w:t>
      </w:r>
      <w:r w:rsidR="00407803">
        <w:t xml:space="preserve"> operating on a comparable basis. That is</w:t>
      </w:r>
      <w:r w:rsidR="005D7098">
        <w:t>,</w:t>
      </w:r>
      <w:r w:rsidR="00407803">
        <w:t xml:space="preserve"> carriers proposing to operate</w:t>
      </w:r>
      <w:r w:rsidR="00407803" w:rsidRPr="00407803">
        <w:t xml:space="preserve"> a national network used (or for use) for the high speed carriage of communications, on a wholesale-only and non</w:t>
      </w:r>
      <w:r w:rsidR="00407803">
        <w:t>-d</w:t>
      </w:r>
      <w:r w:rsidR="00407803" w:rsidRPr="00407803">
        <w:t>iscriminatory basis.</w:t>
      </w:r>
      <w:r w:rsidR="00407803">
        <w:t xml:space="preserve"> The proposed amendments will be available to carriers on a similar basis.</w:t>
      </w:r>
      <w:r w:rsidRPr="00D37106">
        <w:rPr>
          <w:b/>
          <w:i/>
        </w:rPr>
        <w:t xml:space="preserve"> </w:t>
      </w:r>
    </w:p>
    <w:p w14:paraId="177DF7E2" w14:textId="77777777" w:rsidR="007A151E" w:rsidRPr="00353FE2" w:rsidRDefault="007A151E" w:rsidP="00D65A7B">
      <w:pPr>
        <w:pStyle w:val="Heading2"/>
      </w:pPr>
      <w:bookmarkStart w:id="27" w:name="_Toc417918503"/>
      <w:bookmarkStart w:id="28" w:name="_Toc421721122"/>
      <w:r w:rsidRPr="00353FE2">
        <w:t>Regulation Impact Statement</w:t>
      </w:r>
      <w:bookmarkEnd w:id="27"/>
      <w:bookmarkEnd w:id="28"/>
    </w:p>
    <w:p w14:paraId="569B600F" w14:textId="77777777" w:rsidR="00FE5913" w:rsidRDefault="007A151E" w:rsidP="00FE5913">
      <w:r w:rsidRPr="007A151E">
        <w:t>The Office of Best Practice Regulation has advised that a Regulation Impact Statement is not required because the proposal is a consequence resulting from earlier substantive policy announcements</w:t>
      </w:r>
      <w:r w:rsidR="00B50D33">
        <w:t>, that is, the Government’s decision to move to a MTM approach</w:t>
      </w:r>
      <w:r w:rsidRPr="007A151E">
        <w:t xml:space="preserve">. </w:t>
      </w:r>
      <w:r w:rsidR="00353FE2" w:rsidRPr="00353FE2">
        <w:t>The Departm</w:t>
      </w:r>
      <w:r w:rsidR="00B50D33">
        <w:t>ent of Communications wil</w:t>
      </w:r>
      <w:r w:rsidR="00DC51FB">
        <w:t>l self-</w:t>
      </w:r>
      <w:r w:rsidR="00DC51FB" w:rsidRPr="00353FE2">
        <w:t>assess</w:t>
      </w:r>
      <w:r w:rsidR="00353FE2" w:rsidRPr="00353FE2">
        <w:t xml:space="preserve"> the regulatory cost savings resulting from these amendments.</w:t>
      </w:r>
    </w:p>
    <w:p w14:paraId="21C0F9D1" w14:textId="77777777" w:rsidR="00FE5913" w:rsidRDefault="00FE5913" w:rsidP="00FE5913">
      <w:r>
        <w:lastRenderedPageBreak/>
        <w:br w:type="page"/>
      </w:r>
    </w:p>
    <w:p w14:paraId="033C7CA7" w14:textId="77777777" w:rsidR="007A151E" w:rsidRPr="007A151E" w:rsidRDefault="007A151E" w:rsidP="00FE5913">
      <w:pPr>
        <w:pStyle w:val="Heading1"/>
      </w:pPr>
      <w:bookmarkStart w:id="29" w:name="_Toc421721123"/>
      <w:r>
        <w:lastRenderedPageBreak/>
        <w:t>Proposed amendments</w:t>
      </w:r>
      <w:bookmarkEnd w:id="29"/>
    </w:p>
    <w:p w14:paraId="4286CF36" w14:textId="236707C7" w:rsidR="007A151E" w:rsidRPr="00D37106" w:rsidRDefault="007A151E" w:rsidP="007A151E">
      <w:pPr>
        <w:rPr>
          <w:b/>
          <w:i/>
        </w:rPr>
      </w:pPr>
      <w:r w:rsidRPr="007A151E">
        <w:t xml:space="preserve">The Government proposes amendments to the </w:t>
      </w:r>
      <w:r w:rsidRPr="00F76F97">
        <w:t>Regulations (</w:t>
      </w:r>
      <w:hyperlink r:id="rId13" w:history="1">
        <w:r w:rsidRPr="00F76F97">
          <w:rPr>
            <w:rStyle w:val="Hyperlink"/>
          </w:rPr>
          <w:t>Appendix A</w:t>
        </w:r>
      </w:hyperlink>
      <w:r w:rsidRPr="00F76F97">
        <w:t>) and the LIFD (</w:t>
      </w:r>
      <w:hyperlink r:id="rId14" w:history="1">
        <w:r w:rsidRPr="00F76F97">
          <w:rPr>
            <w:rStyle w:val="Hyperlink"/>
          </w:rPr>
          <w:t>Appendix B</w:t>
        </w:r>
      </w:hyperlink>
      <w:bookmarkStart w:id="30" w:name="_GoBack"/>
      <w:bookmarkEnd w:id="30"/>
      <w:r w:rsidRPr="00F76F97">
        <w:t>)</w:t>
      </w:r>
      <w:r w:rsidRPr="007A151E">
        <w:t xml:space="preserve"> to facilitate the rollout of the </w:t>
      </w:r>
      <w:r w:rsidR="00151125">
        <w:t xml:space="preserve">MTM </w:t>
      </w:r>
      <w:r w:rsidRPr="007A151E">
        <w:t>NBN and other comparable networks. The proposed amendments would be made on a</w:t>
      </w:r>
      <w:r w:rsidR="005D7098">
        <w:t xml:space="preserve">n ongoing </w:t>
      </w:r>
      <w:r w:rsidRPr="007A151E">
        <w:t xml:space="preserve">basis, but </w:t>
      </w:r>
      <w:r w:rsidR="00D37106">
        <w:t xml:space="preserve">it is intended that they </w:t>
      </w:r>
      <w:r w:rsidRPr="007A151E">
        <w:t xml:space="preserve">would be </w:t>
      </w:r>
      <w:r w:rsidR="00D37106">
        <w:t xml:space="preserve">reviewed by Government </w:t>
      </w:r>
      <w:r w:rsidR="005D7098">
        <w:t>in the future (e.g. once the NBN is built and fully operational)</w:t>
      </w:r>
      <w:r w:rsidRPr="007A151E">
        <w:t xml:space="preserve">. </w:t>
      </w:r>
      <w:r w:rsidR="00D37106">
        <w:t xml:space="preserve">   </w:t>
      </w:r>
    </w:p>
    <w:p w14:paraId="48C81B78" w14:textId="238AB7D1" w:rsidR="007A151E" w:rsidRPr="007A151E" w:rsidRDefault="007A151E" w:rsidP="00D65A7B">
      <w:pPr>
        <w:pStyle w:val="Heading2"/>
      </w:pPr>
      <w:bookmarkStart w:id="31" w:name="_Toc417918510"/>
      <w:bookmarkStart w:id="32" w:name="_Toc421721124"/>
      <w:r w:rsidRPr="007A151E">
        <w:t>Telecommunications Regulations</w:t>
      </w:r>
      <w:bookmarkEnd w:id="31"/>
      <w:bookmarkEnd w:id="32"/>
    </w:p>
    <w:p w14:paraId="3FD294B3" w14:textId="7A77EF6F" w:rsidR="007A151E" w:rsidRPr="007A151E" w:rsidRDefault="007A151E" w:rsidP="007A151E">
      <w:r w:rsidRPr="007A151E">
        <w:t xml:space="preserve">Under Clause 3 of Schedule 3 </w:t>
      </w:r>
      <w:r w:rsidR="00D37106">
        <w:t>t</w:t>
      </w:r>
      <w:r w:rsidRPr="007A151E">
        <w:t>o the Act, overhead cabl</w:t>
      </w:r>
      <w:r w:rsidR="00D974BB">
        <w:t>es</w:t>
      </w:r>
      <w:r w:rsidRPr="007A151E">
        <w:t xml:space="preserve"> in excess of 13mm in diameter cannot be specified as a low-impact facility unless a larger diameter is specified in the Regulations. </w:t>
      </w:r>
    </w:p>
    <w:p w14:paraId="0C9F6328" w14:textId="606903F6" w:rsidR="007A151E" w:rsidRPr="007A151E" w:rsidRDefault="007A151E" w:rsidP="007A151E">
      <w:r w:rsidRPr="007A151E">
        <w:t>In 2011, the Regulations were amended</w:t>
      </w:r>
      <w:r w:rsidR="00D37106">
        <w:t xml:space="preserve">, in effect, </w:t>
      </w:r>
      <w:r w:rsidRPr="007A151E">
        <w:t>to allow overhead cabl</w:t>
      </w:r>
      <w:r w:rsidR="00D974BB">
        <w:t>es</w:t>
      </w:r>
      <w:r w:rsidRPr="007A151E">
        <w:t xml:space="preserve"> of up to 30mm and the LIFD was amended to allow optical fibre cabling of up to that diameter. In the move to a MTM approach, in some limited circumstances overhead cabling of up to 48mm will be required, specifically in the HFC network. The Government therefore proposes to amend the </w:t>
      </w:r>
      <w:r w:rsidR="00E13C8E">
        <w:t>R</w:t>
      </w:r>
      <w:r w:rsidRPr="007A151E">
        <w:t>egulations to allow this.</w:t>
      </w:r>
    </w:p>
    <w:p w14:paraId="59ABBDFC" w14:textId="7C568B2A" w:rsidR="007A151E" w:rsidRDefault="00151125" w:rsidP="007A151E">
      <w:r>
        <w:t>Specifically, t</w:t>
      </w:r>
      <w:r w:rsidR="007A151E" w:rsidRPr="007A151E">
        <w:t xml:space="preserve">he Government proposes to recommend </w:t>
      </w:r>
      <w:r w:rsidR="00D37106">
        <w:t xml:space="preserve">to </w:t>
      </w:r>
      <w:r w:rsidR="007A151E" w:rsidRPr="007A151E">
        <w:t xml:space="preserve">the </w:t>
      </w:r>
      <w:r w:rsidR="00D37106">
        <w:t xml:space="preserve">Commonwealth </w:t>
      </w:r>
      <w:r w:rsidR="007A151E" w:rsidRPr="007A151E">
        <w:t>Governor</w:t>
      </w:r>
      <w:r w:rsidR="00D37106">
        <w:t>-</w:t>
      </w:r>
      <w:r w:rsidR="007A151E" w:rsidRPr="007A151E">
        <w:t xml:space="preserve">General </w:t>
      </w:r>
      <w:r w:rsidR="00D37106">
        <w:t xml:space="preserve">that </w:t>
      </w:r>
      <w:r w:rsidR="007A151E" w:rsidRPr="007A151E">
        <w:t xml:space="preserve">Regulation 11.2 </w:t>
      </w:r>
      <w:r w:rsidR="00D37106">
        <w:t xml:space="preserve">be amended </w:t>
      </w:r>
      <w:r w:rsidR="007A151E" w:rsidRPr="007A151E">
        <w:t>to increase the diameter of ‘</w:t>
      </w:r>
      <w:r w:rsidR="00D37106">
        <w:t>d</w:t>
      </w:r>
      <w:r w:rsidR="007A151E" w:rsidRPr="007A151E">
        <w:t xml:space="preserve">esignated overhead line’ from 30 mm to 48mm. This </w:t>
      </w:r>
      <w:r w:rsidR="00276A0C">
        <w:t xml:space="preserve">change </w:t>
      </w:r>
      <w:r>
        <w:t>would then</w:t>
      </w:r>
      <w:r w:rsidR="007A151E" w:rsidRPr="007A151E">
        <w:t xml:space="preserve"> allow the Minister for Communications to specify overhead cabling </w:t>
      </w:r>
      <w:r>
        <w:t xml:space="preserve">of </w:t>
      </w:r>
      <w:r w:rsidR="007A151E" w:rsidRPr="007A151E">
        <w:t xml:space="preserve">up to 48mm in diameter as low-impact in the LIFD. </w:t>
      </w:r>
      <w:r>
        <w:t xml:space="preserve">Such </w:t>
      </w:r>
      <w:r w:rsidR="007A151E" w:rsidRPr="007A151E">
        <w:t xml:space="preserve">cabling </w:t>
      </w:r>
      <w:r>
        <w:t xml:space="preserve">is </w:t>
      </w:r>
      <w:r w:rsidR="007A151E" w:rsidRPr="007A151E">
        <w:t>specified at Item 1 of Part 4A of the Schedule to the LIFD.</w:t>
      </w:r>
    </w:p>
    <w:p w14:paraId="3A7C032E" w14:textId="77777777" w:rsidR="00E221AD" w:rsidRDefault="002D172C" w:rsidP="002D172C">
      <w:r>
        <w:t>NBN</w:t>
      </w:r>
      <w:r w:rsidRPr="0090569A">
        <w:t xml:space="preserve"> </w:t>
      </w:r>
      <w:r>
        <w:t xml:space="preserve">Co </w:t>
      </w:r>
      <w:r w:rsidRPr="0090569A">
        <w:t xml:space="preserve">and comparable carriers are expected to use the smallest cable </w:t>
      </w:r>
      <w:r>
        <w:t xml:space="preserve">and cable bundle </w:t>
      </w:r>
      <w:r w:rsidRPr="0090569A">
        <w:t xml:space="preserve">diameter feasible for above ground line links in an area. </w:t>
      </w:r>
      <w:r>
        <w:t xml:space="preserve">NBN Co has advised that in some areas, particularly in HFC areas, it will be necessary to add a cable to an existing overhead cable or a bundle of overhead cables to improve the network. This includes piggy-backing new cables on to existing cables and cable bundles in order to transit through existing coverage areas to reach areas that were missed during previous HFC network rollouts. </w:t>
      </w:r>
    </w:p>
    <w:p w14:paraId="0854CDFB" w14:textId="5C8A4E8B" w:rsidR="002D172C" w:rsidRDefault="002D172C" w:rsidP="002D172C">
      <w:r>
        <w:lastRenderedPageBreak/>
        <w:t xml:space="preserve">In limited circumstances, </w:t>
      </w:r>
      <w:r w:rsidR="00FC460C">
        <w:t xml:space="preserve">such as </w:t>
      </w:r>
      <w:r w:rsidR="00FE71E6">
        <w:t xml:space="preserve">when NBN Co adds an extra cable to an existing </w:t>
      </w:r>
      <w:r w:rsidR="00FC460C">
        <w:t xml:space="preserve">42mm </w:t>
      </w:r>
      <w:r w:rsidR="00FE71E6">
        <w:t xml:space="preserve">bundle, the </w:t>
      </w:r>
      <w:r w:rsidR="007F5E76">
        <w:t xml:space="preserve">diameter of the HFC cable </w:t>
      </w:r>
      <w:r w:rsidR="00FE71E6">
        <w:t>bundle will be 48mm</w:t>
      </w:r>
      <w:r>
        <w:t xml:space="preserve">. </w:t>
      </w:r>
      <w:r w:rsidR="00FC460C">
        <w:t xml:space="preserve">Typically, HFC cable bundles will be much smaller than this. </w:t>
      </w:r>
      <w:r w:rsidR="00E221AD">
        <w:t xml:space="preserve">In addition, NBN Co has advised that in very limited circumstances, individual copper cables of up to 40mm in diameter will need to be used to augment the copper network for FTTN. </w:t>
      </w:r>
      <w:r>
        <w:t xml:space="preserve">Further guidance on the limited use of such cabling will be provided in the Explanatory Statement to the amending Determination and other documents as required. </w:t>
      </w:r>
    </w:p>
    <w:p w14:paraId="59058DDD" w14:textId="2AD4EE3A" w:rsidR="00E13C8E" w:rsidRDefault="00E13C8E" w:rsidP="002D172C">
      <w:r>
        <w:t xml:space="preserve">In the past there have been community </w:t>
      </w:r>
      <w:r w:rsidR="0006349F">
        <w:t>concerns about</w:t>
      </w:r>
      <w:r>
        <w:t xml:space="preserve"> the use of overhead cabling for telecommunications. The Government appreciates these concerns but believes that there are </w:t>
      </w:r>
      <w:r w:rsidR="0006349F">
        <w:t xml:space="preserve">important </w:t>
      </w:r>
      <w:r>
        <w:t xml:space="preserve">countervailing factors that </w:t>
      </w:r>
      <w:r w:rsidR="0006349F">
        <w:t xml:space="preserve">also </w:t>
      </w:r>
      <w:r>
        <w:t xml:space="preserve">need to be considered. Telecommunications cabling is placed on above ground infrastructure for </w:t>
      </w:r>
      <w:r w:rsidR="007A1A17">
        <w:t>electricity that</w:t>
      </w:r>
      <w:r>
        <w:t xml:space="preserve"> already exists</w:t>
      </w:r>
      <w:r w:rsidR="007A1A17">
        <w:t xml:space="preserve"> and to which people are generally accustomed</w:t>
      </w:r>
      <w:r>
        <w:t xml:space="preserve">. In large part the additional cabling that is proposed </w:t>
      </w:r>
      <w:r w:rsidR="007A1A17">
        <w:t xml:space="preserve">by NBN Co </w:t>
      </w:r>
      <w:r>
        <w:t>will augment existing cabling (i.e. a cable will be added to an existing bundle)</w:t>
      </w:r>
      <w:r w:rsidR="007A1A17">
        <w:t xml:space="preserve">; the overall amount of new cabling will be limited; and cabling in new locations (i.e. where there are overhead power cables but no overhead telecommunications cables) will be </w:t>
      </w:r>
      <w:r w:rsidR="005E0D41">
        <w:t>small in diameter</w:t>
      </w:r>
      <w:r w:rsidR="007A1A17">
        <w:t xml:space="preserve">. </w:t>
      </w:r>
      <w:r w:rsidR="0006349F">
        <w:t>As a result, any impact is expected to be limited. On the other hand, t</w:t>
      </w:r>
      <w:r w:rsidR="007A1A17">
        <w:t>he cabling will be used to provide significantly better broadband services, services for which there is strong community demand.</w:t>
      </w:r>
      <w:r>
        <w:t xml:space="preserve"> </w:t>
      </w:r>
    </w:p>
    <w:p w14:paraId="32AED16A" w14:textId="591BD3DA" w:rsidR="0090569A" w:rsidRPr="007A151E" w:rsidRDefault="002D172C" w:rsidP="008C7E57">
      <w:r>
        <w:rPr>
          <w:noProof/>
          <w:lang w:eastAsia="en-AU"/>
        </w:rPr>
        <w:lastRenderedPageBreak/>
        <w:drawing>
          <wp:anchor distT="0" distB="0" distL="114300" distR="114300" simplePos="0" relativeHeight="251665408" behindDoc="1" locked="0" layoutInCell="1" allowOverlap="1" wp14:anchorId="02ED22F8" wp14:editId="1E3BCEFB">
            <wp:simplePos x="0" y="0"/>
            <wp:positionH relativeFrom="column">
              <wp:align>center</wp:align>
            </wp:positionH>
            <wp:positionV relativeFrom="paragraph">
              <wp:posOffset>407035</wp:posOffset>
            </wp:positionV>
            <wp:extent cx="5364000" cy="402120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rial_4x0 75_photo 3.jpg"/>
                    <pic:cNvPicPr/>
                  </pic:nvPicPr>
                  <pic:blipFill>
                    <a:blip r:embed="rId15">
                      <a:extLst>
                        <a:ext uri="{28A0092B-C50C-407E-A947-70E740481C1C}">
                          <a14:useLocalDpi xmlns:a14="http://schemas.microsoft.com/office/drawing/2010/main" val="0"/>
                        </a:ext>
                      </a:extLst>
                    </a:blip>
                    <a:stretch>
                      <a:fillRect/>
                    </a:stretch>
                  </pic:blipFill>
                  <pic:spPr>
                    <a:xfrm>
                      <a:off x="0" y="0"/>
                      <a:ext cx="5364000" cy="4021200"/>
                    </a:xfrm>
                    <a:prstGeom prst="rect">
                      <a:avLst/>
                    </a:prstGeom>
                  </pic:spPr>
                </pic:pic>
              </a:graphicData>
            </a:graphic>
            <wp14:sizeRelH relativeFrom="margin">
              <wp14:pctWidth>0</wp14:pctWidth>
            </wp14:sizeRelH>
            <wp14:sizeRelV relativeFrom="margin">
              <wp14:pctHeight>0</wp14:pctHeight>
            </wp14:sizeRelV>
          </wp:anchor>
        </w:drawing>
      </w:r>
      <w:r>
        <w:t>The following photo gives an indication of the visual impact of the thickest possible cable bundle relative to existing types of cable bundles</w:t>
      </w:r>
      <w:r w:rsidRPr="00B50D47">
        <w:rPr>
          <w:b/>
          <w:i/>
        </w:rPr>
        <w:t>.</w:t>
      </w:r>
      <w:r>
        <w:t xml:space="preserve"> </w:t>
      </w:r>
    </w:p>
    <w:p w14:paraId="77A4A6A5" w14:textId="6BC916AB" w:rsidR="007A151E" w:rsidRPr="007A151E" w:rsidRDefault="007A151E" w:rsidP="00D65A7B">
      <w:pPr>
        <w:pStyle w:val="Heading2"/>
      </w:pPr>
      <w:bookmarkStart w:id="33" w:name="_Toc417918505"/>
      <w:bookmarkStart w:id="34" w:name="_Toc421721125"/>
      <w:r w:rsidRPr="007A151E">
        <w:t>Low-impact Facilities Determination</w:t>
      </w:r>
      <w:bookmarkEnd w:id="33"/>
      <w:bookmarkEnd w:id="34"/>
    </w:p>
    <w:p w14:paraId="029A11AA" w14:textId="77777777" w:rsidR="00300AD7" w:rsidRDefault="007A151E" w:rsidP="007A151E">
      <w:r w:rsidRPr="007A151E">
        <w:t xml:space="preserve">The proposed amendments to the LIFD </w:t>
      </w:r>
      <w:r w:rsidR="00300AD7">
        <w:t>do the following:</w:t>
      </w:r>
    </w:p>
    <w:p w14:paraId="6BA454D6" w14:textId="77777777" w:rsidR="00300AD7" w:rsidRDefault="007A151E" w:rsidP="00300AD7">
      <w:pPr>
        <w:pStyle w:val="ListParagraph"/>
        <w:numPr>
          <w:ilvl w:val="0"/>
          <w:numId w:val="47"/>
        </w:numPr>
      </w:pPr>
      <w:r w:rsidRPr="007A151E">
        <w:t>make definitions of fixed-line communications facilities</w:t>
      </w:r>
      <w:r w:rsidR="00A53F7A">
        <w:t xml:space="preserve"> in the LIFD technology neutral;</w:t>
      </w:r>
      <w:r w:rsidRPr="007A151E">
        <w:t xml:space="preserve"> </w:t>
      </w:r>
    </w:p>
    <w:p w14:paraId="1A578AC9" w14:textId="77777777" w:rsidR="00300AD7" w:rsidRDefault="001B4434" w:rsidP="00300AD7">
      <w:pPr>
        <w:pStyle w:val="ListParagraph"/>
        <w:numPr>
          <w:ilvl w:val="0"/>
          <w:numId w:val="47"/>
        </w:numPr>
      </w:pPr>
      <w:r>
        <w:t>provide for a small nu</w:t>
      </w:r>
      <w:r w:rsidR="00A53F7A">
        <w:t>mber of new types of facilities</w:t>
      </w:r>
      <w:r w:rsidR="005D7098">
        <w:t xml:space="preserve"> on an ongoing basis</w:t>
      </w:r>
      <w:r w:rsidR="00A53F7A">
        <w:t>;</w:t>
      </w:r>
      <w:r>
        <w:t xml:space="preserve"> </w:t>
      </w:r>
    </w:p>
    <w:p w14:paraId="2B7400EF" w14:textId="77777777" w:rsidR="00300AD7" w:rsidRDefault="007A151E" w:rsidP="00300AD7">
      <w:pPr>
        <w:pStyle w:val="ListParagraph"/>
        <w:numPr>
          <w:ilvl w:val="0"/>
          <w:numId w:val="47"/>
        </w:numPr>
      </w:pPr>
      <w:r w:rsidRPr="007A151E">
        <w:t>allow thicker overhead communicatio</w:t>
      </w:r>
      <w:r w:rsidR="00FB7EE6">
        <w:t>ns cabling to be classed as low</w:t>
      </w:r>
      <w:r w:rsidR="00FB7EE6">
        <w:noBreakHyphen/>
      </w:r>
      <w:r w:rsidR="00A53F7A">
        <w:t>impact facilities;</w:t>
      </w:r>
      <w:r w:rsidRPr="007A151E">
        <w:t xml:space="preserve"> </w:t>
      </w:r>
    </w:p>
    <w:p w14:paraId="1C54A858" w14:textId="77777777" w:rsidR="00300AD7" w:rsidRDefault="007A151E" w:rsidP="00300AD7">
      <w:pPr>
        <w:pStyle w:val="ListParagraph"/>
        <w:numPr>
          <w:ilvl w:val="0"/>
          <w:numId w:val="47"/>
        </w:numPr>
      </w:pPr>
      <w:r w:rsidRPr="007A151E">
        <w:t>permit some facilities to be attached to the outsi</w:t>
      </w:r>
      <w:r w:rsidR="00300AD7">
        <w:t>de of multi</w:t>
      </w:r>
      <w:r w:rsidR="00300AD7">
        <w:noBreakHyphen/>
        <w:t xml:space="preserve">unit buildings and </w:t>
      </w:r>
      <w:r w:rsidRPr="007A151E">
        <w:t xml:space="preserve">allow </w:t>
      </w:r>
      <w:r w:rsidR="001B4434">
        <w:t xml:space="preserve">some </w:t>
      </w:r>
      <w:r w:rsidRPr="007A151E">
        <w:t xml:space="preserve">larger facilities to be installed inside </w:t>
      </w:r>
      <w:r w:rsidR="00300AD7">
        <w:t xml:space="preserve">multi-unit </w:t>
      </w:r>
      <w:r w:rsidR="00A53F7A">
        <w:t xml:space="preserve">buildings; </w:t>
      </w:r>
    </w:p>
    <w:p w14:paraId="76CAF170" w14:textId="77777777" w:rsidR="00E31B9E" w:rsidRDefault="007A151E" w:rsidP="00300AD7">
      <w:pPr>
        <w:pStyle w:val="ListParagraph"/>
        <w:numPr>
          <w:ilvl w:val="0"/>
          <w:numId w:val="47"/>
        </w:numPr>
      </w:pPr>
      <w:r w:rsidRPr="007A151E">
        <w:t>make earlier temporary amendments to the</w:t>
      </w:r>
      <w:r w:rsidR="00E31B9E">
        <w:t xml:space="preserve"> LIFD from April 2015 ongoing</w:t>
      </w:r>
      <w:r w:rsidR="00A53F7A">
        <w:t>;</w:t>
      </w:r>
      <w:r w:rsidR="00450978">
        <w:t xml:space="preserve"> and</w:t>
      </w:r>
    </w:p>
    <w:p w14:paraId="629D3BBD" w14:textId="77777777" w:rsidR="007A151E" w:rsidRPr="007A151E" w:rsidRDefault="001B4434" w:rsidP="00300AD7">
      <w:pPr>
        <w:pStyle w:val="ListParagraph"/>
        <w:numPr>
          <w:ilvl w:val="0"/>
          <w:numId w:val="47"/>
        </w:numPr>
      </w:pPr>
      <w:r>
        <w:t>remove temporary geographic restriction</w:t>
      </w:r>
      <w:r w:rsidR="007A151E" w:rsidRPr="007A151E">
        <w:t>s on the installation of HFC facilities</w:t>
      </w:r>
      <w:r>
        <w:t xml:space="preserve"> in pilot areas</w:t>
      </w:r>
      <w:r w:rsidR="007A151E" w:rsidRPr="007A151E">
        <w:t>.</w:t>
      </w:r>
    </w:p>
    <w:p w14:paraId="4509AAC9" w14:textId="77777777" w:rsidR="007A151E" w:rsidRPr="007A151E" w:rsidRDefault="007A151E" w:rsidP="007A151E">
      <w:r w:rsidRPr="007A151E">
        <w:t>In 2011, amendments were made to the LIFD to support the rollout of FTTP networks. Now that a MTM approach has been adopted</w:t>
      </w:r>
      <w:r w:rsidR="00276A0C">
        <w:t xml:space="preserve"> for the NBN</w:t>
      </w:r>
      <w:r w:rsidRPr="007A151E">
        <w:t xml:space="preserve">, facilities for many different types of fixed-line broadband technologies need to be included in the LIFD. The Government is </w:t>
      </w:r>
      <w:r w:rsidRPr="007A151E">
        <w:lastRenderedPageBreak/>
        <w:t xml:space="preserve">therefore proposing amendments to the LIFD to use technology neutral language to describe </w:t>
      </w:r>
      <w:r w:rsidR="00276A0C">
        <w:t xml:space="preserve">particular above ground and underground ground </w:t>
      </w:r>
      <w:r w:rsidRPr="007A151E">
        <w:t>fixed-line communications facilities. This will enable carriers to deploy the most cost</w:t>
      </w:r>
      <w:r w:rsidRPr="007A151E">
        <w:noBreakHyphen/>
        <w:t xml:space="preserve">effective technology on a case-by-case basis subject to generic rules, similar to those already in place for </w:t>
      </w:r>
      <w:r w:rsidR="005D7098">
        <w:t xml:space="preserve">the </w:t>
      </w:r>
      <w:r w:rsidR="00276A0C">
        <w:t xml:space="preserve">deployment of </w:t>
      </w:r>
      <w:r w:rsidRPr="007A151E">
        <w:t>FTTP</w:t>
      </w:r>
      <w:r w:rsidR="000A199D">
        <w:t xml:space="preserve"> </w:t>
      </w:r>
      <w:r w:rsidR="005D7098">
        <w:t>facilities in certain instances</w:t>
      </w:r>
      <w:r w:rsidRPr="007A151E">
        <w:t>.</w:t>
      </w:r>
    </w:p>
    <w:p w14:paraId="1EE9B4CB" w14:textId="6B979736" w:rsidR="007A151E" w:rsidRPr="007A151E" w:rsidRDefault="007A151E" w:rsidP="007A151E">
      <w:r w:rsidRPr="007A151E">
        <w:t xml:space="preserve">Unless otherwise indicated below, the facilities </w:t>
      </w:r>
      <w:r w:rsidR="005E372B">
        <w:t>to be added</w:t>
      </w:r>
      <w:r w:rsidRPr="007A151E">
        <w:t xml:space="preserve"> to the LIFD may only be installed by carriers operating a national network for the high speed carriage o</w:t>
      </w:r>
      <w:r w:rsidR="00B9614C">
        <w:t>f communications on a wholesale</w:t>
      </w:r>
      <w:r w:rsidR="00B9614C">
        <w:noBreakHyphen/>
      </w:r>
      <w:r w:rsidRPr="007A151E">
        <w:t>only and non</w:t>
      </w:r>
      <w:r w:rsidRPr="007A151E">
        <w:noBreakHyphen/>
        <w:t>discriminatory basis. As such, the amendment</w:t>
      </w:r>
      <w:r w:rsidR="00384A00">
        <w:t>s would benefit NBN</w:t>
      </w:r>
      <w:r w:rsidR="00992C94">
        <w:t xml:space="preserve"> Co</w:t>
      </w:r>
      <w:r w:rsidRPr="007A151E">
        <w:t>, but they would also be available to other carriers meeting the</w:t>
      </w:r>
      <w:r w:rsidR="008D199F">
        <w:t>se</w:t>
      </w:r>
      <w:r w:rsidRPr="007A151E">
        <w:t xml:space="preserve"> criteria. </w:t>
      </w:r>
    </w:p>
    <w:p w14:paraId="06C98613" w14:textId="77777777" w:rsidR="007A151E" w:rsidRPr="007A151E" w:rsidRDefault="007A151E" w:rsidP="007A151E">
      <w:r w:rsidRPr="007A151E">
        <w:t xml:space="preserve">Volumetric limits </w:t>
      </w:r>
      <w:r w:rsidR="005C1AE9">
        <w:t xml:space="preserve">on the size of facilities </w:t>
      </w:r>
      <w:r w:rsidRPr="007A151E">
        <w:t xml:space="preserve">listed below refer to </w:t>
      </w:r>
      <w:r w:rsidRPr="007A151E">
        <w:rPr>
          <w:b/>
          <w:i/>
        </w:rPr>
        <w:t>substantive volume</w:t>
      </w:r>
      <w:r w:rsidR="004D2165">
        <w:t>. This</w:t>
      </w:r>
      <w:r w:rsidRPr="007A151E">
        <w:t xml:space="preserve"> </w:t>
      </w:r>
      <w:r w:rsidR="00276A0C">
        <w:t xml:space="preserve">term </w:t>
      </w:r>
      <w:r w:rsidRPr="007A151E">
        <w:t xml:space="preserve">is defined in the </w:t>
      </w:r>
      <w:r w:rsidR="00276A0C">
        <w:t xml:space="preserve">current </w:t>
      </w:r>
      <w:r w:rsidRPr="007A151E">
        <w:t>LIFD as the size of a facility measured in three dimensions, without including the size of any ancillary fixings, protrusions, or other attachments of an incidental nature in this calculation</w:t>
      </w:r>
      <w:r w:rsidRPr="007A151E">
        <w:rPr>
          <w:vertAlign w:val="superscript"/>
        </w:rPr>
        <w:footnoteReference w:id="2"/>
      </w:r>
      <w:r w:rsidRPr="007A151E">
        <w:t xml:space="preserve">. </w:t>
      </w:r>
      <w:r w:rsidR="00A56893">
        <w:t xml:space="preserve">This can be compared to the displacement volume of the facilities, which is not what substantive volume refers to. </w:t>
      </w:r>
      <w:r w:rsidRPr="007A151E">
        <w:t xml:space="preserve">The volume limits include a ten percent margin in addition to the </w:t>
      </w:r>
      <w:r w:rsidR="00276A0C">
        <w:t xml:space="preserve">presently </w:t>
      </w:r>
      <w:r w:rsidRPr="007A151E">
        <w:t>largest known equipment size</w:t>
      </w:r>
      <w:r w:rsidR="00335450">
        <w:t xml:space="preserve"> currently known</w:t>
      </w:r>
      <w:r w:rsidRPr="007A151E">
        <w:t>.</w:t>
      </w:r>
    </w:p>
    <w:p w14:paraId="7C292E76" w14:textId="77777777" w:rsidR="007A151E" w:rsidRPr="007A151E" w:rsidRDefault="007A151E" w:rsidP="00EB2C05">
      <w:pPr>
        <w:pStyle w:val="Heading3"/>
      </w:pPr>
      <w:bookmarkStart w:id="35" w:name="_Toc417918506"/>
      <w:bookmarkStart w:id="36" w:name="_Toc421721126"/>
      <w:r w:rsidRPr="007A151E">
        <w:t>Section 1.3 – Definitions</w:t>
      </w:r>
      <w:bookmarkEnd w:id="35"/>
      <w:bookmarkEnd w:id="36"/>
    </w:p>
    <w:p w14:paraId="52E86179" w14:textId="651CF352" w:rsidR="007A151E" w:rsidRPr="007A151E" w:rsidRDefault="007A151E" w:rsidP="007A151E">
      <w:r w:rsidRPr="007A151E">
        <w:t xml:space="preserve">The proposed amendments seek to use </w:t>
      </w:r>
      <w:r w:rsidR="00D061E1">
        <w:t xml:space="preserve">generic, </w:t>
      </w:r>
      <w:r w:rsidRPr="007A151E">
        <w:t>technology neutral language to de</w:t>
      </w:r>
      <w:r w:rsidR="005114CF">
        <w:t>fine</w:t>
      </w:r>
      <w:r w:rsidRPr="007A151E">
        <w:t xml:space="preserve"> fixed-line communications facilities, so that facilities for optical fibre, HFC, FTTN</w:t>
      </w:r>
      <w:r w:rsidR="00B67981">
        <w:t>, FTTB</w:t>
      </w:r>
      <w:r w:rsidRPr="007A151E">
        <w:t xml:space="preserve"> and </w:t>
      </w:r>
      <w:r w:rsidRPr="007A151E">
        <w:lastRenderedPageBreak/>
        <w:t xml:space="preserve">future fixed-line technologies are </w:t>
      </w:r>
      <w:r w:rsidR="002240F4">
        <w:t>covered by</w:t>
      </w:r>
      <w:r w:rsidRPr="007A151E">
        <w:t xml:space="preserve"> the LIFD. </w:t>
      </w:r>
      <w:r w:rsidR="002E07F1">
        <w:t xml:space="preserve">Readers should also consult the proposed amendments to the Schedule to the LIFD to understand the full details of the </w:t>
      </w:r>
      <w:r w:rsidR="00276A0C">
        <w:t xml:space="preserve">proposed </w:t>
      </w:r>
      <w:r w:rsidR="002E07F1">
        <w:t>new</w:t>
      </w:r>
      <w:r w:rsidR="00276A0C">
        <w:t xml:space="preserve"> </w:t>
      </w:r>
      <w:r w:rsidR="002E07F1">
        <w:t>items.</w:t>
      </w:r>
    </w:p>
    <w:p w14:paraId="37F03B7F" w14:textId="77777777" w:rsidR="007A151E" w:rsidRDefault="00276A0C" w:rsidP="00D65A7B">
      <w:pPr>
        <w:pStyle w:val="Heading4"/>
      </w:pPr>
      <w:r>
        <w:t>Proposed a</w:t>
      </w:r>
      <w:r w:rsidR="00315735">
        <w:t>mendment 1 –</w:t>
      </w:r>
      <w:r w:rsidR="00FE1286">
        <w:t xml:space="preserve"> a</w:t>
      </w:r>
      <w:r w:rsidR="00315735">
        <w:t>ccess terminal</w:t>
      </w:r>
    </w:p>
    <w:p w14:paraId="16273721" w14:textId="77777777" w:rsidR="007A151E" w:rsidRDefault="00863F6A" w:rsidP="007A151E">
      <w:pPr>
        <w:spacing w:after="240"/>
      </w:pPr>
      <w:r>
        <w:t>Proposed a</w:t>
      </w:r>
      <w:r w:rsidR="002E07F1">
        <w:t>mendment 1</w:t>
      </w:r>
      <w:r>
        <w:t xml:space="preserve"> would</w:t>
      </w:r>
      <w:r w:rsidR="002E07F1">
        <w:t xml:space="preserve"> a</w:t>
      </w:r>
      <w:r w:rsidR="007A151E" w:rsidRPr="007A151E">
        <w:t xml:space="preserve">dd </w:t>
      </w:r>
      <w:r w:rsidR="00302E5F">
        <w:t xml:space="preserve">the </w:t>
      </w:r>
      <w:r w:rsidR="006550DE">
        <w:t>technology neutral term</w:t>
      </w:r>
      <w:r w:rsidR="002E07F1">
        <w:t>,</w:t>
      </w:r>
      <w:r w:rsidR="007A151E" w:rsidRPr="007A151E">
        <w:t xml:space="preserve"> </w:t>
      </w:r>
      <w:r w:rsidR="007A151E" w:rsidRPr="007A151E">
        <w:rPr>
          <w:b/>
          <w:i/>
        </w:rPr>
        <w:t>access terminal</w:t>
      </w:r>
      <w:r w:rsidR="007A151E" w:rsidRPr="007A151E">
        <w:t xml:space="preserve">. </w:t>
      </w:r>
      <w:r w:rsidR="00276A0C">
        <w:t xml:space="preserve">This </w:t>
      </w:r>
      <w:r w:rsidR="00276A0C" w:rsidRPr="00816A4A">
        <w:t>term</w:t>
      </w:r>
      <w:r w:rsidR="00276A0C">
        <w:rPr>
          <w:b/>
          <w:i/>
        </w:rPr>
        <w:t xml:space="preserve"> </w:t>
      </w:r>
      <w:r w:rsidR="00276A0C" w:rsidRPr="00B50D47">
        <w:t>would</w:t>
      </w:r>
      <w:r w:rsidR="00276A0C">
        <w:rPr>
          <w:b/>
          <w:i/>
        </w:rPr>
        <w:t xml:space="preserve"> </w:t>
      </w:r>
      <w:r w:rsidR="007A151E" w:rsidRPr="007A151E">
        <w:t xml:space="preserve">replace the technology specific </w:t>
      </w:r>
      <w:r w:rsidR="00276A0C">
        <w:t xml:space="preserve">term, </w:t>
      </w:r>
      <w:r w:rsidR="007A151E" w:rsidRPr="007A151E">
        <w:rPr>
          <w:b/>
          <w:i/>
        </w:rPr>
        <w:t>optical fibre access terminal</w:t>
      </w:r>
      <w:r w:rsidR="007A151E" w:rsidRPr="007A151E">
        <w:t>.</w:t>
      </w:r>
      <w:r w:rsidR="002E07F1">
        <w:t xml:space="preserve"> An access terminal is a connection device that allows a line link (for example, in a street) to be connected to a drop cable, which connects a premises.</w:t>
      </w:r>
    </w:p>
    <w:p w14:paraId="797AA51B" w14:textId="77777777" w:rsidR="006550DE" w:rsidRDefault="00276A0C" w:rsidP="006550DE">
      <w:pPr>
        <w:pStyle w:val="Heading4"/>
      </w:pPr>
      <w:r>
        <w:t>Proposed a</w:t>
      </w:r>
      <w:r w:rsidR="006550DE">
        <w:t>mendment 2</w:t>
      </w:r>
      <w:r w:rsidR="005323A9">
        <w:t xml:space="preserve"> </w:t>
      </w:r>
      <w:r w:rsidR="005667E0">
        <w:t>–</w:t>
      </w:r>
      <w:r w:rsidR="00FE1286">
        <w:t xml:space="preserve"> a</w:t>
      </w:r>
      <w:r w:rsidR="005323A9">
        <w:t>mplifier</w:t>
      </w:r>
    </w:p>
    <w:p w14:paraId="711CFEE2" w14:textId="77777777" w:rsidR="006550DE" w:rsidRPr="007A151E" w:rsidRDefault="00863F6A" w:rsidP="007A151E">
      <w:pPr>
        <w:spacing w:after="240"/>
      </w:pPr>
      <w:r>
        <w:t>Proposed a</w:t>
      </w:r>
      <w:r w:rsidR="005323A9">
        <w:t xml:space="preserve">mendment 2 </w:t>
      </w:r>
      <w:r w:rsidR="00276A0C">
        <w:t xml:space="preserve">would </w:t>
      </w:r>
      <w:r w:rsidR="005323A9">
        <w:t>a</w:t>
      </w:r>
      <w:r w:rsidR="006550DE">
        <w:t>dd the technology neutral term</w:t>
      </w:r>
      <w:r w:rsidR="005323A9">
        <w:t>,</w:t>
      </w:r>
      <w:r w:rsidR="006550DE">
        <w:t xml:space="preserve"> </w:t>
      </w:r>
      <w:r w:rsidR="006550DE" w:rsidRPr="006550DE">
        <w:rPr>
          <w:b/>
          <w:i/>
        </w:rPr>
        <w:t>amplifier</w:t>
      </w:r>
      <w:r w:rsidR="005323A9">
        <w:t>.</w:t>
      </w:r>
    </w:p>
    <w:p w14:paraId="006B0A88" w14:textId="77777777" w:rsidR="007A151E" w:rsidRPr="007A151E" w:rsidRDefault="00276A0C" w:rsidP="00D65A7B">
      <w:pPr>
        <w:pStyle w:val="Heading4"/>
      </w:pPr>
      <w:r>
        <w:t xml:space="preserve">Proposed </w:t>
      </w:r>
      <w:r w:rsidR="00596F95">
        <w:t>a</w:t>
      </w:r>
      <w:r w:rsidR="00E910F2">
        <w:t>mendment 3</w:t>
      </w:r>
      <w:r w:rsidR="00B333F6">
        <w:t xml:space="preserve"> –</w:t>
      </w:r>
      <w:r w:rsidR="00FE1286">
        <w:t xml:space="preserve"> b</w:t>
      </w:r>
      <w:r w:rsidR="00B333F6">
        <w:t>uilding connection equipment</w:t>
      </w:r>
    </w:p>
    <w:p w14:paraId="257FC293" w14:textId="77777777" w:rsidR="007A151E" w:rsidRPr="007A151E" w:rsidRDefault="00863F6A" w:rsidP="007A151E">
      <w:pPr>
        <w:spacing w:after="240"/>
      </w:pPr>
      <w:r>
        <w:t>Proposed a</w:t>
      </w:r>
      <w:r w:rsidR="00B333F6">
        <w:t xml:space="preserve">mendment 3 </w:t>
      </w:r>
      <w:r w:rsidR="00276A0C">
        <w:t xml:space="preserve">would </w:t>
      </w:r>
      <w:r w:rsidR="00B333F6">
        <w:t>r</w:t>
      </w:r>
      <w:r w:rsidR="007A151E" w:rsidRPr="007A151E">
        <w:t xml:space="preserve">emove the definition of </w:t>
      </w:r>
      <w:r w:rsidR="007A151E" w:rsidRPr="007A151E">
        <w:rPr>
          <w:b/>
          <w:i/>
        </w:rPr>
        <w:t>building connection equipment</w:t>
      </w:r>
      <w:r w:rsidR="007A151E" w:rsidRPr="007A151E">
        <w:t xml:space="preserve">. This </w:t>
      </w:r>
      <w:r w:rsidR="00042244">
        <w:t xml:space="preserve">term would be </w:t>
      </w:r>
      <w:r w:rsidR="007A151E" w:rsidRPr="007A151E">
        <w:t xml:space="preserve">replaced by </w:t>
      </w:r>
      <w:r w:rsidR="00042244">
        <w:t xml:space="preserve">the following: </w:t>
      </w:r>
      <w:r w:rsidR="007A151E" w:rsidRPr="007A151E">
        <w:rPr>
          <w:b/>
          <w:i/>
        </w:rPr>
        <w:t xml:space="preserve">external building connection equipment </w:t>
      </w:r>
      <w:r w:rsidR="007A151E" w:rsidRPr="007A151E">
        <w:t xml:space="preserve">and </w:t>
      </w:r>
      <w:r w:rsidR="007A151E" w:rsidRPr="007A151E">
        <w:rPr>
          <w:b/>
          <w:i/>
        </w:rPr>
        <w:t>internal building connection equipment</w:t>
      </w:r>
      <w:r w:rsidR="007A151E" w:rsidRPr="007A151E">
        <w:t xml:space="preserve">. It is necessary to list these as separate facilities because different volumetric limits are proposed for indoor and outdoor </w:t>
      </w:r>
      <w:r w:rsidR="00042244">
        <w:t>installation</w:t>
      </w:r>
      <w:r w:rsidR="007A151E" w:rsidRPr="007A151E">
        <w:t>.</w:t>
      </w:r>
    </w:p>
    <w:p w14:paraId="3158399A" w14:textId="77777777" w:rsidR="007A151E" w:rsidRPr="007A151E" w:rsidRDefault="00596F95" w:rsidP="00D65A7B">
      <w:pPr>
        <w:pStyle w:val="Heading4"/>
      </w:pPr>
      <w:r>
        <w:t>Proposed a</w:t>
      </w:r>
      <w:r w:rsidR="00E910F2">
        <w:t>mendment 4</w:t>
      </w:r>
      <w:r w:rsidR="005667E0">
        <w:t xml:space="preserve"> –</w:t>
      </w:r>
      <w:r w:rsidR="00FE1286">
        <w:t xml:space="preserve"> d</w:t>
      </w:r>
      <w:r w:rsidR="005667E0">
        <w:t>esignated installation period &amp; drop cable</w:t>
      </w:r>
    </w:p>
    <w:p w14:paraId="20A690C4" w14:textId="77777777" w:rsidR="007A151E" w:rsidRPr="007A151E" w:rsidRDefault="00C65936" w:rsidP="007A151E">
      <w:pPr>
        <w:spacing w:after="240"/>
      </w:pPr>
      <w:r>
        <w:t>Proposed a</w:t>
      </w:r>
      <w:r w:rsidR="00627E50">
        <w:t xml:space="preserve">mendment 4 </w:t>
      </w:r>
      <w:r>
        <w:t xml:space="preserve">would </w:t>
      </w:r>
      <w:r w:rsidR="00627E50">
        <w:t>r</w:t>
      </w:r>
      <w:r w:rsidR="007A151E" w:rsidRPr="007A151E">
        <w:t xml:space="preserve">emove the definition of </w:t>
      </w:r>
      <w:r w:rsidR="007A151E" w:rsidRPr="007A151E">
        <w:rPr>
          <w:b/>
          <w:i/>
        </w:rPr>
        <w:t>Designated Installation Period</w:t>
      </w:r>
      <w:r w:rsidR="007A151E" w:rsidRPr="007A151E">
        <w:t xml:space="preserve">, which was added in the temporary amendments to the LIFD in April 2015. It is intended that </w:t>
      </w:r>
      <w:r>
        <w:t xml:space="preserve">these types of </w:t>
      </w:r>
      <w:r w:rsidR="007A151E" w:rsidRPr="007A151E">
        <w:t xml:space="preserve">facilities will be </w:t>
      </w:r>
      <w:r>
        <w:t xml:space="preserve">able to be installed </w:t>
      </w:r>
      <w:r w:rsidR="007A151E" w:rsidRPr="007A151E">
        <w:t>on an ongoing basis</w:t>
      </w:r>
      <w:r>
        <w:t>, rather than limited to a 12 month period, as had been implemented</w:t>
      </w:r>
      <w:r w:rsidR="00066461">
        <w:t xml:space="preserve"> by the April 2015</w:t>
      </w:r>
      <w:r>
        <w:t xml:space="preserve"> amendments</w:t>
      </w:r>
      <w:r w:rsidR="007A151E" w:rsidRPr="007A151E">
        <w:t xml:space="preserve">. </w:t>
      </w:r>
    </w:p>
    <w:p w14:paraId="310C79CC" w14:textId="77777777" w:rsidR="007A151E" w:rsidRPr="007A151E" w:rsidRDefault="00042244" w:rsidP="007A151E">
      <w:pPr>
        <w:spacing w:after="240"/>
      </w:pPr>
      <w:r>
        <w:t>This amendment wo</w:t>
      </w:r>
      <w:r w:rsidR="0029600D">
        <w:t>u</w:t>
      </w:r>
      <w:r>
        <w:t xml:space="preserve">ld </w:t>
      </w:r>
      <w:r w:rsidR="008B5C19">
        <w:t>also a</w:t>
      </w:r>
      <w:r w:rsidR="007A151E" w:rsidRPr="007A151E">
        <w:t>dd the technology neutral term</w:t>
      </w:r>
      <w:r w:rsidR="008B5C19">
        <w:t>,</w:t>
      </w:r>
      <w:r w:rsidR="007A151E" w:rsidRPr="007A151E">
        <w:t xml:space="preserve"> </w:t>
      </w:r>
      <w:r w:rsidR="007A151E" w:rsidRPr="007A151E">
        <w:rPr>
          <w:b/>
          <w:i/>
        </w:rPr>
        <w:t>drop cable</w:t>
      </w:r>
      <w:r w:rsidR="007A151E" w:rsidRPr="007A151E">
        <w:t xml:space="preserve">. This replaces the technology specific </w:t>
      </w:r>
      <w:r w:rsidR="007A151E" w:rsidRPr="007A151E">
        <w:rPr>
          <w:b/>
          <w:i/>
        </w:rPr>
        <w:t>optical fibre drop cable</w:t>
      </w:r>
      <w:r w:rsidR="007A151E" w:rsidRPr="007A151E">
        <w:t>.</w:t>
      </w:r>
    </w:p>
    <w:p w14:paraId="46A946FC" w14:textId="77777777" w:rsidR="007A151E" w:rsidRPr="007A151E" w:rsidRDefault="00596F95" w:rsidP="00D65A7B">
      <w:pPr>
        <w:pStyle w:val="Heading4"/>
      </w:pPr>
      <w:r>
        <w:lastRenderedPageBreak/>
        <w:t>Proposed a</w:t>
      </w:r>
      <w:r w:rsidR="00E910F2">
        <w:t>mendment 5</w:t>
      </w:r>
      <w:r w:rsidR="00781038">
        <w:t xml:space="preserve"> – HFC trial region &amp; </w:t>
      </w:r>
      <w:r w:rsidR="000F494B">
        <w:t>external building connection equipment</w:t>
      </w:r>
    </w:p>
    <w:p w14:paraId="671518C2" w14:textId="1B9B4A15" w:rsidR="007A151E" w:rsidRDefault="00D05D51" w:rsidP="007A151E">
      <w:pPr>
        <w:spacing w:after="240"/>
      </w:pPr>
      <w:r>
        <w:t>Proposed</w:t>
      </w:r>
      <w:r w:rsidR="00596F95">
        <w:t xml:space="preserve"> a</w:t>
      </w:r>
      <w:r w:rsidR="00F8236F">
        <w:t xml:space="preserve">mendment 5 </w:t>
      </w:r>
      <w:r w:rsidR="00596F95">
        <w:t xml:space="preserve">would </w:t>
      </w:r>
      <w:r w:rsidR="00F8236F">
        <w:t>r</w:t>
      </w:r>
      <w:r w:rsidR="007A151E" w:rsidRPr="007A151E">
        <w:t xml:space="preserve">emove the definition of </w:t>
      </w:r>
      <w:r w:rsidR="007A151E" w:rsidRPr="007A151E">
        <w:rPr>
          <w:b/>
          <w:i/>
        </w:rPr>
        <w:t>HFC Trial Region</w:t>
      </w:r>
      <w:r w:rsidR="007A151E" w:rsidRPr="007A151E">
        <w:t xml:space="preserve"> which was added in the temporary amendments to the LIFD in April 2015. </w:t>
      </w:r>
      <w:r w:rsidR="007A1A17">
        <w:t>Its removal</w:t>
      </w:r>
      <w:r w:rsidR="007A1A17" w:rsidRPr="007A151E">
        <w:t xml:space="preserve"> </w:t>
      </w:r>
      <w:r w:rsidR="007A151E" w:rsidRPr="007A151E">
        <w:t>is consistent with the amendments being pu</w:t>
      </w:r>
      <w:r w:rsidR="00F8236F">
        <w:t>t in place on a</w:t>
      </w:r>
      <w:r w:rsidR="005D7098">
        <w:t>n ongoing</w:t>
      </w:r>
      <w:r w:rsidR="00F8236F">
        <w:t xml:space="preserve"> basis and applying in all areas of Australia.</w:t>
      </w:r>
    </w:p>
    <w:p w14:paraId="2F63BF84" w14:textId="77777777" w:rsidR="00E910F2" w:rsidRPr="007A151E" w:rsidRDefault="00042244" w:rsidP="00E910F2">
      <w:pPr>
        <w:spacing w:after="240"/>
      </w:pPr>
      <w:r>
        <w:t>This a</w:t>
      </w:r>
      <w:r w:rsidR="00F8236F">
        <w:t xml:space="preserve">mendment </w:t>
      </w:r>
      <w:r>
        <w:t xml:space="preserve">would </w:t>
      </w:r>
      <w:r w:rsidR="00F8236F">
        <w:t>also a</w:t>
      </w:r>
      <w:r w:rsidR="00E910F2" w:rsidRPr="007A151E">
        <w:t xml:space="preserve">dd the term </w:t>
      </w:r>
      <w:r w:rsidR="00E910F2" w:rsidRPr="007A151E">
        <w:rPr>
          <w:b/>
          <w:i/>
        </w:rPr>
        <w:t>external building connection equipment</w:t>
      </w:r>
      <w:r w:rsidR="00E910F2" w:rsidRPr="007A151E">
        <w:t xml:space="preserve">. This is a facility that is installed on, or attached to an external wall or other exterior surface of a multi-unit building, which is used, or is intended for future use by end users located in the building or a related building nearby. </w:t>
      </w:r>
    </w:p>
    <w:p w14:paraId="20B6FA28" w14:textId="2F75D315" w:rsidR="00E910F2" w:rsidRPr="007A151E" w:rsidRDefault="00E910F2" w:rsidP="00E910F2">
      <w:pPr>
        <w:spacing w:after="240"/>
      </w:pPr>
      <w:r w:rsidRPr="007A151E">
        <w:t xml:space="preserve">This change would make </w:t>
      </w:r>
      <w:r w:rsidR="00042244">
        <w:t xml:space="preserve">the </w:t>
      </w:r>
      <w:r w:rsidRPr="007A151E">
        <w:t xml:space="preserve">temporary amendments </w:t>
      </w:r>
      <w:r>
        <w:t>made in</w:t>
      </w:r>
      <w:r w:rsidRPr="007A151E">
        <w:t xml:space="preserve"> April 2015 to permit building connection equipment to be installed on the outside of buildings ongoing. </w:t>
      </w:r>
      <w:r w:rsidR="007A1A17">
        <w:t>Inclusion of this type of facility</w:t>
      </w:r>
      <w:r w:rsidRPr="007A151E">
        <w:t xml:space="preserve"> is necessary as older style apartment complexes (for example, those without basement parking or a communications room) may not have enough suitable internal space to install building connection equipment necessary for FTTB deployments. As a result</w:t>
      </w:r>
      <w:r w:rsidR="00C510AD">
        <w:t>,</w:t>
      </w:r>
      <w:r w:rsidRPr="007A151E">
        <w:t xml:space="preserve"> critical equipment may need to be installed outside the building in some instances. </w:t>
      </w:r>
    </w:p>
    <w:p w14:paraId="26A783C9" w14:textId="77777777" w:rsidR="00E910F2" w:rsidRPr="007A151E" w:rsidRDefault="00E910F2" w:rsidP="00E910F2">
      <w:pPr>
        <w:spacing w:after="240"/>
      </w:pPr>
      <w:r w:rsidRPr="007A151E">
        <w:t xml:space="preserve">As a matter of general industry practice, it is expected that where there is space inside a multi-unit building for the equipment, it would be installed in that interior location. </w:t>
      </w:r>
    </w:p>
    <w:p w14:paraId="037772CA" w14:textId="77777777" w:rsidR="00C510AD" w:rsidRDefault="00E910F2" w:rsidP="00E910F2">
      <w:pPr>
        <w:spacing w:after="240"/>
      </w:pPr>
      <w:r w:rsidRPr="007A151E">
        <w:t>An example of this type of facility would be a micronode enclosure that houses FTTB equipment, which is attached to the outside of a multi-un</w:t>
      </w:r>
      <w:r>
        <w:t>it</w:t>
      </w:r>
      <w:r w:rsidRPr="007A151E">
        <w:t xml:space="preserve"> building for use by end-users located inside the building, or a nearby building.  </w:t>
      </w:r>
    </w:p>
    <w:p w14:paraId="187B6EC6" w14:textId="77777777" w:rsidR="00E910F2" w:rsidRPr="007A151E" w:rsidRDefault="00C510AD" w:rsidP="00E910F2">
      <w:pPr>
        <w:spacing w:after="240"/>
      </w:pPr>
      <w:r w:rsidRPr="007A151E">
        <w:t>External and internal building connection equipment are being listed as separate facilities because different volumetric limits are proposed</w:t>
      </w:r>
      <w:r w:rsidR="00EF037D">
        <w:t xml:space="preserve"> (</w:t>
      </w:r>
      <w:r w:rsidR="00042244">
        <w:t>s</w:t>
      </w:r>
      <w:r w:rsidR="00EF037D">
        <w:t xml:space="preserve">ee </w:t>
      </w:r>
      <w:r w:rsidR="00CB3C30">
        <w:t>p</w:t>
      </w:r>
      <w:r w:rsidR="00042244">
        <w:t>roposed a</w:t>
      </w:r>
      <w:r w:rsidR="00EF037D">
        <w:t>mendment 7</w:t>
      </w:r>
      <w:r w:rsidR="00042244">
        <w:t xml:space="preserve"> below</w:t>
      </w:r>
      <w:r w:rsidR="00EF037D">
        <w:t>)</w:t>
      </w:r>
      <w:r w:rsidRPr="007A151E">
        <w:t>.</w:t>
      </w:r>
    </w:p>
    <w:p w14:paraId="52556F08" w14:textId="77777777" w:rsidR="007A151E" w:rsidRPr="007A151E" w:rsidRDefault="00596F95" w:rsidP="00346F6E">
      <w:pPr>
        <w:pStyle w:val="Heading4"/>
      </w:pPr>
      <w:r>
        <w:t>Proposed a</w:t>
      </w:r>
      <w:r w:rsidR="00E910F2">
        <w:t>mendment 6</w:t>
      </w:r>
      <w:r w:rsidR="00346F6E">
        <w:t xml:space="preserve"> – IEEE </w:t>
      </w:r>
      <w:r w:rsidR="00346F6E" w:rsidRPr="00346F6E">
        <w:t xml:space="preserve">1222-2011 </w:t>
      </w:r>
      <w:r w:rsidR="00254B52">
        <w:t>s</w:t>
      </w:r>
      <w:r w:rsidR="00346F6E" w:rsidRPr="00346F6E">
        <w:t>tandard</w:t>
      </w:r>
    </w:p>
    <w:p w14:paraId="32915C3A" w14:textId="77777777" w:rsidR="007A151E" w:rsidRPr="007A151E" w:rsidRDefault="00596F95" w:rsidP="007A151E">
      <w:pPr>
        <w:spacing w:after="240"/>
      </w:pPr>
      <w:r w:rsidRPr="00596F95">
        <w:t xml:space="preserve">Proposed </w:t>
      </w:r>
      <w:r>
        <w:t>a</w:t>
      </w:r>
      <w:r w:rsidR="00297610">
        <w:t xml:space="preserve">mendment 6 </w:t>
      </w:r>
      <w:r>
        <w:t xml:space="preserve">would </w:t>
      </w:r>
      <w:r w:rsidR="00297610">
        <w:t>r</w:t>
      </w:r>
      <w:r w:rsidR="007A151E" w:rsidRPr="007A151E">
        <w:t xml:space="preserve">emove the definition of </w:t>
      </w:r>
      <w:r w:rsidR="007A151E" w:rsidRPr="007A151E">
        <w:rPr>
          <w:b/>
          <w:i/>
        </w:rPr>
        <w:t>IEEE 1222-2011 Standard</w:t>
      </w:r>
      <w:r w:rsidR="007A151E" w:rsidRPr="007A151E">
        <w:t xml:space="preserve">, </w:t>
      </w:r>
      <w:r w:rsidR="00BB759D">
        <w:t>which was used in defining optical fibre cabling, but</w:t>
      </w:r>
      <w:r w:rsidR="007A151E" w:rsidRPr="007A151E">
        <w:t xml:space="preserve"> is no longer needed in the technology neutral approach.</w:t>
      </w:r>
    </w:p>
    <w:p w14:paraId="0D8BDA24" w14:textId="77777777" w:rsidR="007A151E" w:rsidRPr="007A151E" w:rsidRDefault="00596F95" w:rsidP="00D65A7B">
      <w:pPr>
        <w:pStyle w:val="Heading4"/>
      </w:pPr>
      <w:r>
        <w:lastRenderedPageBreak/>
        <w:t>Proposed a</w:t>
      </w:r>
      <w:r w:rsidR="00E910F2">
        <w:t>mendment 7</w:t>
      </w:r>
      <w:r w:rsidR="00254B52">
        <w:t xml:space="preserve"> –</w:t>
      </w:r>
      <w:r w:rsidR="00FE1286">
        <w:t xml:space="preserve"> i</w:t>
      </w:r>
      <w:r w:rsidR="00254B52">
        <w:t>nternal building connection equipment</w:t>
      </w:r>
    </w:p>
    <w:p w14:paraId="493C4BFA" w14:textId="77777777" w:rsidR="007A151E" w:rsidRPr="007A151E" w:rsidRDefault="00596F95" w:rsidP="007A151E">
      <w:pPr>
        <w:spacing w:after="240"/>
      </w:pPr>
      <w:r w:rsidRPr="00596F95">
        <w:t xml:space="preserve">Proposed </w:t>
      </w:r>
      <w:r>
        <w:t>a</w:t>
      </w:r>
      <w:r w:rsidR="00254B52">
        <w:t xml:space="preserve">mendment 7 </w:t>
      </w:r>
      <w:r>
        <w:t xml:space="preserve">would </w:t>
      </w:r>
      <w:r w:rsidR="00254B52">
        <w:t>a</w:t>
      </w:r>
      <w:r w:rsidR="007A151E" w:rsidRPr="007A151E">
        <w:t xml:space="preserve">dd the term </w:t>
      </w:r>
      <w:r w:rsidR="007A151E" w:rsidRPr="007A151E">
        <w:rPr>
          <w:b/>
          <w:i/>
        </w:rPr>
        <w:t>internal building connection equipment</w:t>
      </w:r>
      <w:r w:rsidR="007A151E" w:rsidRPr="007A151E">
        <w:t xml:space="preserve">. This is a facility that is installed in, or attached to, any interior part of a multi-unit building, which is used, or is intended for future use by end users located in the building or a related building nearby. </w:t>
      </w:r>
    </w:p>
    <w:p w14:paraId="293B98CD" w14:textId="77777777" w:rsidR="007A151E" w:rsidRPr="007A151E" w:rsidRDefault="007A151E" w:rsidP="007A151E">
      <w:pPr>
        <w:spacing w:after="240"/>
      </w:pPr>
      <w:r w:rsidRPr="007A151E">
        <w:t xml:space="preserve">An example of this type of facility would be a micronode enclosure or a rack cabinet that houses FTTB equipment, which is installed inside a multi-unit building for use by end-users located inside the building, or a nearby building. It permits similar facilities to those permitted by </w:t>
      </w:r>
      <w:r w:rsidRPr="007A151E">
        <w:rPr>
          <w:b/>
          <w:i/>
        </w:rPr>
        <w:t>in</w:t>
      </w:r>
      <w:r w:rsidRPr="007A151E">
        <w:rPr>
          <w:b/>
          <w:i/>
        </w:rPr>
        <w:noBreakHyphen/>
        <w:t>building subscriber connection equipment</w:t>
      </w:r>
      <w:r w:rsidRPr="007A151E">
        <w:t xml:space="preserve"> when installed by NBN and comparable carriers, but </w:t>
      </w:r>
      <w:r w:rsidR="00E86ECB">
        <w:t xml:space="preserve">additionally </w:t>
      </w:r>
      <w:r w:rsidRPr="007A151E">
        <w:t>allows the installation to occur inside a building near the building or buildings in which subscribers are located.</w:t>
      </w:r>
    </w:p>
    <w:p w14:paraId="6E61C849" w14:textId="77777777" w:rsidR="007A151E" w:rsidRPr="007A151E" w:rsidRDefault="00596F95" w:rsidP="00D65A7B">
      <w:pPr>
        <w:pStyle w:val="Heading4"/>
      </w:pPr>
      <w:r>
        <w:t>Proposed a</w:t>
      </w:r>
      <w:r w:rsidR="00E910F2">
        <w:t>mendment 8</w:t>
      </w:r>
      <w:r w:rsidR="00356199">
        <w:t xml:space="preserve"> –</w:t>
      </w:r>
      <w:r w:rsidR="00FE1286">
        <w:t xml:space="preserve"> n</w:t>
      </w:r>
      <w:r w:rsidR="00356199">
        <w:t>etwork termination device</w:t>
      </w:r>
    </w:p>
    <w:p w14:paraId="384D943A" w14:textId="77777777" w:rsidR="007A151E" w:rsidRPr="007A151E" w:rsidRDefault="00596F95" w:rsidP="007A151E">
      <w:pPr>
        <w:spacing w:after="240"/>
      </w:pPr>
      <w:r w:rsidRPr="00596F95">
        <w:t xml:space="preserve">Proposed </w:t>
      </w:r>
      <w:r>
        <w:t>a</w:t>
      </w:r>
      <w:r w:rsidR="00C6182F">
        <w:t xml:space="preserve">mendment 8 </w:t>
      </w:r>
      <w:r w:rsidR="00B50D47">
        <w:t xml:space="preserve">would </w:t>
      </w:r>
      <w:r w:rsidR="00C6182F">
        <w:t>r</w:t>
      </w:r>
      <w:r w:rsidR="008A6420">
        <w:t>emove</w:t>
      </w:r>
      <w:r w:rsidR="007A151E" w:rsidRPr="007A151E">
        <w:t xml:space="preserve"> the </w:t>
      </w:r>
      <w:r w:rsidR="00F168D2">
        <w:t>definition</w:t>
      </w:r>
      <w:r w:rsidR="007A151E" w:rsidRPr="007A151E">
        <w:t xml:space="preserve"> </w:t>
      </w:r>
      <w:r w:rsidR="007A151E" w:rsidRPr="007A151E">
        <w:rPr>
          <w:b/>
          <w:i/>
        </w:rPr>
        <w:t>network termination unit</w:t>
      </w:r>
      <w:r w:rsidR="007A151E" w:rsidRPr="007A151E">
        <w:t xml:space="preserve"> </w:t>
      </w:r>
      <w:r w:rsidR="00CB3C30">
        <w:t>and replace</w:t>
      </w:r>
      <w:r w:rsidR="008A6420">
        <w:t xml:space="preserve"> it with </w:t>
      </w:r>
      <w:r w:rsidR="008A6420">
        <w:rPr>
          <w:b/>
          <w:i/>
        </w:rPr>
        <w:t>network termination device</w:t>
      </w:r>
      <w:r w:rsidR="007A151E" w:rsidRPr="007A151E">
        <w:t>.</w:t>
      </w:r>
      <w:r w:rsidR="008A6420">
        <w:t xml:space="preserve"> This is a technology neutral term that is used</w:t>
      </w:r>
      <w:r w:rsidR="004967EA">
        <w:t xml:space="preserve"> to describe devices </w:t>
      </w:r>
      <w:r w:rsidR="008A6420">
        <w:t xml:space="preserve">that </w:t>
      </w:r>
      <w:r w:rsidR="004967EA">
        <w:t>terminate a carrier</w:t>
      </w:r>
      <w:r w:rsidR="00C97446">
        <w:t>’</w:t>
      </w:r>
      <w:r w:rsidR="004967EA">
        <w:t xml:space="preserve">s network and provide </w:t>
      </w:r>
      <w:r w:rsidR="008A6420">
        <w:t xml:space="preserve">a connection point between a carrier’s network and customer cabling or customer equipment such as a router. </w:t>
      </w:r>
    </w:p>
    <w:p w14:paraId="133C4AB7" w14:textId="77777777" w:rsidR="007A151E" w:rsidRPr="007A151E" w:rsidRDefault="00596F95" w:rsidP="00596F95">
      <w:pPr>
        <w:pStyle w:val="Heading4"/>
      </w:pPr>
      <w:r w:rsidRPr="00596F95">
        <w:t xml:space="preserve">Proposed </w:t>
      </w:r>
      <w:r>
        <w:t>a</w:t>
      </w:r>
      <w:r w:rsidR="00E910F2">
        <w:t>mendment 9</w:t>
      </w:r>
      <w:r w:rsidR="000E66CB">
        <w:t xml:space="preserve"> –</w:t>
      </w:r>
      <w:r w:rsidR="00586AA5">
        <w:t xml:space="preserve"> </w:t>
      </w:r>
      <w:r w:rsidR="000E66CB">
        <w:t>access terminal</w:t>
      </w:r>
    </w:p>
    <w:p w14:paraId="0B0B1990" w14:textId="77777777" w:rsidR="007A151E" w:rsidRPr="007A151E" w:rsidRDefault="00596F95" w:rsidP="007A151E">
      <w:pPr>
        <w:spacing w:after="240"/>
      </w:pPr>
      <w:r w:rsidRPr="00596F95">
        <w:t xml:space="preserve">Proposed </w:t>
      </w:r>
      <w:r>
        <w:t>a</w:t>
      </w:r>
      <w:r w:rsidR="000E66CB">
        <w:t xml:space="preserve">mendment 9 </w:t>
      </w:r>
      <w:r w:rsidR="00B50D47">
        <w:t xml:space="preserve">would </w:t>
      </w:r>
      <w:r w:rsidR="000E66CB">
        <w:t>r</w:t>
      </w:r>
      <w:r w:rsidR="007A151E" w:rsidRPr="007A151E">
        <w:t xml:space="preserve">emove the </w:t>
      </w:r>
      <w:r w:rsidR="00F168D2">
        <w:t>definition</w:t>
      </w:r>
      <w:r w:rsidR="007A151E" w:rsidRPr="007A151E">
        <w:t xml:space="preserve"> </w:t>
      </w:r>
      <w:r w:rsidR="007A151E" w:rsidRPr="007A151E">
        <w:rPr>
          <w:b/>
          <w:i/>
        </w:rPr>
        <w:t>optical fibre access terminal</w:t>
      </w:r>
      <w:r w:rsidR="007A151E" w:rsidRPr="007A151E">
        <w:t xml:space="preserve"> which is replaced by</w:t>
      </w:r>
      <w:r w:rsidR="00927B30">
        <w:t xml:space="preserve"> the technology neutral term</w:t>
      </w:r>
      <w:r w:rsidR="007A151E" w:rsidRPr="007A151E">
        <w:t xml:space="preserve"> </w:t>
      </w:r>
      <w:r w:rsidR="007A151E" w:rsidRPr="007A151E">
        <w:rPr>
          <w:b/>
          <w:i/>
        </w:rPr>
        <w:t>access terminal</w:t>
      </w:r>
      <w:r w:rsidR="008B3D97">
        <w:t xml:space="preserve"> (see </w:t>
      </w:r>
      <w:r w:rsidR="00CB3C30">
        <w:t>proposed a</w:t>
      </w:r>
      <w:r w:rsidR="00354383">
        <w:t xml:space="preserve">mendment 1 </w:t>
      </w:r>
      <w:r w:rsidR="008B3D97">
        <w:t>above)</w:t>
      </w:r>
      <w:r w:rsidR="007A151E" w:rsidRPr="007A151E">
        <w:t>.</w:t>
      </w:r>
    </w:p>
    <w:p w14:paraId="43E05CF0" w14:textId="77777777" w:rsidR="007A151E" w:rsidRPr="007A151E" w:rsidRDefault="00596F95" w:rsidP="00D65A7B">
      <w:pPr>
        <w:pStyle w:val="Heading4"/>
      </w:pPr>
      <w:r>
        <w:t>Proposed a</w:t>
      </w:r>
      <w:r w:rsidR="00E910F2">
        <w:t>mendment 10</w:t>
      </w:r>
      <w:r w:rsidR="00586AA5">
        <w:t xml:space="preserve"> – drop cable</w:t>
      </w:r>
      <w:r w:rsidR="00032065">
        <w:t xml:space="preserve"> &amp; optical node</w:t>
      </w:r>
    </w:p>
    <w:p w14:paraId="115A42CD" w14:textId="77777777" w:rsidR="007A151E" w:rsidRPr="007A151E" w:rsidRDefault="00596F95" w:rsidP="007A151E">
      <w:pPr>
        <w:spacing w:after="240"/>
      </w:pPr>
      <w:r w:rsidRPr="00596F95">
        <w:t xml:space="preserve">Proposed </w:t>
      </w:r>
      <w:r>
        <w:t>a</w:t>
      </w:r>
      <w:r w:rsidR="00586AA5">
        <w:t xml:space="preserve">mendment 10 </w:t>
      </w:r>
      <w:r w:rsidR="00B50D47">
        <w:t xml:space="preserve">would </w:t>
      </w:r>
      <w:r w:rsidR="00586AA5">
        <w:t>r</w:t>
      </w:r>
      <w:r w:rsidR="007A151E" w:rsidRPr="007A151E">
        <w:t xml:space="preserve">emove the </w:t>
      </w:r>
      <w:r w:rsidR="00F168D2">
        <w:t>definition</w:t>
      </w:r>
      <w:r w:rsidR="007A151E" w:rsidRPr="007A151E">
        <w:t xml:space="preserve"> </w:t>
      </w:r>
      <w:r w:rsidR="007A151E" w:rsidRPr="007A151E">
        <w:rPr>
          <w:b/>
          <w:i/>
        </w:rPr>
        <w:t>optical fibre drop cable</w:t>
      </w:r>
      <w:r w:rsidR="007A151E" w:rsidRPr="007A151E">
        <w:t xml:space="preserve"> which is replaced by</w:t>
      </w:r>
      <w:r w:rsidR="00856446">
        <w:t xml:space="preserve"> the</w:t>
      </w:r>
      <w:r w:rsidR="00F168D2">
        <w:t xml:space="preserve"> technology neutral term</w:t>
      </w:r>
      <w:r w:rsidR="007A151E" w:rsidRPr="007A151E">
        <w:t xml:space="preserve"> </w:t>
      </w:r>
      <w:r w:rsidR="007A151E" w:rsidRPr="007A151E">
        <w:rPr>
          <w:b/>
          <w:i/>
        </w:rPr>
        <w:t>drop cable</w:t>
      </w:r>
      <w:r w:rsidR="00CB3C30">
        <w:t xml:space="preserve"> (see proposed a</w:t>
      </w:r>
      <w:r w:rsidR="008F0D5B">
        <w:t xml:space="preserve">mendment </w:t>
      </w:r>
      <w:r w:rsidR="005070C1">
        <w:t>4</w:t>
      </w:r>
      <w:r w:rsidR="008F0D5B">
        <w:t xml:space="preserve"> above)</w:t>
      </w:r>
      <w:r w:rsidR="007A151E" w:rsidRPr="007A151E">
        <w:t>.</w:t>
      </w:r>
    </w:p>
    <w:p w14:paraId="4EC15D42" w14:textId="77777777" w:rsidR="007A151E" w:rsidRPr="007A151E" w:rsidRDefault="00596F95" w:rsidP="007A151E">
      <w:pPr>
        <w:spacing w:after="240"/>
      </w:pPr>
      <w:r>
        <w:t xml:space="preserve">This amendment would </w:t>
      </w:r>
      <w:r w:rsidR="00032065">
        <w:t>also a</w:t>
      </w:r>
      <w:r w:rsidR="00CB3C30">
        <w:t>dd</w:t>
      </w:r>
      <w:r w:rsidR="007A151E" w:rsidRPr="007A151E">
        <w:t xml:space="preserve"> the </w:t>
      </w:r>
      <w:r w:rsidR="00620D3F">
        <w:t>term</w:t>
      </w:r>
      <w:r w:rsidR="007A151E" w:rsidRPr="007A151E">
        <w:t xml:space="preserve"> </w:t>
      </w:r>
      <w:r w:rsidR="007A151E" w:rsidRPr="007A151E">
        <w:rPr>
          <w:b/>
          <w:i/>
        </w:rPr>
        <w:t>optical node</w:t>
      </w:r>
      <w:r w:rsidR="00A25B7E">
        <w:t xml:space="preserve"> which is used in high </w:t>
      </w:r>
      <w:r w:rsidR="007A151E" w:rsidRPr="007A151E">
        <w:t>speed fixed-line communications networks</w:t>
      </w:r>
      <w:r w:rsidR="00620D3F">
        <w:t xml:space="preserve"> including HFC and FTTN</w:t>
      </w:r>
      <w:r w:rsidR="007A151E" w:rsidRPr="007A151E">
        <w:t>.</w:t>
      </w:r>
      <w:r w:rsidR="00D509C2">
        <w:t xml:space="preserve"> It is used to convert between optical and electrical signals along cables.</w:t>
      </w:r>
    </w:p>
    <w:p w14:paraId="6B237BF3" w14:textId="77777777" w:rsidR="007A151E" w:rsidRPr="007A151E" w:rsidRDefault="00596F95" w:rsidP="00596F95">
      <w:pPr>
        <w:pStyle w:val="Heading4"/>
      </w:pPr>
      <w:r w:rsidRPr="00596F95">
        <w:lastRenderedPageBreak/>
        <w:t xml:space="preserve">Proposed </w:t>
      </w:r>
      <w:r>
        <w:t>a</w:t>
      </w:r>
      <w:r w:rsidR="00E910F2">
        <w:t>mendment 11</w:t>
      </w:r>
      <w:r w:rsidR="00FE1286">
        <w:t xml:space="preserve"> </w:t>
      </w:r>
      <w:r w:rsidR="00646585">
        <w:t>–</w:t>
      </w:r>
      <w:r w:rsidR="00FE1286">
        <w:t xml:space="preserve"> splice</w:t>
      </w:r>
      <w:r w:rsidR="00646585">
        <w:t xml:space="preserve"> enclosure</w:t>
      </w:r>
    </w:p>
    <w:p w14:paraId="4B570459" w14:textId="77777777" w:rsidR="007A151E" w:rsidRPr="007A151E" w:rsidRDefault="0025099A" w:rsidP="007A151E">
      <w:pPr>
        <w:spacing w:after="240"/>
      </w:pPr>
      <w:r>
        <w:t>Proposed</w:t>
      </w:r>
      <w:r w:rsidR="00596F95">
        <w:t xml:space="preserve"> a</w:t>
      </w:r>
      <w:r w:rsidR="00646585">
        <w:t xml:space="preserve">mendment 11 </w:t>
      </w:r>
      <w:r w:rsidR="00596F95">
        <w:t xml:space="preserve">would </w:t>
      </w:r>
      <w:r w:rsidR="00646585">
        <w:t>r</w:t>
      </w:r>
      <w:r w:rsidR="007A151E" w:rsidRPr="007A151E">
        <w:t xml:space="preserve">emove the </w:t>
      </w:r>
      <w:r w:rsidR="00F168D2">
        <w:t>definition</w:t>
      </w:r>
      <w:r w:rsidR="007A151E" w:rsidRPr="007A151E">
        <w:t xml:space="preserve"> </w:t>
      </w:r>
      <w:r w:rsidR="007A151E" w:rsidRPr="007A151E">
        <w:rPr>
          <w:b/>
          <w:i/>
        </w:rPr>
        <w:t>optical fibre splice enclosure</w:t>
      </w:r>
      <w:r w:rsidR="007A151E" w:rsidRPr="007A151E">
        <w:t xml:space="preserve"> which is replaced by</w:t>
      </w:r>
      <w:r w:rsidR="005A69AD">
        <w:t xml:space="preserve"> the technology neutral term</w:t>
      </w:r>
      <w:r w:rsidR="007A151E" w:rsidRPr="007A151E">
        <w:t xml:space="preserve"> </w:t>
      </w:r>
      <w:r w:rsidR="007A151E" w:rsidRPr="007A151E">
        <w:rPr>
          <w:b/>
          <w:i/>
        </w:rPr>
        <w:t>splice enclosure</w:t>
      </w:r>
      <w:r>
        <w:t xml:space="preserve"> (see proposed a</w:t>
      </w:r>
      <w:r w:rsidR="004C7600">
        <w:t>mendment 15 below)</w:t>
      </w:r>
      <w:r w:rsidR="007A151E" w:rsidRPr="007A151E">
        <w:t>.</w:t>
      </w:r>
    </w:p>
    <w:p w14:paraId="644EB9E6" w14:textId="77777777" w:rsidR="007A151E" w:rsidRPr="007A151E" w:rsidRDefault="00596F95" w:rsidP="00596F95">
      <w:pPr>
        <w:pStyle w:val="Heading4"/>
      </w:pPr>
      <w:r w:rsidRPr="00596F95">
        <w:t xml:space="preserve">Proposed </w:t>
      </w:r>
      <w:r>
        <w:t>a</w:t>
      </w:r>
      <w:r w:rsidR="007A151E" w:rsidRPr="007A151E">
        <w:t>mendment</w:t>
      </w:r>
      <w:r w:rsidR="005A69AD">
        <w:t>s</w:t>
      </w:r>
      <w:r w:rsidR="00E910F2">
        <w:t xml:space="preserve"> 12 &amp; 13</w:t>
      </w:r>
      <w:r w:rsidR="009467BA">
        <w:t xml:space="preserve"> – termination boxes</w:t>
      </w:r>
    </w:p>
    <w:p w14:paraId="3B3E9827" w14:textId="77777777" w:rsidR="007A151E" w:rsidRPr="007A151E" w:rsidRDefault="00596F95" w:rsidP="007A151E">
      <w:pPr>
        <w:spacing w:after="240"/>
      </w:pPr>
      <w:r w:rsidRPr="00596F95">
        <w:t xml:space="preserve">Proposed </w:t>
      </w:r>
      <w:r>
        <w:t>a</w:t>
      </w:r>
      <w:r w:rsidR="009467BA">
        <w:t xml:space="preserve">mendments 12 and 13 </w:t>
      </w:r>
      <w:r>
        <w:t xml:space="preserve">would </w:t>
      </w:r>
      <w:r w:rsidR="009467BA">
        <w:t>remove</w:t>
      </w:r>
      <w:r w:rsidR="007A151E" w:rsidRPr="007A151E">
        <w:t xml:space="preserve"> the </w:t>
      </w:r>
      <w:r w:rsidR="00F168D2">
        <w:t>definitions</w:t>
      </w:r>
      <w:r w:rsidR="007A151E" w:rsidRPr="007A151E">
        <w:t xml:space="preserve"> </w:t>
      </w:r>
      <w:r w:rsidR="007A151E" w:rsidRPr="007A151E">
        <w:rPr>
          <w:b/>
          <w:i/>
        </w:rPr>
        <w:t>opti</w:t>
      </w:r>
      <w:r w:rsidR="009D7FA3">
        <w:rPr>
          <w:b/>
          <w:i/>
        </w:rPr>
        <w:t>cal fibre termination box (Type </w:t>
      </w:r>
      <w:r w:rsidR="007A151E" w:rsidRPr="007A151E">
        <w:rPr>
          <w:b/>
          <w:i/>
        </w:rPr>
        <w:t>A)</w:t>
      </w:r>
      <w:r w:rsidR="007A151E" w:rsidRPr="007A151E">
        <w:t xml:space="preserve"> and </w:t>
      </w:r>
      <w:r w:rsidR="007A151E" w:rsidRPr="007A151E">
        <w:rPr>
          <w:b/>
          <w:i/>
        </w:rPr>
        <w:t>(Type B)</w:t>
      </w:r>
      <w:r w:rsidR="007A151E" w:rsidRPr="007A151E">
        <w:t xml:space="preserve"> which are replaced by </w:t>
      </w:r>
      <w:r w:rsidR="009F7EFB">
        <w:t xml:space="preserve">the technology neutral term </w:t>
      </w:r>
      <w:r w:rsidR="007A151E" w:rsidRPr="007A151E">
        <w:rPr>
          <w:b/>
          <w:i/>
        </w:rPr>
        <w:t>premises connection device</w:t>
      </w:r>
      <w:r w:rsidR="006C4BC7">
        <w:t xml:space="preserve"> (see proposed a</w:t>
      </w:r>
      <w:r w:rsidR="005D4DC3">
        <w:t>mendment 14 below)</w:t>
      </w:r>
      <w:r w:rsidR="007A151E" w:rsidRPr="007A151E">
        <w:t>.</w:t>
      </w:r>
    </w:p>
    <w:p w14:paraId="6B5FE3B6" w14:textId="77777777" w:rsidR="007A151E" w:rsidRPr="007A151E" w:rsidRDefault="00596F95" w:rsidP="00596F95">
      <w:pPr>
        <w:pStyle w:val="Heading4"/>
      </w:pPr>
      <w:r w:rsidRPr="00596F95">
        <w:t xml:space="preserve">Proposed </w:t>
      </w:r>
      <w:r>
        <w:t>a</w:t>
      </w:r>
      <w:r w:rsidR="00E910F2">
        <w:t>mendment 14</w:t>
      </w:r>
      <w:r w:rsidR="00450E04">
        <w:t xml:space="preserve"> – power supply &amp; premises connection device</w:t>
      </w:r>
    </w:p>
    <w:p w14:paraId="58AFAB43" w14:textId="77777777" w:rsidR="007A151E" w:rsidRPr="007A151E" w:rsidRDefault="00596F95" w:rsidP="007A151E">
      <w:pPr>
        <w:spacing w:after="240"/>
      </w:pPr>
      <w:r w:rsidRPr="00596F95">
        <w:t xml:space="preserve">Proposed </w:t>
      </w:r>
      <w:r>
        <w:t>a</w:t>
      </w:r>
      <w:r w:rsidR="001A3B73">
        <w:t xml:space="preserve">mendment 14 </w:t>
      </w:r>
      <w:r>
        <w:t xml:space="preserve">would broaden </w:t>
      </w:r>
      <w:r w:rsidR="007A151E" w:rsidRPr="007A151E">
        <w:t xml:space="preserve">the definition of </w:t>
      </w:r>
      <w:r w:rsidR="007A151E" w:rsidRPr="007A151E">
        <w:rPr>
          <w:b/>
          <w:i/>
        </w:rPr>
        <w:t>power supply</w:t>
      </w:r>
      <w:r w:rsidR="007A151E" w:rsidRPr="007A151E">
        <w:t>.</w:t>
      </w:r>
      <w:r w:rsidR="00CF02F9">
        <w:t xml:space="preserve"> </w:t>
      </w:r>
      <w:r>
        <w:t xml:space="preserve">The expanded definition would </w:t>
      </w:r>
      <w:r w:rsidR="00CF02F9">
        <w:t xml:space="preserve">cover equipment that provides power for fixed-line networks when deployed </w:t>
      </w:r>
      <w:r w:rsidR="00385A2E">
        <w:t>overhead</w:t>
      </w:r>
      <w:r w:rsidR="00CF02F9">
        <w:t>.</w:t>
      </w:r>
      <w:r w:rsidR="007A151E" w:rsidRPr="007A151E">
        <w:t xml:space="preserve"> </w:t>
      </w:r>
      <w:r w:rsidR="00385A2E">
        <w:t xml:space="preserve">An example of this type of facility would be a HFC power supply unit </w:t>
      </w:r>
      <w:r w:rsidR="004F58D9">
        <w:t xml:space="preserve">used to power optical nodes and amplifiers </w:t>
      </w:r>
      <w:r w:rsidR="00385A2E">
        <w:t>attached to a public utility pole</w:t>
      </w:r>
      <w:r w:rsidR="004F58D9">
        <w:t>.</w:t>
      </w:r>
      <w:r w:rsidR="00BB7F72">
        <w:t xml:space="preserve"> </w:t>
      </w:r>
    </w:p>
    <w:p w14:paraId="664A03C7" w14:textId="77777777" w:rsidR="007A151E" w:rsidRPr="007A151E" w:rsidRDefault="00A12ABD" w:rsidP="007A151E">
      <w:pPr>
        <w:spacing w:after="240"/>
      </w:pPr>
      <w:r>
        <w:t>This proposed</w:t>
      </w:r>
      <w:r w:rsidR="00596F95">
        <w:t xml:space="preserve"> a</w:t>
      </w:r>
      <w:r w:rsidR="001A3B73">
        <w:t xml:space="preserve">mendment </w:t>
      </w:r>
      <w:r w:rsidR="00596F95">
        <w:t xml:space="preserve">would </w:t>
      </w:r>
      <w:r w:rsidR="001A3B73">
        <w:t>also a</w:t>
      </w:r>
      <w:r w:rsidR="007A151E" w:rsidRPr="007A151E">
        <w:t xml:space="preserve">dd the technology neutral </w:t>
      </w:r>
      <w:r w:rsidR="00984EDE">
        <w:t>term</w:t>
      </w:r>
      <w:r w:rsidR="001A0B42">
        <w:t>,</w:t>
      </w:r>
      <w:r w:rsidR="007A151E" w:rsidRPr="007A151E">
        <w:t xml:space="preserve"> </w:t>
      </w:r>
      <w:r w:rsidR="007A151E" w:rsidRPr="007A151E">
        <w:rPr>
          <w:b/>
          <w:i/>
        </w:rPr>
        <w:t>premises connection device</w:t>
      </w:r>
      <w:r w:rsidR="001A0B42">
        <w:t>,</w:t>
      </w:r>
      <w:r w:rsidR="007A151E" w:rsidRPr="007A151E">
        <w:t xml:space="preserve"> which replaces </w:t>
      </w:r>
      <w:r w:rsidR="007A151E" w:rsidRPr="007A151E">
        <w:rPr>
          <w:b/>
          <w:i/>
        </w:rPr>
        <w:t>optical fibre termination box (Type A)</w:t>
      </w:r>
      <w:r w:rsidR="007A151E" w:rsidRPr="007A151E">
        <w:t xml:space="preserve"> and </w:t>
      </w:r>
      <w:r w:rsidR="007A151E" w:rsidRPr="007A151E">
        <w:rPr>
          <w:b/>
          <w:i/>
        </w:rPr>
        <w:t>(Type B)</w:t>
      </w:r>
      <w:r w:rsidR="007A151E" w:rsidRPr="007A151E">
        <w:t>.</w:t>
      </w:r>
      <w:r w:rsidR="00EB0508">
        <w:t xml:space="preserve"> A premises connection device is a device used to </w:t>
      </w:r>
      <w:r w:rsidR="004334EF">
        <w:t xml:space="preserve">terminate a drop cable from the network </w:t>
      </w:r>
      <w:r w:rsidR="001A3B73">
        <w:t xml:space="preserve">at a premises </w:t>
      </w:r>
      <w:r w:rsidR="004334EF">
        <w:t>for connection to in-building cabling or equipment at the premises. It is typically a small box attached to the outside of a building.</w:t>
      </w:r>
    </w:p>
    <w:p w14:paraId="407FCC59" w14:textId="77777777" w:rsidR="007A151E" w:rsidRPr="007A151E" w:rsidRDefault="00596F95" w:rsidP="00596F95">
      <w:pPr>
        <w:pStyle w:val="Heading4"/>
      </w:pPr>
      <w:r w:rsidRPr="00596F95">
        <w:t xml:space="preserve">Proposed </w:t>
      </w:r>
      <w:r>
        <w:t>a</w:t>
      </w:r>
      <w:r w:rsidR="00E910F2">
        <w:t>mendment 15</w:t>
      </w:r>
      <w:r w:rsidR="00DF331E">
        <w:t xml:space="preserve"> – splice enclosure</w:t>
      </w:r>
    </w:p>
    <w:p w14:paraId="01CF511F" w14:textId="77777777" w:rsidR="007A151E" w:rsidRPr="007A151E" w:rsidRDefault="00596F95" w:rsidP="007A151E">
      <w:pPr>
        <w:spacing w:after="240"/>
      </w:pPr>
      <w:r w:rsidRPr="00596F95">
        <w:t xml:space="preserve">Proposed </w:t>
      </w:r>
      <w:r>
        <w:t>a</w:t>
      </w:r>
      <w:r w:rsidR="001A0B42">
        <w:t xml:space="preserve">mendment 15 </w:t>
      </w:r>
      <w:r>
        <w:t xml:space="preserve">would </w:t>
      </w:r>
      <w:r w:rsidR="001A0B42">
        <w:t>a</w:t>
      </w:r>
      <w:r w:rsidR="007A151E" w:rsidRPr="007A151E">
        <w:t xml:space="preserve">dd the technology neutral </w:t>
      </w:r>
      <w:r w:rsidR="007C6433">
        <w:t>term</w:t>
      </w:r>
      <w:r w:rsidR="001A0B42">
        <w:t>,</w:t>
      </w:r>
      <w:r w:rsidR="007A151E" w:rsidRPr="007A151E">
        <w:t xml:space="preserve"> </w:t>
      </w:r>
      <w:r w:rsidR="001A0B42" w:rsidRPr="001A0B42">
        <w:rPr>
          <w:b/>
          <w:i/>
        </w:rPr>
        <w:t>splice enclosure</w:t>
      </w:r>
      <w:r w:rsidR="001A0B42">
        <w:t xml:space="preserve">, </w:t>
      </w:r>
      <w:r w:rsidR="007A151E" w:rsidRPr="001A0B42">
        <w:t>which</w:t>
      </w:r>
      <w:r w:rsidR="007A151E" w:rsidRPr="007A151E">
        <w:t xml:space="preserve"> replaces </w:t>
      </w:r>
      <w:r w:rsidR="007A151E" w:rsidRPr="007A151E">
        <w:rPr>
          <w:b/>
          <w:i/>
        </w:rPr>
        <w:t>optical fibre splice enclosure</w:t>
      </w:r>
      <w:r w:rsidR="007A151E" w:rsidRPr="007A151E">
        <w:t>.</w:t>
      </w:r>
      <w:r w:rsidR="002A7B2C">
        <w:t xml:space="preserve"> A splice</w:t>
      </w:r>
      <w:r w:rsidR="003E3809">
        <w:t xml:space="preserve"> enclosure attaches line links </w:t>
      </w:r>
      <w:r w:rsidR="002A7B2C">
        <w:t>to drop cables, othe</w:t>
      </w:r>
      <w:r w:rsidR="00E94867">
        <w:t>r line links or access terminals</w:t>
      </w:r>
      <w:r w:rsidR="002A7B2C">
        <w:t>.</w:t>
      </w:r>
    </w:p>
    <w:p w14:paraId="0967BD20" w14:textId="77777777" w:rsidR="007A151E" w:rsidRPr="007A151E" w:rsidRDefault="00596F95" w:rsidP="00596F95">
      <w:pPr>
        <w:pStyle w:val="Heading4"/>
      </w:pPr>
      <w:r w:rsidRPr="00596F95">
        <w:lastRenderedPageBreak/>
        <w:t xml:space="preserve">Proposed </w:t>
      </w:r>
      <w:r>
        <w:t>a</w:t>
      </w:r>
      <w:r w:rsidR="00E910F2">
        <w:t>mendment 16</w:t>
      </w:r>
      <w:r w:rsidR="00BF68D3">
        <w:t xml:space="preserve"> – underground network equipment</w:t>
      </w:r>
    </w:p>
    <w:p w14:paraId="6BCF2434" w14:textId="77777777" w:rsidR="007A151E" w:rsidRPr="007A151E" w:rsidRDefault="00596F95" w:rsidP="007A151E">
      <w:pPr>
        <w:spacing w:after="240"/>
      </w:pPr>
      <w:r>
        <w:t>This propose</w:t>
      </w:r>
      <w:r w:rsidR="00822CE1">
        <w:t>d</w:t>
      </w:r>
      <w:r>
        <w:t xml:space="preserve"> amendment would a</w:t>
      </w:r>
      <w:r w:rsidR="007A151E" w:rsidRPr="007A151E">
        <w:t xml:space="preserve">dd the generic, technology neutral definition </w:t>
      </w:r>
      <w:r w:rsidR="007A151E" w:rsidRPr="007A151E">
        <w:rPr>
          <w:b/>
          <w:i/>
        </w:rPr>
        <w:t>underground network equipment</w:t>
      </w:r>
      <w:r w:rsidR="007A151E" w:rsidRPr="007A151E">
        <w:t xml:space="preserve"> to cover most facilities </w:t>
      </w:r>
      <w:r w:rsidR="00A16063" w:rsidRPr="007A151E">
        <w:t xml:space="preserve">that </w:t>
      </w:r>
      <w:r w:rsidR="00A16063">
        <w:t xml:space="preserve">are part of a network for the high </w:t>
      </w:r>
      <w:r w:rsidR="00A16063" w:rsidRPr="007A151E">
        <w:t xml:space="preserve">speed carriage of communications </w:t>
      </w:r>
      <w:r w:rsidR="00A16063">
        <w:t xml:space="preserve">and </w:t>
      </w:r>
      <w:r w:rsidR="007A151E" w:rsidRPr="007A151E">
        <w:t xml:space="preserve">placed in underground pits and conduit. </w:t>
      </w:r>
    </w:p>
    <w:p w14:paraId="04ACDCD7" w14:textId="77777777" w:rsidR="007A151E" w:rsidRDefault="007A151E" w:rsidP="00EB2C05">
      <w:pPr>
        <w:pStyle w:val="Heading3"/>
      </w:pPr>
      <w:bookmarkStart w:id="37" w:name="_Toc417918507"/>
      <w:bookmarkStart w:id="38" w:name="_Toc421721127"/>
      <w:r w:rsidRPr="007A151E">
        <w:t>Schedule Part 3 – Above ground housing</w:t>
      </w:r>
      <w:bookmarkEnd w:id="37"/>
      <w:bookmarkEnd w:id="38"/>
    </w:p>
    <w:p w14:paraId="76A0D555" w14:textId="77777777" w:rsidR="008D6E13" w:rsidRPr="008D6E13" w:rsidRDefault="00657C92" w:rsidP="008D6E13">
      <w:pPr>
        <w:pStyle w:val="BodyText"/>
      </w:pPr>
      <w:r>
        <w:t xml:space="preserve">The following </w:t>
      </w:r>
      <w:r w:rsidR="00B50D47">
        <w:t>proposed</w:t>
      </w:r>
      <w:r w:rsidR="00596F95">
        <w:t xml:space="preserve"> </w:t>
      </w:r>
      <w:r>
        <w:t xml:space="preserve">amendments </w:t>
      </w:r>
      <w:r w:rsidR="00596F95">
        <w:t xml:space="preserve">would </w:t>
      </w:r>
      <w:r>
        <w:t>change or add new items in Part 3 of the Schedule to the LIFD</w:t>
      </w:r>
      <w:r w:rsidR="009F0786">
        <w:t xml:space="preserve"> which deals with above ground housings</w:t>
      </w:r>
      <w:r>
        <w:t>.</w:t>
      </w:r>
      <w:r w:rsidR="005F1B31">
        <w:t xml:space="preserve"> This includes increasing the volumetric limit for some facilities.</w:t>
      </w:r>
    </w:p>
    <w:p w14:paraId="132504AF" w14:textId="77777777" w:rsidR="007A151E" w:rsidRPr="007A151E" w:rsidRDefault="00596F95" w:rsidP="00596F95">
      <w:pPr>
        <w:pStyle w:val="Heading4"/>
      </w:pPr>
      <w:r w:rsidRPr="00596F95">
        <w:t xml:space="preserve">Proposed </w:t>
      </w:r>
      <w:r>
        <w:t>a</w:t>
      </w:r>
      <w:r w:rsidR="007A151E" w:rsidRPr="007A151E">
        <w:t>mendment 1</w:t>
      </w:r>
      <w:r w:rsidR="00E910F2">
        <w:t>7</w:t>
      </w:r>
      <w:r w:rsidR="008956CD">
        <w:t xml:space="preserve"> – e</w:t>
      </w:r>
      <w:r w:rsidR="007A151E" w:rsidRPr="007A151E">
        <w:t>xternal building connection equipment</w:t>
      </w:r>
    </w:p>
    <w:p w14:paraId="0E316925" w14:textId="77777777" w:rsidR="007A151E" w:rsidRPr="007A151E" w:rsidRDefault="00596F95" w:rsidP="007A151E">
      <w:r w:rsidRPr="00596F95">
        <w:t xml:space="preserve">Proposed </w:t>
      </w:r>
      <w:r>
        <w:t>a</w:t>
      </w:r>
      <w:r w:rsidR="000D24D3">
        <w:t>mendment 1</w:t>
      </w:r>
      <w:r w:rsidR="005070C1">
        <w:t>7</w:t>
      </w:r>
      <w:r w:rsidR="000D24D3">
        <w:t xml:space="preserve"> </w:t>
      </w:r>
      <w:r>
        <w:t xml:space="preserve">would </w:t>
      </w:r>
      <w:r w:rsidR="00FA612D">
        <w:t>add</w:t>
      </w:r>
      <w:r w:rsidR="007A151E" w:rsidRPr="007A151E">
        <w:t xml:space="preserve"> the new facility ‘external building c</w:t>
      </w:r>
      <w:r w:rsidR="000D24D3">
        <w:t>onnection equipment’, defined in</w:t>
      </w:r>
      <w:r w:rsidR="00077461">
        <w:t xml:space="preserve"> </w:t>
      </w:r>
      <w:r>
        <w:t>proposed a</w:t>
      </w:r>
      <w:r w:rsidR="00077461">
        <w:t>mendment 5, to</w:t>
      </w:r>
      <w:r w:rsidR="007A151E" w:rsidRPr="007A151E">
        <w:t xml:space="preserve"> the Schedule of the LIFD. As explained above, the equipment provides a service to either end-users </w:t>
      </w:r>
      <w:r w:rsidR="007A151E" w:rsidRPr="006E3216">
        <w:t xml:space="preserve">within the multi-unit building </w:t>
      </w:r>
      <w:r w:rsidR="006E3216" w:rsidRPr="006E3216">
        <w:t>to</w:t>
      </w:r>
      <w:r w:rsidR="007A151E" w:rsidRPr="006E3216">
        <w:t xml:space="preserve"> which the equipment is </w:t>
      </w:r>
      <w:r w:rsidR="004F322B">
        <w:t>attached</w:t>
      </w:r>
      <w:r w:rsidR="007A151E" w:rsidRPr="006E3216">
        <w:t>, or end-users who are located in another nearby multi-unit building.</w:t>
      </w:r>
    </w:p>
    <w:p w14:paraId="189B736E" w14:textId="77777777" w:rsidR="007A151E" w:rsidRPr="007A151E" w:rsidRDefault="007A151E" w:rsidP="007A151E">
      <w:r w:rsidRPr="007A151E">
        <w:t xml:space="preserve">The maximum permissible substantive volume for this facility </w:t>
      </w:r>
      <w:r w:rsidR="00596F95">
        <w:t xml:space="preserve">would be </w:t>
      </w:r>
      <w:r w:rsidRPr="007A151E">
        <w:t>0.59 cubic metres. This permits the installation of equipment such as micronode enclosures for FTTB rollouts. Such an enclosure could</w:t>
      </w:r>
      <w:r w:rsidR="00573A72">
        <w:t>,</w:t>
      </w:r>
      <w:r w:rsidRPr="007A151E">
        <w:t xml:space="preserve"> for example</w:t>
      </w:r>
      <w:r w:rsidR="00573A72">
        <w:t>,</w:t>
      </w:r>
      <w:r w:rsidRPr="007A151E">
        <w:t xml:space="preserve"> measure 1940</w:t>
      </w:r>
      <w:r w:rsidR="00C90551">
        <w:t>mm</w:t>
      </w:r>
      <w:r w:rsidR="00444610">
        <w:t xml:space="preserve"> </w:t>
      </w:r>
      <w:r w:rsidRPr="007A151E">
        <w:t>x</w:t>
      </w:r>
      <w:r w:rsidR="00444610">
        <w:t xml:space="preserve"> </w:t>
      </w:r>
      <w:r w:rsidRPr="007A151E">
        <w:t>770</w:t>
      </w:r>
      <w:r w:rsidR="00C90551">
        <w:t>mm</w:t>
      </w:r>
      <w:r w:rsidR="00444610">
        <w:t xml:space="preserve"> </w:t>
      </w:r>
      <w:r w:rsidRPr="007A151E">
        <w:t>x</w:t>
      </w:r>
      <w:r w:rsidR="00444610">
        <w:t xml:space="preserve"> </w:t>
      </w:r>
      <w:r w:rsidRPr="007A151E">
        <w:t>790</w:t>
      </w:r>
      <w:r w:rsidR="00C90551">
        <w:t>mm</w:t>
      </w:r>
      <w:r w:rsidRPr="007A151E">
        <w:t xml:space="preserve">. </w:t>
      </w:r>
    </w:p>
    <w:p w14:paraId="1EA80546" w14:textId="77777777" w:rsidR="007A151E" w:rsidRPr="007A151E" w:rsidRDefault="00596F95" w:rsidP="00596F95">
      <w:pPr>
        <w:pStyle w:val="Heading4"/>
      </w:pPr>
      <w:r w:rsidRPr="00596F95">
        <w:t xml:space="preserve">Proposed </w:t>
      </w:r>
      <w:r>
        <w:t>a</w:t>
      </w:r>
      <w:r w:rsidR="007A151E" w:rsidRPr="007A151E">
        <w:t>mendment 1</w:t>
      </w:r>
      <w:r w:rsidR="00E910F2">
        <w:t>8</w:t>
      </w:r>
      <w:r w:rsidR="008956CD">
        <w:t xml:space="preserve"> – i</w:t>
      </w:r>
      <w:r w:rsidR="007A151E" w:rsidRPr="007A151E">
        <w:t>nternal building connection equipment</w:t>
      </w:r>
    </w:p>
    <w:p w14:paraId="2EDF1EC1" w14:textId="77777777" w:rsidR="007A151E" w:rsidRPr="007A151E" w:rsidRDefault="00596F95" w:rsidP="007A151E">
      <w:r>
        <w:t>Proposed a</w:t>
      </w:r>
      <w:r w:rsidR="005070C1">
        <w:t>mendment 18</w:t>
      </w:r>
      <w:r w:rsidR="003F5FE1">
        <w:t xml:space="preserve"> </w:t>
      </w:r>
      <w:r>
        <w:t xml:space="preserve">would </w:t>
      </w:r>
      <w:r w:rsidR="003F5FE1">
        <w:t>add</w:t>
      </w:r>
      <w:r>
        <w:t xml:space="preserve"> </w:t>
      </w:r>
      <w:r w:rsidR="007A151E" w:rsidRPr="007A151E">
        <w:t xml:space="preserve">the new facility </w:t>
      </w:r>
      <w:r w:rsidR="007A151E" w:rsidRPr="00E34D10">
        <w:rPr>
          <w:b/>
          <w:i/>
        </w:rPr>
        <w:t>internal building connection equipm</w:t>
      </w:r>
      <w:r w:rsidR="003F5FE1" w:rsidRPr="00E34D10">
        <w:rPr>
          <w:b/>
          <w:i/>
        </w:rPr>
        <w:t>ent</w:t>
      </w:r>
      <w:r w:rsidR="003F5FE1">
        <w:t xml:space="preserve">, defined at </w:t>
      </w:r>
      <w:r w:rsidR="005D6AA2">
        <w:t>p</w:t>
      </w:r>
      <w:r w:rsidR="00B50D47">
        <w:t>roposed a</w:t>
      </w:r>
      <w:r w:rsidR="003F5FE1">
        <w:t>mendment 6 to</w:t>
      </w:r>
      <w:r w:rsidR="007A151E" w:rsidRPr="007A151E">
        <w:t xml:space="preserve"> the Schedule of the LIFD. As </w:t>
      </w:r>
      <w:r w:rsidR="007A151E" w:rsidRPr="00EE7670">
        <w:t>explained above, the equipment provides a service to either end-users within the multi-unit building in which the equipment is installed, or end-users who are located in another nearby multi-unit building.</w:t>
      </w:r>
    </w:p>
    <w:p w14:paraId="40ABA12A" w14:textId="77777777" w:rsidR="007A151E" w:rsidRDefault="007A151E" w:rsidP="007A151E">
      <w:r w:rsidRPr="007A151E">
        <w:t xml:space="preserve">The maximum permissible substantive volume for this facility is </w:t>
      </w:r>
      <w:r w:rsidR="00596F95">
        <w:t xml:space="preserve">proposed to be </w:t>
      </w:r>
      <w:r w:rsidRPr="007A151E">
        <w:t>1.3 cubic metres. This permits the installation of equipment such as FTTB rack cabinets. Such a cabi</w:t>
      </w:r>
      <w:r w:rsidRPr="007A151E">
        <w:lastRenderedPageBreak/>
        <w:t>net could</w:t>
      </w:r>
      <w:r w:rsidR="00573A72">
        <w:t>,</w:t>
      </w:r>
      <w:r w:rsidRPr="007A151E">
        <w:t xml:space="preserve"> for example</w:t>
      </w:r>
      <w:r w:rsidR="00573A72">
        <w:t>,</w:t>
      </w:r>
      <w:r w:rsidRPr="007A151E">
        <w:t xml:space="preserve"> measure 1360</w:t>
      </w:r>
      <w:r w:rsidR="00C90551">
        <w:t xml:space="preserve">mm </w:t>
      </w:r>
      <w:r w:rsidRPr="007A151E">
        <w:t>x</w:t>
      </w:r>
      <w:r w:rsidR="00C90551">
        <w:t xml:space="preserve"> </w:t>
      </w:r>
      <w:r w:rsidRPr="007A151E">
        <w:t>1040</w:t>
      </w:r>
      <w:r w:rsidR="00C90551">
        <w:t xml:space="preserve">mm </w:t>
      </w:r>
      <w:r w:rsidRPr="007A151E">
        <w:t>x</w:t>
      </w:r>
      <w:r w:rsidR="00C90551">
        <w:t xml:space="preserve"> 380mm</w:t>
      </w:r>
      <w:r w:rsidRPr="007A151E">
        <w:t xml:space="preserve">. </w:t>
      </w:r>
      <w:r w:rsidR="00F5610A" w:rsidRPr="00F5610A">
        <w:t>Schedule 3 of the Act requires carriers to act in accordance with good engineering practice, protect the safety of people and property, interfere with other users of the land as little as practicable</w:t>
      </w:r>
      <w:r w:rsidR="00F5610A">
        <w:t>,</w:t>
      </w:r>
      <w:r w:rsidR="00F5610A" w:rsidRPr="00F5610A">
        <w:t xml:space="preserve"> and protect the environment. </w:t>
      </w:r>
      <w:r w:rsidR="009F128B">
        <w:t>Carriers are expected to use the smallest equipment feasible for the available space inside each building</w:t>
      </w:r>
      <w:r w:rsidR="00BB2013">
        <w:t>, and to install facilities inside dedicated communications rooms whenever possible.</w:t>
      </w:r>
    </w:p>
    <w:p w14:paraId="135293F0" w14:textId="77777777" w:rsidR="006B3FAC" w:rsidRDefault="00596F95" w:rsidP="00596F95">
      <w:pPr>
        <w:pStyle w:val="Heading4"/>
      </w:pPr>
      <w:r w:rsidRPr="00596F95">
        <w:t xml:space="preserve">Proposed </w:t>
      </w:r>
      <w:r>
        <w:t>a</w:t>
      </w:r>
      <w:r w:rsidR="00E910F2">
        <w:t>mendment 19</w:t>
      </w:r>
      <w:r w:rsidR="006B3FAC">
        <w:t xml:space="preserve"> – </w:t>
      </w:r>
      <w:r w:rsidR="00CD41C3">
        <w:t>i</w:t>
      </w:r>
      <w:r w:rsidR="006B3FAC">
        <w:t>n-building network equipment</w:t>
      </w:r>
    </w:p>
    <w:p w14:paraId="62022332" w14:textId="77777777" w:rsidR="006B3FAC" w:rsidRPr="006B3FAC" w:rsidRDefault="00596F95" w:rsidP="006B3FAC">
      <w:pPr>
        <w:pStyle w:val="BodyText"/>
      </w:pPr>
      <w:r>
        <w:t>Proposed a</w:t>
      </w:r>
      <w:r w:rsidR="00484806">
        <w:t>mendment 1</w:t>
      </w:r>
      <w:r w:rsidR="005070C1">
        <w:t>9</w:t>
      </w:r>
      <w:r w:rsidR="00484806">
        <w:t xml:space="preserve"> </w:t>
      </w:r>
      <w:r>
        <w:t xml:space="preserve">would </w:t>
      </w:r>
      <w:r w:rsidR="00484806">
        <w:t xml:space="preserve">move </w:t>
      </w:r>
      <w:r w:rsidR="00086961">
        <w:t>i</w:t>
      </w:r>
      <w:r w:rsidR="00484806">
        <w:t>n-building network equipment to Item 10 in Part 3 of the Schedule</w:t>
      </w:r>
      <w:r w:rsidR="00266743">
        <w:t xml:space="preserve">, and </w:t>
      </w:r>
      <w:r>
        <w:t xml:space="preserve">would </w:t>
      </w:r>
      <w:r w:rsidR="00266743">
        <w:t>increase the maximum permissible substantive volume for this facility to 1.3 cubic metres.</w:t>
      </w:r>
    </w:p>
    <w:p w14:paraId="070D1A2C" w14:textId="77777777" w:rsidR="006B3FAC" w:rsidRPr="006B3FAC" w:rsidRDefault="004878A6" w:rsidP="006B3FAC">
      <w:pPr>
        <w:pStyle w:val="BodyText"/>
      </w:pPr>
      <w:r w:rsidRPr="004878A6">
        <w:t xml:space="preserve">This equipment covers a broad class of equipment deployed in a multi-unit building for a purpose other than directly supplying carriage services to end-users. </w:t>
      </w:r>
      <w:r>
        <w:t>This could include providing services to non</w:t>
      </w:r>
      <w:r>
        <w:noBreakHyphen/>
        <w:t xml:space="preserve">addressable locations in the future (e.g. traffic lights, bus stops, </w:t>
      </w:r>
      <w:r w:rsidR="00AF1D85">
        <w:t xml:space="preserve">and </w:t>
      </w:r>
      <w:r>
        <w:t xml:space="preserve">private payphones). </w:t>
      </w:r>
      <w:r w:rsidRPr="004878A6">
        <w:t xml:space="preserve">Given the need to cover a wider range of operational scenarios, the permissible volume of such equipment needs to be increased. The maximum permissible substantive volume </w:t>
      </w:r>
      <w:r w:rsidR="00E53BA8">
        <w:t xml:space="preserve">of 1.3 cubic metres </w:t>
      </w:r>
      <w:r w:rsidRPr="004878A6">
        <w:t xml:space="preserve">matches that for </w:t>
      </w:r>
      <w:r>
        <w:t xml:space="preserve">internal </w:t>
      </w:r>
      <w:r w:rsidR="00780440">
        <w:t>building connection equipment, because the same equipment may need to be under this category of facility.</w:t>
      </w:r>
    </w:p>
    <w:p w14:paraId="1CB1B7C5" w14:textId="77777777" w:rsidR="007A151E" w:rsidRPr="00EB2C05" w:rsidRDefault="007A151E" w:rsidP="00EB2C05">
      <w:pPr>
        <w:pStyle w:val="Heading3"/>
        <w:rPr>
          <w:b w:val="0"/>
          <w:sz w:val="26"/>
          <w:szCs w:val="26"/>
        </w:rPr>
      </w:pPr>
      <w:bookmarkStart w:id="39" w:name="_Toc417918508"/>
      <w:bookmarkStart w:id="40" w:name="_Toc421721128"/>
      <w:r w:rsidRPr="00EB2C05">
        <w:rPr>
          <w:b w:val="0"/>
          <w:sz w:val="26"/>
          <w:szCs w:val="26"/>
        </w:rPr>
        <w:t>Schedule Part 4 – Underground facilities (for fixed-line networks)</w:t>
      </w:r>
      <w:bookmarkEnd w:id="39"/>
      <w:bookmarkEnd w:id="40"/>
    </w:p>
    <w:p w14:paraId="68E3B35E" w14:textId="77777777" w:rsidR="007A151E" w:rsidRPr="007A151E" w:rsidRDefault="003B007A" w:rsidP="00D65A7B">
      <w:pPr>
        <w:pStyle w:val="Heading4"/>
      </w:pPr>
      <w:r>
        <w:t>Proposed a</w:t>
      </w:r>
      <w:r w:rsidR="006B3FAC">
        <w:t>mendments 20</w:t>
      </w:r>
      <w:r w:rsidR="007A151E" w:rsidRPr="007A151E">
        <w:t xml:space="preserve">, </w:t>
      </w:r>
      <w:r w:rsidR="006B3FAC">
        <w:t>21</w:t>
      </w:r>
      <w:r w:rsidR="00E910F2">
        <w:t>, 22</w:t>
      </w:r>
    </w:p>
    <w:p w14:paraId="0264FCD6" w14:textId="77777777" w:rsidR="00B50D47" w:rsidRDefault="003B007A" w:rsidP="007A151E">
      <w:pPr>
        <w:spacing w:after="240"/>
      </w:pPr>
      <w:r>
        <w:t>Proposed a</w:t>
      </w:r>
      <w:r w:rsidR="000F0702">
        <w:t>mendment</w:t>
      </w:r>
      <w:r w:rsidR="003563D0">
        <w:t>s</w:t>
      </w:r>
      <w:r w:rsidR="000F0702">
        <w:t xml:space="preserve"> </w:t>
      </w:r>
      <w:r w:rsidR="005070C1">
        <w:t>20, 21 &amp; 22</w:t>
      </w:r>
      <w:r w:rsidR="007A151E" w:rsidRPr="007A151E">
        <w:t xml:space="preserve"> </w:t>
      </w:r>
      <w:r w:rsidR="000F0702">
        <w:t xml:space="preserve">replace existing </w:t>
      </w:r>
      <w:r w:rsidR="000377B8">
        <w:t>fibre-</w:t>
      </w:r>
      <w:r w:rsidR="000F0702">
        <w:t xml:space="preserve">specific </w:t>
      </w:r>
      <w:r w:rsidR="00647BAF">
        <w:t xml:space="preserve">underground </w:t>
      </w:r>
      <w:r w:rsidR="000F0702">
        <w:t>facilities with a single gener</w:t>
      </w:r>
      <w:r w:rsidR="00850245">
        <w:t xml:space="preserve">ic, technology neutral </w:t>
      </w:r>
      <w:r w:rsidR="001B0192">
        <w:t xml:space="preserve">category of </w:t>
      </w:r>
      <w:r w:rsidR="00850245">
        <w:t>facilit</w:t>
      </w:r>
      <w:r w:rsidR="001B0192">
        <w:t>ies</w:t>
      </w:r>
      <w:r w:rsidR="007A151E" w:rsidRPr="007A151E">
        <w:t>, so that underground facilities for optical fibre, HFC, FTTN</w:t>
      </w:r>
      <w:r w:rsidR="001B00C0">
        <w:t>, FTTB,</w:t>
      </w:r>
      <w:r w:rsidR="007A151E" w:rsidRPr="007A151E">
        <w:t xml:space="preserve"> and any future fixed-line </w:t>
      </w:r>
      <w:r w:rsidR="000F0702">
        <w:t xml:space="preserve">broadband </w:t>
      </w:r>
      <w:r w:rsidR="007A151E" w:rsidRPr="007A151E">
        <w:t xml:space="preserve">technologies are included in the LIFD. The amendments combine </w:t>
      </w:r>
      <w:r w:rsidR="00B50D47">
        <w:t xml:space="preserve">the following </w:t>
      </w:r>
      <w:r w:rsidR="007A151E" w:rsidRPr="007A151E">
        <w:t xml:space="preserve">existing items </w:t>
      </w:r>
      <w:r w:rsidR="00B50D47">
        <w:t>of Part 4 of the Schedule:</w:t>
      </w:r>
    </w:p>
    <w:p w14:paraId="77444F7E" w14:textId="77777777" w:rsidR="00B50D47" w:rsidRDefault="00B50D47" w:rsidP="003B007A">
      <w:pPr>
        <w:pStyle w:val="ListParagraph"/>
        <w:numPr>
          <w:ilvl w:val="0"/>
          <w:numId w:val="48"/>
        </w:numPr>
        <w:spacing w:after="240"/>
      </w:pPr>
      <w:r>
        <w:t xml:space="preserve">Item </w:t>
      </w:r>
      <w:r w:rsidR="007A151E" w:rsidRPr="007A151E">
        <w:t>4 (underground optical splice enclosure)</w:t>
      </w:r>
      <w:r w:rsidR="003B007A">
        <w:t>;</w:t>
      </w:r>
    </w:p>
    <w:p w14:paraId="12AA85FF" w14:textId="77777777" w:rsidR="00B50D47" w:rsidRDefault="00B50D47" w:rsidP="003B007A">
      <w:pPr>
        <w:pStyle w:val="ListParagraph"/>
        <w:numPr>
          <w:ilvl w:val="0"/>
          <w:numId w:val="48"/>
        </w:numPr>
        <w:spacing w:after="240"/>
      </w:pPr>
      <w:r>
        <w:lastRenderedPageBreak/>
        <w:t xml:space="preserve">Item </w:t>
      </w:r>
      <w:r w:rsidR="007A151E" w:rsidRPr="007A151E">
        <w:t>5 (underground optical fibre access terminal)</w:t>
      </w:r>
      <w:r w:rsidR="003B007A">
        <w:t>; and</w:t>
      </w:r>
    </w:p>
    <w:p w14:paraId="32E33D5D" w14:textId="77777777" w:rsidR="00B50D47" w:rsidRDefault="00B50D47" w:rsidP="003B007A">
      <w:pPr>
        <w:pStyle w:val="ListParagraph"/>
        <w:numPr>
          <w:ilvl w:val="0"/>
          <w:numId w:val="48"/>
        </w:numPr>
        <w:spacing w:after="240"/>
      </w:pPr>
      <w:r>
        <w:t xml:space="preserve">Item </w:t>
      </w:r>
      <w:r w:rsidR="007A151E" w:rsidRPr="007A151E">
        <w:t>6 (underground hybrid fibre-coaxial network equipment)</w:t>
      </w:r>
    </w:p>
    <w:p w14:paraId="52B5D554" w14:textId="77777777" w:rsidR="001B0192" w:rsidRDefault="000F0702" w:rsidP="0029600D">
      <w:pPr>
        <w:spacing w:after="240"/>
      </w:pPr>
      <w:r>
        <w:t xml:space="preserve">If </w:t>
      </w:r>
      <w:r w:rsidR="00B50D47">
        <w:t xml:space="preserve">the planned </w:t>
      </w:r>
      <w:r>
        <w:t xml:space="preserve">technology neutral </w:t>
      </w:r>
      <w:r w:rsidR="0032509B">
        <w:t xml:space="preserve">approach is </w:t>
      </w:r>
      <w:r w:rsidR="00B50D47">
        <w:t>implemented</w:t>
      </w:r>
      <w:r w:rsidR="0032509B">
        <w:t>, t</w:t>
      </w:r>
      <w:r w:rsidR="007A151E" w:rsidRPr="007A151E">
        <w:t>h</w:t>
      </w:r>
      <w:r w:rsidR="00B50D47">
        <w:t>e above type</w:t>
      </w:r>
      <w:r w:rsidR="00690D83">
        <w:t>s</w:t>
      </w:r>
      <w:r w:rsidR="00B50D47">
        <w:t xml:space="preserve"> of </w:t>
      </w:r>
      <w:r w:rsidR="007A151E" w:rsidRPr="007A151E">
        <w:t xml:space="preserve">equipment </w:t>
      </w:r>
      <w:r w:rsidR="00B50D47">
        <w:t xml:space="preserve">would </w:t>
      </w:r>
      <w:r w:rsidR="007A151E" w:rsidRPr="007A151E">
        <w:t>not need to be specified as separate facilities</w:t>
      </w:r>
      <w:r w:rsidR="001B0192">
        <w:t xml:space="preserve">. </w:t>
      </w:r>
    </w:p>
    <w:p w14:paraId="24C5C85E" w14:textId="77777777" w:rsidR="007A151E" w:rsidRPr="007A151E" w:rsidRDefault="001B0192" w:rsidP="0029600D">
      <w:pPr>
        <w:spacing w:after="240"/>
      </w:pPr>
      <w:r>
        <w:t xml:space="preserve">Because such facilities </w:t>
      </w:r>
      <w:r w:rsidR="00690D83">
        <w:t>are</w:t>
      </w:r>
      <w:r w:rsidR="0032509B">
        <w:t xml:space="preserve"> located underground</w:t>
      </w:r>
      <w:r>
        <w:t xml:space="preserve">, they have little or </w:t>
      </w:r>
      <w:r w:rsidR="007A151E" w:rsidRPr="007A151E">
        <w:t xml:space="preserve">no visual impact, and </w:t>
      </w:r>
      <w:r w:rsidR="00690D83">
        <w:t>their</w:t>
      </w:r>
      <w:r w:rsidR="007A151E" w:rsidRPr="007A151E">
        <w:t xml:space="preserve"> installation in existing pits and conduits causes minimal disturbance to the community.</w:t>
      </w:r>
    </w:p>
    <w:p w14:paraId="52A47140" w14:textId="77777777" w:rsidR="007A151E" w:rsidRPr="007A151E" w:rsidRDefault="007A151E" w:rsidP="007A151E">
      <w:pPr>
        <w:spacing w:after="240"/>
      </w:pPr>
      <w:r w:rsidRPr="007A151E">
        <w:t xml:space="preserve">The maximum substantive volume of this </w:t>
      </w:r>
      <w:r w:rsidR="00B50D47">
        <w:t xml:space="preserve">proposed new </w:t>
      </w:r>
      <w:r w:rsidRPr="007A151E">
        <w:t xml:space="preserve">facility type is 0.23 cubic metres. Some examples of this facility type include </w:t>
      </w:r>
      <w:r w:rsidR="000377B8">
        <w:t>optical nodes, amplifiers,</w:t>
      </w:r>
      <w:r w:rsidRPr="007A151E">
        <w:t xml:space="preserve"> and access terminals. </w:t>
      </w:r>
    </w:p>
    <w:p w14:paraId="09997972" w14:textId="77777777" w:rsidR="007A151E" w:rsidRPr="007A151E" w:rsidRDefault="007A151E" w:rsidP="00EB2C05">
      <w:pPr>
        <w:pStyle w:val="Heading3"/>
      </w:pPr>
      <w:bookmarkStart w:id="41" w:name="_Toc417918509"/>
      <w:bookmarkStart w:id="42" w:name="_Toc421721129"/>
      <w:r w:rsidRPr="007A151E">
        <w:t>Schedule Part 4A – Above ground facilities (for fixed-line networks)</w:t>
      </w:r>
      <w:bookmarkEnd w:id="41"/>
      <w:bookmarkEnd w:id="42"/>
    </w:p>
    <w:p w14:paraId="5FD4D20B" w14:textId="77777777" w:rsidR="007A151E" w:rsidRPr="007A151E" w:rsidRDefault="00B50D47" w:rsidP="00D65A7B">
      <w:pPr>
        <w:pStyle w:val="Heading4"/>
      </w:pPr>
      <w:r>
        <w:t>Proposed a</w:t>
      </w:r>
      <w:r w:rsidR="00E910F2">
        <w:t>mendment 23</w:t>
      </w:r>
    </w:p>
    <w:p w14:paraId="028AE2B7" w14:textId="77777777" w:rsidR="007A151E" w:rsidRPr="007A151E" w:rsidRDefault="00B50D47" w:rsidP="007A151E">
      <w:pPr>
        <w:spacing w:after="240"/>
      </w:pPr>
      <w:r>
        <w:t>Proposed a</w:t>
      </w:r>
      <w:r w:rsidR="005070C1">
        <w:t>mendment 23</w:t>
      </w:r>
      <w:r w:rsidR="007A151E" w:rsidRPr="007A151E">
        <w:t xml:space="preserve"> </w:t>
      </w:r>
      <w:r>
        <w:t xml:space="preserve">would </w:t>
      </w:r>
      <w:r w:rsidR="005213BB">
        <w:t>replace</w:t>
      </w:r>
      <w:r w:rsidR="003563D0">
        <w:t xml:space="preserve"> existing </w:t>
      </w:r>
      <w:r w:rsidR="005213BB">
        <w:t>above ground fibre-</w:t>
      </w:r>
      <w:r w:rsidR="00C937B1">
        <w:t xml:space="preserve">specific facilities with </w:t>
      </w:r>
      <w:r w:rsidR="003563D0">
        <w:t>generic, technology neutral ones</w:t>
      </w:r>
      <w:r w:rsidR="007A151E" w:rsidRPr="007A151E">
        <w:t xml:space="preserve"> so that overhead facilities for optical fibre, HFC, FTTN</w:t>
      </w:r>
      <w:r w:rsidR="001B00C0">
        <w:t>, FTTB</w:t>
      </w:r>
      <w:r w:rsidR="00F97A9A">
        <w:t xml:space="preserve">, </w:t>
      </w:r>
      <w:r w:rsidR="00F97A9A" w:rsidRPr="007A151E">
        <w:t>and</w:t>
      </w:r>
      <w:r w:rsidR="007A151E" w:rsidRPr="007A151E">
        <w:t xml:space="preserve"> any future fixed-line technologies are included in the LIFD, and </w:t>
      </w:r>
      <w:r w:rsidR="00C937B1">
        <w:t>are covered by one part of</w:t>
      </w:r>
      <w:r w:rsidR="007A151E" w:rsidRPr="007A151E">
        <w:t xml:space="preserve"> the schedule.</w:t>
      </w:r>
      <w:r w:rsidR="00C937B1">
        <w:t xml:space="preserve"> Currently, </w:t>
      </w:r>
      <w:r w:rsidR="001B0192">
        <w:t>such facilities</w:t>
      </w:r>
      <w:r w:rsidR="00C937B1">
        <w:t xml:space="preserve"> are split between Parts 4A and 4B.</w:t>
      </w:r>
      <w:r w:rsidR="007A151E" w:rsidRPr="007A151E">
        <w:t xml:space="preserve"> Th</w:t>
      </w:r>
      <w:r w:rsidR="001B0192">
        <w:t>e new approach</w:t>
      </w:r>
      <w:r w:rsidR="007A151E" w:rsidRPr="007A151E">
        <w:t xml:space="preserve"> will make it easier for </w:t>
      </w:r>
      <w:r w:rsidR="005D517D">
        <w:t xml:space="preserve">industry and </w:t>
      </w:r>
      <w:r w:rsidR="007A151E" w:rsidRPr="007A151E">
        <w:t xml:space="preserve">the public to understand the rules for these facilities, and aid carrier compliance. </w:t>
      </w:r>
    </w:p>
    <w:p w14:paraId="7D646AB4" w14:textId="77777777" w:rsidR="009207C5" w:rsidRDefault="00AE200E" w:rsidP="009207C5">
      <w:pPr>
        <w:spacing w:after="240"/>
      </w:pPr>
      <w:r w:rsidDel="0069771C">
        <w:t xml:space="preserve">Because of the breadth of the changes, the amendment </w:t>
      </w:r>
      <w:r w:rsidR="00B50D47" w:rsidDel="0069771C">
        <w:t xml:space="preserve">would </w:t>
      </w:r>
      <w:r w:rsidDel="0069771C">
        <w:t xml:space="preserve">omit the existing Part 4A and replace it with a new one. </w:t>
      </w:r>
      <w:r w:rsidR="007A151E" w:rsidRPr="007A151E" w:rsidDel="0069771C">
        <w:t xml:space="preserve">The </w:t>
      </w:r>
      <w:r w:rsidR="00B50D47" w:rsidDel="0069771C">
        <w:t xml:space="preserve">proposed </w:t>
      </w:r>
      <w:r w:rsidR="007A151E" w:rsidRPr="007A151E" w:rsidDel="0069771C">
        <w:t xml:space="preserve">amendments </w:t>
      </w:r>
      <w:r w:rsidR="00B50D47" w:rsidDel="0069771C">
        <w:t xml:space="preserve">would </w:t>
      </w:r>
      <w:r w:rsidR="007A151E" w:rsidRPr="007A151E" w:rsidDel="0069771C">
        <w:t>combine existing facilities listed in Part 4A</w:t>
      </w:r>
      <w:r w:rsidR="001B0192" w:rsidDel="0069771C">
        <w:t>,</w:t>
      </w:r>
      <w:r w:rsidR="007A151E" w:rsidRPr="007A151E" w:rsidDel="0069771C">
        <w:t xml:space="preserve"> ‘Above ground optical fibre facilities’</w:t>
      </w:r>
      <w:r w:rsidR="001B0192" w:rsidDel="0069771C">
        <w:t>,</w:t>
      </w:r>
      <w:r w:rsidR="007A151E" w:rsidRPr="007A151E" w:rsidDel="0069771C">
        <w:t xml:space="preserve"> and the facilities listed in Part 4B</w:t>
      </w:r>
      <w:r w:rsidR="001B0192" w:rsidDel="0069771C">
        <w:t>,</w:t>
      </w:r>
      <w:r w:rsidR="007A151E" w:rsidRPr="007A151E" w:rsidDel="0069771C">
        <w:t xml:space="preserve"> ‘Above ground hybrid fibre-coaxial facilities’</w:t>
      </w:r>
      <w:r w:rsidR="001B0192" w:rsidDel="0069771C">
        <w:t>,</w:t>
      </w:r>
      <w:r w:rsidR="007A151E" w:rsidRPr="007A151E" w:rsidDel="0069771C">
        <w:t xml:space="preserve"> as a result of the temporary amendments </w:t>
      </w:r>
      <w:r w:rsidR="005168C7" w:rsidDel="0069771C">
        <w:t xml:space="preserve">to the LIFD </w:t>
      </w:r>
      <w:r w:rsidR="007A151E" w:rsidRPr="007A151E" w:rsidDel="0069771C">
        <w:t>in April 2015.</w:t>
      </w:r>
      <w:r w:rsidR="009207C5" w:rsidRPr="009207C5">
        <w:t xml:space="preserve"> </w:t>
      </w:r>
    </w:p>
    <w:p w14:paraId="6A0C821C" w14:textId="105E887C" w:rsidR="009207C5" w:rsidRPr="007A151E" w:rsidRDefault="009207C5" w:rsidP="009207C5">
      <w:pPr>
        <w:spacing w:after="240"/>
      </w:pPr>
      <w:r w:rsidRPr="007A151E">
        <w:t xml:space="preserve">All of the facilities listed in </w:t>
      </w:r>
      <w:r>
        <w:t xml:space="preserve">proposed replacement </w:t>
      </w:r>
      <w:r w:rsidRPr="007A151E">
        <w:t xml:space="preserve">Part 4A are </w:t>
      </w:r>
      <w:r>
        <w:t xml:space="preserve">would </w:t>
      </w:r>
      <w:r w:rsidRPr="007A151E">
        <w:t xml:space="preserve">only </w:t>
      </w:r>
      <w:r>
        <w:t xml:space="preserve">be </w:t>
      </w:r>
      <w:r w:rsidRPr="007A151E">
        <w:t xml:space="preserve">low-impact </w:t>
      </w:r>
      <w:r>
        <w:t xml:space="preserve">facilities if </w:t>
      </w:r>
      <w:r w:rsidRPr="007A151E">
        <w:t xml:space="preserve">they are, or are to be, part of a national network used, or for use, for the high </w:t>
      </w:r>
      <w:r w:rsidRPr="007A151E">
        <w:lastRenderedPageBreak/>
        <w:t xml:space="preserve">speed carriage of communications, on a wholesale-only and non-discriminatory basis. Carriers that are unable to meet </w:t>
      </w:r>
      <w:r>
        <w:t>these criteria</w:t>
      </w:r>
      <w:r w:rsidRPr="007A151E">
        <w:t xml:space="preserve"> must seek approval under relevant </w:t>
      </w:r>
      <w:r>
        <w:t>S</w:t>
      </w:r>
      <w:r w:rsidRPr="007A151E">
        <w:t xml:space="preserve">tate and </w:t>
      </w:r>
      <w:r>
        <w:t>T</w:t>
      </w:r>
      <w:r w:rsidRPr="007A151E">
        <w:t>erritory laws to install such facilities.</w:t>
      </w:r>
    </w:p>
    <w:p w14:paraId="7CE85A3D" w14:textId="77777777" w:rsidR="009207C5" w:rsidRPr="007A151E" w:rsidRDefault="009207C5" w:rsidP="009207C5">
      <w:pPr>
        <w:spacing w:after="240"/>
      </w:pPr>
      <w:r w:rsidRPr="007A151E">
        <w:t xml:space="preserve">Like all facilities listed in the LIFD, these facilities are not low-impact when carriers intend to install them in areas of environmental significance, as defined in the LIFD. Carriers cannot use the LIFD to install facilities in such areas, and must seek approval under relevant Commonwealth, </w:t>
      </w:r>
      <w:r>
        <w:t>S</w:t>
      </w:r>
      <w:r w:rsidRPr="007A151E">
        <w:t xml:space="preserve">tate and </w:t>
      </w:r>
      <w:r>
        <w:t>T</w:t>
      </w:r>
      <w:r w:rsidRPr="007A151E">
        <w:t xml:space="preserve">erritory planning laws. </w:t>
      </w:r>
    </w:p>
    <w:p w14:paraId="38E16720" w14:textId="562FA318" w:rsidR="009207C5" w:rsidRDefault="009207C5" w:rsidP="009207C5">
      <w:pPr>
        <w:spacing w:after="240"/>
      </w:pPr>
      <w:r>
        <w:t xml:space="preserve">Powers under </w:t>
      </w:r>
      <w:r w:rsidR="00564C67">
        <w:t>Schedule 3</w:t>
      </w:r>
      <w:r>
        <w:t xml:space="preserve"> will help with the installation of the facilities on utility distribution network infrastructure such as power poles. </w:t>
      </w:r>
      <w:r w:rsidRPr="007A151E">
        <w:t xml:space="preserve">Carriers installing facilities using Schedule 3 powers and immunities must, among other things, comply with requirements at </w:t>
      </w:r>
      <w:r>
        <w:t>c</w:t>
      </w:r>
      <w:r w:rsidRPr="007A151E">
        <w:t xml:space="preserve">lause 12 of Schedule 3 in the Act. </w:t>
      </w:r>
      <w:r>
        <w:t>Specifically, the installation must</w:t>
      </w:r>
      <w:r w:rsidRPr="007A151E">
        <w:t xml:space="preserve"> meet relevant industry standards, including any </w:t>
      </w:r>
      <w:r>
        <w:t>applicable</w:t>
      </w:r>
      <w:r w:rsidRPr="007A151E">
        <w:t xml:space="preserve"> standards for the installation of telecommunications facilities on public utility infrastructure. In addition, carriers must make reasonable efforts to enter into agreements with public utilities when engaging in activities that are likely to affect the operations of the utility, such as installing facilities on their infrastructure, </w:t>
      </w:r>
      <w:r>
        <w:t>as required by</w:t>
      </w:r>
      <w:r w:rsidRPr="007A151E">
        <w:t xml:space="preserve"> </w:t>
      </w:r>
      <w:r>
        <w:t>c</w:t>
      </w:r>
      <w:r w:rsidRPr="007A151E">
        <w:t>lause 11 of Schedule 3 in the Act.</w:t>
      </w:r>
      <w:r>
        <w:t xml:space="preserve"> </w:t>
      </w:r>
    </w:p>
    <w:p w14:paraId="25283D7B" w14:textId="3C3E685A" w:rsidR="007A151E" w:rsidRPr="007A151E" w:rsidDel="0069771C" w:rsidRDefault="007A151E" w:rsidP="007A151E">
      <w:pPr>
        <w:spacing w:after="240"/>
      </w:pPr>
    </w:p>
    <w:p w14:paraId="60A2798F" w14:textId="77777777" w:rsidR="00A0238D" w:rsidRDefault="00A0238D" w:rsidP="00A0238D">
      <w:pPr>
        <w:spacing w:after="240"/>
      </w:pPr>
      <w:r>
        <w:rPr>
          <w:noProof/>
          <w:lang w:eastAsia="en-AU"/>
        </w:rPr>
        <w:lastRenderedPageBreak/>
        <w:drawing>
          <wp:anchor distT="0" distB="0" distL="114300" distR="114300" simplePos="0" relativeHeight="251663360" behindDoc="1" locked="0" layoutInCell="1" allowOverlap="1" wp14:anchorId="541E3AB0" wp14:editId="26BE66AD">
            <wp:simplePos x="0" y="0"/>
            <wp:positionH relativeFrom="column">
              <wp:posOffset>266700</wp:posOffset>
            </wp:positionH>
            <wp:positionV relativeFrom="paragraph">
              <wp:posOffset>391795</wp:posOffset>
            </wp:positionV>
            <wp:extent cx="5197475" cy="5216525"/>
            <wp:effectExtent l="0" t="0" r="3175" b="3175"/>
            <wp:wrapTight wrapText="bothSides">
              <wp:wrapPolygon edited="0">
                <wp:start x="0" y="0"/>
                <wp:lineTo x="0" y="21534"/>
                <wp:lineTo x="21534" y="21534"/>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BN diagram - Copy.fw.png"/>
                    <pic:cNvPicPr/>
                  </pic:nvPicPr>
                  <pic:blipFill>
                    <a:blip r:embed="rId16">
                      <a:extLst>
                        <a:ext uri="{28A0092B-C50C-407E-A947-70E740481C1C}">
                          <a14:useLocalDpi xmlns:a14="http://schemas.microsoft.com/office/drawing/2010/main" val="0"/>
                        </a:ext>
                      </a:extLst>
                    </a:blip>
                    <a:stretch>
                      <a:fillRect/>
                    </a:stretch>
                  </pic:blipFill>
                  <pic:spPr>
                    <a:xfrm>
                      <a:off x="0" y="0"/>
                      <a:ext cx="5197475" cy="5216525"/>
                    </a:xfrm>
                    <a:prstGeom prst="rect">
                      <a:avLst/>
                    </a:prstGeom>
                  </pic:spPr>
                </pic:pic>
              </a:graphicData>
            </a:graphic>
            <wp14:sizeRelH relativeFrom="margin">
              <wp14:pctWidth>0</wp14:pctWidth>
            </wp14:sizeRelH>
            <wp14:sizeRelV relativeFrom="margin">
              <wp14:pctHeight>0</wp14:pctHeight>
            </wp14:sizeRelV>
          </wp:anchor>
        </w:drawing>
      </w:r>
      <w:r>
        <w:t>To help explain the proposed amendments, the following diagram illustrates an overhead fixed-line network installation to serve a single</w:t>
      </w:r>
      <w:r>
        <w:noBreakHyphen/>
        <w:t>unit building.</w:t>
      </w:r>
    </w:p>
    <w:p w14:paraId="26FFBF6B" w14:textId="77777777" w:rsidR="007A151E" w:rsidRPr="007A151E" w:rsidRDefault="0029600D" w:rsidP="00D65A7B">
      <w:pPr>
        <w:pStyle w:val="Heading5"/>
      </w:pPr>
      <w:r>
        <w:t xml:space="preserve">Proposed </w:t>
      </w:r>
      <w:r w:rsidR="00853B6A">
        <w:t>i</w:t>
      </w:r>
      <w:r w:rsidR="00A85185">
        <w:t>tem 1 – l</w:t>
      </w:r>
      <w:r w:rsidR="007A151E" w:rsidRPr="007A151E">
        <w:t>ine link/s</w:t>
      </w:r>
    </w:p>
    <w:p w14:paraId="3C5F227F" w14:textId="7C90C115" w:rsidR="007A151E" w:rsidRPr="00635AD9" w:rsidRDefault="00564C67" w:rsidP="007A151E">
      <w:pPr>
        <w:spacing w:after="240"/>
      </w:pPr>
      <w:r>
        <w:t>Proposed</w:t>
      </w:r>
      <w:r w:rsidR="007A151E" w:rsidRPr="00635AD9">
        <w:t xml:space="preserve"> item </w:t>
      </w:r>
      <w:r>
        <w:t xml:space="preserve">1 </w:t>
      </w:r>
      <w:r w:rsidR="007A151E" w:rsidRPr="00635AD9">
        <w:t>covers the aerial deployment of telecommunications cabling. Specifically, Item 1 covers above ground line links (single or bundles) deployed or attached to a public utility structure, building or other structure. This item is intended to cover the distribution component of an above ground fixed-line network</w:t>
      </w:r>
      <w:r w:rsidR="00544B10" w:rsidRPr="00635AD9">
        <w:t xml:space="preserve"> and is separate to drop cables</w:t>
      </w:r>
      <w:r w:rsidR="007A151E" w:rsidRPr="00635AD9">
        <w:t xml:space="preserve">. Consistent with the proposed amendment to regulation 11.2 of the </w:t>
      </w:r>
      <w:r w:rsidR="007A151E" w:rsidRPr="00635AD9">
        <w:rPr>
          <w:i/>
        </w:rPr>
        <w:t>Telecommunications Regulations 2001</w:t>
      </w:r>
      <w:r w:rsidR="007A151E" w:rsidRPr="00635AD9">
        <w:t xml:space="preserve">, the maximum permissible external cross-section of any single line link or cable bundle </w:t>
      </w:r>
      <w:r w:rsidR="0029600D" w:rsidRPr="00635AD9">
        <w:t xml:space="preserve">would be specified as </w:t>
      </w:r>
      <w:r w:rsidR="007A151E" w:rsidRPr="00635AD9">
        <w:t xml:space="preserve">48 mm. </w:t>
      </w:r>
      <w:r w:rsidR="00AA1727" w:rsidRPr="00635AD9">
        <w:t xml:space="preserve">This facility type is </w:t>
      </w:r>
      <w:r w:rsidR="00CD35FA" w:rsidRPr="00635AD9">
        <w:t>analogous to the optical fibre line link in a FTTP deployment, which is permitted in the current version of the LIFD, however, the permitted diameter is greater.</w:t>
      </w:r>
    </w:p>
    <w:p w14:paraId="28BB2593" w14:textId="107490DE" w:rsidR="007A151E" w:rsidRPr="00635AD9" w:rsidRDefault="007A151E" w:rsidP="007A151E">
      <w:pPr>
        <w:spacing w:after="240"/>
      </w:pPr>
      <w:r w:rsidRPr="00635AD9">
        <w:t xml:space="preserve">While it is expected that generally a single overhead cable would be strung between poles in any one location, to provide flexibility the instrument </w:t>
      </w:r>
      <w:r w:rsidR="001065EE" w:rsidRPr="00635AD9">
        <w:t>does not prevent</w:t>
      </w:r>
      <w:r w:rsidRPr="00635AD9">
        <w:t xml:space="preserve"> two or more overhead cables in any one location. If two or more communications cables are bundled, the bundle as a whole, not the individual cables would need to be within the maximum permissib</w:t>
      </w:r>
      <w:r w:rsidR="005909AE" w:rsidRPr="00635AD9">
        <w:t>le external cross-section</w:t>
      </w:r>
      <w:r w:rsidR="0029600D" w:rsidRPr="00635AD9">
        <w:t xml:space="preserve">, which is proposed to be amended to </w:t>
      </w:r>
      <w:r w:rsidR="005909AE" w:rsidRPr="00635AD9">
        <w:t>48 </w:t>
      </w:r>
      <w:r w:rsidRPr="00635AD9">
        <w:t>mm.</w:t>
      </w:r>
    </w:p>
    <w:p w14:paraId="2E9D3E29" w14:textId="527511CC" w:rsidR="007A151E" w:rsidRPr="00635AD9" w:rsidRDefault="0090569A" w:rsidP="007A151E">
      <w:pPr>
        <w:spacing w:after="240"/>
      </w:pPr>
      <w:r w:rsidRPr="00635AD9">
        <w:t>NBN</w:t>
      </w:r>
      <w:r w:rsidR="0029600D" w:rsidRPr="00635AD9">
        <w:t xml:space="preserve"> Co </w:t>
      </w:r>
      <w:r w:rsidR="007A151E" w:rsidRPr="00635AD9">
        <w:t>and comparable carriers are expected to use the smallest cable diameter feasible for above ground line links in an area. It is therefore expected that there will not be widespread overhead deployment of 48mm cabling.</w:t>
      </w:r>
      <w:r w:rsidR="007F3062" w:rsidRPr="00635AD9">
        <w:t xml:space="preserve"> For example</w:t>
      </w:r>
      <w:r w:rsidR="002D172C">
        <w:t>,</w:t>
      </w:r>
      <w:r w:rsidR="007F3062" w:rsidRPr="00635AD9">
        <w:t xml:space="preserve"> </w:t>
      </w:r>
      <w:r w:rsidR="002D172C">
        <w:t xml:space="preserve">as described in the proposed </w:t>
      </w:r>
      <w:r w:rsidR="002D172C">
        <w:lastRenderedPageBreak/>
        <w:t xml:space="preserve">amendments to the Regulations above, </w:t>
      </w:r>
      <w:r w:rsidR="007F3062" w:rsidRPr="00635AD9">
        <w:t>it will be used in limited circumstances to improve capacity on networks where existing cabling exists.</w:t>
      </w:r>
    </w:p>
    <w:p w14:paraId="616688DA" w14:textId="77777777" w:rsidR="007A151E" w:rsidRDefault="007A151E" w:rsidP="007A151E">
      <w:pPr>
        <w:spacing w:after="240"/>
      </w:pPr>
      <w:r w:rsidRPr="00FA03A6">
        <w:t xml:space="preserve">These provisions do not permit carriers to install new </w:t>
      </w:r>
      <w:r w:rsidR="0063502E" w:rsidRPr="00FA03A6">
        <w:t xml:space="preserve">additional </w:t>
      </w:r>
      <w:r w:rsidRPr="00FA03A6">
        <w:t>structures</w:t>
      </w:r>
      <w:r w:rsidR="00747B71" w:rsidRPr="00635AD9">
        <w:t xml:space="preserve"> such as poles</w:t>
      </w:r>
      <w:r w:rsidRPr="00635AD9">
        <w:t xml:space="preserve"> to support overhead cabling without seeking development approval under relevant </w:t>
      </w:r>
      <w:r w:rsidR="00B50D47" w:rsidRPr="00FA03A6">
        <w:t>S</w:t>
      </w:r>
      <w:r w:rsidRPr="00FA03A6">
        <w:t xml:space="preserve">tate and </w:t>
      </w:r>
      <w:r w:rsidR="00B50D47" w:rsidRPr="00FA03A6">
        <w:t>T</w:t>
      </w:r>
      <w:r w:rsidRPr="00FA03A6">
        <w:t>erritory planning laws.</w:t>
      </w:r>
    </w:p>
    <w:p w14:paraId="0EB08248" w14:textId="584C3C03" w:rsidR="005229F3" w:rsidRPr="007A151E" w:rsidRDefault="005229F3" w:rsidP="007A151E">
      <w:pPr>
        <w:spacing w:after="240"/>
      </w:pPr>
      <w:r>
        <w:t xml:space="preserve">Additionally, </w:t>
      </w:r>
      <w:r w:rsidR="00564C67">
        <w:t>c</w:t>
      </w:r>
      <w:r>
        <w:t>lause 51 of Schedule 3 of the Act requires carriers to remove overhead lines installed using carrier powers and immunities in the event that all of the non-communications cables such as electricity cables are permanently removed from the poles they are attached to.</w:t>
      </w:r>
    </w:p>
    <w:p w14:paraId="359D0ADB" w14:textId="77777777" w:rsidR="007A151E" w:rsidRPr="007A151E" w:rsidRDefault="0029600D" w:rsidP="00D65A7B">
      <w:pPr>
        <w:pStyle w:val="Heading5"/>
      </w:pPr>
      <w:r>
        <w:t xml:space="preserve">Proposed </w:t>
      </w:r>
      <w:r w:rsidR="00853B6A">
        <w:t>i</w:t>
      </w:r>
      <w:r w:rsidR="00A85185">
        <w:t>tem 2 – o</w:t>
      </w:r>
      <w:r w:rsidR="007A151E" w:rsidRPr="007A151E">
        <w:t>ptical node</w:t>
      </w:r>
    </w:p>
    <w:p w14:paraId="64B65078" w14:textId="7FA722D1" w:rsidR="007A151E" w:rsidRPr="007A151E" w:rsidRDefault="00564C67" w:rsidP="007A151E">
      <w:pPr>
        <w:spacing w:after="240"/>
      </w:pPr>
      <w:r>
        <w:t>Proposed item 2</w:t>
      </w:r>
      <w:r w:rsidR="007A151E" w:rsidRPr="00833E5F">
        <w:t xml:space="preserve"> </w:t>
      </w:r>
      <w:r w:rsidR="0029600D">
        <w:t>would</w:t>
      </w:r>
      <w:r w:rsidR="001E490D">
        <w:t xml:space="preserve"> </w:t>
      </w:r>
      <w:r w:rsidR="007A151E" w:rsidRPr="00833E5F">
        <w:t>cover optical node devices. The</w:t>
      </w:r>
      <w:r w:rsidR="00833E5F" w:rsidRPr="00833E5F">
        <w:t xml:space="preserve">y </w:t>
      </w:r>
      <w:r w:rsidR="007A151E" w:rsidRPr="00833E5F">
        <w:t>convert optical signals to electrical signals for transmission over cables, and electrical signals to optical signals for transmission over cables. The device is usually clamped to, strung from, or otherwise mounted on, a cable or structure.</w:t>
      </w:r>
      <w:r w:rsidR="007A151E" w:rsidRPr="007A151E">
        <w:t xml:space="preserve"> </w:t>
      </w:r>
    </w:p>
    <w:p w14:paraId="4139EE6D" w14:textId="77777777" w:rsidR="007A151E" w:rsidRPr="007A151E" w:rsidRDefault="007A151E" w:rsidP="007A151E">
      <w:pPr>
        <w:spacing w:after="240"/>
      </w:pPr>
      <w:r w:rsidRPr="007A151E">
        <w:t xml:space="preserve">The maximum permissible volume for an optical node device is </w:t>
      </w:r>
      <w:r w:rsidR="001E490D">
        <w:t xml:space="preserve">proposed to be </w:t>
      </w:r>
      <w:r w:rsidRPr="007A151E">
        <w:t xml:space="preserve">0.21 cubic metres. This facility type is usually enclosed in a rectangular shaped container. </w:t>
      </w:r>
    </w:p>
    <w:p w14:paraId="667C957A" w14:textId="77777777" w:rsidR="007A151E" w:rsidRPr="00C24E38" w:rsidRDefault="001E490D" w:rsidP="00D65A7B">
      <w:pPr>
        <w:pStyle w:val="Heading5"/>
      </w:pPr>
      <w:r>
        <w:t xml:space="preserve">Proposed </w:t>
      </w:r>
      <w:r w:rsidR="00853B6A">
        <w:t>i</w:t>
      </w:r>
      <w:r w:rsidR="00A85185">
        <w:t>tem 3 – s</w:t>
      </w:r>
      <w:r w:rsidR="007A151E" w:rsidRPr="00C24E38">
        <w:t>plice enclosure</w:t>
      </w:r>
    </w:p>
    <w:p w14:paraId="547F46E8" w14:textId="49EFA310" w:rsidR="007A151E" w:rsidRPr="00C24E38" w:rsidRDefault="00564C67" w:rsidP="007A151E">
      <w:pPr>
        <w:spacing w:after="240"/>
      </w:pPr>
      <w:r>
        <w:t>Proposed item 3</w:t>
      </w:r>
      <w:r w:rsidR="007A151E" w:rsidRPr="00C24E38">
        <w:t xml:space="preserve"> </w:t>
      </w:r>
      <w:r w:rsidR="001E490D">
        <w:t xml:space="preserve">would </w:t>
      </w:r>
      <w:r w:rsidR="007A151E" w:rsidRPr="00C24E38">
        <w:t xml:space="preserve">cover splice enclosures. These are devices </w:t>
      </w:r>
      <w:r w:rsidR="00C24E38" w:rsidRPr="00C24E38">
        <w:t>in which a</w:t>
      </w:r>
      <w:r w:rsidR="007A151E" w:rsidRPr="00C24E38">
        <w:t xml:space="preserve"> </w:t>
      </w:r>
      <w:r w:rsidR="00392DC3" w:rsidRPr="00C24E38">
        <w:t xml:space="preserve">line link </w:t>
      </w:r>
      <w:r w:rsidR="00C24E38" w:rsidRPr="00C24E38">
        <w:t>is spliced to</w:t>
      </w:r>
      <w:r w:rsidR="007A151E" w:rsidRPr="00C24E38">
        <w:t xml:space="preserve"> </w:t>
      </w:r>
      <w:r w:rsidR="006F4FAA" w:rsidRPr="00C24E38">
        <w:t>another line link</w:t>
      </w:r>
      <w:r w:rsidR="006F4FAA">
        <w:t>,</w:t>
      </w:r>
      <w:r w:rsidR="006F4FAA" w:rsidRPr="00C24E38">
        <w:t xml:space="preserve"> </w:t>
      </w:r>
      <w:r w:rsidR="007A151E" w:rsidRPr="00C24E38">
        <w:t>an access terminal</w:t>
      </w:r>
      <w:r w:rsidR="006F4FAA">
        <w:t xml:space="preserve"> or a drop cable</w:t>
      </w:r>
      <w:r w:rsidR="007A151E" w:rsidRPr="00C24E38">
        <w:t xml:space="preserve">. They are used </w:t>
      </w:r>
      <w:r w:rsidR="008B5A88">
        <w:t>in</w:t>
      </w:r>
      <w:r w:rsidR="007A151E" w:rsidRPr="00C24E38">
        <w:t xml:space="preserve"> connect</w:t>
      </w:r>
      <w:r w:rsidR="008B5A88">
        <w:t>ing</w:t>
      </w:r>
      <w:r w:rsidR="007A151E" w:rsidRPr="00C24E38">
        <w:t xml:space="preserve"> premises </w:t>
      </w:r>
      <w:r w:rsidR="008B5A88">
        <w:t>to</w:t>
      </w:r>
      <w:r w:rsidR="007A151E" w:rsidRPr="00C24E38">
        <w:t xml:space="preserve"> the main cabling of a communications network</w:t>
      </w:r>
      <w:r w:rsidR="008B5A88">
        <w:t xml:space="preserve"> to a premises</w:t>
      </w:r>
      <w:r w:rsidR="007A151E" w:rsidRPr="00C24E38">
        <w:t>. The device is usually integrated with a cable or clamped to, strung from, or otherwise mounted on, a cable or structure.</w:t>
      </w:r>
    </w:p>
    <w:p w14:paraId="31D0071A" w14:textId="77777777" w:rsidR="007A151E" w:rsidRPr="007A151E" w:rsidRDefault="007A151E" w:rsidP="007A151E">
      <w:pPr>
        <w:spacing w:after="240"/>
      </w:pPr>
      <w:r w:rsidRPr="00C24E38">
        <w:t xml:space="preserve">The maximum permissible volume for a splice enclosure is </w:t>
      </w:r>
      <w:r w:rsidR="001E490D">
        <w:t xml:space="preserve">proposed to be </w:t>
      </w:r>
      <w:r w:rsidRPr="00C24E38">
        <w:t>0.046 cubic metre</w:t>
      </w:r>
      <w:r w:rsidR="00AD4AFB">
        <w:t>s. This facility type is</w:t>
      </w:r>
      <w:r w:rsidRPr="00C24E38">
        <w:t xml:space="preserve"> analogous to the optical fibre splice enclosure in a FTTP deployment, which is permitted in the current version of the LIFD.</w:t>
      </w:r>
    </w:p>
    <w:p w14:paraId="14AD3B9A" w14:textId="77777777" w:rsidR="007A151E" w:rsidRPr="007F6866" w:rsidRDefault="002F1CF4" w:rsidP="00D65A7B">
      <w:pPr>
        <w:pStyle w:val="Heading5"/>
      </w:pPr>
      <w:r>
        <w:lastRenderedPageBreak/>
        <w:t xml:space="preserve">Proposed </w:t>
      </w:r>
      <w:r w:rsidR="00853B6A">
        <w:t>i</w:t>
      </w:r>
      <w:r w:rsidR="00A85185">
        <w:t>tem 4 – a</w:t>
      </w:r>
      <w:r w:rsidR="007A151E" w:rsidRPr="007F6866">
        <w:t>ccess terminal</w:t>
      </w:r>
    </w:p>
    <w:p w14:paraId="54D43D8A" w14:textId="4773C2C1" w:rsidR="007A151E" w:rsidRDefault="00564C67" w:rsidP="007A151E">
      <w:pPr>
        <w:spacing w:after="240"/>
      </w:pPr>
      <w:r>
        <w:t xml:space="preserve">Proposed item 4 </w:t>
      </w:r>
      <w:r w:rsidR="002F1CF4">
        <w:t xml:space="preserve">would </w:t>
      </w:r>
      <w:r w:rsidR="00546428" w:rsidRPr="007F6866">
        <w:t>cover access terminals. An access terminal is a connector device that allows a line link to be connected to a drop</w:t>
      </w:r>
      <w:r w:rsidR="00546428">
        <w:t xml:space="preserve"> cable. </w:t>
      </w:r>
      <w:r w:rsidR="00DA2141">
        <w:t xml:space="preserve">Some examples of this type of facility </w:t>
      </w:r>
      <w:r w:rsidR="007E3135">
        <w:t>are an</w:t>
      </w:r>
      <w:r w:rsidR="001F24A3">
        <w:t xml:space="preserve"> HFC tap or a cross</w:t>
      </w:r>
      <w:r w:rsidR="001F24A3">
        <w:noBreakHyphen/>
      </w:r>
      <w:r w:rsidR="00DA2141">
        <w:t>connect for copper cables.</w:t>
      </w:r>
      <w:r w:rsidR="007F6866">
        <w:t xml:space="preserve"> The device is usually </w:t>
      </w:r>
      <w:r w:rsidR="007F6866" w:rsidRPr="00C24E38">
        <w:t>clamped to, strung from, or otherwise mounted on, a cable or structure.</w:t>
      </w:r>
    </w:p>
    <w:p w14:paraId="6D49B29E" w14:textId="77777777" w:rsidR="007F6866" w:rsidRPr="007A151E" w:rsidRDefault="007F6866" w:rsidP="007A151E">
      <w:pPr>
        <w:spacing w:after="240"/>
      </w:pPr>
      <w:r>
        <w:t xml:space="preserve">The maximum permissible volume for an access terminal is </w:t>
      </w:r>
      <w:r w:rsidR="002F1CF4">
        <w:t xml:space="preserve">proposed to be </w:t>
      </w:r>
      <w:r>
        <w:t>0.035 cubic metres</w:t>
      </w:r>
      <w:r w:rsidR="00AD4AFB">
        <w:t xml:space="preserve">. This facility type is </w:t>
      </w:r>
      <w:r>
        <w:t>analogous to the optical fibre access terminal in a FTTP deployment, which is permitted in the current version of the LIFD.</w:t>
      </w:r>
    </w:p>
    <w:p w14:paraId="3F564F49" w14:textId="77777777" w:rsidR="007A151E" w:rsidRPr="007A151E" w:rsidRDefault="002F1CF4" w:rsidP="00D65A7B">
      <w:pPr>
        <w:pStyle w:val="Heading5"/>
      </w:pPr>
      <w:r>
        <w:t xml:space="preserve">Proposed </w:t>
      </w:r>
      <w:r w:rsidR="007524CC">
        <w:t>i</w:t>
      </w:r>
      <w:r w:rsidR="00A85185">
        <w:t>tem 5 – d</w:t>
      </w:r>
      <w:r w:rsidR="007A151E" w:rsidRPr="007A151E">
        <w:t>rop cable/s</w:t>
      </w:r>
    </w:p>
    <w:p w14:paraId="6D2C6EF8" w14:textId="3F034B7E" w:rsidR="007A151E" w:rsidRPr="007A151E" w:rsidRDefault="00564C67" w:rsidP="007A151E">
      <w:pPr>
        <w:spacing w:after="240"/>
      </w:pPr>
      <w:r>
        <w:t xml:space="preserve">Proposed item 5 </w:t>
      </w:r>
      <w:r w:rsidR="002F1CF4">
        <w:t xml:space="preserve">would </w:t>
      </w:r>
      <w:r w:rsidR="007A151E" w:rsidRPr="007A151E">
        <w:t xml:space="preserve">cover a single aerial drop cable or a bundle of aerial drop cables. These cables are lead-ins used to connect the main </w:t>
      </w:r>
      <w:r w:rsidR="00BB457A">
        <w:t xml:space="preserve">distribution </w:t>
      </w:r>
      <w:r w:rsidR="00724AC5">
        <w:t>cabling of</w:t>
      </w:r>
      <w:r w:rsidR="007A151E" w:rsidRPr="007A151E">
        <w:t xml:space="preserve"> the network</w:t>
      </w:r>
      <w:r w:rsidR="00724AC5">
        <w:t xml:space="preserve"> to the premises</w:t>
      </w:r>
      <w:r w:rsidR="007A151E" w:rsidRPr="007A151E">
        <w:t xml:space="preserve">. The maximum permissible external cross-section of a drop cable </w:t>
      </w:r>
      <w:r w:rsidR="002F1CF4">
        <w:t xml:space="preserve">would be </w:t>
      </w:r>
      <w:r w:rsidR="007A151E" w:rsidRPr="007A151E">
        <w:t>13 mm</w:t>
      </w:r>
      <w:r w:rsidR="002F1CF4">
        <w:t xml:space="preserve"> (consistent with the current approach)</w:t>
      </w:r>
      <w:r w:rsidR="007A151E" w:rsidRPr="007A151E">
        <w:t>, where the drop cable is attached to a single-unit building</w:t>
      </w:r>
      <w:r w:rsidR="00724AC5">
        <w:t>,</w:t>
      </w:r>
      <w:r w:rsidR="007A151E" w:rsidRPr="007A151E">
        <w:t xml:space="preserve"> and 30 mm, when attached to a multi-unit building. They are analogous to optical fibre drop cables in an FTTP deployment, which is permitted in the current version of the LIFD. </w:t>
      </w:r>
      <w:r w:rsidR="00F55D09">
        <w:t>The technology neutral approach used here will enable other types of drop cables to be used including coaxial and copper.</w:t>
      </w:r>
    </w:p>
    <w:p w14:paraId="5CAA1CEC" w14:textId="77777777" w:rsidR="007A151E" w:rsidRPr="007A151E" w:rsidRDefault="007A151E" w:rsidP="007A151E">
      <w:pPr>
        <w:spacing w:after="240"/>
      </w:pPr>
      <w:r w:rsidRPr="007A151E">
        <w:t>If two or more overhead drop cables are bundled, the bundle as a whole, not the individual cables, would need to be within the maximum permissible external cross-section</w:t>
      </w:r>
      <w:r w:rsidR="004D1BD4">
        <w:t xml:space="preserve"> of 13mm</w:t>
      </w:r>
      <w:r w:rsidRPr="007A151E">
        <w:t>.</w:t>
      </w:r>
    </w:p>
    <w:p w14:paraId="05247B41" w14:textId="77777777" w:rsidR="007A151E" w:rsidRPr="007A151E" w:rsidRDefault="002F1CF4" w:rsidP="00D65A7B">
      <w:pPr>
        <w:pStyle w:val="Heading5"/>
      </w:pPr>
      <w:r>
        <w:t xml:space="preserve">Proposed </w:t>
      </w:r>
      <w:r w:rsidR="007524CC">
        <w:t>i</w:t>
      </w:r>
      <w:r w:rsidR="00A85185">
        <w:t>tem 6 – p</w:t>
      </w:r>
      <w:r w:rsidR="007A151E" w:rsidRPr="007A151E">
        <w:t>remises connection device</w:t>
      </w:r>
    </w:p>
    <w:p w14:paraId="63992735" w14:textId="7C73F165" w:rsidR="007A151E" w:rsidRPr="007A151E" w:rsidRDefault="00564C67" w:rsidP="007A151E">
      <w:pPr>
        <w:spacing w:after="240"/>
      </w:pPr>
      <w:r>
        <w:t>Proposed item 6</w:t>
      </w:r>
      <w:r w:rsidR="007A151E" w:rsidRPr="007A151E">
        <w:t xml:space="preserve"> </w:t>
      </w:r>
      <w:r w:rsidR="002F1CF4">
        <w:t xml:space="preserve">would </w:t>
      </w:r>
      <w:r w:rsidR="007A151E" w:rsidRPr="007A151E">
        <w:t>cover above-ground facilities used to connect drop cables to premises, similar to the device already used to connect fibre lead-in cables to premises in FTTP areas.</w:t>
      </w:r>
      <w:r w:rsidR="00A72603">
        <w:t xml:space="preserve"> Basically it is a rectangular enclosure attached to the exterior of a premises, in which a connector and any spare cable can </w:t>
      </w:r>
      <w:r w:rsidR="0063502E">
        <w:t xml:space="preserve">be </w:t>
      </w:r>
      <w:r w:rsidR="00A72603">
        <w:t>housed.</w:t>
      </w:r>
    </w:p>
    <w:p w14:paraId="0581F7BF" w14:textId="77777777" w:rsidR="007A151E" w:rsidRPr="007A151E" w:rsidRDefault="007A151E" w:rsidP="007A151E">
      <w:pPr>
        <w:spacing w:after="240"/>
      </w:pPr>
      <w:r w:rsidRPr="007A151E">
        <w:t xml:space="preserve">As the box can store the end of a drop cable, including any pre-installed connector and spare cable, pending the provision of a service, it is not necessary for the actual occupant </w:t>
      </w:r>
      <w:r w:rsidRPr="007A151E">
        <w:lastRenderedPageBreak/>
        <w:t>of the building at which the box is installed to actually be, or intending to be, a subscriber to a telecommunications service supplied by means of the facility.</w:t>
      </w:r>
    </w:p>
    <w:p w14:paraId="660A058B" w14:textId="77777777" w:rsidR="007A151E" w:rsidRPr="007A151E" w:rsidRDefault="007A151E" w:rsidP="007A151E">
      <w:pPr>
        <w:spacing w:after="240"/>
      </w:pPr>
      <w:r w:rsidRPr="007A151E">
        <w:t xml:space="preserve">The maximum permissible substantive volume for the premises connection devices installed is </w:t>
      </w:r>
      <w:r w:rsidR="002F1CF4">
        <w:t xml:space="preserve">proposed to be </w:t>
      </w:r>
      <w:r w:rsidRPr="007A151E">
        <w:t xml:space="preserve">0.04 cubic metres. This facility type includes but is not limited to square and rectangular shapes. </w:t>
      </w:r>
    </w:p>
    <w:p w14:paraId="29839750" w14:textId="77777777" w:rsidR="007A151E" w:rsidRPr="00FB69C9" w:rsidRDefault="002F1CF4" w:rsidP="00D65A7B">
      <w:pPr>
        <w:pStyle w:val="Heading5"/>
      </w:pPr>
      <w:r>
        <w:t xml:space="preserve">Proposed </w:t>
      </w:r>
      <w:r w:rsidR="001C0C9C">
        <w:t>i</w:t>
      </w:r>
      <w:r w:rsidR="007A151E" w:rsidRPr="00FB69C9">
        <w:t xml:space="preserve">tem 7 – </w:t>
      </w:r>
      <w:r w:rsidR="00A85185">
        <w:t>n</w:t>
      </w:r>
      <w:r w:rsidR="007A151E" w:rsidRPr="00FB69C9">
        <w:t>etwork termina</w:t>
      </w:r>
      <w:r w:rsidR="00FB69C9" w:rsidRPr="00FB69C9">
        <w:t>tion device</w:t>
      </w:r>
    </w:p>
    <w:p w14:paraId="3850AE88" w14:textId="7DF80360" w:rsidR="007A151E" w:rsidRDefault="00564C67" w:rsidP="007A151E">
      <w:pPr>
        <w:spacing w:after="240"/>
      </w:pPr>
      <w:r>
        <w:t xml:space="preserve">Proposed </w:t>
      </w:r>
      <w:r w:rsidR="00FB69C9" w:rsidRPr="00FB69C9">
        <w:t xml:space="preserve">item </w:t>
      </w:r>
      <w:r>
        <w:t xml:space="preserve">7 </w:t>
      </w:r>
      <w:r w:rsidR="002F1CF4">
        <w:t xml:space="preserve">would </w:t>
      </w:r>
      <w:r w:rsidR="00FB69C9" w:rsidRPr="00FB69C9">
        <w:t>cover network termination devices</w:t>
      </w:r>
      <w:r w:rsidR="00AD54CB">
        <w:t xml:space="preserve"> (NTDs)</w:t>
      </w:r>
      <w:r>
        <w:t xml:space="preserve">. These are </w:t>
      </w:r>
      <w:r w:rsidR="00AC7BE5" w:rsidRPr="00FB69C9">
        <w:t xml:space="preserve">devices </w:t>
      </w:r>
      <w:r w:rsidR="007D2534">
        <w:t xml:space="preserve">that terminate a carrier’s network and provide a connection point between a carrier’s network and customer cabling or customer equipment such as a router. </w:t>
      </w:r>
      <w:r w:rsidR="00AC7BE5">
        <w:t xml:space="preserve"> </w:t>
      </w:r>
      <w:r w:rsidR="00410E9A">
        <w:t>The new definition</w:t>
      </w:r>
      <w:r w:rsidR="00410E9A" w:rsidRPr="00410E9A">
        <w:t xml:space="preserve"> is intended to be technology neutral</w:t>
      </w:r>
      <w:r w:rsidR="00410E9A">
        <w:t>.</w:t>
      </w:r>
    </w:p>
    <w:p w14:paraId="0A44626A" w14:textId="77777777" w:rsidR="001E6B4F" w:rsidRDefault="002B28B2" w:rsidP="007A151E">
      <w:pPr>
        <w:spacing w:after="240"/>
      </w:pPr>
      <w:r>
        <w:t xml:space="preserve">The inclusion of NTDs is intended to facilitate their installation where it is required on the outside of buildings or in other publicly accessible areas. </w:t>
      </w:r>
      <w:r w:rsidR="00AD54CB">
        <w:t xml:space="preserve">NTDs are often installed inside premises, including residences. </w:t>
      </w:r>
      <w:r w:rsidR="001E6B4F">
        <w:t xml:space="preserve">While inclusion in the LIFD would technically allow installation </w:t>
      </w:r>
      <w:r w:rsidR="006E473C">
        <w:t xml:space="preserve">of such devices </w:t>
      </w:r>
      <w:r w:rsidR="001E6B4F">
        <w:t>without the consent of the owner and/or occupier, in reality,</w:t>
      </w:r>
      <w:r w:rsidR="006E473C">
        <w:t xml:space="preserve"> the installation of an NTD in a premises would require a customer to order a service and give their consent to the installation of an NTD. </w:t>
      </w:r>
    </w:p>
    <w:p w14:paraId="7C802929" w14:textId="77777777" w:rsidR="00FB69C9" w:rsidRPr="007A151E" w:rsidRDefault="00FB69C9" w:rsidP="00FB69C9">
      <w:pPr>
        <w:spacing w:after="240"/>
      </w:pPr>
      <w:r w:rsidRPr="00FB69C9">
        <w:t xml:space="preserve">The maximum permissible substantive volume for network termination devices is </w:t>
      </w:r>
      <w:r w:rsidR="002F1CF4">
        <w:t xml:space="preserve">proposed to be </w:t>
      </w:r>
      <w:r w:rsidRPr="00FB69C9">
        <w:t>0.02 cubic metres. This facility type</w:t>
      </w:r>
      <w:r w:rsidR="00AD4AFB">
        <w:t xml:space="preserve"> is</w:t>
      </w:r>
      <w:r>
        <w:t xml:space="preserve"> analogous to the network termination unit in a FTTP deployment, which is permitted in the current version of the LIFD.</w:t>
      </w:r>
    </w:p>
    <w:p w14:paraId="5BB813FC" w14:textId="77777777" w:rsidR="007A151E" w:rsidRPr="007A151E" w:rsidRDefault="002F1CF4" w:rsidP="00D65A7B">
      <w:pPr>
        <w:pStyle w:val="Heading5"/>
      </w:pPr>
      <w:r>
        <w:t xml:space="preserve">Proposed </w:t>
      </w:r>
      <w:r w:rsidR="001C0C9C">
        <w:t>i</w:t>
      </w:r>
      <w:r w:rsidR="00A85185">
        <w:t>tem 8 – p</w:t>
      </w:r>
      <w:r w:rsidR="007A151E" w:rsidRPr="007A151E">
        <w:t>ower supply</w:t>
      </w:r>
    </w:p>
    <w:p w14:paraId="3FE3A1C2" w14:textId="2EA66F10" w:rsidR="00C16D90" w:rsidRDefault="00564C67" w:rsidP="007A151E">
      <w:pPr>
        <w:spacing w:after="240"/>
      </w:pPr>
      <w:r>
        <w:t>Proposed</w:t>
      </w:r>
      <w:r w:rsidRPr="007A151E">
        <w:t xml:space="preserve"> </w:t>
      </w:r>
      <w:r w:rsidR="007A151E" w:rsidRPr="007A151E">
        <w:t xml:space="preserve">item </w:t>
      </w:r>
      <w:r>
        <w:t xml:space="preserve">8 </w:t>
      </w:r>
      <w:r w:rsidR="002F1CF4">
        <w:t xml:space="preserve">would </w:t>
      </w:r>
      <w:r w:rsidR="007A151E" w:rsidRPr="007A151E">
        <w:t xml:space="preserve">cover power supply </w:t>
      </w:r>
      <w:r w:rsidR="00AF4859">
        <w:t>equipment</w:t>
      </w:r>
      <w:r w:rsidR="007A151E" w:rsidRPr="007A151E">
        <w:t xml:space="preserve">. They are </w:t>
      </w:r>
      <w:r w:rsidR="0092655B">
        <w:t>cabinets</w:t>
      </w:r>
      <w:r w:rsidR="007A151E" w:rsidRPr="007A151E">
        <w:t xml:space="preserve"> that are installed above ground, typically mounted on a utility pole</w:t>
      </w:r>
      <w:r w:rsidR="00BE721D">
        <w:t>, or are attached to a building or other structure</w:t>
      </w:r>
      <w:r w:rsidR="007A151E" w:rsidRPr="007A151E">
        <w:t>. The cabinets contain a transformer that steps down mains voltage and injects this power into cable, which is used to</w:t>
      </w:r>
      <w:r w:rsidR="0092655B">
        <w:t xml:space="preserve"> power equipment that is part a communications network</w:t>
      </w:r>
      <w:r w:rsidR="007A151E" w:rsidRPr="007A151E">
        <w:t xml:space="preserve">. </w:t>
      </w:r>
      <w:r w:rsidR="0086739D">
        <w:t xml:space="preserve">Equipment powered by a power supply includes NTDs, optical nodes and amplifiers. </w:t>
      </w:r>
      <w:r w:rsidR="007A151E" w:rsidRPr="007A151E">
        <w:t xml:space="preserve">The </w:t>
      </w:r>
      <w:r w:rsidR="00BD187B">
        <w:t>cabinets</w:t>
      </w:r>
      <w:r w:rsidR="007A151E" w:rsidRPr="007A151E">
        <w:t xml:space="preserve"> </w:t>
      </w:r>
      <w:r w:rsidR="00BD187B">
        <w:t>may</w:t>
      </w:r>
      <w:r w:rsidR="007A151E" w:rsidRPr="007A151E">
        <w:t xml:space="preserve"> contain backup batteries to maintain service</w:t>
      </w:r>
      <w:r w:rsidR="00BD187B">
        <w:t xml:space="preserve"> for a limited period</w:t>
      </w:r>
      <w:r w:rsidR="007A151E" w:rsidRPr="007A151E">
        <w:t xml:space="preserve"> in the event of a power outage. </w:t>
      </w:r>
    </w:p>
    <w:p w14:paraId="1AC168F2" w14:textId="77777777" w:rsidR="007A151E" w:rsidRPr="007A151E" w:rsidRDefault="0086739D" w:rsidP="007A151E">
      <w:pPr>
        <w:spacing w:after="240"/>
      </w:pPr>
      <w:r>
        <w:lastRenderedPageBreak/>
        <w:t>Where power supply equipment is connected to an NTD</w:t>
      </w:r>
      <w:r w:rsidR="00D637B9">
        <w:t>, the maximum permissible substantive volume for this facility is 0.005 cubic metres. Where it is connected to an optical node or amplifier, t</w:t>
      </w:r>
      <w:r w:rsidR="007A151E" w:rsidRPr="007A151E">
        <w:t xml:space="preserve">he maximum permissible substantive volume for this unit is </w:t>
      </w:r>
      <w:r w:rsidR="002F1CF4">
        <w:t xml:space="preserve">proposed to be </w:t>
      </w:r>
      <w:r w:rsidR="007A151E" w:rsidRPr="007A151E">
        <w:t>0.15 cubic metres. This facility could</w:t>
      </w:r>
      <w:r w:rsidR="00573A72">
        <w:t>,</w:t>
      </w:r>
      <w:r w:rsidR="007A151E" w:rsidRPr="007A151E">
        <w:t xml:space="preserve"> for example</w:t>
      </w:r>
      <w:r w:rsidR="00573A72">
        <w:t>,</w:t>
      </w:r>
      <w:r w:rsidR="007A151E" w:rsidRPr="007A151E">
        <w:t xml:space="preserve"> measure 622</w:t>
      </w:r>
      <w:r w:rsidR="00BD187B">
        <w:t xml:space="preserve">mm </w:t>
      </w:r>
      <w:r w:rsidR="007A151E" w:rsidRPr="007A151E">
        <w:t>x</w:t>
      </w:r>
      <w:r w:rsidR="00BD187B">
        <w:t xml:space="preserve"> </w:t>
      </w:r>
      <w:r w:rsidR="007A151E" w:rsidRPr="007A151E">
        <w:t>615</w:t>
      </w:r>
      <w:r w:rsidR="00BD187B">
        <w:t xml:space="preserve">mm </w:t>
      </w:r>
      <w:r w:rsidR="007A151E" w:rsidRPr="007A151E">
        <w:t>x</w:t>
      </w:r>
      <w:r w:rsidR="00BD187B">
        <w:t xml:space="preserve"> </w:t>
      </w:r>
      <w:r w:rsidR="007A151E" w:rsidRPr="007A151E">
        <w:t>355</w:t>
      </w:r>
      <w:r w:rsidR="00BD187B">
        <w:t>mm</w:t>
      </w:r>
      <w:r w:rsidR="007A151E" w:rsidRPr="007A151E">
        <w:t>.</w:t>
      </w:r>
    </w:p>
    <w:p w14:paraId="08E3BABF" w14:textId="77777777" w:rsidR="007A151E" w:rsidRPr="007A151E" w:rsidRDefault="002F1CF4" w:rsidP="00D65A7B">
      <w:pPr>
        <w:pStyle w:val="Heading5"/>
      </w:pPr>
      <w:r>
        <w:t xml:space="preserve">Proposed </w:t>
      </w:r>
      <w:r w:rsidR="001C0C9C">
        <w:t>i</w:t>
      </w:r>
      <w:r w:rsidR="00A85185">
        <w:t>tem 9 - a</w:t>
      </w:r>
      <w:r w:rsidR="007A151E" w:rsidRPr="007A151E">
        <w:t>mplifier</w:t>
      </w:r>
    </w:p>
    <w:p w14:paraId="237FF905" w14:textId="41FF95F3" w:rsidR="007A151E" w:rsidRPr="007A151E" w:rsidRDefault="00410E9A" w:rsidP="007A151E">
      <w:pPr>
        <w:spacing w:after="240"/>
      </w:pPr>
      <w:r>
        <w:t>Proposed item 9</w:t>
      </w:r>
      <w:r w:rsidR="007A151E" w:rsidRPr="007A151E">
        <w:t xml:space="preserve"> </w:t>
      </w:r>
      <w:r w:rsidR="002F1CF4">
        <w:t xml:space="preserve">would </w:t>
      </w:r>
      <w:r w:rsidR="007A151E" w:rsidRPr="007A151E">
        <w:t xml:space="preserve">cover amplifiers. These are devices which amplify the signal strength on a cable. The maximum permissible substantive volume for the specified amplifier is </w:t>
      </w:r>
      <w:r w:rsidR="002F1CF4">
        <w:t xml:space="preserve">proposed to be </w:t>
      </w:r>
      <w:r w:rsidR="007A151E" w:rsidRPr="007A151E">
        <w:t>0.02 cubic metres. This facility type is usually enclosed in a rectangular shaped container. These items are typically clamped to, strung from or mounted on a cable or other structure (such as a pole).</w:t>
      </w:r>
    </w:p>
    <w:p w14:paraId="7F81012A" w14:textId="77777777" w:rsidR="007A151E" w:rsidRPr="007A151E" w:rsidRDefault="002F1CF4" w:rsidP="00D65A7B">
      <w:pPr>
        <w:pStyle w:val="Heading5"/>
      </w:pPr>
      <w:r>
        <w:t xml:space="preserve">Proposed </w:t>
      </w:r>
      <w:r w:rsidR="001C0C9C">
        <w:t>i</w:t>
      </w:r>
      <w:r w:rsidR="007A151E" w:rsidRPr="007A151E">
        <w:t>tem 10</w:t>
      </w:r>
      <w:r w:rsidR="00A85185">
        <w:t xml:space="preserve"> – a</w:t>
      </w:r>
      <w:r w:rsidR="00F2210E">
        <w:t>uxiliary network equipment</w:t>
      </w:r>
    </w:p>
    <w:p w14:paraId="1316ABFC" w14:textId="05285CA7" w:rsidR="00F2210E" w:rsidRPr="007A151E" w:rsidRDefault="00410E9A" w:rsidP="00F2210E">
      <w:pPr>
        <w:spacing w:after="240"/>
      </w:pPr>
      <w:r>
        <w:t>Proposed s</w:t>
      </w:r>
      <w:r w:rsidR="00573A72">
        <w:t xml:space="preserve">ub-item 10 (a) </w:t>
      </w:r>
      <w:r w:rsidR="002F1CF4">
        <w:t xml:space="preserve">would </w:t>
      </w:r>
      <w:r w:rsidR="007A151E" w:rsidRPr="007A151E">
        <w:t xml:space="preserve">cover devices such as directional couplers and line splitters which connect, isolate or split a cable. They allow signals to be shared across multiple cables. </w:t>
      </w:r>
      <w:r w:rsidR="00573A72">
        <w:t>Sub-item 10 (b)</w:t>
      </w:r>
      <w:r w:rsidR="00F2210E">
        <w:t xml:space="preserve"> </w:t>
      </w:r>
      <w:r w:rsidR="002F1CF4">
        <w:t xml:space="preserve">would </w:t>
      </w:r>
      <w:r w:rsidR="00F2210E" w:rsidRPr="007A151E">
        <w:t xml:space="preserve">cover devices such as line power inserters and equalisers which inject power into cable, or balance the distribution of power and radio frequency budget of a network or actively manage the operational elements of a network. </w:t>
      </w:r>
    </w:p>
    <w:p w14:paraId="67D0A29C" w14:textId="71438951" w:rsidR="00E910F2" w:rsidRDefault="007A151E" w:rsidP="00F2210E">
      <w:pPr>
        <w:spacing w:after="240"/>
      </w:pPr>
      <w:r w:rsidRPr="007A151E">
        <w:t>The</w:t>
      </w:r>
      <w:r w:rsidR="00394477">
        <w:t>se facilities</w:t>
      </w:r>
      <w:r w:rsidRPr="007A151E">
        <w:t xml:space="preserve"> are usually affixed to a cable or other structure. The maximum permissible volume for auxiliary </w:t>
      </w:r>
      <w:r w:rsidR="00573A72">
        <w:t>network equipment</w:t>
      </w:r>
      <w:r w:rsidRPr="007A151E">
        <w:t xml:space="preserve"> is </w:t>
      </w:r>
      <w:r w:rsidR="002F1CF4">
        <w:t xml:space="preserve">proposed to be </w:t>
      </w:r>
      <w:r w:rsidRPr="007A151E">
        <w:t>0.002 cubic metres. This facility could</w:t>
      </w:r>
      <w:r w:rsidR="00573A72">
        <w:t>,</w:t>
      </w:r>
      <w:r w:rsidRPr="007A151E">
        <w:t xml:space="preserve"> for example</w:t>
      </w:r>
      <w:r w:rsidR="00573A72">
        <w:t>,</w:t>
      </w:r>
      <w:r w:rsidRPr="007A151E">
        <w:t xml:space="preserve"> measure 122</w:t>
      </w:r>
      <w:r w:rsidR="001D38AD">
        <w:t xml:space="preserve">mm </w:t>
      </w:r>
      <w:r w:rsidRPr="007A151E">
        <w:t>x</w:t>
      </w:r>
      <w:r w:rsidR="001D38AD">
        <w:t xml:space="preserve"> </w:t>
      </w:r>
      <w:r w:rsidRPr="007A151E">
        <w:t>145</w:t>
      </w:r>
      <w:r w:rsidR="001D38AD">
        <w:t xml:space="preserve">mm </w:t>
      </w:r>
      <w:r w:rsidRPr="007A151E">
        <w:t>x</w:t>
      </w:r>
      <w:r w:rsidR="001D38AD">
        <w:t xml:space="preserve"> </w:t>
      </w:r>
      <w:r w:rsidRPr="007A151E">
        <w:t>86</w:t>
      </w:r>
      <w:r w:rsidR="001D38AD">
        <w:t>mm</w:t>
      </w:r>
      <w:r w:rsidRPr="007A151E">
        <w:t>.</w:t>
      </w:r>
    </w:p>
    <w:p w14:paraId="49FB2020" w14:textId="77777777" w:rsidR="00E910F2" w:rsidRDefault="00E910F2" w:rsidP="000A04ED">
      <w:pPr>
        <w:pStyle w:val="Heading3"/>
      </w:pPr>
      <w:bookmarkStart w:id="43" w:name="_Toc421721130"/>
      <w:r>
        <w:t xml:space="preserve">Schedule Part 4B </w:t>
      </w:r>
      <w:r w:rsidR="00CF30C5">
        <w:t>–</w:t>
      </w:r>
      <w:r>
        <w:t xml:space="preserve"> </w:t>
      </w:r>
      <w:r w:rsidR="00CF30C5">
        <w:t>Above ground hybrid fibre-coaxial facilities</w:t>
      </w:r>
      <w:bookmarkEnd w:id="43"/>
    </w:p>
    <w:p w14:paraId="420C4337" w14:textId="77777777" w:rsidR="00E910F2" w:rsidRDefault="001C0C9C" w:rsidP="00E910F2">
      <w:pPr>
        <w:pStyle w:val="Heading4"/>
      </w:pPr>
      <w:r>
        <w:t>Proposed a</w:t>
      </w:r>
      <w:r w:rsidR="00E910F2">
        <w:t>mendment 24</w:t>
      </w:r>
    </w:p>
    <w:p w14:paraId="6B7B7BC8" w14:textId="7877302E" w:rsidR="007A151E" w:rsidRPr="007A151E" w:rsidRDefault="00410E9A" w:rsidP="00E910F2">
      <w:r>
        <w:t>P</w:t>
      </w:r>
      <w:r w:rsidR="00E932F7">
        <w:t xml:space="preserve">roposed amendment </w:t>
      </w:r>
      <w:r>
        <w:t xml:space="preserve">24 </w:t>
      </w:r>
      <w:r w:rsidR="00E932F7">
        <w:t>would r</w:t>
      </w:r>
      <w:r w:rsidR="00E910F2">
        <w:t xml:space="preserve">emove </w:t>
      </w:r>
      <w:r w:rsidR="00E932F7">
        <w:t xml:space="preserve">existing </w:t>
      </w:r>
      <w:r w:rsidR="00E910F2">
        <w:t>P</w:t>
      </w:r>
      <w:r w:rsidR="00CF30C5">
        <w:t>art 4B</w:t>
      </w:r>
      <w:r w:rsidR="00E932F7">
        <w:t xml:space="preserve"> of the Schedule to the LIFD</w:t>
      </w:r>
      <w:r w:rsidR="00D86816">
        <w:t>,</w:t>
      </w:r>
      <w:r w:rsidR="00CF30C5">
        <w:t xml:space="preserve"> which </w:t>
      </w:r>
      <w:r w:rsidR="00D86816">
        <w:t>provide</w:t>
      </w:r>
      <w:r w:rsidR="00E932F7">
        <w:t>s</w:t>
      </w:r>
      <w:r w:rsidR="00D86816">
        <w:t xml:space="preserve"> for the installation of HFC facilities on a trial basis in HFC Trial Regions</w:t>
      </w:r>
      <w:r w:rsidR="00E932F7">
        <w:t xml:space="preserve">. It is </w:t>
      </w:r>
      <w:r w:rsidR="00CF30C5">
        <w:t xml:space="preserve">no longer required </w:t>
      </w:r>
      <w:r w:rsidR="00E932F7">
        <w:t xml:space="preserve">if </w:t>
      </w:r>
      <w:r w:rsidR="00CF30C5">
        <w:t>the technology neutral approach</w:t>
      </w:r>
      <w:r w:rsidR="00E932F7">
        <w:t xml:space="preserve"> proposed (and outlined above) is adopted</w:t>
      </w:r>
      <w:r w:rsidR="007B143D">
        <w:t xml:space="preserve"> on an ongoing basis</w:t>
      </w:r>
      <w:r w:rsidR="00CF30C5">
        <w:t>.</w:t>
      </w:r>
      <w:r w:rsidR="007A151E" w:rsidRPr="007A151E">
        <w:br w:type="page"/>
      </w:r>
    </w:p>
    <w:p w14:paraId="7B488996" w14:textId="77777777" w:rsidR="007A151E" w:rsidRPr="007A151E" w:rsidRDefault="007A151E" w:rsidP="00D65A7B">
      <w:pPr>
        <w:pStyle w:val="Heading1"/>
      </w:pPr>
      <w:bookmarkStart w:id="44" w:name="_Toc421721131"/>
      <w:r>
        <w:lastRenderedPageBreak/>
        <w:t>How to make a submission</w:t>
      </w:r>
      <w:bookmarkEnd w:id="44"/>
    </w:p>
    <w:p w14:paraId="28D328EB" w14:textId="77777777" w:rsidR="007A151E" w:rsidRPr="007A151E" w:rsidRDefault="007A151E" w:rsidP="007A151E">
      <w:r w:rsidRPr="007A151E">
        <w:t>The Department of Communications welcomes views on the proposed amendments</w:t>
      </w:r>
      <w:r w:rsidRPr="00291AEF">
        <w:t xml:space="preserve">. </w:t>
      </w:r>
      <w:r w:rsidR="003D6CEF" w:rsidRPr="00291AEF">
        <w:t>Submissions should</w:t>
      </w:r>
      <w:r w:rsidR="00EF26A6" w:rsidRPr="00291AEF">
        <w:t xml:space="preserve"> </w:t>
      </w:r>
      <w:r w:rsidR="003D6CEF" w:rsidRPr="00291AEF">
        <w:t>make reference to specific amendment numbers where relevant.</w:t>
      </w:r>
      <w:r w:rsidRPr="007A151E">
        <w:t xml:space="preserve"> Submissions should be made:</w:t>
      </w:r>
    </w:p>
    <w:p w14:paraId="47D588BA" w14:textId="311A874A" w:rsidR="007A151E" w:rsidRPr="007A151E" w:rsidRDefault="007A151E" w:rsidP="007A151E">
      <w:pPr>
        <w:spacing w:after="240"/>
      </w:pPr>
      <w:r w:rsidRPr="007A151E">
        <w:t>By email:</w:t>
      </w:r>
      <w:r w:rsidRPr="007A151E">
        <w:tab/>
      </w:r>
      <w:hyperlink r:id="rId17" w:history="1">
        <w:r w:rsidRPr="007C1C25">
          <w:rPr>
            <w:rStyle w:val="Hyperlink"/>
          </w:rPr>
          <w:t>powersandimmunities@communications.gov.au</w:t>
        </w:r>
      </w:hyperlink>
    </w:p>
    <w:p w14:paraId="65EB1ABD" w14:textId="77777777" w:rsidR="007A151E" w:rsidRPr="007A151E" w:rsidRDefault="007A151E" w:rsidP="007A151E">
      <w:pPr>
        <w:spacing w:before="0"/>
      </w:pPr>
      <w:r w:rsidRPr="007A151E">
        <w:t>By mail:</w:t>
      </w:r>
      <w:r w:rsidRPr="007A151E">
        <w:tab/>
      </w:r>
      <w:r w:rsidRPr="007A151E">
        <w:tab/>
        <w:t>Director</w:t>
      </w:r>
    </w:p>
    <w:p w14:paraId="076DB655" w14:textId="77777777" w:rsidR="007A151E" w:rsidRPr="007A151E" w:rsidRDefault="007A151E" w:rsidP="007A151E">
      <w:pPr>
        <w:spacing w:before="0"/>
        <w:ind w:left="1440"/>
      </w:pPr>
      <w:r w:rsidRPr="007A151E">
        <w:t>Construction Policy</w:t>
      </w:r>
    </w:p>
    <w:p w14:paraId="16F87D0D" w14:textId="77777777" w:rsidR="007A151E" w:rsidRPr="007A151E" w:rsidRDefault="007A151E" w:rsidP="007A151E">
      <w:pPr>
        <w:spacing w:before="0"/>
        <w:ind w:left="1440"/>
      </w:pPr>
      <w:r w:rsidRPr="007A151E">
        <w:t>Market Structure Branch</w:t>
      </w:r>
    </w:p>
    <w:p w14:paraId="55E2089B" w14:textId="77777777" w:rsidR="007A151E" w:rsidRPr="007A151E" w:rsidRDefault="007A151E" w:rsidP="007A151E">
      <w:pPr>
        <w:spacing w:before="0"/>
        <w:ind w:left="1440"/>
      </w:pPr>
      <w:r w:rsidRPr="007A151E">
        <w:t>Department of Communications</w:t>
      </w:r>
    </w:p>
    <w:p w14:paraId="5B70F494" w14:textId="77777777" w:rsidR="007A151E" w:rsidRPr="007A151E" w:rsidRDefault="007A151E" w:rsidP="007A151E">
      <w:pPr>
        <w:spacing w:before="0"/>
        <w:ind w:left="1440"/>
      </w:pPr>
      <w:r w:rsidRPr="007A151E">
        <w:t>GPO Box 2154</w:t>
      </w:r>
    </w:p>
    <w:p w14:paraId="1763BC8B" w14:textId="77777777" w:rsidR="007A151E" w:rsidRPr="007A151E" w:rsidRDefault="007A151E" w:rsidP="007A151E">
      <w:pPr>
        <w:spacing w:before="0"/>
        <w:ind w:left="1440"/>
      </w:pPr>
      <w:r w:rsidRPr="007A151E">
        <w:t>CANBERRA  ACT  2615</w:t>
      </w:r>
    </w:p>
    <w:p w14:paraId="6844CDC0" w14:textId="47B98718" w:rsidR="007A151E" w:rsidRPr="007A151E" w:rsidRDefault="007A151E" w:rsidP="007A151E">
      <w:r w:rsidRPr="007A151E">
        <w:t xml:space="preserve">Submissions should be lodged </w:t>
      </w:r>
      <w:r w:rsidR="00483D81">
        <w:t xml:space="preserve">by Friday 10 July </w:t>
      </w:r>
      <w:r w:rsidR="004E09ED">
        <w:t>2015</w:t>
      </w:r>
      <w:r w:rsidRPr="007A151E">
        <w:t>.</w:t>
      </w:r>
    </w:p>
    <w:p w14:paraId="329633DD" w14:textId="77777777" w:rsidR="007A151E" w:rsidRPr="007A151E" w:rsidRDefault="007A151E" w:rsidP="007A151E">
      <w:r w:rsidRPr="007A151E">
        <w:t>Submissions should also identify:</w:t>
      </w:r>
      <w:r w:rsidRPr="007A151E">
        <w:br/>
      </w:r>
    </w:p>
    <w:p w14:paraId="47507B74" w14:textId="77777777" w:rsidR="007A151E" w:rsidRPr="007A151E" w:rsidRDefault="007A151E" w:rsidP="007A151E">
      <w:pPr>
        <w:numPr>
          <w:ilvl w:val="0"/>
          <w:numId w:val="44"/>
        </w:numPr>
        <w:spacing w:before="0"/>
        <w:ind w:left="284" w:hanging="284"/>
        <w:contextualSpacing/>
      </w:pPr>
      <w:r w:rsidRPr="007A151E">
        <w:t>the name of the party making the submission</w:t>
      </w:r>
    </w:p>
    <w:p w14:paraId="759CE6A2" w14:textId="77777777" w:rsidR="007A151E" w:rsidRPr="007A151E" w:rsidRDefault="007A151E" w:rsidP="007A151E">
      <w:pPr>
        <w:numPr>
          <w:ilvl w:val="0"/>
          <w:numId w:val="44"/>
        </w:numPr>
        <w:spacing w:before="0"/>
        <w:ind w:left="284" w:hanging="284"/>
        <w:contextualSpacing/>
      </w:pPr>
      <w:r w:rsidRPr="007A151E">
        <w:t>the organisation represented (if applicable)</w:t>
      </w:r>
    </w:p>
    <w:p w14:paraId="1F48B85C" w14:textId="77777777" w:rsidR="007A151E" w:rsidRPr="007A151E" w:rsidRDefault="007A151E" w:rsidP="007A151E">
      <w:pPr>
        <w:numPr>
          <w:ilvl w:val="0"/>
          <w:numId w:val="44"/>
        </w:numPr>
        <w:spacing w:before="0"/>
        <w:ind w:left="284" w:hanging="284"/>
        <w:contextualSpacing/>
      </w:pPr>
      <w:r w:rsidRPr="007A151E">
        <w:t>contact details, including telephone number, postal and email address.</w:t>
      </w:r>
    </w:p>
    <w:p w14:paraId="43D55D4A" w14:textId="77777777" w:rsidR="007A151E" w:rsidRPr="007A151E" w:rsidRDefault="007A151E" w:rsidP="00D65A7B">
      <w:pPr>
        <w:pStyle w:val="Heading2"/>
      </w:pPr>
      <w:bookmarkStart w:id="45" w:name="_Toc417918512"/>
      <w:bookmarkStart w:id="46" w:name="_Toc421721132"/>
      <w:r w:rsidRPr="007A151E">
        <w:t>Publication of submissions</w:t>
      </w:r>
      <w:bookmarkEnd w:id="45"/>
      <w:bookmarkEnd w:id="46"/>
    </w:p>
    <w:p w14:paraId="6B68BEBD" w14:textId="77777777" w:rsidR="007A151E" w:rsidRPr="007A151E" w:rsidRDefault="007A151E" w:rsidP="007A151E">
      <w:r w:rsidRPr="007A151E">
        <w:t>In general, the Department publishes submissions it receives. The Department will not publish a submission or part of a submission if the Department considers such material to be defamatory or otherwise unlawful or to be unsuitable for any other reason.</w:t>
      </w:r>
    </w:p>
    <w:p w14:paraId="2C6A5737" w14:textId="77777777" w:rsidR="007A151E" w:rsidRPr="007A151E" w:rsidRDefault="007A151E" w:rsidP="007A151E">
      <w:r w:rsidRPr="007A151E">
        <w:t>The Department prefers to receive submissions that are not claimed to be confidential. However, the Department accepts that a submitter may sometimes wish to provide information in confidence. In these circumstances, submitters are asked to identify the material over which confidentiality is claimed and provide a written explanation for the claim.</w:t>
      </w:r>
    </w:p>
    <w:p w14:paraId="06A0AAE2" w14:textId="77777777" w:rsidR="007A151E" w:rsidRPr="007A151E" w:rsidRDefault="007A151E" w:rsidP="007A151E">
      <w:r w:rsidRPr="007A151E">
        <w:lastRenderedPageBreak/>
        <w:t>The Department will consider each confidentiality claim on a case-by-case basis. If the Department accepts a claim, it will not publish the confidential information unless authorised or required by law to do so.</w:t>
      </w:r>
    </w:p>
    <w:p w14:paraId="5CC841AB" w14:textId="77777777" w:rsidR="007A151E" w:rsidRPr="007A151E" w:rsidRDefault="007A151E" w:rsidP="007A151E">
      <w:r w:rsidRPr="007A151E">
        <w:t>The Department will not acknowledge submissions.</w:t>
      </w:r>
    </w:p>
    <w:p w14:paraId="098C255A" w14:textId="77777777" w:rsidR="007A151E" w:rsidRPr="007A151E" w:rsidRDefault="007A151E" w:rsidP="00D65A7B">
      <w:pPr>
        <w:pStyle w:val="Heading2"/>
      </w:pPr>
      <w:bookmarkStart w:id="47" w:name="_Toc417918513"/>
      <w:bookmarkStart w:id="48" w:name="_Toc421721133"/>
      <w:r w:rsidRPr="007A151E">
        <w:t>Release of submissions where authorised or required by law</w:t>
      </w:r>
      <w:bookmarkEnd w:id="47"/>
      <w:bookmarkEnd w:id="48"/>
    </w:p>
    <w:p w14:paraId="60819435" w14:textId="77777777" w:rsidR="007A151E" w:rsidRPr="007A151E" w:rsidRDefault="007A151E" w:rsidP="007A151E">
      <w:r w:rsidRPr="007A151E">
        <w:t xml:space="preserve">Any submissions provided to the Department may be released under the </w:t>
      </w:r>
      <w:r w:rsidRPr="007A151E">
        <w:rPr>
          <w:i/>
        </w:rPr>
        <w:t>Freedom of Information Act 1982</w:t>
      </w:r>
      <w:r w:rsidRPr="007A151E">
        <w:t xml:space="preserve"> (unless an exemption applies) or shared with other Commonwealth Government agencies or certain other bodies. The Department may also be required to release submissions for other reasons including for the purpose of parliamentary processes or where otherwise required by law (for example, under a court subpoena). While the Department seeks to consult submitters of confidential information before that information is provided to another party, the Department cannot guarantee that confidential information will not be released through these or other legal means.</w:t>
      </w:r>
    </w:p>
    <w:p w14:paraId="661F9D07" w14:textId="77777777" w:rsidR="007A151E" w:rsidRPr="007A151E" w:rsidRDefault="007A151E" w:rsidP="00D65A7B">
      <w:pPr>
        <w:pStyle w:val="Heading2"/>
      </w:pPr>
      <w:bookmarkStart w:id="49" w:name="_Toc417918514"/>
      <w:bookmarkStart w:id="50" w:name="_Toc421721134"/>
      <w:r w:rsidRPr="007A151E">
        <w:t>Contact us</w:t>
      </w:r>
      <w:bookmarkEnd w:id="49"/>
      <w:bookmarkEnd w:id="50"/>
    </w:p>
    <w:p w14:paraId="65D80556" w14:textId="6CD08936" w:rsidR="007A151E" w:rsidRPr="007A151E" w:rsidRDefault="007A151E" w:rsidP="007A151E">
      <w:r w:rsidRPr="007A151E">
        <w:t xml:space="preserve">For further information about the carrier powers and immunities regime or the proposed amendments in this Consultation Paper, please contact the Department of Communications using the email address above or by phoning the Director, Construction Policy, on </w:t>
      </w:r>
      <w:r w:rsidR="0065778F">
        <w:t xml:space="preserve">02 </w:t>
      </w:r>
      <w:r w:rsidRPr="007A151E">
        <w:t>6271 1000.</w:t>
      </w:r>
      <w:r w:rsidRPr="007A151E">
        <w:br w:type="page"/>
      </w:r>
    </w:p>
    <w:p w14:paraId="2B518E62" w14:textId="77777777" w:rsidR="00013CC0" w:rsidRDefault="00013CC0" w:rsidP="00013CC0">
      <w:pPr>
        <w:pStyle w:val="Heading1"/>
      </w:pPr>
      <w:bookmarkStart w:id="51" w:name="_Toc417459327"/>
      <w:bookmarkStart w:id="52" w:name="_Toc421721135"/>
      <w:bookmarkEnd w:id="51"/>
      <w:r>
        <w:lastRenderedPageBreak/>
        <w:t>Glossary</w:t>
      </w:r>
      <w:bookmarkEnd w:id="52"/>
    </w:p>
    <w:p w14:paraId="72D00CC8" w14:textId="4A013E46" w:rsidR="00013CC0" w:rsidRDefault="00013CC0" w:rsidP="00114E6C">
      <w:pPr>
        <w:pStyle w:val="Boxtext"/>
      </w:pPr>
      <w:r>
        <w:rPr>
          <w:b/>
        </w:rPr>
        <w:t xml:space="preserve">ACMA - </w:t>
      </w:r>
      <w:r w:rsidRPr="007A151E">
        <w:t xml:space="preserve">Australian Communications and Media Authority – </w:t>
      </w:r>
      <w:r w:rsidR="007B143D">
        <w:t>the</w:t>
      </w:r>
      <w:r w:rsidRPr="007A151E">
        <w:t xml:space="preserve"> telecommunications</w:t>
      </w:r>
      <w:r w:rsidR="007B143D">
        <w:t>-specific</w:t>
      </w:r>
      <w:r w:rsidRPr="007A151E">
        <w:t xml:space="preserve"> industry regulator</w:t>
      </w:r>
      <w:r w:rsidR="001377D3">
        <w:t xml:space="preserve"> </w:t>
      </w:r>
      <w:r w:rsidR="00410E9A">
        <w:t>dealing with</w:t>
      </w:r>
      <w:r w:rsidR="001377D3">
        <w:t xml:space="preserve"> carrier powers and immunities</w:t>
      </w:r>
      <w:r w:rsidR="00410E9A">
        <w:t xml:space="preserve"> issues</w:t>
      </w:r>
    </w:p>
    <w:p w14:paraId="328743ED" w14:textId="77777777" w:rsidR="00013CC0" w:rsidRPr="00A43B12" w:rsidRDefault="00013CC0" w:rsidP="00114E6C">
      <w:pPr>
        <w:pStyle w:val="Boxtext"/>
      </w:pPr>
      <w:r w:rsidRPr="007A151E">
        <w:rPr>
          <w:b/>
        </w:rPr>
        <w:t>Act</w:t>
      </w:r>
      <w:r>
        <w:rPr>
          <w:b/>
        </w:rPr>
        <w:t xml:space="preserve"> - </w:t>
      </w:r>
      <w:r w:rsidRPr="007A151E">
        <w:rPr>
          <w:i/>
        </w:rPr>
        <w:t>Telecommunications Act 1997</w:t>
      </w:r>
    </w:p>
    <w:p w14:paraId="0A45AAE6" w14:textId="77777777" w:rsidR="001377D3" w:rsidRPr="00424B9C" w:rsidRDefault="001377D3" w:rsidP="00114E6C">
      <w:pPr>
        <w:pStyle w:val="Boxtext"/>
      </w:pPr>
      <w:r>
        <w:rPr>
          <w:b/>
        </w:rPr>
        <w:t xml:space="preserve">Carrier </w:t>
      </w:r>
      <w:r w:rsidRPr="001377D3">
        <w:rPr>
          <w:b/>
        </w:rPr>
        <w:t xml:space="preserve">- </w:t>
      </w:r>
      <w:r w:rsidRPr="00424B9C">
        <w:t xml:space="preserve">A person licensed under the </w:t>
      </w:r>
      <w:r w:rsidRPr="001377D3">
        <w:t>Telecommunications</w:t>
      </w:r>
      <w:r w:rsidRPr="00424B9C">
        <w:t xml:space="preserve"> Act to own and operate </w:t>
      </w:r>
      <w:r w:rsidRPr="001377D3">
        <w:t>telecommunications</w:t>
      </w:r>
      <w:r w:rsidRPr="00424B9C">
        <w:t xml:space="preserve"> facilities and who has powers and </w:t>
      </w:r>
      <w:r w:rsidRPr="001377D3">
        <w:t>immunities</w:t>
      </w:r>
      <w:r w:rsidRPr="00424B9C">
        <w:t xml:space="preserve"> to install such </w:t>
      </w:r>
      <w:r w:rsidRPr="001377D3">
        <w:t>facilities</w:t>
      </w:r>
    </w:p>
    <w:p w14:paraId="2DB9FE31" w14:textId="77777777" w:rsidR="00013CC0" w:rsidRDefault="00013CC0" w:rsidP="00114E6C">
      <w:pPr>
        <w:pStyle w:val="Boxtext"/>
        <w:rPr>
          <w:i/>
        </w:rPr>
      </w:pPr>
      <w:r w:rsidRPr="007A151E">
        <w:rPr>
          <w:b/>
        </w:rPr>
        <w:t>Code</w:t>
      </w:r>
      <w:r>
        <w:rPr>
          <w:b/>
        </w:rPr>
        <w:t xml:space="preserve"> - </w:t>
      </w:r>
      <w:r w:rsidRPr="007A151E">
        <w:rPr>
          <w:i/>
        </w:rPr>
        <w:t>Telecommunications Code of Practice 1997</w:t>
      </w:r>
    </w:p>
    <w:p w14:paraId="53595FF6" w14:textId="77777777" w:rsidR="00013CC0" w:rsidRPr="00A43B12" w:rsidRDefault="00013CC0" w:rsidP="00114E6C">
      <w:pPr>
        <w:pStyle w:val="Boxtext"/>
      </w:pPr>
      <w:r w:rsidRPr="007A151E">
        <w:rPr>
          <w:b/>
        </w:rPr>
        <w:t>FTTB</w:t>
      </w:r>
      <w:r>
        <w:rPr>
          <w:b/>
        </w:rPr>
        <w:t xml:space="preserve"> - </w:t>
      </w:r>
      <w:r w:rsidRPr="007A151E">
        <w:t xml:space="preserve">Fibre to the basement – an access technology using optical fibre to a building’s basement and </w:t>
      </w:r>
      <w:r w:rsidR="001377D3">
        <w:t xml:space="preserve">then </w:t>
      </w:r>
      <w:r w:rsidRPr="007A151E">
        <w:t xml:space="preserve">copper to premises to provide </w:t>
      </w:r>
      <w:r w:rsidR="001377D3">
        <w:t xml:space="preserve">high-speed </w:t>
      </w:r>
      <w:r w:rsidRPr="007A151E">
        <w:t>services to multi-unit buildings</w:t>
      </w:r>
    </w:p>
    <w:p w14:paraId="26C3491E" w14:textId="46543777" w:rsidR="00013CC0" w:rsidRDefault="00013CC0" w:rsidP="00114E6C">
      <w:pPr>
        <w:pStyle w:val="Boxtext"/>
      </w:pPr>
      <w:r w:rsidRPr="00013CC0">
        <w:rPr>
          <w:b/>
        </w:rPr>
        <w:t>FTTN</w:t>
      </w:r>
      <w:r>
        <w:t xml:space="preserve"> </w:t>
      </w:r>
      <w:r w:rsidRPr="00A17A8B">
        <w:rPr>
          <w:b/>
        </w:rPr>
        <w:t>-</w:t>
      </w:r>
      <w:r>
        <w:t xml:space="preserve"> </w:t>
      </w:r>
      <w:r w:rsidRPr="00013CC0">
        <w:t xml:space="preserve">Fibre to the node – an access technology using optical fibre to a node on the street and </w:t>
      </w:r>
      <w:r w:rsidR="001377D3">
        <w:t xml:space="preserve">then </w:t>
      </w:r>
      <w:r w:rsidRPr="00013CC0">
        <w:t xml:space="preserve">copper to </w:t>
      </w:r>
      <w:r w:rsidR="001377D3" w:rsidRPr="001377D3">
        <w:t xml:space="preserve">provide high-speed services to </w:t>
      </w:r>
      <w:r w:rsidR="001377D3" w:rsidRPr="00013CC0">
        <w:t>premises</w:t>
      </w:r>
    </w:p>
    <w:p w14:paraId="2CD8DB31" w14:textId="77777777" w:rsidR="00013CC0" w:rsidRPr="00013CC0" w:rsidRDefault="00013CC0" w:rsidP="00114E6C">
      <w:pPr>
        <w:pStyle w:val="Boxtext"/>
      </w:pPr>
      <w:r w:rsidRPr="00013CC0">
        <w:rPr>
          <w:b/>
        </w:rPr>
        <w:t>FTTP</w:t>
      </w:r>
      <w:r>
        <w:t xml:space="preserve"> </w:t>
      </w:r>
      <w:r w:rsidRPr="00A17A8B">
        <w:rPr>
          <w:b/>
        </w:rPr>
        <w:t>-</w:t>
      </w:r>
      <w:r>
        <w:t xml:space="preserve"> </w:t>
      </w:r>
      <w:r w:rsidRPr="00013CC0">
        <w:t>Fibre to the premises – an access technology using optical fibre only</w:t>
      </w:r>
      <w:r w:rsidR="001377D3" w:rsidRPr="001377D3">
        <w:t xml:space="preserve"> to provide high-speed services to premises</w:t>
      </w:r>
    </w:p>
    <w:p w14:paraId="165DB1BB" w14:textId="27E09BAF" w:rsidR="001377D3" w:rsidRDefault="00013CC0" w:rsidP="00114E6C">
      <w:pPr>
        <w:pStyle w:val="Boxtext"/>
      </w:pPr>
      <w:r>
        <w:rPr>
          <w:b/>
        </w:rPr>
        <w:t xml:space="preserve">HFC - </w:t>
      </w:r>
      <w:r w:rsidRPr="007A151E">
        <w:t>Hybrid fibre coaxial cable – an access tech</w:t>
      </w:r>
      <w:r>
        <w:t xml:space="preserve">nology conceived and built for </w:t>
      </w:r>
      <w:r w:rsidRPr="007A151E">
        <w:t xml:space="preserve">pay TV which </w:t>
      </w:r>
      <w:r w:rsidR="001377D3">
        <w:t xml:space="preserve">uses fibre to a node and coaxial cable </w:t>
      </w:r>
      <w:r w:rsidR="001377D3" w:rsidRPr="001377D3">
        <w:t>to provide high-speed services to premises</w:t>
      </w:r>
    </w:p>
    <w:p w14:paraId="52499166" w14:textId="77777777" w:rsidR="00013CC0" w:rsidRDefault="00013CC0" w:rsidP="00114E6C">
      <w:pPr>
        <w:pStyle w:val="Boxtext"/>
        <w:rPr>
          <w:i/>
        </w:rPr>
      </w:pPr>
      <w:r w:rsidRPr="00013CC0">
        <w:rPr>
          <w:b/>
        </w:rPr>
        <w:t>LIFD</w:t>
      </w:r>
      <w:r>
        <w:t xml:space="preserve"> </w:t>
      </w:r>
      <w:r w:rsidRPr="00A17A8B">
        <w:rPr>
          <w:b/>
        </w:rPr>
        <w:t>-</w:t>
      </w:r>
      <w:r>
        <w:t xml:space="preserve"> </w:t>
      </w:r>
      <w:r w:rsidRPr="0066318F">
        <w:t>Telecommunications (Low-impact Facilities) Determination 1997</w:t>
      </w:r>
    </w:p>
    <w:p w14:paraId="6B5BC673" w14:textId="35DB4650" w:rsidR="00013CC0" w:rsidRDefault="00894E26" w:rsidP="00114E6C">
      <w:pPr>
        <w:pStyle w:val="Boxtext"/>
      </w:pPr>
      <w:r w:rsidRPr="00894E26">
        <w:rPr>
          <w:b/>
        </w:rPr>
        <w:t xml:space="preserve">MTM </w:t>
      </w:r>
      <w:r w:rsidRPr="00A17A8B">
        <w:rPr>
          <w:b/>
        </w:rPr>
        <w:t>-</w:t>
      </w:r>
      <w:r>
        <w:t xml:space="preserve"> </w:t>
      </w:r>
      <w:r w:rsidRPr="007A151E">
        <w:t xml:space="preserve">Multi-technology mix, </w:t>
      </w:r>
      <w:r w:rsidR="001377D3">
        <w:t xml:space="preserve">a network deployment strategy </w:t>
      </w:r>
      <w:r w:rsidRPr="007A151E">
        <w:t xml:space="preserve">which uses </w:t>
      </w:r>
      <w:r w:rsidR="00410E9A">
        <w:t xml:space="preserve">the most cost-effective of </w:t>
      </w:r>
      <w:r w:rsidRPr="007A151E">
        <w:t xml:space="preserve">a range of access technologies </w:t>
      </w:r>
      <w:r w:rsidR="001377D3">
        <w:t xml:space="preserve">to provide </w:t>
      </w:r>
      <w:r w:rsidR="001377D3" w:rsidRPr="001377D3">
        <w:t xml:space="preserve">high-speed broadband </w:t>
      </w:r>
      <w:r w:rsidR="001377D3">
        <w:t>to premises</w:t>
      </w:r>
    </w:p>
    <w:p w14:paraId="3AD92629" w14:textId="77777777" w:rsidR="00894E26" w:rsidRDefault="00894E26" w:rsidP="001D137D">
      <w:pPr>
        <w:pStyle w:val="Boxtext"/>
      </w:pPr>
      <w:r>
        <w:rPr>
          <w:b/>
        </w:rPr>
        <w:t xml:space="preserve">NBN - </w:t>
      </w:r>
      <w:r w:rsidRPr="007A151E">
        <w:t>National Broadband Network – a high</w:t>
      </w:r>
      <w:r>
        <w:t xml:space="preserve"> </w:t>
      </w:r>
      <w:r w:rsidRPr="007A151E">
        <w:t xml:space="preserve">speed broadband network being constructed for the Australian Government by </w:t>
      </w:r>
      <w:r w:rsidR="004B5158">
        <w:t>NBN Co</w:t>
      </w:r>
      <w:r w:rsidR="002E4186">
        <w:t>.</w:t>
      </w:r>
    </w:p>
    <w:p w14:paraId="3799BA74" w14:textId="77777777" w:rsidR="001D137D" w:rsidRDefault="001D137D" w:rsidP="001D137D">
      <w:pPr>
        <w:pStyle w:val="Boxtext"/>
        <w:rPr>
          <w:b/>
        </w:rPr>
      </w:pPr>
      <w:r>
        <w:rPr>
          <w:b/>
        </w:rPr>
        <w:t xml:space="preserve">NBN Co - </w:t>
      </w:r>
      <w:r>
        <w:t xml:space="preserve">NBN Co Limited - </w:t>
      </w:r>
      <w:r w:rsidRPr="007A151E">
        <w:t>the Government-owned company constructing and operating the NBN</w:t>
      </w:r>
      <w:r>
        <w:rPr>
          <w:b/>
        </w:rPr>
        <w:t xml:space="preserve"> </w:t>
      </w:r>
    </w:p>
    <w:p w14:paraId="1F92B987" w14:textId="77777777" w:rsidR="001D137D" w:rsidRDefault="00A17A8B" w:rsidP="001D137D">
      <w:pPr>
        <w:pStyle w:val="Boxtext"/>
      </w:pPr>
      <w:r>
        <w:rPr>
          <w:b/>
        </w:rPr>
        <w:lastRenderedPageBreak/>
        <w:t xml:space="preserve">NTD </w:t>
      </w:r>
      <w:r w:rsidR="002E4186" w:rsidRPr="00A17A8B">
        <w:rPr>
          <w:b/>
        </w:rPr>
        <w:t>-</w:t>
      </w:r>
      <w:r>
        <w:rPr>
          <w:b/>
        </w:rPr>
        <w:t xml:space="preserve"> </w:t>
      </w:r>
      <w:r>
        <w:t xml:space="preserve">Network termination device – a device that </w:t>
      </w:r>
      <w:r w:rsidRPr="00A17A8B">
        <w:t>terminate</w:t>
      </w:r>
      <w:r>
        <w:t>s</w:t>
      </w:r>
      <w:r w:rsidRPr="00A17A8B">
        <w:t xml:space="preserve"> a carrier’s network and provide</w:t>
      </w:r>
      <w:r>
        <w:t>s</w:t>
      </w:r>
      <w:r w:rsidRPr="00A17A8B">
        <w:t xml:space="preserve"> a connection point between a carrier’s network and custome</w:t>
      </w:r>
      <w:r>
        <w:t>r cabling or customer equipment</w:t>
      </w:r>
    </w:p>
    <w:p w14:paraId="5AE42B29" w14:textId="77777777" w:rsidR="001377D3" w:rsidRPr="00424B9C" w:rsidRDefault="001377D3" w:rsidP="001D137D">
      <w:pPr>
        <w:pStyle w:val="Boxtext"/>
      </w:pPr>
      <w:r>
        <w:rPr>
          <w:b/>
        </w:rPr>
        <w:t xml:space="preserve">Power and immunities </w:t>
      </w:r>
      <w:r w:rsidRPr="00424B9C">
        <w:t>– Rights confirmed on carriers under Schedule 3 of the Telecommunica</w:t>
      </w:r>
      <w:r>
        <w:t>tions</w:t>
      </w:r>
      <w:r w:rsidRPr="00424B9C">
        <w:t xml:space="preserve"> Act enabling them to in</w:t>
      </w:r>
      <w:r>
        <w:t>spect</w:t>
      </w:r>
      <w:r w:rsidRPr="00424B9C">
        <w:t xml:space="preserve"> land and install and maintain certain types </w:t>
      </w:r>
      <w:r>
        <w:t>of</w:t>
      </w:r>
      <w:r w:rsidRPr="00424B9C">
        <w:t xml:space="preserve"> tel</w:t>
      </w:r>
      <w:r>
        <w:t>e</w:t>
      </w:r>
      <w:r w:rsidRPr="00424B9C">
        <w:t>communicatio</w:t>
      </w:r>
      <w:r w:rsidR="004F1C09">
        <w:t>ns</w:t>
      </w:r>
      <w:r w:rsidRPr="00424B9C">
        <w:t xml:space="preserve"> facilities </w:t>
      </w:r>
    </w:p>
    <w:p w14:paraId="7E58A9CB" w14:textId="77777777" w:rsidR="00894E26" w:rsidRPr="001D137D" w:rsidRDefault="00894E26" w:rsidP="001D137D">
      <w:pPr>
        <w:pStyle w:val="Boxtext"/>
      </w:pPr>
      <w:r>
        <w:rPr>
          <w:b/>
        </w:rPr>
        <w:t>Regulations</w:t>
      </w:r>
      <w:r>
        <w:t xml:space="preserve"> </w:t>
      </w:r>
      <w:r w:rsidRPr="00A17A8B">
        <w:rPr>
          <w:b/>
        </w:rPr>
        <w:t>-</w:t>
      </w:r>
      <w:r>
        <w:t xml:space="preserve"> </w:t>
      </w:r>
      <w:r w:rsidRPr="007A151E">
        <w:rPr>
          <w:i/>
        </w:rPr>
        <w:t>Telecommunications Regulations 2001</w:t>
      </w:r>
    </w:p>
    <w:p w14:paraId="2A76D226" w14:textId="77777777" w:rsidR="004F1C09" w:rsidRDefault="004F1C09" w:rsidP="00114E6C">
      <w:pPr>
        <w:pStyle w:val="Boxtext"/>
        <w:rPr>
          <w:b/>
        </w:rPr>
      </w:pPr>
      <w:r>
        <w:rPr>
          <w:b/>
        </w:rPr>
        <w:t xml:space="preserve">Schedule 3 </w:t>
      </w:r>
      <w:r w:rsidRPr="004F1C09">
        <w:t>-</w:t>
      </w:r>
      <w:r w:rsidRPr="00424B9C">
        <w:t xml:space="preserve"> The part of the </w:t>
      </w:r>
      <w:r w:rsidRPr="004F1C09">
        <w:t>Telecommunication</w:t>
      </w:r>
      <w:r>
        <w:t>s</w:t>
      </w:r>
      <w:r w:rsidRPr="00424B9C">
        <w:t xml:space="preserve"> Act set</w:t>
      </w:r>
      <w:r>
        <w:t>ting</w:t>
      </w:r>
      <w:r w:rsidRPr="00424B9C">
        <w:t xml:space="preserve"> out carrier powers and </w:t>
      </w:r>
      <w:r w:rsidRPr="004F1C09">
        <w:t>immunities</w:t>
      </w:r>
    </w:p>
    <w:p w14:paraId="2B68C9F5" w14:textId="77777777" w:rsidR="007A151E" w:rsidRPr="007A151E" w:rsidRDefault="00894E26" w:rsidP="00114E6C">
      <w:pPr>
        <w:pStyle w:val="Boxtext"/>
      </w:pPr>
      <w:r w:rsidRPr="007A151E">
        <w:rPr>
          <w:b/>
        </w:rPr>
        <w:t>TIO</w:t>
      </w:r>
      <w:r>
        <w:t xml:space="preserve"> </w:t>
      </w:r>
      <w:r w:rsidRPr="00A17A8B">
        <w:rPr>
          <w:b/>
        </w:rPr>
        <w:t xml:space="preserve">- </w:t>
      </w:r>
      <w:r w:rsidRPr="007A151E">
        <w:t>Telecommunications Industry Ombudsman – the independent dispute resolution service for telecommunications consumers</w:t>
      </w:r>
      <w:r w:rsidR="004A1111">
        <w:t>, including some powers and immunities issues</w:t>
      </w:r>
    </w:p>
    <w:p w14:paraId="6E1880C9" w14:textId="77777777" w:rsidR="007A151E" w:rsidRPr="007A151E" w:rsidRDefault="007A151E" w:rsidP="007A151E">
      <w:pPr>
        <w:spacing w:after="240"/>
      </w:pPr>
    </w:p>
    <w:bookmarkEnd w:id="13"/>
    <w:p w14:paraId="3D11957B" w14:textId="77777777" w:rsidR="00C51C05" w:rsidRPr="007344BC" w:rsidRDefault="00C51C05" w:rsidP="00D65A7B">
      <w:pPr>
        <w:pStyle w:val="BodyText"/>
      </w:pPr>
    </w:p>
    <w:sectPr w:rsidR="00C51C05" w:rsidRPr="007344BC" w:rsidSect="00A930C3">
      <w:headerReference w:type="default" r:id="rId18"/>
      <w:footerReference w:type="even" r:id="rId19"/>
      <w:footerReference w:type="default" r:id="rId20"/>
      <w:headerReference w:type="first" r:id="rId21"/>
      <w:footerReference w:type="first" r:id="rId22"/>
      <w:pgSz w:w="11906" w:h="16838" w:code="9"/>
      <w:pgMar w:top="1701" w:right="1440" w:bottom="1276" w:left="1440" w:header="510" w:footer="48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D3B31" w14:textId="77777777" w:rsidR="00C45872" w:rsidRDefault="00C45872" w:rsidP="000720AB">
      <w:r>
        <w:separator/>
      </w:r>
    </w:p>
    <w:p w14:paraId="34C4B1B9" w14:textId="77777777" w:rsidR="00C45872" w:rsidRDefault="00C45872"/>
    <w:p w14:paraId="78E2E7D6" w14:textId="77777777" w:rsidR="00C45872" w:rsidRDefault="00C45872"/>
  </w:endnote>
  <w:endnote w:type="continuationSeparator" w:id="0">
    <w:p w14:paraId="70EE5712" w14:textId="77777777" w:rsidR="00C45872" w:rsidRDefault="00C45872" w:rsidP="000720AB">
      <w:r>
        <w:continuationSeparator/>
      </w:r>
    </w:p>
    <w:p w14:paraId="028F50AB" w14:textId="77777777" w:rsidR="00C45872" w:rsidRDefault="00C45872"/>
    <w:p w14:paraId="4F165ECD" w14:textId="77777777" w:rsidR="00C45872" w:rsidRDefault="00C45872"/>
  </w:endnote>
  <w:endnote w:type="continuationNotice" w:id="1">
    <w:p w14:paraId="307D5301" w14:textId="77777777" w:rsidR="00C45872" w:rsidRDefault="00C4587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E4E95" w14:textId="77777777" w:rsidR="00F77D29" w:rsidRDefault="00F77D29"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BB99128" w14:textId="77777777" w:rsidR="00F77D29" w:rsidRDefault="00F77D29" w:rsidP="00FC3687">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EEF39" w14:textId="77777777" w:rsidR="00F77D29" w:rsidRDefault="00F77D29"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96F00">
      <w:rPr>
        <w:rStyle w:val="PageNumber"/>
        <w:noProof/>
      </w:rPr>
      <w:t>5</w:t>
    </w:r>
    <w:r>
      <w:rPr>
        <w:rStyle w:val="PageNumber"/>
      </w:rPr>
      <w:fldChar w:fldCharType="end"/>
    </w:r>
  </w:p>
  <w:p w14:paraId="680C1D05" w14:textId="398A72C5" w:rsidR="00F77D29" w:rsidRDefault="00F77D29" w:rsidP="00FC3687">
    <w:pPr>
      <w:pStyle w:val="Footer"/>
      <w:tabs>
        <w:tab w:val="clear" w:pos="4513"/>
      </w:tabs>
      <w:ind w:firstLine="360"/>
      <w:rPr>
        <w:rStyle w:val="PageNumber"/>
      </w:rPr>
    </w:pPr>
    <w:r>
      <w:rPr>
        <w:noProof/>
        <w:lang w:eastAsia="en-AU"/>
      </w:rPr>
      <w:drawing>
        <wp:anchor distT="0" distB="0" distL="114300" distR="114300" simplePos="0" relativeHeight="251658752" behindDoc="1" locked="0" layoutInCell="1" allowOverlap="1" wp14:anchorId="31732CAE" wp14:editId="2A85D45F">
          <wp:simplePos x="0" y="0"/>
          <wp:positionH relativeFrom="page">
            <wp:align>left</wp:align>
          </wp:positionH>
          <wp:positionV relativeFrom="page">
            <wp:align>bottom</wp:align>
          </wp:positionV>
          <wp:extent cx="7559040" cy="725424"/>
          <wp:effectExtent l="0" t="0" r="3810" b="0"/>
          <wp:wrapNone/>
          <wp:docPr id="12" name="Picture 12" descr="Blank blue bar" title="Department of Communications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254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37C48">
      <w:rPr>
        <w:noProof/>
        <w:lang w:eastAsia="en-AU"/>
      </w:rPr>
      <w:t>Amending c</w:t>
    </w:r>
    <w:r>
      <w:rPr>
        <w:noProof/>
        <w:lang w:eastAsia="en-AU"/>
      </w:rPr>
      <w:t xml:space="preserve">arrier powers &amp; immunities to support </w:t>
    </w:r>
    <w:r w:rsidR="00B37C48">
      <w:rPr>
        <w:noProof/>
        <w:lang w:eastAsia="en-AU"/>
      </w:rPr>
      <w:t>multi-technology</w:t>
    </w:r>
    <w:r>
      <w:rPr>
        <w:noProof/>
        <w:lang w:eastAsia="en-AU"/>
      </w:rPr>
      <w:t xml:space="preserve"> </w:t>
    </w:r>
    <w:r w:rsidR="00B37C48">
      <w:rPr>
        <w:noProof/>
        <w:lang w:eastAsia="en-AU"/>
      </w:rPr>
      <w:t>rollouts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D2B5F" w14:textId="77777777" w:rsidR="00F77D29" w:rsidRPr="002E2136" w:rsidRDefault="00F77D29" w:rsidP="00230F08">
    <w:pPr>
      <w:pStyle w:val="Footer"/>
      <w:tabs>
        <w:tab w:val="clear" w:pos="9026"/>
        <w:tab w:val="left" w:pos="6416"/>
      </w:tabs>
      <w:ind w:right="-618"/>
      <w:rPr>
        <w:rFonts w:ascii="Arial" w:hAnsi="Arial"/>
        <w:sz w:val="18"/>
      </w:rPr>
    </w:pPr>
    <w:r w:rsidRPr="002E2136">
      <w:rPr>
        <w:noProof/>
        <w:lang w:eastAsia="en-AU"/>
      </w:rPr>
      <w:drawing>
        <wp:anchor distT="0" distB="0" distL="114300" distR="114300" simplePos="0" relativeHeight="251656704" behindDoc="1" locked="0" layoutInCell="1" allowOverlap="1" wp14:anchorId="6C4D78F7" wp14:editId="73267B56">
          <wp:simplePos x="0" y="0"/>
          <wp:positionH relativeFrom="page">
            <wp:align>left</wp:align>
          </wp:positionH>
          <wp:positionV relativeFrom="page">
            <wp:align>bottom</wp:align>
          </wp:positionV>
          <wp:extent cx="7559040" cy="725424"/>
          <wp:effectExtent l="0" t="0" r="3810" b="0"/>
          <wp:wrapNone/>
          <wp:docPr id="14" name="Picture 14" descr="Navy bar" title="Department of Communications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254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E2136">
      <w:rPr>
        <w:rFonts w:ascii="Arial" w:hAnsi="Arial"/>
        <w:sz w:val="18"/>
      </w:rPr>
      <w:t xml:space="preserve">GPO Box 2154 Canberra ACT 2601 Australia </w:t>
    </w:r>
    <w:r w:rsidRPr="002E2136">
      <w:rPr>
        <w:rFonts w:ascii="Arial" w:hAnsi="Arial"/>
        <w:sz w:val="18"/>
      </w:rPr>
      <w:sym w:font="Wingdings" w:char="F09F"/>
    </w:r>
    <w:r>
      <w:rPr>
        <w:rFonts w:ascii="Arial" w:hAnsi="Arial"/>
        <w:sz w:val="18"/>
      </w:rPr>
      <w:t xml:space="preserve"> telephone 02 6271 </w:t>
    </w:r>
    <w:r w:rsidRPr="002E2136">
      <w:rPr>
        <w:rFonts w:ascii="Arial" w:hAnsi="Arial"/>
        <w:sz w:val="18"/>
      </w:rPr>
      <w:t>1000</w:t>
    </w:r>
    <w:r>
      <w:rPr>
        <w:rFonts w:ascii="Arial" w:hAnsi="Arial"/>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DD3B5" w14:textId="77777777" w:rsidR="00C45872" w:rsidRDefault="00C45872" w:rsidP="000720AB">
      <w:r>
        <w:separator/>
      </w:r>
    </w:p>
    <w:p w14:paraId="685F8FA8" w14:textId="77777777" w:rsidR="00C45872" w:rsidRDefault="00C45872"/>
    <w:p w14:paraId="3517161F" w14:textId="77777777" w:rsidR="00C45872" w:rsidRDefault="00C45872"/>
  </w:footnote>
  <w:footnote w:type="continuationSeparator" w:id="0">
    <w:p w14:paraId="296B50BF" w14:textId="77777777" w:rsidR="00C45872" w:rsidRDefault="00C45872" w:rsidP="000720AB">
      <w:r>
        <w:continuationSeparator/>
      </w:r>
    </w:p>
    <w:p w14:paraId="15057167" w14:textId="77777777" w:rsidR="00C45872" w:rsidRDefault="00C45872"/>
    <w:p w14:paraId="0CDC30DF" w14:textId="77777777" w:rsidR="00C45872" w:rsidRDefault="00C45872"/>
  </w:footnote>
  <w:footnote w:type="continuationNotice" w:id="1">
    <w:p w14:paraId="4C809941" w14:textId="77777777" w:rsidR="00C45872" w:rsidRDefault="00C45872">
      <w:pPr>
        <w:spacing w:before="0"/>
      </w:pPr>
    </w:p>
  </w:footnote>
  <w:footnote w:id="2">
    <w:p w14:paraId="265689C1" w14:textId="77777777" w:rsidR="00F77D29" w:rsidRDefault="00F77D29" w:rsidP="007A151E">
      <w:pPr>
        <w:pStyle w:val="FootnoteText"/>
      </w:pPr>
      <w:r>
        <w:rPr>
          <w:rStyle w:val="FootnoteReference"/>
        </w:rPr>
        <w:footnoteRef/>
      </w:r>
      <w:r>
        <w:t xml:space="preserve"> F</w:t>
      </w:r>
      <w:r w:rsidRPr="00F71B2F">
        <w:t xml:space="preserve">or further explanation of this term see the explanatory statement </w:t>
      </w:r>
      <w:r>
        <w:t xml:space="preserve">at </w:t>
      </w:r>
      <w:hyperlink r:id="rId1" w:history="1">
        <w:r w:rsidRPr="00DB5D1B">
          <w:rPr>
            <w:rStyle w:val="Hyperlink"/>
          </w:rPr>
          <w:t>www.comlaw.gov.au/Details/F2011L02696/Explanatory%20Statement/Text</w:t>
        </w:r>
      </w:hyperlink>
      <w:r>
        <w:t xml:space="preserve"> </w:t>
      </w:r>
      <w:r w:rsidRPr="00F71B2F">
        <w:t xml:space="preserve">for the </w:t>
      </w:r>
      <w:r w:rsidRPr="00F71B2F">
        <w:rPr>
          <w:i/>
        </w:rPr>
        <w:t>Telecommunications (Low-impact Facilities) Determination 1997 (Amendment No. 1 of 2011)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526D" w14:textId="03557F74" w:rsidR="00F77D29" w:rsidRPr="00AA2566" w:rsidRDefault="00F77D29" w:rsidP="002810BE">
    <w:pPr>
      <w:pStyle w:val="Header"/>
    </w:pPr>
    <w:r>
      <w:rPr>
        <w:noProof/>
        <w:lang w:eastAsia="en-AU"/>
      </w:rPr>
      <w:drawing>
        <wp:anchor distT="0" distB="0" distL="114300" distR="114300" simplePos="0" relativeHeight="251655680" behindDoc="1" locked="0" layoutInCell="1" allowOverlap="1" wp14:anchorId="0E67D11D" wp14:editId="3FCE0F31">
          <wp:simplePos x="0" y="0"/>
          <wp:positionH relativeFrom="page">
            <wp:posOffset>0</wp:posOffset>
          </wp:positionH>
          <wp:positionV relativeFrom="page">
            <wp:posOffset>0</wp:posOffset>
          </wp:positionV>
          <wp:extent cx="7634630" cy="406359"/>
          <wp:effectExtent l="0" t="0" r="0" b="0"/>
          <wp:wrapNone/>
          <wp:docPr id="11" name="Picture 1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r>
    <w:r w:rsidRPr="00AA2566">
      <w:t>Department of Communications</w:t>
    </w:r>
    <w:r>
      <w:tab/>
    </w:r>
    <w:r w:rsidRPr="00AA2566">
      <w:tab/>
    </w:r>
    <w:fldSimple w:instr=" STYLEREF  &quot;Title date&quot;  \* MERGEFORMAT ">
      <w:r w:rsidR="00E96F00">
        <w:rPr>
          <w:noProof/>
        </w:rPr>
        <w:t>12 June 2015</w:t>
      </w:r>
    </w:fldSimple>
    <w:r>
      <w:rPr>
        <w:noProof/>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41880" w14:textId="77777777" w:rsidR="00F77D29" w:rsidRPr="00583203" w:rsidRDefault="00F77D29" w:rsidP="00583203">
    <w:pPr>
      <w:pStyle w:val="Header"/>
    </w:pPr>
    <w:r>
      <w:rPr>
        <w:noProof/>
        <w:lang w:eastAsia="en-AU"/>
      </w:rPr>
      <w:drawing>
        <wp:anchor distT="0" distB="0" distL="114300" distR="114300" simplePos="0" relativeHeight="251657728" behindDoc="1" locked="0" layoutInCell="1" allowOverlap="1" wp14:anchorId="6B310D16" wp14:editId="53CFF742">
          <wp:simplePos x="0" y="0"/>
          <wp:positionH relativeFrom="page">
            <wp:posOffset>0</wp:posOffset>
          </wp:positionH>
          <wp:positionV relativeFrom="page">
            <wp:posOffset>1270</wp:posOffset>
          </wp:positionV>
          <wp:extent cx="7651750" cy="99656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 A4 Cover FA.png"/>
                  <pic:cNvPicPr/>
                </pic:nvPicPr>
                <pic:blipFill rotWithShape="1">
                  <a:blip r:embed="rId1">
                    <a:extLst>
                      <a:ext uri="{28A0092B-C50C-407E-A947-70E740481C1C}">
                        <a14:useLocalDpi xmlns:a14="http://schemas.microsoft.com/office/drawing/2010/main" val="0"/>
                      </a:ext>
                    </a:extLst>
                  </a:blip>
                  <a:srcRect b="7922"/>
                  <a:stretch/>
                </pic:blipFill>
                <pic:spPr bwMode="auto">
                  <a:xfrm>
                    <a:off x="0" y="0"/>
                    <a:ext cx="7652084" cy="9966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nsid w:val="FFFFFF89"/>
    <w:multiLevelType w:val="singleLevel"/>
    <w:tmpl w:val="937A17B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8530EAE"/>
    <w:multiLevelType w:val="multilevel"/>
    <w:tmpl w:val="AD7E390E"/>
    <w:lvl w:ilvl="0">
      <w:start w:val="1"/>
      <w:numFmt w:val="bullet"/>
      <w:lvlText w:val=""/>
      <w:lvlJc w:val="left"/>
      <w:pPr>
        <w:ind w:left="340" w:hanging="340"/>
      </w:pPr>
      <w:rPr>
        <w:rFonts w:ascii="Symbol" w:hAnsi="Symbol" w:hint="default"/>
        <w:color w:val="00728F"/>
        <w:sz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12">
    <w:nsid w:val="0FE878E1"/>
    <w:multiLevelType w:val="multilevel"/>
    <w:tmpl w:val="209A2EFC"/>
    <w:lvl w:ilvl="0">
      <w:start w:val="1"/>
      <w:numFmt w:val="decimal"/>
      <w:lvlText w:val="%1."/>
      <w:lvlJc w:val="left"/>
      <w:pPr>
        <w:ind w:left="680" w:hanging="340"/>
      </w:pPr>
      <w:rPr>
        <w:rFonts w:hint="default"/>
        <w:b/>
        <w:i w:val="0"/>
        <w:color w:val="00728F"/>
        <w:sz w:val="22"/>
      </w:rPr>
    </w:lvl>
    <w:lvl w:ilvl="1">
      <w:start w:val="1"/>
      <w:numFmt w:val="lowerLetter"/>
      <w:lvlText w:val="%2."/>
      <w:lvlJc w:val="left"/>
      <w:pPr>
        <w:ind w:left="1020" w:hanging="340"/>
      </w:pPr>
      <w:rPr>
        <w:rFonts w:hint="default"/>
        <w:b/>
        <w:i w:val="0"/>
        <w:color w:val="00728F"/>
        <w:sz w:val="22"/>
      </w:rPr>
    </w:lvl>
    <w:lvl w:ilvl="2">
      <w:start w:val="1"/>
      <w:numFmt w:val="lowerRoman"/>
      <w:lvlText w:val="%3"/>
      <w:lvlJc w:val="left"/>
      <w:pPr>
        <w:ind w:left="1361" w:hanging="341"/>
      </w:pPr>
      <w:rPr>
        <w:rFonts w:hint="default"/>
        <w:b/>
        <w:i w:val="0"/>
        <w:color w:val="00728F"/>
        <w:sz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13">
    <w:nsid w:val="142506AF"/>
    <w:multiLevelType w:val="hybridMultilevel"/>
    <w:tmpl w:val="4A6EEE1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AA143D"/>
    <w:multiLevelType w:val="hybridMultilevel"/>
    <w:tmpl w:val="38E04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585232D"/>
    <w:multiLevelType w:val="hybridMultilevel"/>
    <w:tmpl w:val="71043568"/>
    <w:lvl w:ilvl="0" w:tplc="8B24810E">
      <w:start w:val="1"/>
      <w:numFmt w:val="lowerLetter"/>
      <w:pStyle w:val="Boxlist-Alpha"/>
      <w:lvlText w:val="%1."/>
      <w:lvlJc w:val="left"/>
      <w:pPr>
        <w:ind w:left="558" w:hanging="360"/>
      </w:pPr>
      <w:rPr>
        <w:rFonts w:hint="default"/>
        <w:b/>
        <w:i w:val="0"/>
        <w:color w:val="00728F"/>
        <w:sz w:val="22"/>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18">
    <w:nsid w:val="275A6BF4"/>
    <w:multiLevelType w:val="multilevel"/>
    <w:tmpl w:val="76121128"/>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2608" w:hanging="907"/>
      </w:pPr>
      <w:rPr>
        <w:rFonts w:hint="default"/>
      </w:rPr>
    </w:lvl>
    <w:lvl w:ilvl="2">
      <w:start w:val="1"/>
      <w:numFmt w:val="decimal"/>
      <w:pStyle w:val="Heading3"/>
      <w:lvlText w:val="%1.%2.%3."/>
      <w:lvlJc w:val="left"/>
      <w:pPr>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2B312603"/>
    <w:multiLevelType w:val="hybridMultilevel"/>
    <w:tmpl w:val="DF3A4E18"/>
    <w:lvl w:ilvl="0" w:tplc="9C526366">
      <w:numFmt w:val="bullet"/>
      <w:lvlText w:val="-"/>
      <w:lvlJc w:val="left"/>
      <w:pPr>
        <w:ind w:left="720" w:hanging="360"/>
      </w:pPr>
      <w:rPr>
        <w:rFonts w:ascii="Calibri" w:eastAsiaTheme="minorHAnsi" w:hAnsi="Calibri"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nsid w:val="2F5A4D63"/>
    <w:multiLevelType w:val="hybridMultilevel"/>
    <w:tmpl w:val="904674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66E5416"/>
    <w:multiLevelType w:val="multilevel"/>
    <w:tmpl w:val="1FC2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6606BB"/>
    <w:multiLevelType w:val="multilevel"/>
    <w:tmpl w:val="551EBC20"/>
    <w:lvl w:ilvl="0">
      <w:start w:val="1"/>
      <w:numFmt w:val="decimal"/>
      <w:pStyle w:val="Bodynumbered-Level1"/>
      <w:lvlText w:val="%1."/>
      <w:lvlJc w:val="left"/>
      <w:pPr>
        <w:ind w:left="680" w:hanging="340"/>
      </w:pPr>
      <w:rPr>
        <w:rFonts w:hint="default"/>
        <w:b/>
        <w:bCs/>
        <w:i w:val="0"/>
        <w:iCs w:val="0"/>
        <w:color w:val="0072B9"/>
        <w:sz w:val="22"/>
        <w:szCs w:val="22"/>
      </w:rPr>
    </w:lvl>
    <w:lvl w:ilvl="1">
      <w:start w:val="1"/>
      <w:numFmt w:val="lowerLetter"/>
      <w:pStyle w:val="Bodynumbered-Level2"/>
      <w:lvlText w:val="%2."/>
      <w:lvlJc w:val="left"/>
      <w:pPr>
        <w:ind w:left="1020" w:hanging="340"/>
      </w:pPr>
      <w:rPr>
        <w:rFonts w:hint="default"/>
        <w:b/>
        <w:bCs/>
        <w:i w:val="0"/>
        <w:iCs w:val="0"/>
        <w:color w:val="0072B9"/>
        <w:sz w:val="22"/>
        <w:szCs w:val="22"/>
      </w:rPr>
    </w:lvl>
    <w:lvl w:ilvl="2">
      <w:start w:val="1"/>
      <w:numFmt w:val="lowerRoman"/>
      <w:pStyle w:val="Bodynumbered-Level3"/>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24">
    <w:nsid w:val="47456B86"/>
    <w:multiLevelType w:val="hybridMultilevel"/>
    <w:tmpl w:val="69EE611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nsid w:val="4776506B"/>
    <w:multiLevelType w:val="hybridMultilevel"/>
    <w:tmpl w:val="B8925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BF77995"/>
    <w:multiLevelType w:val="multilevel"/>
    <w:tmpl w:val="A7C81342"/>
    <w:lvl w:ilvl="0">
      <w:start w:val="1"/>
      <w:numFmt w:val="bullet"/>
      <w:pStyle w:val="Bodybullet-Level1"/>
      <w:lvlText w:val=""/>
      <w:lvlJc w:val="left"/>
      <w:pPr>
        <w:ind w:left="340" w:hanging="340"/>
      </w:pPr>
      <w:rPr>
        <w:rFonts w:ascii="Symbol" w:hAnsi="Symbol" w:hint="default"/>
        <w:color w:val="00728F"/>
        <w:sz w:val="18"/>
      </w:rPr>
    </w:lvl>
    <w:lvl w:ilvl="1">
      <w:start w:val="1"/>
      <w:numFmt w:val="bullet"/>
      <w:pStyle w:val="Bodybullet-Level2"/>
      <w:lvlText w:val="­"/>
      <w:lvlJc w:val="left"/>
      <w:pPr>
        <w:ind w:left="680" w:hanging="340"/>
      </w:pPr>
      <w:rPr>
        <w:rFonts w:ascii="Courier New" w:hAnsi="Courier New" w:hint="default"/>
        <w:color w:val="00728F"/>
        <w:sz w:val="18"/>
      </w:rPr>
    </w:lvl>
    <w:lvl w:ilvl="2">
      <w:start w:val="1"/>
      <w:numFmt w:val="bullet"/>
      <w:pStyle w:val="Bodybullet-Level3"/>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7">
    <w:nsid w:val="60E15E51"/>
    <w:multiLevelType w:val="multilevel"/>
    <w:tmpl w:val="978EC210"/>
    <w:lvl w:ilvl="0">
      <w:start w:val="1"/>
      <w:numFmt w:val="bullet"/>
      <w:pStyle w:val="Tablebullet-Level1"/>
      <w:lvlText w:val=""/>
      <w:lvlJc w:val="left"/>
      <w:pPr>
        <w:ind w:left="340" w:hanging="340"/>
      </w:pPr>
      <w:rPr>
        <w:rFonts w:ascii="Symbol" w:hAnsi="Symbol" w:hint="default"/>
        <w:color w:val="0072B9"/>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8">
    <w:nsid w:val="687A596A"/>
    <w:multiLevelType w:val="hybridMultilevel"/>
    <w:tmpl w:val="8DA2F95A"/>
    <w:lvl w:ilvl="0" w:tplc="CB3C63C2">
      <w:start w:val="1"/>
      <w:numFmt w:val="decimal"/>
      <w:pStyle w:val="Boxlist-Numbered"/>
      <w:lvlText w:val="Question %1."/>
      <w:lvlJc w:val="left"/>
      <w:pPr>
        <w:ind w:left="558" w:hanging="360"/>
      </w:pPr>
      <w:rPr>
        <w:rFonts w:hint="default"/>
        <w:b/>
        <w:i w:val="0"/>
        <w:color w:val="00728F"/>
        <w:sz w:val="20"/>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29">
    <w:nsid w:val="68F66580"/>
    <w:multiLevelType w:val="hybridMultilevel"/>
    <w:tmpl w:val="41DE4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E1F7CC9"/>
    <w:multiLevelType w:val="hybridMultilevel"/>
    <w:tmpl w:val="1206F69E"/>
    <w:lvl w:ilvl="0" w:tplc="EE109B52">
      <w:start w:val="1"/>
      <w:numFmt w:val="decimal"/>
      <w:pStyle w:val="Tablelist-Numbered"/>
      <w:lvlText w:val="%1."/>
      <w:lvlJc w:val="left"/>
      <w:pPr>
        <w:ind w:left="394" w:hanging="360"/>
      </w:pPr>
      <w:rPr>
        <w:rFonts w:hint="default"/>
        <w:b/>
        <w:i w:val="0"/>
        <w:color w:val="00728F"/>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B50E39"/>
    <w:multiLevelType w:val="hybridMultilevel"/>
    <w:tmpl w:val="B54A8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5050778"/>
    <w:multiLevelType w:val="multilevel"/>
    <w:tmpl w:val="DAB27858"/>
    <w:lvl w:ilvl="0">
      <w:start w:val="1"/>
      <w:numFmt w:val="upperLetter"/>
      <w:pStyle w:val="Endmatter-Heading1"/>
      <w:lvlText w:val="%1."/>
      <w:lvlJc w:val="left"/>
      <w:pPr>
        <w:ind w:left="907" w:hanging="907"/>
      </w:pPr>
      <w:rPr>
        <w:rFonts w:hint="default"/>
      </w:rPr>
    </w:lvl>
    <w:lvl w:ilvl="1">
      <w:start w:val="1"/>
      <w:numFmt w:val="decimal"/>
      <w:pStyle w:val="Endmatter-Heading2"/>
      <w:lvlText w:val="%1.%2."/>
      <w:lvlJc w:val="left"/>
      <w:pPr>
        <w:ind w:left="907" w:hanging="907"/>
      </w:pPr>
      <w:rPr>
        <w:rFonts w:hint="default"/>
      </w:rPr>
    </w:lvl>
    <w:lvl w:ilvl="2">
      <w:start w:val="1"/>
      <w:numFmt w:val="decimal"/>
      <w:pStyle w:val="Endmatter-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nsid w:val="7E7E7717"/>
    <w:multiLevelType w:val="hybridMultilevel"/>
    <w:tmpl w:val="392A5190"/>
    <w:lvl w:ilvl="0" w:tplc="ADDA32E8">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7"/>
  </w:num>
  <w:num w:numId="13">
    <w:abstractNumId w:val="23"/>
  </w:num>
  <w:num w:numId="14">
    <w:abstractNumId w:val="33"/>
  </w:num>
  <w:num w:numId="15">
    <w:abstractNumId w:val="17"/>
  </w:num>
  <w:num w:numId="16">
    <w:abstractNumId w:val="30"/>
  </w:num>
  <w:num w:numId="17">
    <w:abstractNumId w:val="31"/>
  </w:num>
  <w:num w:numId="18">
    <w:abstractNumId w:val="10"/>
  </w:num>
  <w:num w:numId="19">
    <w:abstractNumId w:val="20"/>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4"/>
  </w:num>
  <w:num w:numId="23">
    <w:abstractNumId w:val="28"/>
    <w:lvlOverride w:ilvl="0">
      <w:startOverride w:val="1"/>
    </w:lvlOverride>
  </w:num>
  <w:num w:numId="24">
    <w:abstractNumId w:val="21"/>
  </w:num>
  <w:num w:numId="25">
    <w:abstractNumId w:val="27"/>
  </w:num>
  <w:num w:numId="26">
    <w:abstractNumId w:val="27"/>
  </w:num>
  <w:num w:numId="27">
    <w:abstractNumId w:val="27"/>
  </w:num>
  <w:num w:numId="28">
    <w:abstractNumId w:val="27"/>
  </w:num>
  <w:num w:numId="29">
    <w:abstractNumId w:val="27"/>
  </w:num>
  <w:num w:numId="30">
    <w:abstractNumId w:val="27"/>
  </w:num>
  <w:num w:numId="31">
    <w:abstractNumId w:val="27"/>
  </w:num>
  <w:num w:numId="32">
    <w:abstractNumId w:val="27"/>
  </w:num>
  <w:num w:numId="33">
    <w:abstractNumId w:val="27"/>
  </w:num>
  <w:num w:numId="34">
    <w:abstractNumId w:val="13"/>
  </w:num>
  <w:num w:numId="35">
    <w:abstractNumId w:val="25"/>
  </w:num>
  <w:num w:numId="36">
    <w:abstractNumId w:val="24"/>
  </w:num>
  <w:num w:numId="37">
    <w:abstractNumId w:val="14"/>
  </w:num>
  <w:num w:numId="38">
    <w:abstractNumId w:val="18"/>
  </w:num>
  <w:num w:numId="39">
    <w:abstractNumId w:val="22"/>
  </w:num>
  <w:num w:numId="40">
    <w:abstractNumId w:val="26"/>
  </w:num>
  <w:num w:numId="41">
    <w:abstractNumId w:val="28"/>
    <w:lvlOverride w:ilvl="0">
      <w:startOverride w:val="1"/>
    </w:lvlOverride>
  </w:num>
  <w:num w:numId="42">
    <w:abstractNumId w:val="12"/>
  </w:num>
  <w:num w:numId="43">
    <w:abstractNumId w:val="11"/>
  </w:num>
  <w:num w:numId="44">
    <w:abstractNumId w:val="35"/>
  </w:num>
  <w:num w:numId="45">
    <w:abstractNumId w:val="15"/>
  </w:num>
  <w:num w:numId="46">
    <w:abstractNumId w:val="19"/>
  </w:num>
  <w:num w:numId="47">
    <w:abstractNumId w:val="32"/>
  </w:num>
  <w:num w:numId="48">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clickAndTypeStyle w:val="BodyText"/>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F5D"/>
    <w:rsid w:val="0000179F"/>
    <w:rsid w:val="00002089"/>
    <w:rsid w:val="00002AA3"/>
    <w:rsid w:val="00002B0D"/>
    <w:rsid w:val="000047C6"/>
    <w:rsid w:val="000047CD"/>
    <w:rsid w:val="00006E19"/>
    <w:rsid w:val="00006F87"/>
    <w:rsid w:val="0000704D"/>
    <w:rsid w:val="00007B8A"/>
    <w:rsid w:val="000100BE"/>
    <w:rsid w:val="00010C91"/>
    <w:rsid w:val="000110DE"/>
    <w:rsid w:val="0001191A"/>
    <w:rsid w:val="00012094"/>
    <w:rsid w:val="00012AE9"/>
    <w:rsid w:val="000131B2"/>
    <w:rsid w:val="00013855"/>
    <w:rsid w:val="00013CC0"/>
    <w:rsid w:val="000152CC"/>
    <w:rsid w:val="0001555A"/>
    <w:rsid w:val="000159C9"/>
    <w:rsid w:val="000164FF"/>
    <w:rsid w:val="00017B31"/>
    <w:rsid w:val="00017E32"/>
    <w:rsid w:val="000223A5"/>
    <w:rsid w:val="00022B50"/>
    <w:rsid w:val="00023528"/>
    <w:rsid w:val="00023A8C"/>
    <w:rsid w:val="00024E7E"/>
    <w:rsid w:val="0002566E"/>
    <w:rsid w:val="0002587A"/>
    <w:rsid w:val="00026060"/>
    <w:rsid w:val="00027B9E"/>
    <w:rsid w:val="00030058"/>
    <w:rsid w:val="0003155B"/>
    <w:rsid w:val="00032065"/>
    <w:rsid w:val="00032710"/>
    <w:rsid w:val="00033C18"/>
    <w:rsid w:val="00034CEC"/>
    <w:rsid w:val="000360AD"/>
    <w:rsid w:val="000377B8"/>
    <w:rsid w:val="00037AD6"/>
    <w:rsid w:val="00037CA9"/>
    <w:rsid w:val="0004069A"/>
    <w:rsid w:val="000412CD"/>
    <w:rsid w:val="00041604"/>
    <w:rsid w:val="00041838"/>
    <w:rsid w:val="00042244"/>
    <w:rsid w:val="00042873"/>
    <w:rsid w:val="0004408C"/>
    <w:rsid w:val="0004449A"/>
    <w:rsid w:val="00050750"/>
    <w:rsid w:val="0005092C"/>
    <w:rsid w:val="00050989"/>
    <w:rsid w:val="00050A5E"/>
    <w:rsid w:val="000521EF"/>
    <w:rsid w:val="00052217"/>
    <w:rsid w:val="00052EC8"/>
    <w:rsid w:val="00053829"/>
    <w:rsid w:val="00055535"/>
    <w:rsid w:val="00056B35"/>
    <w:rsid w:val="00056B4A"/>
    <w:rsid w:val="000603E6"/>
    <w:rsid w:val="000607C2"/>
    <w:rsid w:val="00061410"/>
    <w:rsid w:val="000618CD"/>
    <w:rsid w:val="00061F8D"/>
    <w:rsid w:val="0006249D"/>
    <w:rsid w:val="00062980"/>
    <w:rsid w:val="00063027"/>
    <w:rsid w:val="0006349F"/>
    <w:rsid w:val="000637E2"/>
    <w:rsid w:val="00064541"/>
    <w:rsid w:val="00065352"/>
    <w:rsid w:val="00066461"/>
    <w:rsid w:val="0006653C"/>
    <w:rsid w:val="00066BB9"/>
    <w:rsid w:val="00067AD2"/>
    <w:rsid w:val="00067EEA"/>
    <w:rsid w:val="00070D7F"/>
    <w:rsid w:val="000720AB"/>
    <w:rsid w:val="0007225F"/>
    <w:rsid w:val="0007357C"/>
    <w:rsid w:val="00076380"/>
    <w:rsid w:val="00077461"/>
    <w:rsid w:val="00081606"/>
    <w:rsid w:val="00081631"/>
    <w:rsid w:val="000837D7"/>
    <w:rsid w:val="00083BD0"/>
    <w:rsid w:val="0008502C"/>
    <w:rsid w:val="000855F7"/>
    <w:rsid w:val="00086961"/>
    <w:rsid w:val="00086BE9"/>
    <w:rsid w:val="00086D70"/>
    <w:rsid w:val="00087E23"/>
    <w:rsid w:val="000905C3"/>
    <w:rsid w:val="0009060A"/>
    <w:rsid w:val="00090EDA"/>
    <w:rsid w:val="00091098"/>
    <w:rsid w:val="00091504"/>
    <w:rsid w:val="00091AB8"/>
    <w:rsid w:val="0009379A"/>
    <w:rsid w:val="000963A9"/>
    <w:rsid w:val="00096718"/>
    <w:rsid w:val="000974FD"/>
    <w:rsid w:val="000A0250"/>
    <w:rsid w:val="000A04ED"/>
    <w:rsid w:val="000A13C3"/>
    <w:rsid w:val="000A199D"/>
    <w:rsid w:val="000A28D6"/>
    <w:rsid w:val="000A2CCA"/>
    <w:rsid w:val="000A2EE5"/>
    <w:rsid w:val="000A3229"/>
    <w:rsid w:val="000A3632"/>
    <w:rsid w:val="000A36C3"/>
    <w:rsid w:val="000A4198"/>
    <w:rsid w:val="000A4478"/>
    <w:rsid w:val="000A5027"/>
    <w:rsid w:val="000A545A"/>
    <w:rsid w:val="000A5AD0"/>
    <w:rsid w:val="000A5C6E"/>
    <w:rsid w:val="000B114C"/>
    <w:rsid w:val="000B3A36"/>
    <w:rsid w:val="000B4738"/>
    <w:rsid w:val="000B6D53"/>
    <w:rsid w:val="000B758F"/>
    <w:rsid w:val="000C0060"/>
    <w:rsid w:val="000C2441"/>
    <w:rsid w:val="000C26D2"/>
    <w:rsid w:val="000C29F5"/>
    <w:rsid w:val="000C3BB3"/>
    <w:rsid w:val="000C6BE4"/>
    <w:rsid w:val="000C6EA5"/>
    <w:rsid w:val="000D0D3B"/>
    <w:rsid w:val="000D1670"/>
    <w:rsid w:val="000D17E3"/>
    <w:rsid w:val="000D1844"/>
    <w:rsid w:val="000D18DD"/>
    <w:rsid w:val="000D1A93"/>
    <w:rsid w:val="000D24D3"/>
    <w:rsid w:val="000D4721"/>
    <w:rsid w:val="000D4C2E"/>
    <w:rsid w:val="000D5E3B"/>
    <w:rsid w:val="000E01C6"/>
    <w:rsid w:val="000E03CD"/>
    <w:rsid w:val="000E0961"/>
    <w:rsid w:val="000E2323"/>
    <w:rsid w:val="000E30FC"/>
    <w:rsid w:val="000E33DB"/>
    <w:rsid w:val="000E4A7A"/>
    <w:rsid w:val="000E66CB"/>
    <w:rsid w:val="000E739C"/>
    <w:rsid w:val="000E7483"/>
    <w:rsid w:val="000E74C3"/>
    <w:rsid w:val="000F0702"/>
    <w:rsid w:val="000F0A6C"/>
    <w:rsid w:val="000F1795"/>
    <w:rsid w:val="000F2204"/>
    <w:rsid w:val="000F257B"/>
    <w:rsid w:val="000F2E50"/>
    <w:rsid w:val="000F31C5"/>
    <w:rsid w:val="000F429A"/>
    <w:rsid w:val="000F43F5"/>
    <w:rsid w:val="000F494B"/>
    <w:rsid w:val="000F6A07"/>
    <w:rsid w:val="00100A92"/>
    <w:rsid w:val="00102808"/>
    <w:rsid w:val="0010379E"/>
    <w:rsid w:val="001059EB"/>
    <w:rsid w:val="001065EE"/>
    <w:rsid w:val="00107198"/>
    <w:rsid w:val="001103DB"/>
    <w:rsid w:val="00110510"/>
    <w:rsid w:val="0011167D"/>
    <w:rsid w:val="00113957"/>
    <w:rsid w:val="00114A38"/>
    <w:rsid w:val="00114E6C"/>
    <w:rsid w:val="00115188"/>
    <w:rsid w:val="00116AA0"/>
    <w:rsid w:val="00116F10"/>
    <w:rsid w:val="00116FF7"/>
    <w:rsid w:val="0011700E"/>
    <w:rsid w:val="00122D70"/>
    <w:rsid w:val="001240ED"/>
    <w:rsid w:val="00125A47"/>
    <w:rsid w:val="001263C2"/>
    <w:rsid w:val="001274F6"/>
    <w:rsid w:val="001310B2"/>
    <w:rsid w:val="001313C5"/>
    <w:rsid w:val="00131519"/>
    <w:rsid w:val="001326A9"/>
    <w:rsid w:val="00133178"/>
    <w:rsid w:val="00133D14"/>
    <w:rsid w:val="00134513"/>
    <w:rsid w:val="001348CD"/>
    <w:rsid w:val="00134A17"/>
    <w:rsid w:val="00135456"/>
    <w:rsid w:val="00136C8B"/>
    <w:rsid w:val="001373C7"/>
    <w:rsid w:val="001377D3"/>
    <w:rsid w:val="001379ED"/>
    <w:rsid w:val="00137ADC"/>
    <w:rsid w:val="001406B6"/>
    <w:rsid w:val="00141833"/>
    <w:rsid w:val="0014194F"/>
    <w:rsid w:val="001435DB"/>
    <w:rsid w:val="00143825"/>
    <w:rsid w:val="00143C9B"/>
    <w:rsid w:val="001441A7"/>
    <w:rsid w:val="00144809"/>
    <w:rsid w:val="00144838"/>
    <w:rsid w:val="00144DED"/>
    <w:rsid w:val="00145933"/>
    <w:rsid w:val="001471F5"/>
    <w:rsid w:val="00147E77"/>
    <w:rsid w:val="0015033C"/>
    <w:rsid w:val="00151125"/>
    <w:rsid w:val="001517A4"/>
    <w:rsid w:val="00152337"/>
    <w:rsid w:val="00152846"/>
    <w:rsid w:val="001571EB"/>
    <w:rsid w:val="00160424"/>
    <w:rsid w:val="00160B73"/>
    <w:rsid w:val="00161D9F"/>
    <w:rsid w:val="00161DFE"/>
    <w:rsid w:val="00162282"/>
    <w:rsid w:val="00162724"/>
    <w:rsid w:val="001648DF"/>
    <w:rsid w:val="00165B80"/>
    <w:rsid w:val="001660A0"/>
    <w:rsid w:val="0016624A"/>
    <w:rsid w:val="00170D4C"/>
    <w:rsid w:val="00171110"/>
    <w:rsid w:val="00172565"/>
    <w:rsid w:val="001733DE"/>
    <w:rsid w:val="00173F0E"/>
    <w:rsid w:val="0017517F"/>
    <w:rsid w:val="00175547"/>
    <w:rsid w:val="00175B5B"/>
    <w:rsid w:val="00175E61"/>
    <w:rsid w:val="00177050"/>
    <w:rsid w:val="00180CE3"/>
    <w:rsid w:val="00181709"/>
    <w:rsid w:val="00183651"/>
    <w:rsid w:val="00184DFA"/>
    <w:rsid w:val="00185B74"/>
    <w:rsid w:val="00185BF3"/>
    <w:rsid w:val="001869BE"/>
    <w:rsid w:val="00186E36"/>
    <w:rsid w:val="00187639"/>
    <w:rsid w:val="001879DD"/>
    <w:rsid w:val="00192FC3"/>
    <w:rsid w:val="00195094"/>
    <w:rsid w:val="00196328"/>
    <w:rsid w:val="001968BF"/>
    <w:rsid w:val="001A0B42"/>
    <w:rsid w:val="001A357E"/>
    <w:rsid w:val="001A3739"/>
    <w:rsid w:val="001A3B73"/>
    <w:rsid w:val="001A5CDF"/>
    <w:rsid w:val="001A608F"/>
    <w:rsid w:val="001A6095"/>
    <w:rsid w:val="001A6448"/>
    <w:rsid w:val="001A694A"/>
    <w:rsid w:val="001A7786"/>
    <w:rsid w:val="001A7825"/>
    <w:rsid w:val="001B00C0"/>
    <w:rsid w:val="001B0192"/>
    <w:rsid w:val="001B12BE"/>
    <w:rsid w:val="001B3A4C"/>
    <w:rsid w:val="001B4434"/>
    <w:rsid w:val="001B5880"/>
    <w:rsid w:val="001B6911"/>
    <w:rsid w:val="001B71B1"/>
    <w:rsid w:val="001B7A28"/>
    <w:rsid w:val="001B7EEF"/>
    <w:rsid w:val="001C08E2"/>
    <w:rsid w:val="001C0C9C"/>
    <w:rsid w:val="001C3AF3"/>
    <w:rsid w:val="001C5E81"/>
    <w:rsid w:val="001C5FDD"/>
    <w:rsid w:val="001C6427"/>
    <w:rsid w:val="001C662D"/>
    <w:rsid w:val="001C7AF7"/>
    <w:rsid w:val="001C7F0B"/>
    <w:rsid w:val="001D0602"/>
    <w:rsid w:val="001D088F"/>
    <w:rsid w:val="001D0D2F"/>
    <w:rsid w:val="001D137D"/>
    <w:rsid w:val="001D28B0"/>
    <w:rsid w:val="001D2D07"/>
    <w:rsid w:val="001D38AD"/>
    <w:rsid w:val="001D3C04"/>
    <w:rsid w:val="001D5251"/>
    <w:rsid w:val="001D6C77"/>
    <w:rsid w:val="001D7096"/>
    <w:rsid w:val="001D7353"/>
    <w:rsid w:val="001D7699"/>
    <w:rsid w:val="001E0315"/>
    <w:rsid w:val="001E1570"/>
    <w:rsid w:val="001E2E05"/>
    <w:rsid w:val="001E490D"/>
    <w:rsid w:val="001E4A27"/>
    <w:rsid w:val="001E5630"/>
    <w:rsid w:val="001E5833"/>
    <w:rsid w:val="001E6B4F"/>
    <w:rsid w:val="001E703B"/>
    <w:rsid w:val="001F0A77"/>
    <w:rsid w:val="001F24A3"/>
    <w:rsid w:val="001F2653"/>
    <w:rsid w:val="001F4346"/>
    <w:rsid w:val="001F54BE"/>
    <w:rsid w:val="001F5A2C"/>
    <w:rsid w:val="002000AB"/>
    <w:rsid w:val="002014E7"/>
    <w:rsid w:val="002026CC"/>
    <w:rsid w:val="002029A5"/>
    <w:rsid w:val="002031BD"/>
    <w:rsid w:val="002038E3"/>
    <w:rsid w:val="00203D85"/>
    <w:rsid w:val="002051EC"/>
    <w:rsid w:val="00206373"/>
    <w:rsid w:val="0020753B"/>
    <w:rsid w:val="00207DA2"/>
    <w:rsid w:val="002109F3"/>
    <w:rsid w:val="0021168B"/>
    <w:rsid w:val="00211B11"/>
    <w:rsid w:val="00212C8F"/>
    <w:rsid w:val="00212D28"/>
    <w:rsid w:val="002131DB"/>
    <w:rsid w:val="002137D0"/>
    <w:rsid w:val="002140A8"/>
    <w:rsid w:val="00215247"/>
    <w:rsid w:val="0021574F"/>
    <w:rsid w:val="00215BC3"/>
    <w:rsid w:val="00215DB3"/>
    <w:rsid w:val="00217134"/>
    <w:rsid w:val="00217E1B"/>
    <w:rsid w:val="002212B4"/>
    <w:rsid w:val="00221456"/>
    <w:rsid w:val="002220D5"/>
    <w:rsid w:val="00222BCC"/>
    <w:rsid w:val="002240F4"/>
    <w:rsid w:val="00224EA3"/>
    <w:rsid w:val="0022510C"/>
    <w:rsid w:val="00227647"/>
    <w:rsid w:val="00230003"/>
    <w:rsid w:val="002300C6"/>
    <w:rsid w:val="00230177"/>
    <w:rsid w:val="002304DE"/>
    <w:rsid w:val="00230F08"/>
    <w:rsid w:val="002324C0"/>
    <w:rsid w:val="0023275B"/>
    <w:rsid w:val="00232931"/>
    <w:rsid w:val="00233A44"/>
    <w:rsid w:val="00233F72"/>
    <w:rsid w:val="00235BBB"/>
    <w:rsid w:val="00235F66"/>
    <w:rsid w:val="00236409"/>
    <w:rsid w:val="0024133E"/>
    <w:rsid w:val="002424AB"/>
    <w:rsid w:val="002434E8"/>
    <w:rsid w:val="002440EF"/>
    <w:rsid w:val="00244B19"/>
    <w:rsid w:val="0025099A"/>
    <w:rsid w:val="00251D8A"/>
    <w:rsid w:val="00253806"/>
    <w:rsid w:val="002542CE"/>
    <w:rsid w:val="0025457D"/>
    <w:rsid w:val="002547E2"/>
    <w:rsid w:val="00254B52"/>
    <w:rsid w:val="002555CB"/>
    <w:rsid w:val="0025632B"/>
    <w:rsid w:val="00256E94"/>
    <w:rsid w:val="00257840"/>
    <w:rsid w:val="00261078"/>
    <w:rsid w:val="00261C58"/>
    <w:rsid w:val="002665ED"/>
    <w:rsid w:val="00266743"/>
    <w:rsid w:val="002703B5"/>
    <w:rsid w:val="002711E3"/>
    <w:rsid w:val="002714B8"/>
    <w:rsid w:val="00271B2E"/>
    <w:rsid w:val="00272918"/>
    <w:rsid w:val="00273A97"/>
    <w:rsid w:val="002740DD"/>
    <w:rsid w:val="002752C7"/>
    <w:rsid w:val="00275331"/>
    <w:rsid w:val="002760DC"/>
    <w:rsid w:val="0027624B"/>
    <w:rsid w:val="002766AA"/>
    <w:rsid w:val="00276A0C"/>
    <w:rsid w:val="00280911"/>
    <w:rsid w:val="002810BE"/>
    <w:rsid w:val="00281192"/>
    <w:rsid w:val="00282BBA"/>
    <w:rsid w:val="00283FBD"/>
    <w:rsid w:val="0028442C"/>
    <w:rsid w:val="00284B24"/>
    <w:rsid w:val="00285022"/>
    <w:rsid w:val="0028527D"/>
    <w:rsid w:val="00287514"/>
    <w:rsid w:val="00287A6D"/>
    <w:rsid w:val="00290D1D"/>
    <w:rsid w:val="00290D6A"/>
    <w:rsid w:val="0029112D"/>
    <w:rsid w:val="00291AEF"/>
    <w:rsid w:val="00291E28"/>
    <w:rsid w:val="00291E45"/>
    <w:rsid w:val="00292145"/>
    <w:rsid w:val="002935A2"/>
    <w:rsid w:val="00294230"/>
    <w:rsid w:val="002949B7"/>
    <w:rsid w:val="0029576A"/>
    <w:rsid w:val="0029600D"/>
    <w:rsid w:val="00297610"/>
    <w:rsid w:val="00297EC1"/>
    <w:rsid w:val="002A11B8"/>
    <w:rsid w:val="002A1EDF"/>
    <w:rsid w:val="002A36F8"/>
    <w:rsid w:val="002A4425"/>
    <w:rsid w:val="002A49B4"/>
    <w:rsid w:val="002A52B3"/>
    <w:rsid w:val="002A69C4"/>
    <w:rsid w:val="002A6FA7"/>
    <w:rsid w:val="002A7854"/>
    <w:rsid w:val="002A7B2C"/>
    <w:rsid w:val="002A7D93"/>
    <w:rsid w:val="002B02B0"/>
    <w:rsid w:val="002B0E7C"/>
    <w:rsid w:val="002B1297"/>
    <w:rsid w:val="002B1D37"/>
    <w:rsid w:val="002B2622"/>
    <w:rsid w:val="002B28B2"/>
    <w:rsid w:val="002B2E0E"/>
    <w:rsid w:val="002B2F40"/>
    <w:rsid w:val="002B3724"/>
    <w:rsid w:val="002B3949"/>
    <w:rsid w:val="002B50F0"/>
    <w:rsid w:val="002B59B1"/>
    <w:rsid w:val="002B654A"/>
    <w:rsid w:val="002B7DDF"/>
    <w:rsid w:val="002C0114"/>
    <w:rsid w:val="002C12C7"/>
    <w:rsid w:val="002C171C"/>
    <w:rsid w:val="002C1CCD"/>
    <w:rsid w:val="002C246F"/>
    <w:rsid w:val="002C42F7"/>
    <w:rsid w:val="002C4DEC"/>
    <w:rsid w:val="002C6011"/>
    <w:rsid w:val="002C65F8"/>
    <w:rsid w:val="002C72F2"/>
    <w:rsid w:val="002D172C"/>
    <w:rsid w:val="002D1E08"/>
    <w:rsid w:val="002D2BC3"/>
    <w:rsid w:val="002D2CEF"/>
    <w:rsid w:val="002D3172"/>
    <w:rsid w:val="002D348C"/>
    <w:rsid w:val="002D3809"/>
    <w:rsid w:val="002D4786"/>
    <w:rsid w:val="002D4ED5"/>
    <w:rsid w:val="002D6113"/>
    <w:rsid w:val="002D7AD5"/>
    <w:rsid w:val="002E04F2"/>
    <w:rsid w:val="002E07F1"/>
    <w:rsid w:val="002E088C"/>
    <w:rsid w:val="002E0E62"/>
    <w:rsid w:val="002E14F8"/>
    <w:rsid w:val="002E187E"/>
    <w:rsid w:val="002E2136"/>
    <w:rsid w:val="002E259C"/>
    <w:rsid w:val="002E2AD1"/>
    <w:rsid w:val="002E3121"/>
    <w:rsid w:val="002E3839"/>
    <w:rsid w:val="002E3D09"/>
    <w:rsid w:val="002E4186"/>
    <w:rsid w:val="002E4953"/>
    <w:rsid w:val="002E4DD3"/>
    <w:rsid w:val="002E57C3"/>
    <w:rsid w:val="002E624D"/>
    <w:rsid w:val="002E66D9"/>
    <w:rsid w:val="002E6728"/>
    <w:rsid w:val="002E7C4C"/>
    <w:rsid w:val="002F040B"/>
    <w:rsid w:val="002F1CF4"/>
    <w:rsid w:val="002F2809"/>
    <w:rsid w:val="002F30D1"/>
    <w:rsid w:val="002F38B4"/>
    <w:rsid w:val="002F3D38"/>
    <w:rsid w:val="002F659A"/>
    <w:rsid w:val="002F730A"/>
    <w:rsid w:val="00300AD7"/>
    <w:rsid w:val="00301762"/>
    <w:rsid w:val="00301BA1"/>
    <w:rsid w:val="00302513"/>
    <w:rsid w:val="0030267C"/>
    <w:rsid w:val="00302E5F"/>
    <w:rsid w:val="003030C8"/>
    <w:rsid w:val="00303F13"/>
    <w:rsid w:val="00303F9F"/>
    <w:rsid w:val="00305583"/>
    <w:rsid w:val="00305E9C"/>
    <w:rsid w:val="003077B3"/>
    <w:rsid w:val="003078B6"/>
    <w:rsid w:val="00311A3E"/>
    <w:rsid w:val="00312D2E"/>
    <w:rsid w:val="00312E25"/>
    <w:rsid w:val="003140DD"/>
    <w:rsid w:val="00314397"/>
    <w:rsid w:val="00315083"/>
    <w:rsid w:val="003150A7"/>
    <w:rsid w:val="00315735"/>
    <w:rsid w:val="00315A71"/>
    <w:rsid w:val="00316793"/>
    <w:rsid w:val="00316DF7"/>
    <w:rsid w:val="003175D8"/>
    <w:rsid w:val="003179E4"/>
    <w:rsid w:val="00321FF4"/>
    <w:rsid w:val="003221D3"/>
    <w:rsid w:val="00323603"/>
    <w:rsid w:val="00324FC0"/>
    <w:rsid w:val="0032509B"/>
    <w:rsid w:val="00326AF6"/>
    <w:rsid w:val="00331A2D"/>
    <w:rsid w:val="003328DC"/>
    <w:rsid w:val="00333235"/>
    <w:rsid w:val="0033352B"/>
    <w:rsid w:val="00334F27"/>
    <w:rsid w:val="00335450"/>
    <w:rsid w:val="003359B8"/>
    <w:rsid w:val="00335E9A"/>
    <w:rsid w:val="00337937"/>
    <w:rsid w:val="003408D1"/>
    <w:rsid w:val="00340E00"/>
    <w:rsid w:val="003412AE"/>
    <w:rsid w:val="003415DB"/>
    <w:rsid w:val="00341856"/>
    <w:rsid w:val="003429E8"/>
    <w:rsid w:val="00342E05"/>
    <w:rsid w:val="00344579"/>
    <w:rsid w:val="00346F6E"/>
    <w:rsid w:val="00347F53"/>
    <w:rsid w:val="003501C3"/>
    <w:rsid w:val="003504F4"/>
    <w:rsid w:val="00350F8A"/>
    <w:rsid w:val="00351922"/>
    <w:rsid w:val="00352C74"/>
    <w:rsid w:val="00353FE2"/>
    <w:rsid w:val="00354383"/>
    <w:rsid w:val="00354545"/>
    <w:rsid w:val="00355167"/>
    <w:rsid w:val="00355DBD"/>
    <w:rsid w:val="00355E1A"/>
    <w:rsid w:val="00356199"/>
    <w:rsid w:val="003563D0"/>
    <w:rsid w:val="00356C39"/>
    <w:rsid w:val="003576AB"/>
    <w:rsid w:val="003600D8"/>
    <w:rsid w:val="00360600"/>
    <w:rsid w:val="00361DEB"/>
    <w:rsid w:val="0036256D"/>
    <w:rsid w:val="00365577"/>
    <w:rsid w:val="00365856"/>
    <w:rsid w:val="00365D23"/>
    <w:rsid w:val="003661EF"/>
    <w:rsid w:val="0036795A"/>
    <w:rsid w:val="00371118"/>
    <w:rsid w:val="0037122D"/>
    <w:rsid w:val="00371507"/>
    <w:rsid w:val="003719C6"/>
    <w:rsid w:val="0037206C"/>
    <w:rsid w:val="003729BB"/>
    <w:rsid w:val="003732D6"/>
    <w:rsid w:val="00374865"/>
    <w:rsid w:val="0037493F"/>
    <w:rsid w:val="00374BEE"/>
    <w:rsid w:val="003754DA"/>
    <w:rsid w:val="00375904"/>
    <w:rsid w:val="00382CF3"/>
    <w:rsid w:val="003836B2"/>
    <w:rsid w:val="00383FE5"/>
    <w:rsid w:val="00384030"/>
    <w:rsid w:val="00384A00"/>
    <w:rsid w:val="003854EB"/>
    <w:rsid w:val="00385A2E"/>
    <w:rsid w:val="0038703C"/>
    <w:rsid w:val="0039172C"/>
    <w:rsid w:val="00391A46"/>
    <w:rsid w:val="00392DC3"/>
    <w:rsid w:val="00394477"/>
    <w:rsid w:val="00395256"/>
    <w:rsid w:val="003965E6"/>
    <w:rsid w:val="00396851"/>
    <w:rsid w:val="00396C13"/>
    <w:rsid w:val="003A030B"/>
    <w:rsid w:val="003A2480"/>
    <w:rsid w:val="003A2847"/>
    <w:rsid w:val="003A460E"/>
    <w:rsid w:val="003A5812"/>
    <w:rsid w:val="003A6C68"/>
    <w:rsid w:val="003A73F2"/>
    <w:rsid w:val="003B007A"/>
    <w:rsid w:val="003B07CC"/>
    <w:rsid w:val="003B09B4"/>
    <w:rsid w:val="003B453E"/>
    <w:rsid w:val="003B47A8"/>
    <w:rsid w:val="003B6B72"/>
    <w:rsid w:val="003B709A"/>
    <w:rsid w:val="003B7D1C"/>
    <w:rsid w:val="003C1A61"/>
    <w:rsid w:val="003C1CEC"/>
    <w:rsid w:val="003C1F63"/>
    <w:rsid w:val="003C2CCD"/>
    <w:rsid w:val="003C2EDC"/>
    <w:rsid w:val="003C3B40"/>
    <w:rsid w:val="003C4572"/>
    <w:rsid w:val="003C59D2"/>
    <w:rsid w:val="003C6FB6"/>
    <w:rsid w:val="003C77BB"/>
    <w:rsid w:val="003D07F8"/>
    <w:rsid w:val="003D16EE"/>
    <w:rsid w:val="003D1FD8"/>
    <w:rsid w:val="003D3350"/>
    <w:rsid w:val="003D35A1"/>
    <w:rsid w:val="003D37ED"/>
    <w:rsid w:val="003D3E0C"/>
    <w:rsid w:val="003D3FCA"/>
    <w:rsid w:val="003D5C20"/>
    <w:rsid w:val="003D6CEF"/>
    <w:rsid w:val="003D7130"/>
    <w:rsid w:val="003D73A0"/>
    <w:rsid w:val="003D7469"/>
    <w:rsid w:val="003E0A79"/>
    <w:rsid w:val="003E147D"/>
    <w:rsid w:val="003E2075"/>
    <w:rsid w:val="003E3809"/>
    <w:rsid w:val="003E6BA1"/>
    <w:rsid w:val="003E7204"/>
    <w:rsid w:val="003E7A15"/>
    <w:rsid w:val="003F008F"/>
    <w:rsid w:val="003F0B60"/>
    <w:rsid w:val="003F5F39"/>
    <w:rsid w:val="003F5FE1"/>
    <w:rsid w:val="003F7019"/>
    <w:rsid w:val="003F7A06"/>
    <w:rsid w:val="0040060C"/>
    <w:rsid w:val="004011CF"/>
    <w:rsid w:val="0040182E"/>
    <w:rsid w:val="004023FF"/>
    <w:rsid w:val="0040407A"/>
    <w:rsid w:val="00404250"/>
    <w:rsid w:val="004047C7"/>
    <w:rsid w:val="00404CC5"/>
    <w:rsid w:val="004066F2"/>
    <w:rsid w:val="00406B55"/>
    <w:rsid w:val="00407803"/>
    <w:rsid w:val="00410AF8"/>
    <w:rsid w:val="00410E9A"/>
    <w:rsid w:val="004115C4"/>
    <w:rsid w:val="004127F5"/>
    <w:rsid w:val="004132D9"/>
    <w:rsid w:val="004144FC"/>
    <w:rsid w:val="004158C0"/>
    <w:rsid w:val="00416259"/>
    <w:rsid w:val="00416890"/>
    <w:rsid w:val="00416983"/>
    <w:rsid w:val="00420201"/>
    <w:rsid w:val="00420512"/>
    <w:rsid w:val="00420A68"/>
    <w:rsid w:val="00420CF9"/>
    <w:rsid w:val="00420E17"/>
    <w:rsid w:val="0042191E"/>
    <w:rsid w:val="0042318F"/>
    <w:rsid w:val="004233EF"/>
    <w:rsid w:val="00424B9C"/>
    <w:rsid w:val="00425D66"/>
    <w:rsid w:val="004265F1"/>
    <w:rsid w:val="00427C25"/>
    <w:rsid w:val="00432AED"/>
    <w:rsid w:val="004330E1"/>
    <w:rsid w:val="004334EF"/>
    <w:rsid w:val="0043357A"/>
    <w:rsid w:val="0043428A"/>
    <w:rsid w:val="00436978"/>
    <w:rsid w:val="00442674"/>
    <w:rsid w:val="004427AF"/>
    <w:rsid w:val="004430E0"/>
    <w:rsid w:val="00443A38"/>
    <w:rsid w:val="00444610"/>
    <w:rsid w:val="00445E68"/>
    <w:rsid w:val="00446217"/>
    <w:rsid w:val="0045023D"/>
    <w:rsid w:val="00450978"/>
    <w:rsid w:val="00450A62"/>
    <w:rsid w:val="00450E04"/>
    <w:rsid w:val="00451A16"/>
    <w:rsid w:val="004528F2"/>
    <w:rsid w:val="004530F3"/>
    <w:rsid w:val="00454F49"/>
    <w:rsid w:val="00456454"/>
    <w:rsid w:val="00457679"/>
    <w:rsid w:val="00460C68"/>
    <w:rsid w:val="00460CCC"/>
    <w:rsid w:val="00460CF0"/>
    <w:rsid w:val="00462967"/>
    <w:rsid w:val="004630A5"/>
    <w:rsid w:val="00463403"/>
    <w:rsid w:val="0046384E"/>
    <w:rsid w:val="00463E24"/>
    <w:rsid w:val="00464A8B"/>
    <w:rsid w:val="00465197"/>
    <w:rsid w:val="0046573E"/>
    <w:rsid w:val="004668E5"/>
    <w:rsid w:val="00470BEF"/>
    <w:rsid w:val="00473033"/>
    <w:rsid w:val="00474C80"/>
    <w:rsid w:val="00474CFF"/>
    <w:rsid w:val="00474D68"/>
    <w:rsid w:val="00475283"/>
    <w:rsid w:val="004752FD"/>
    <w:rsid w:val="004755A0"/>
    <w:rsid w:val="0047586F"/>
    <w:rsid w:val="00475B5A"/>
    <w:rsid w:val="00480FFE"/>
    <w:rsid w:val="00481659"/>
    <w:rsid w:val="00481CA5"/>
    <w:rsid w:val="004820CB"/>
    <w:rsid w:val="0048336F"/>
    <w:rsid w:val="00483640"/>
    <w:rsid w:val="00483B31"/>
    <w:rsid w:val="00483D81"/>
    <w:rsid w:val="004847CA"/>
    <w:rsid w:val="00484806"/>
    <w:rsid w:val="004849FE"/>
    <w:rsid w:val="00485D2F"/>
    <w:rsid w:val="004878A6"/>
    <w:rsid w:val="00487B3C"/>
    <w:rsid w:val="00490073"/>
    <w:rsid w:val="004902C0"/>
    <w:rsid w:val="00490D83"/>
    <w:rsid w:val="004916C9"/>
    <w:rsid w:val="00491E4D"/>
    <w:rsid w:val="00494196"/>
    <w:rsid w:val="00494C33"/>
    <w:rsid w:val="00494C6A"/>
    <w:rsid w:val="00495556"/>
    <w:rsid w:val="00495850"/>
    <w:rsid w:val="004967EA"/>
    <w:rsid w:val="00496CC6"/>
    <w:rsid w:val="00497190"/>
    <w:rsid w:val="004A0E30"/>
    <w:rsid w:val="004A1111"/>
    <w:rsid w:val="004A12CB"/>
    <w:rsid w:val="004A2A58"/>
    <w:rsid w:val="004A2B0F"/>
    <w:rsid w:val="004A4475"/>
    <w:rsid w:val="004A60DE"/>
    <w:rsid w:val="004A6B4F"/>
    <w:rsid w:val="004A7B90"/>
    <w:rsid w:val="004A7DC6"/>
    <w:rsid w:val="004B082C"/>
    <w:rsid w:val="004B123F"/>
    <w:rsid w:val="004B1F3B"/>
    <w:rsid w:val="004B3462"/>
    <w:rsid w:val="004B38F4"/>
    <w:rsid w:val="004B47F1"/>
    <w:rsid w:val="004B5158"/>
    <w:rsid w:val="004B5B79"/>
    <w:rsid w:val="004B6004"/>
    <w:rsid w:val="004B6A0D"/>
    <w:rsid w:val="004C0A99"/>
    <w:rsid w:val="004C1B25"/>
    <w:rsid w:val="004C37F5"/>
    <w:rsid w:val="004C42E0"/>
    <w:rsid w:val="004C5758"/>
    <w:rsid w:val="004C5E66"/>
    <w:rsid w:val="004C5F74"/>
    <w:rsid w:val="004C6FCE"/>
    <w:rsid w:val="004C7600"/>
    <w:rsid w:val="004C7F98"/>
    <w:rsid w:val="004D0723"/>
    <w:rsid w:val="004D09FD"/>
    <w:rsid w:val="004D0C52"/>
    <w:rsid w:val="004D140F"/>
    <w:rsid w:val="004D1B22"/>
    <w:rsid w:val="004D1BD4"/>
    <w:rsid w:val="004D1FBC"/>
    <w:rsid w:val="004D2165"/>
    <w:rsid w:val="004D2FF8"/>
    <w:rsid w:val="004D410D"/>
    <w:rsid w:val="004D4F3B"/>
    <w:rsid w:val="004D68BA"/>
    <w:rsid w:val="004D7040"/>
    <w:rsid w:val="004E09ED"/>
    <w:rsid w:val="004E1E4A"/>
    <w:rsid w:val="004E1F67"/>
    <w:rsid w:val="004E2E10"/>
    <w:rsid w:val="004E3D04"/>
    <w:rsid w:val="004E452B"/>
    <w:rsid w:val="004E5017"/>
    <w:rsid w:val="004E5A10"/>
    <w:rsid w:val="004E6E58"/>
    <w:rsid w:val="004E74AD"/>
    <w:rsid w:val="004F013C"/>
    <w:rsid w:val="004F0874"/>
    <w:rsid w:val="004F144C"/>
    <w:rsid w:val="004F1C09"/>
    <w:rsid w:val="004F265C"/>
    <w:rsid w:val="004F3115"/>
    <w:rsid w:val="004F322B"/>
    <w:rsid w:val="004F4A50"/>
    <w:rsid w:val="004F56AE"/>
    <w:rsid w:val="004F57C5"/>
    <w:rsid w:val="004F58D9"/>
    <w:rsid w:val="004F61E6"/>
    <w:rsid w:val="004F73BF"/>
    <w:rsid w:val="004F7EFB"/>
    <w:rsid w:val="0050081C"/>
    <w:rsid w:val="0050310A"/>
    <w:rsid w:val="005049FA"/>
    <w:rsid w:val="00504FFB"/>
    <w:rsid w:val="00505054"/>
    <w:rsid w:val="005051EA"/>
    <w:rsid w:val="00505ABF"/>
    <w:rsid w:val="00506799"/>
    <w:rsid w:val="00506886"/>
    <w:rsid w:val="00506E8B"/>
    <w:rsid w:val="005070C1"/>
    <w:rsid w:val="005114CF"/>
    <w:rsid w:val="00511985"/>
    <w:rsid w:val="00513EC0"/>
    <w:rsid w:val="00514D03"/>
    <w:rsid w:val="00515C61"/>
    <w:rsid w:val="00515FA1"/>
    <w:rsid w:val="00516109"/>
    <w:rsid w:val="005168C7"/>
    <w:rsid w:val="00520A17"/>
    <w:rsid w:val="005213BB"/>
    <w:rsid w:val="0052165F"/>
    <w:rsid w:val="005229F3"/>
    <w:rsid w:val="00523194"/>
    <w:rsid w:val="0052472F"/>
    <w:rsid w:val="00525002"/>
    <w:rsid w:val="005253F2"/>
    <w:rsid w:val="005262E9"/>
    <w:rsid w:val="0052764B"/>
    <w:rsid w:val="005276F2"/>
    <w:rsid w:val="0053034A"/>
    <w:rsid w:val="00530F16"/>
    <w:rsid w:val="0053148F"/>
    <w:rsid w:val="00531FD0"/>
    <w:rsid w:val="005323A9"/>
    <w:rsid w:val="00532BF5"/>
    <w:rsid w:val="00532FF4"/>
    <w:rsid w:val="005334C6"/>
    <w:rsid w:val="00533634"/>
    <w:rsid w:val="0053392B"/>
    <w:rsid w:val="00533A33"/>
    <w:rsid w:val="005340CD"/>
    <w:rsid w:val="005357E0"/>
    <w:rsid w:val="0053678D"/>
    <w:rsid w:val="00536851"/>
    <w:rsid w:val="00536B27"/>
    <w:rsid w:val="00536CD6"/>
    <w:rsid w:val="005431DC"/>
    <w:rsid w:val="00544720"/>
    <w:rsid w:val="00544835"/>
    <w:rsid w:val="00544B10"/>
    <w:rsid w:val="00545856"/>
    <w:rsid w:val="00546428"/>
    <w:rsid w:val="00546FEE"/>
    <w:rsid w:val="0054705A"/>
    <w:rsid w:val="00547219"/>
    <w:rsid w:val="00547891"/>
    <w:rsid w:val="005514CC"/>
    <w:rsid w:val="005519C8"/>
    <w:rsid w:val="00552075"/>
    <w:rsid w:val="00552865"/>
    <w:rsid w:val="005529F8"/>
    <w:rsid w:val="00552FDF"/>
    <w:rsid w:val="00553111"/>
    <w:rsid w:val="00553430"/>
    <w:rsid w:val="00554D27"/>
    <w:rsid w:val="00555642"/>
    <w:rsid w:val="00555CC5"/>
    <w:rsid w:val="005568E1"/>
    <w:rsid w:val="0055786E"/>
    <w:rsid w:val="00557E28"/>
    <w:rsid w:val="005601CD"/>
    <w:rsid w:val="005605CA"/>
    <w:rsid w:val="00561469"/>
    <w:rsid w:val="0056147E"/>
    <w:rsid w:val="0056164F"/>
    <w:rsid w:val="0056234B"/>
    <w:rsid w:val="00562688"/>
    <w:rsid w:val="00564C67"/>
    <w:rsid w:val="00565706"/>
    <w:rsid w:val="005657D6"/>
    <w:rsid w:val="00565E43"/>
    <w:rsid w:val="005666EC"/>
    <w:rsid w:val="005667E0"/>
    <w:rsid w:val="00566BE3"/>
    <w:rsid w:val="005670DA"/>
    <w:rsid w:val="00572734"/>
    <w:rsid w:val="00572A2F"/>
    <w:rsid w:val="00572F19"/>
    <w:rsid w:val="00573740"/>
    <w:rsid w:val="00573746"/>
    <w:rsid w:val="00573A23"/>
    <w:rsid w:val="00573A72"/>
    <w:rsid w:val="00573E44"/>
    <w:rsid w:val="00575DB7"/>
    <w:rsid w:val="00576421"/>
    <w:rsid w:val="00576784"/>
    <w:rsid w:val="00581394"/>
    <w:rsid w:val="00581ED1"/>
    <w:rsid w:val="00582046"/>
    <w:rsid w:val="00583203"/>
    <w:rsid w:val="00583EFE"/>
    <w:rsid w:val="00584E4D"/>
    <w:rsid w:val="00585261"/>
    <w:rsid w:val="0058580F"/>
    <w:rsid w:val="00585983"/>
    <w:rsid w:val="00586A1D"/>
    <w:rsid w:val="00586AA5"/>
    <w:rsid w:val="00586B8F"/>
    <w:rsid w:val="00587834"/>
    <w:rsid w:val="00587CB3"/>
    <w:rsid w:val="005909AE"/>
    <w:rsid w:val="005910BC"/>
    <w:rsid w:val="00592A8C"/>
    <w:rsid w:val="005931D5"/>
    <w:rsid w:val="00593A5A"/>
    <w:rsid w:val="00593D17"/>
    <w:rsid w:val="00593FCB"/>
    <w:rsid w:val="005940E4"/>
    <w:rsid w:val="00595214"/>
    <w:rsid w:val="00595DA8"/>
    <w:rsid w:val="0059604A"/>
    <w:rsid w:val="00596F95"/>
    <w:rsid w:val="00597DCC"/>
    <w:rsid w:val="005A1504"/>
    <w:rsid w:val="005A1F51"/>
    <w:rsid w:val="005A2111"/>
    <w:rsid w:val="005A2133"/>
    <w:rsid w:val="005A2471"/>
    <w:rsid w:val="005A2FCC"/>
    <w:rsid w:val="005A50CC"/>
    <w:rsid w:val="005A51D1"/>
    <w:rsid w:val="005A5C22"/>
    <w:rsid w:val="005A609E"/>
    <w:rsid w:val="005A61C2"/>
    <w:rsid w:val="005A69AD"/>
    <w:rsid w:val="005A74DD"/>
    <w:rsid w:val="005A7FB1"/>
    <w:rsid w:val="005B0317"/>
    <w:rsid w:val="005B0642"/>
    <w:rsid w:val="005B066E"/>
    <w:rsid w:val="005B0B07"/>
    <w:rsid w:val="005B0D63"/>
    <w:rsid w:val="005B13D8"/>
    <w:rsid w:val="005B1A71"/>
    <w:rsid w:val="005B3C93"/>
    <w:rsid w:val="005B590A"/>
    <w:rsid w:val="005B591B"/>
    <w:rsid w:val="005B5AD7"/>
    <w:rsid w:val="005B63A4"/>
    <w:rsid w:val="005C010B"/>
    <w:rsid w:val="005C0AA2"/>
    <w:rsid w:val="005C1353"/>
    <w:rsid w:val="005C15AD"/>
    <w:rsid w:val="005C1AE9"/>
    <w:rsid w:val="005C2DF9"/>
    <w:rsid w:val="005C3B80"/>
    <w:rsid w:val="005C469B"/>
    <w:rsid w:val="005C4C80"/>
    <w:rsid w:val="005C4E76"/>
    <w:rsid w:val="005C521F"/>
    <w:rsid w:val="005C5D6F"/>
    <w:rsid w:val="005D0620"/>
    <w:rsid w:val="005D2CEF"/>
    <w:rsid w:val="005D37A4"/>
    <w:rsid w:val="005D3ED8"/>
    <w:rsid w:val="005D458A"/>
    <w:rsid w:val="005D4DC3"/>
    <w:rsid w:val="005D517D"/>
    <w:rsid w:val="005D5928"/>
    <w:rsid w:val="005D6905"/>
    <w:rsid w:val="005D6AA2"/>
    <w:rsid w:val="005D7098"/>
    <w:rsid w:val="005D78B3"/>
    <w:rsid w:val="005E08D9"/>
    <w:rsid w:val="005E0D41"/>
    <w:rsid w:val="005E1D3F"/>
    <w:rsid w:val="005E2A2B"/>
    <w:rsid w:val="005E363B"/>
    <w:rsid w:val="005E372B"/>
    <w:rsid w:val="005E3D36"/>
    <w:rsid w:val="005E3D8B"/>
    <w:rsid w:val="005E46F8"/>
    <w:rsid w:val="005E675E"/>
    <w:rsid w:val="005E7961"/>
    <w:rsid w:val="005F0C9F"/>
    <w:rsid w:val="005F14E2"/>
    <w:rsid w:val="005F1B31"/>
    <w:rsid w:val="005F2095"/>
    <w:rsid w:val="005F2869"/>
    <w:rsid w:val="005F4397"/>
    <w:rsid w:val="005F4EA9"/>
    <w:rsid w:val="005F5D5F"/>
    <w:rsid w:val="005F5EC5"/>
    <w:rsid w:val="005F6006"/>
    <w:rsid w:val="005F703E"/>
    <w:rsid w:val="005F7142"/>
    <w:rsid w:val="005F77A0"/>
    <w:rsid w:val="0060009F"/>
    <w:rsid w:val="006000EA"/>
    <w:rsid w:val="00600295"/>
    <w:rsid w:val="00600543"/>
    <w:rsid w:val="0060071D"/>
    <w:rsid w:val="0060094F"/>
    <w:rsid w:val="006031B6"/>
    <w:rsid w:val="0060459D"/>
    <w:rsid w:val="0060536F"/>
    <w:rsid w:val="00606672"/>
    <w:rsid w:val="006075E3"/>
    <w:rsid w:val="00607EAB"/>
    <w:rsid w:val="00610EA1"/>
    <w:rsid w:val="00612BAF"/>
    <w:rsid w:val="006133FB"/>
    <w:rsid w:val="006138EA"/>
    <w:rsid w:val="0061574C"/>
    <w:rsid w:val="006164B2"/>
    <w:rsid w:val="006164F4"/>
    <w:rsid w:val="00617129"/>
    <w:rsid w:val="0061796E"/>
    <w:rsid w:val="006179FC"/>
    <w:rsid w:val="00617F84"/>
    <w:rsid w:val="006208DC"/>
    <w:rsid w:val="00620D3F"/>
    <w:rsid w:val="00620E83"/>
    <w:rsid w:val="00621282"/>
    <w:rsid w:val="006225B5"/>
    <w:rsid w:val="006241BB"/>
    <w:rsid w:val="0062447E"/>
    <w:rsid w:val="00625C5B"/>
    <w:rsid w:val="0062669F"/>
    <w:rsid w:val="00627D35"/>
    <w:rsid w:val="00627E50"/>
    <w:rsid w:val="00631047"/>
    <w:rsid w:val="00631A71"/>
    <w:rsid w:val="00631D69"/>
    <w:rsid w:val="00632867"/>
    <w:rsid w:val="00632F8D"/>
    <w:rsid w:val="0063502E"/>
    <w:rsid w:val="0063534B"/>
    <w:rsid w:val="00635AD9"/>
    <w:rsid w:val="00636D24"/>
    <w:rsid w:val="0063701C"/>
    <w:rsid w:val="006370AA"/>
    <w:rsid w:val="00637263"/>
    <w:rsid w:val="006428F3"/>
    <w:rsid w:val="006438F3"/>
    <w:rsid w:val="00643C9F"/>
    <w:rsid w:val="006440B6"/>
    <w:rsid w:val="006452D6"/>
    <w:rsid w:val="006455A8"/>
    <w:rsid w:val="00645929"/>
    <w:rsid w:val="00646585"/>
    <w:rsid w:val="0064709C"/>
    <w:rsid w:val="0064787A"/>
    <w:rsid w:val="00647BAF"/>
    <w:rsid w:val="00647F88"/>
    <w:rsid w:val="006516E6"/>
    <w:rsid w:val="006529A5"/>
    <w:rsid w:val="006529BA"/>
    <w:rsid w:val="00652CFE"/>
    <w:rsid w:val="006534BB"/>
    <w:rsid w:val="00654841"/>
    <w:rsid w:val="00654BDD"/>
    <w:rsid w:val="00654CF1"/>
    <w:rsid w:val="00654FD9"/>
    <w:rsid w:val="006550DE"/>
    <w:rsid w:val="006554D5"/>
    <w:rsid w:val="0065674D"/>
    <w:rsid w:val="0065778F"/>
    <w:rsid w:val="00657C92"/>
    <w:rsid w:val="00657CE7"/>
    <w:rsid w:val="00657CF5"/>
    <w:rsid w:val="00660079"/>
    <w:rsid w:val="00660206"/>
    <w:rsid w:val="00660256"/>
    <w:rsid w:val="00660CAE"/>
    <w:rsid w:val="00661402"/>
    <w:rsid w:val="006622AD"/>
    <w:rsid w:val="006622DD"/>
    <w:rsid w:val="0066274F"/>
    <w:rsid w:val="0066318F"/>
    <w:rsid w:val="00663FC3"/>
    <w:rsid w:val="00663FDE"/>
    <w:rsid w:val="00664C5D"/>
    <w:rsid w:val="00665016"/>
    <w:rsid w:val="00666562"/>
    <w:rsid w:val="00667070"/>
    <w:rsid w:val="006675E3"/>
    <w:rsid w:val="0066765E"/>
    <w:rsid w:val="00667BCC"/>
    <w:rsid w:val="00670428"/>
    <w:rsid w:val="0067080B"/>
    <w:rsid w:val="00670AA8"/>
    <w:rsid w:val="00671B82"/>
    <w:rsid w:val="0067276D"/>
    <w:rsid w:val="00672D96"/>
    <w:rsid w:val="00673ECD"/>
    <w:rsid w:val="00674539"/>
    <w:rsid w:val="006760A8"/>
    <w:rsid w:val="00676B0C"/>
    <w:rsid w:val="00677870"/>
    <w:rsid w:val="0068058D"/>
    <w:rsid w:val="00680980"/>
    <w:rsid w:val="00682EB9"/>
    <w:rsid w:val="0068335F"/>
    <w:rsid w:val="00684306"/>
    <w:rsid w:val="006849EC"/>
    <w:rsid w:val="0068566E"/>
    <w:rsid w:val="006867ED"/>
    <w:rsid w:val="00686D28"/>
    <w:rsid w:val="0068731A"/>
    <w:rsid w:val="00690D83"/>
    <w:rsid w:val="006917CB"/>
    <w:rsid w:val="00692A54"/>
    <w:rsid w:val="00694A08"/>
    <w:rsid w:val="0069771C"/>
    <w:rsid w:val="006A0A12"/>
    <w:rsid w:val="006A0C6D"/>
    <w:rsid w:val="006A1A29"/>
    <w:rsid w:val="006A239B"/>
    <w:rsid w:val="006A3186"/>
    <w:rsid w:val="006A48BC"/>
    <w:rsid w:val="006A723B"/>
    <w:rsid w:val="006B0B3D"/>
    <w:rsid w:val="006B1919"/>
    <w:rsid w:val="006B30A7"/>
    <w:rsid w:val="006B350E"/>
    <w:rsid w:val="006B3F0D"/>
    <w:rsid w:val="006B3FAC"/>
    <w:rsid w:val="006B4835"/>
    <w:rsid w:val="006B71B1"/>
    <w:rsid w:val="006C0739"/>
    <w:rsid w:val="006C121E"/>
    <w:rsid w:val="006C1E20"/>
    <w:rsid w:val="006C2458"/>
    <w:rsid w:val="006C2507"/>
    <w:rsid w:val="006C276D"/>
    <w:rsid w:val="006C3F75"/>
    <w:rsid w:val="006C444C"/>
    <w:rsid w:val="006C4BC7"/>
    <w:rsid w:val="006C4DCC"/>
    <w:rsid w:val="006C4F73"/>
    <w:rsid w:val="006C4FC4"/>
    <w:rsid w:val="006C51A3"/>
    <w:rsid w:val="006C5977"/>
    <w:rsid w:val="006D03DF"/>
    <w:rsid w:val="006D0EE3"/>
    <w:rsid w:val="006D257D"/>
    <w:rsid w:val="006D3754"/>
    <w:rsid w:val="006D3E2B"/>
    <w:rsid w:val="006D4BB8"/>
    <w:rsid w:val="006D538F"/>
    <w:rsid w:val="006D5B66"/>
    <w:rsid w:val="006D63FF"/>
    <w:rsid w:val="006D68D7"/>
    <w:rsid w:val="006E0A37"/>
    <w:rsid w:val="006E0F03"/>
    <w:rsid w:val="006E3216"/>
    <w:rsid w:val="006E4438"/>
    <w:rsid w:val="006E473C"/>
    <w:rsid w:val="006E4CAF"/>
    <w:rsid w:val="006E675C"/>
    <w:rsid w:val="006E6D6F"/>
    <w:rsid w:val="006E7848"/>
    <w:rsid w:val="006F14F5"/>
    <w:rsid w:val="006F1744"/>
    <w:rsid w:val="006F27A7"/>
    <w:rsid w:val="006F34AD"/>
    <w:rsid w:val="006F3F9C"/>
    <w:rsid w:val="006F4FAA"/>
    <w:rsid w:val="006F56CF"/>
    <w:rsid w:val="006F5DC4"/>
    <w:rsid w:val="006F609A"/>
    <w:rsid w:val="006F60C4"/>
    <w:rsid w:val="006F6B18"/>
    <w:rsid w:val="006F732F"/>
    <w:rsid w:val="006F75ED"/>
    <w:rsid w:val="006F7EE6"/>
    <w:rsid w:val="007001F1"/>
    <w:rsid w:val="00702F4E"/>
    <w:rsid w:val="00704692"/>
    <w:rsid w:val="00705279"/>
    <w:rsid w:val="00706B31"/>
    <w:rsid w:val="00711228"/>
    <w:rsid w:val="00711B92"/>
    <w:rsid w:val="00711FBB"/>
    <w:rsid w:val="0071237E"/>
    <w:rsid w:val="0071244A"/>
    <w:rsid w:val="00712494"/>
    <w:rsid w:val="00713058"/>
    <w:rsid w:val="00713069"/>
    <w:rsid w:val="00714467"/>
    <w:rsid w:val="007155FF"/>
    <w:rsid w:val="00715CCC"/>
    <w:rsid w:val="0071737A"/>
    <w:rsid w:val="00720996"/>
    <w:rsid w:val="00721523"/>
    <w:rsid w:val="007228E5"/>
    <w:rsid w:val="00722D56"/>
    <w:rsid w:val="00724411"/>
    <w:rsid w:val="00724766"/>
    <w:rsid w:val="007248D0"/>
    <w:rsid w:val="00724AC5"/>
    <w:rsid w:val="0072514A"/>
    <w:rsid w:val="007266B1"/>
    <w:rsid w:val="00727A68"/>
    <w:rsid w:val="007307AE"/>
    <w:rsid w:val="00731BC9"/>
    <w:rsid w:val="007321A6"/>
    <w:rsid w:val="00732349"/>
    <w:rsid w:val="00733B33"/>
    <w:rsid w:val="00734179"/>
    <w:rsid w:val="007344BC"/>
    <w:rsid w:val="00735A2E"/>
    <w:rsid w:val="0073618D"/>
    <w:rsid w:val="007375B8"/>
    <w:rsid w:val="00741998"/>
    <w:rsid w:val="0074240F"/>
    <w:rsid w:val="0074299B"/>
    <w:rsid w:val="00742AC1"/>
    <w:rsid w:val="007433F5"/>
    <w:rsid w:val="00743406"/>
    <w:rsid w:val="00744554"/>
    <w:rsid w:val="007448AD"/>
    <w:rsid w:val="007453BE"/>
    <w:rsid w:val="00747B71"/>
    <w:rsid w:val="00747D41"/>
    <w:rsid w:val="00750C0D"/>
    <w:rsid w:val="00750E87"/>
    <w:rsid w:val="00751D32"/>
    <w:rsid w:val="007524CC"/>
    <w:rsid w:val="007529AF"/>
    <w:rsid w:val="00753ED8"/>
    <w:rsid w:val="00754116"/>
    <w:rsid w:val="007541B3"/>
    <w:rsid w:val="00754685"/>
    <w:rsid w:val="00754D97"/>
    <w:rsid w:val="00757088"/>
    <w:rsid w:val="00757667"/>
    <w:rsid w:val="00757985"/>
    <w:rsid w:val="00757E19"/>
    <w:rsid w:val="00760546"/>
    <w:rsid w:val="00761126"/>
    <w:rsid w:val="00761490"/>
    <w:rsid w:val="007618B1"/>
    <w:rsid w:val="00761C27"/>
    <w:rsid w:val="007624AC"/>
    <w:rsid w:val="00762721"/>
    <w:rsid w:val="007635CF"/>
    <w:rsid w:val="00763CB1"/>
    <w:rsid w:val="00765D4C"/>
    <w:rsid w:val="0076719D"/>
    <w:rsid w:val="0076744B"/>
    <w:rsid w:val="007700B0"/>
    <w:rsid w:val="00771A66"/>
    <w:rsid w:val="00773EE6"/>
    <w:rsid w:val="00774128"/>
    <w:rsid w:val="00775AFD"/>
    <w:rsid w:val="007763AF"/>
    <w:rsid w:val="0077648D"/>
    <w:rsid w:val="00776D36"/>
    <w:rsid w:val="007776A5"/>
    <w:rsid w:val="0078043C"/>
    <w:rsid w:val="00780440"/>
    <w:rsid w:val="00781038"/>
    <w:rsid w:val="007818C0"/>
    <w:rsid w:val="00783B04"/>
    <w:rsid w:val="0078447F"/>
    <w:rsid w:val="00785009"/>
    <w:rsid w:val="00785226"/>
    <w:rsid w:val="0078563F"/>
    <w:rsid w:val="00785BDF"/>
    <w:rsid w:val="00787CC9"/>
    <w:rsid w:val="00790268"/>
    <w:rsid w:val="007904CB"/>
    <w:rsid w:val="0079152F"/>
    <w:rsid w:val="007925FF"/>
    <w:rsid w:val="00793493"/>
    <w:rsid w:val="00793C6B"/>
    <w:rsid w:val="00793D02"/>
    <w:rsid w:val="00793DC9"/>
    <w:rsid w:val="00794ACA"/>
    <w:rsid w:val="00794CC5"/>
    <w:rsid w:val="00794E5A"/>
    <w:rsid w:val="00795C56"/>
    <w:rsid w:val="00795C66"/>
    <w:rsid w:val="00797523"/>
    <w:rsid w:val="007A151E"/>
    <w:rsid w:val="007A1A17"/>
    <w:rsid w:val="007A43D8"/>
    <w:rsid w:val="007A4990"/>
    <w:rsid w:val="007A5091"/>
    <w:rsid w:val="007A5C0F"/>
    <w:rsid w:val="007A5D7A"/>
    <w:rsid w:val="007A626A"/>
    <w:rsid w:val="007B143D"/>
    <w:rsid w:val="007B2BBA"/>
    <w:rsid w:val="007B3232"/>
    <w:rsid w:val="007B36D9"/>
    <w:rsid w:val="007B3C81"/>
    <w:rsid w:val="007B451A"/>
    <w:rsid w:val="007B47AE"/>
    <w:rsid w:val="007B72F4"/>
    <w:rsid w:val="007B7408"/>
    <w:rsid w:val="007C00A3"/>
    <w:rsid w:val="007C1013"/>
    <w:rsid w:val="007C1A87"/>
    <w:rsid w:val="007C1C25"/>
    <w:rsid w:val="007C1C9D"/>
    <w:rsid w:val="007C1F6F"/>
    <w:rsid w:val="007C2953"/>
    <w:rsid w:val="007C3012"/>
    <w:rsid w:val="007C5C5D"/>
    <w:rsid w:val="007C6433"/>
    <w:rsid w:val="007C66E2"/>
    <w:rsid w:val="007C6F20"/>
    <w:rsid w:val="007C7504"/>
    <w:rsid w:val="007C7BB2"/>
    <w:rsid w:val="007D0D31"/>
    <w:rsid w:val="007D1B5B"/>
    <w:rsid w:val="007D2534"/>
    <w:rsid w:val="007D30AE"/>
    <w:rsid w:val="007D44E0"/>
    <w:rsid w:val="007D4647"/>
    <w:rsid w:val="007D4898"/>
    <w:rsid w:val="007D4D9F"/>
    <w:rsid w:val="007D4F68"/>
    <w:rsid w:val="007D6751"/>
    <w:rsid w:val="007D6EC3"/>
    <w:rsid w:val="007D7AB4"/>
    <w:rsid w:val="007E01B6"/>
    <w:rsid w:val="007E04AA"/>
    <w:rsid w:val="007E12AF"/>
    <w:rsid w:val="007E1F48"/>
    <w:rsid w:val="007E24E9"/>
    <w:rsid w:val="007E3135"/>
    <w:rsid w:val="007E399D"/>
    <w:rsid w:val="007E3BF4"/>
    <w:rsid w:val="007E3F57"/>
    <w:rsid w:val="007E5162"/>
    <w:rsid w:val="007E5270"/>
    <w:rsid w:val="007E559E"/>
    <w:rsid w:val="007E631B"/>
    <w:rsid w:val="007E6F10"/>
    <w:rsid w:val="007E77FD"/>
    <w:rsid w:val="007F0660"/>
    <w:rsid w:val="007F1685"/>
    <w:rsid w:val="007F172C"/>
    <w:rsid w:val="007F2842"/>
    <w:rsid w:val="007F2BEF"/>
    <w:rsid w:val="007F3062"/>
    <w:rsid w:val="007F3335"/>
    <w:rsid w:val="007F501C"/>
    <w:rsid w:val="007F52B8"/>
    <w:rsid w:val="007F5E76"/>
    <w:rsid w:val="007F6866"/>
    <w:rsid w:val="007F695F"/>
    <w:rsid w:val="007F734C"/>
    <w:rsid w:val="008006A2"/>
    <w:rsid w:val="008009C1"/>
    <w:rsid w:val="00801599"/>
    <w:rsid w:val="00801938"/>
    <w:rsid w:val="00801B9F"/>
    <w:rsid w:val="00801BF4"/>
    <w:rsid w:val="008034E2"/>
    <w:rsid w:val="0080561B"/>
    <w:rsid w:val="00806A0D"/>
    <w:rsid w:val="00807802"/>
    <w:rsid w:val="00807B07"/>
    <w:rsid w:val="00810EF1"/>
    <w:rsid w:val="00811D35"/>
    <w:rsid w:val="00811F2B"/>
    <w:rsid w:val="00812379"/>
    <w:rsid w:val="008123BE"/>
    <w:rsid w:val="00816A4A"/>
    <w:rsid w:val="008207B7"/>
    <w:rsid w:val="00821F5D"/>
    <w:rsid w:val="00822CE1"/>
    <w:rsid w:val="00822D48"/>
    <w:rsid w:val="008275F8"/>
    <w:rsid w:val="008277E0"/>
    <w:rsid w:val="008314F3"/>
    <w:rsid w:val="00831DD3"/>
    <w:rsid w:val="00831F16"/>
    <w:rsid w:val="00832B32"/>
    <w:rsid w:val="00832E6C"/>
    <w:rsid w:val="00833D13"/>
    <w:rsid w:val="00833E5F"/>
    <w:rsid w:val="00834673"/>
    <w:rsid w:val="008346A1"/>
    <w:rsid w:val="00834AC7"/>
    <w:rsid w:val="008361FF"/>
    <w:rsid w:val="00836D12"/>
    <w:rsid w:val="00837BDD"/>
    <w:rsid w:val="00840E11"/>
    <w:rsid w:val="008412F4"/>
    <w:rsid w:val="0084209E"/>
    <w:rsid w:val="008426B8"/>
    <w:rsid w:val="00842F47"/>
    <w:rsid w:val="00843B74"/>
    <w:rsid w:val="008444AE"/>
    <w:rsid w:val="00844B44"/>
    <w:rsid w:val="00845806"/>
    <w:rsid w:val="00845FC1"/>
    <w:rsid w:val="00846DDD"/>
    <w:rsid w:val="008477D9"/>
    <w:rsid w:val="00850245"/>
    <w:rsid w:val="00850AE0"/>
    <w:rsid w:val="0085129E"/>
    <w:rsid w:val="00851EF1"/>
    <w:rsid w:val="00853B6A"/>
    <w:rsid w:val="00854B75"/>
    <w:rsid w:val="00856446"/>
    <w:rsid w:val="00856660"/>
    <w:rsid w:val="00860D5B"/>
    <w:rsid w:val="008623EC"/>
    <w:rsid w:val="0086351D"/>
    <w:rsid w:val="00863C38"/>
    <w:rsid w:val="00863F6A"/>
    <w:rsid w:val="0086427F"/>
    <w:rsid w:val="00866A71"/>
    <w:rsid w:val="00866C13"/>
    <w:rsid w:val="0086739D"/>
    <w:rsid w:val="00873A91"/>
    <w:rsid w:val="008741A3"/>
    <w:rsid w:val="00876805"/>
    <w:rsid w:val="00877121"/>
    <w:rsid w:val="008771E7"/>
    <w:rsid w:val="0088042C"/>
    <w:rsid w:val="008822B8"/>
    <w:rsid w:val="008825AB"/>
    <w:rsid w:val="008828C2"/>
    <w:rsid w:val="00883CD1"/>
    <w:rsid w:val="0088434E"/>
    <w:rsid w:val="008845F2"/>
    <w:rsid w:val="00884B44"/>
    <w:rsid w:val="008856F3"/>
    <w:rsid w:val="008868DD"/>
    <w:rsid w:val="008906D5"/>
    <w:rsid w:val="008906E0"/>
    <w:rsid w:val="00890918"/>
    <w:rsid w:val="00890A4A"/>
    <w:rsid w:val="00890FB0"/>
    <w:rsid w:val="00891B01"/>
    <w:rsid w:val="00892230"/>
    <w:rsid w:val="008935CF"/>
    <w:rsid w:val="00894026"/>
    <w:rsid w:val="00894099"/>
    <w:rsid w:val="00894463"/>
    <w:rsid w:val="00894CA6"/>
    <w:rsid w:val="00894E26"/>
    <w:rsid w:val="008954CD"/>
    <w:rsid w:val="008956CD"/>
    <w:rsid w:val="008979D0"/>
    <w:rsid w:val="008A045F"/>
    <w:rsid w:val="008A135A"/>
    <w:rsid w:val="008A1A86"/>
    <w:rsid w:val="008A2C1D"/>
    <w:rsid w:val="008A392A"/>
    <w:rsid w:val="008A4299"/>
    <w:rsid w:val="008A4C87"/>
    <w:rsid w:val="008A4CCA"/>
    <w:rsid w:val="008A5663"/>
    <w:rsid w:val="008A5A1F"/>
    <w:rsid w:val="008A5F9E"/>
    <w:rsid w:val="008A6420"/>
    <w:rsid w:val="008A6569"/>
    <w:rsid w:val="008A688B"/>
    <w:rsid w:val="008A7886"/>
    <w:rsid w:val="008B0F3B"/>
    <w:rsid w:val="008B294C"/>
    <w:rsid w:val="008B3D97"/>
    <w:rsid w:val="008B4FF1"/>
    <w:rsid w:val="008B5061"/>
    <w:rsid w:val="008B5201"/>
    <w:rsid w:val="008B5292"/>
    <w:rsid w:val="008B5A88"/>
    <w:rsid w:val="008B5AC6"/>
    <w:rsid w:val="008B5AE4"/>
    <w:rsid w:val="008B5C19"/>
    <w:rsid w:val="008B64C6"/>
    <w:rsid w:val="008B663D"/>
    <w:rsid w:val="008B76E0"/>
    <w:rsid w:val="008C0EDA"/>
    <w:rsid w:val="008C15ED"/>
    <w:rsid w:val="008C1E44"/>
    <w:rsid w:val="008C2565"/>
    <w:rsid w:val="008C2FF8"/>
    <w:rsid w:val="008C328F"/>
    <w:rsid w:val="008C4962"/>
    <w:rsid w:val="008C6265"/>
    <w:rsid w:val="008C6446"/>
    <w:rsid w:val="008C6DD3"/>
    <w:rsid w:val="008C71A2"/>
    <w:rsid w:val="008C7365"/>
    <w:rsid w:val="008C7E57"/>
    <w:rsid w:val="008D04C8"/>
    <w:rsid w:val="008D0A94"/>
    <w:rsid w:val="008D199F"/>
    <w:rsid w:val="008D3C32"/>
    <w:rsid w:val="008D5429"/>
    <w:rsid w:val="008D5CD2"/>
    <w:rsid w:val="008D5E6E"/>
    <w:rsid w:val="008D6C13"/>
    <w:rsid w:val="008D6E13"/>
    <w:rsid w:val="008D734D"/>
    <w:rsid w:val="008E0426"/>
    <w:rsid w:val="008E093E"/>
    <w:rsid w:val="008E2CF8"/>
    <w:rsid w:val="008E3784"/>
    <w:rsid w:val="008E4011"/>
    <w:rsid w:val="008E4129"/>
    <w:rsid w:val="008E54A3"/>
    <w:rsid w:val="008E5B3A"/>
    <w:rsid w:val="008E6714"/>
    <w:rsid w:val="008E698A"/>
    <w:rsid w:val="008E7135"/>
    <w:rsid w:val="008F0466"/>
    <w:rsid w:val="008F0D5B"/>
    <w:rsid w:val="008F1751"/>
    <w:rsid w:val="008F202E"/>
    <w:rsid w:val="008F23A9"/>
    <w:rsid w:val="008F2563"/>
    <w:rsid w:val="008F3090"/>
    <w:rsid w:val="008F3116"/>
    <w:rsid w:val="008F3A84"/>
    <w:rsid w:val="008F56C8"/>
    <w:rsid w:val="008F5C91"/>
    <w:rsid w:val="008F79D5"/>
    <w:rsid w:val="009011CC"/>
    <w:rsid w:val="00902605"/>
    <w:rsid w:val="0090275E"/>
    <w:rsid w:val="009027A7"/>
    <w:rsid w:val="0090298D"/>
    <w:rsid w:val="00903209"/>
    <w:rsid w:val="00903332"/>
    <w:rsid w:val="00903F2C"/>
    <w:rsid w:val="0090569A"/>
    <w:rsid w:val="009056F4"/>
    <w:rsid w:val="00905857"/>
    <w:rsid w:val="00905C1A"/>
    <w:rsid w:val="009079E8"/>
    <w:rsid w:val="00907B8F"/>
    <w:rsid w:val="0091032C"/>
    <w:rsid w:val="00910CF3"/>
    <w:rsid w:val="00911334"/>
    <w:rsid w:val="00911D68"/>
    <w:rsid w:val="00912E80"/>
    <w:rsid w:val="00912F44"/>
    <w:rsid w:val="00913A28"/>
    <w:rsid w:val="0091401C"/>
    <w:rsid w:val="00914DE7"/>
    <w:rsid w:val="009153B8"/>
    <w:rsid w:val="00915C38"/>
    <w:rsid w:val="00915DCA"/>
    <w:rsid w:val="009161F8"/>
    <w:rsid w:val="009166DF"/>
    <w:rsid w:val="00916EAC"/>
    <w:rsid w:val="009178D5"/>
    <w:rsid w:val="00917F43"/>
    <w:rsid w:val="009207C5"/>
    <w:rsid w:val="009213C8"/>
    <w:rsid w:val="00921E6E"/>
    <w:rsid w:val="00922601"/>
    <w:rsid w:val="009230B9"/>
    <w:rsid w:val="00923247"/>
    <w:rsid w:val="0092334D"/>
    <w:rsid w:val="00923B9F"/>
    <w:rsid w:val="009241F7"/>
    <w:rsid w:val="00924705"/>
    <w:rsid w:val="009257A9"/>
    <w:rsid w:val="00925898"/>
    <w:rsid w:val="0092655B"/>
    <w:rsid w:val="00927B30"/>
    <w:rsid w:val="00931636"/>
    <w:rsid w:val="0093466E"/>
    <w:rsid w:val="00934E3E"/>
    <w:rsid w:val="00935738"/>
    <w:rsid w:val="009367DA"/>
    <w:rsid w:val="0094033C"/>
    <w:rsid w:val="009405EE"/>
    <w:rsid w:val="009436A5"/>
    <w:rsid w:val="0094392C"/>
    <w:rsid w:val="009439F5"/>
    <w:rsid w:val="0094431E"/>
    <w:rsid w:val="00944518"/>
    <w:rsid w:val="009467BA"/>
    <w:rsid w:val="00946AB7"/>
    <w:rsid w:val="00950909"/>
    <w:rsid w:val="00950CF0"/>
    <w:rsid w:val="00950EB2"/>
    <w:rsid w:val="00952DDB"/>
    <w:rsid w:val="00953DF6"/>
    <w:rsid w:val="0095424F"/>
    <w:rsid w:val="009558F5"/>
    <w:rsid w:val="00956926"/>
    <w:rsid w:val="009576F6"/>
    <w:rsid w:val="009613C1"/>
    <w:rsid w:val="00963640"/>
    <w:rsid w:val="00965F4F"/>
    <w:rsid w:val="00966C35"/>
    <w:rsid w:val="00967313"/>
    <w:rsid w:val="00967A10"/>
    <w:rsid w:val="009704C4"/>
    <w:rsid w:val="0097080C"/>
    <w:rsid w:val="00974C74"/>
    <w:rsid w:val="009757C4"/>
    <w:rsid w:val="00975EDB"/>
    <w:rsid w:val="00975F79"/>
    <w:rsid w:val="00975FF9"/>
    <w:rsid w:val="009769CD"/>
    <w:rsid w:val="009770DF"/>
    <w:rsid w:val="00977631"/>
    <w:rsid w:val="00977A1B"/>
    <w:rsid w:val="00977C55"/>
    <w:rsid w:val="00977DD5"/>
    <w:rsid w:val="009807B6"/>
    <w:rsid w:val="00980D67"/>
    <w:rsid w:val="00982AB6"/>
    <w:rsid w:val="00982AFF"/>
    <w:rsid w:val="00984EDE"/>
    <w:rsid w:val="009860E9"/>
    <w:rsid w:val="0098617E"/>
    <w:rsid w:val="00990C67"/>
    <w:rsid w:val="00991019"/>
    <w:rsid w:val="00992BF5"/>
    <w:rsid w:val="00992C94"/>
    <w:rsid w:val="00992DD1"/>
    <w:rsid w:val="00993247"/>
    <w:rsid w:val="00994C08"/>
    <w:rsid w:val="00994C8E"/>
    <w:rsid w:val="00994D92"/>
    <w:rsid w:val="00995309"/>
    <w:rsid w:val="0099539A"/>
    <w:rsid w:val="00995756"/>
    <w:rsid w:val="009957AE"/>
    <w:rsid w:val="00995C8F"/>
    <w:rsid w:val="00997443"/>
    <w:rsid w:val="009A0772"/>
    <w:rsid w:val="009A07A6"/>
    <w:rsid w:val="009A1EA3"/>
    <w:rsid w:val="009A24DD"/>
    <w:rsid w:val="009A280E"/>
    <w:rsid w:val="009A296F"/>
    <w:rsid w:val="009A2ADC"/>
    <w:rsid w:val="009A502E"/>
    <w:rsid w:val="009A7EFC"/>
    <w:rsid w:val="009B0C0D"/>
    <w:rsid w:val="009B32C8"/>
    <w:rsid w:val="009B3DEC"/>
    <w:rsid w:val="009B4A31"/>
    <w:rsid w:val="009B5926"/>
    <w:rsid w:val="009C00A7"/>
    <w:rsid w:val="009C078E"/>
    <w:rsid w:val="009C12BD"/>
    <w:rsid w:val="009C1549"/>
    <w:rsid w:val="009C1F11"/>
    <w:rsid w:val="009C2270"/>
    <w:rsid w:val="009C2553"/>
    <w:rsid w:val="009C327E"/>
    <w:rsid w:val="009C3294"/>
    <w:rsid w:val="009C3BE7"/>
    <w:rsid w:val="009C455B"/>
    <w:rsid w:val="009C48ED"/>
    <w:rsid w:val="009C637F"/>
    <w:rsid w:val="009C63BB"/>
    <w:rsid w:val="009C6C5C"/>
    <w:rsid w:val="009C73A1"/>
    <w:rsid w:val="009C7D05"/>
    <w:rsid w:val="009D1122"/>
    <w:rsid w:val="009D1195"/>
    <w:rsid w:val="009D1CF5"/>
    <w:rsid w:val="009D2B76"/>
    <w:rsid w:val="009D4257"/>
    <w:rsid w:val="009D43D2"/>
    <w:rsid w:val="009D611E"/>
    <w:rsid w:val="009D74F1"/>
    <w:rsid w:val="009D75C7"/>
    <w:rsid w:val="009D7D1B"/>
    <w:rsid w:val="009D7EA8"/>
    <w:rsid w:val="009D7FA3"/>
    <w:rsid w:val="009E0F5B"/>
    <w:rsid w:val="009E262F"/>
    <w:rsid w:val="009E37E6"/>
    <w:rsid w:val="009E4FE6"/>
    <w:rsid w:val="009E62F1"/>
    <w:rsid w:val="009E6F37"/>
    <w:rsid w:val="009E7988"/>
    <w:rsid w:val="009E7F20"/>
    <w:rsid w:val="009F002D"/>
    <w:rsid w:val="009F0786"/>
    <w:rsid w:val="009F128B"/>
    <w:rsid w:val="009F1735"/>
    <w:rsid w:val="009F1D8A"/>
    <w:rsid w:val="009F2377"/>
    <w:rsid w:val="009F2E6D"/>
    <w:rsid w:val="009F33BC"/>
    <w:rsid w:val="009F37A7"/>
    <w:rsid w:val="009F4E28"/>
    <w:rsid w:val="009F6305"/>
    <w:rsid w:val="009F7EFB"/>
    <w:rsid w:val="00A00909"/>
    <w:rsid w:val="00A0161F"/>
    <w:rsid w:val="00A02144"/>
    <w:rsid w:val="00A0215F"/>
    <w:rsid w:val="00A0238D"/>
    <w:rsid w:val="00A0420F"/>
    <w:rsid w:val="00A04EC4"/>
    <w:rsid w:val="00A0507C"/>
    <w:rsid w:val="00A052AF"/>
    <w:rsid w:val="00A05B0F"/>
    <w:rsid w:val="00A05B1F"/>
    <w:rsid w:val="00A05F70"/>
    <w:rsid w:val="00A063E8"/>
    <w:rsid w:val="00A06B99"/>
    <w:rsid w:val="00A070DD"/>
    <w:rsid w:val="00A0772D"/>
    <w:rsid w:val="00A100B3"/>
    <w:rsid w:val="00A11B38"/>
    <w:rsid w:val="00A11CC1"/>
    <w:rsid w:val="00A12ABD"/>
    <w:rsid w:val="00A12BF2"/>
    <w:rsid w:val="00A12DD3"/>
    <w:rsid w:val="00A13190"/>
    <w:rsid w:val="00A141AC"/>
    <w:rsid w:val="00A14E4D"/>
    <w:rsid w:val="00A16063"/>
    <w:rsid w:val="00A1777E"/>
    <w:rsid w:val="00A17A8B"/>
    <w:rsid w:val="00A20DA2"/>
    <w:rsid w:val="00A21D07"/>
    <w:rsid w:val="00A21F0B"/>
    <w:rsid w:val="00A22CEB"/>
    <w:rsid w:val="00A2383F"/>
    <w:rsid w:val="00A23D00"/>
    <w:rsid w:val="00A243CD"/>
    <w:rsid w:val="00A24DDD"/>
    <w:rsid w:val="00A25B7E"/>
    <w:rsid w:val="00A25BE9"/>
    <w:rsid w:val="00A273E9"/>
    <w:rsid w:val="00A30782"/>
    <w:rsid w:val="00A30B5B"/>
    <w:rsid w:val="00A31136"/>
    <w:rsid w:val="00A311B3"/>
    <w:rsid w:val="00A31921"/>
    <w:rsid w:val="00A31BB7"/>
    <w:rsid w:val="00A3268C"/>
    <w:rsid w:val="00A33F09"/>
    <w:rsid w:val="00A34761"/>
    <w:rsid w:val="00A35A67"/>
    <w:rsid w:val="00A36189"/>
    <w:rsid w:val="00A36967"/>
    <w:rsid w:val="00A376B6"/>
    <w:rsid w:val="00A37E0D"/>
    <w:rsid w:val="00A37E12"/>
    <w:rsid w:val="00A401EA"/>
    <w:rsid w:val="00A40CE9"/>
    <w:rsid w:val="00A40D4A"/>
    <w:rsid w:val="00A410AC"/>
    <w:rsid w:val="00A416A5"/>
    <w:rsid w:val="00A43B12"/>
    <w:rsid w:val="00A45165"/>
    <w:rsid w:val="00A460D9"/>
    <w:rsid w:val="00A46955"/>
    <w:rsid w:val="00A46963"/>
    <w:rsid w:val="00A471F0"/>
    <w:rsid w:val="00A47819"/>
    <w:rsid w:val="00A47F37"/>
    <w:rsid w:val="00A50B23"/>
    <w:rsid w:val="00A50CCA"/>
    <w:rsid w:val="00A513CC"/>
    <w:rsid w:val="00A51CC8"/>
    <w:rsid w:val="00A52637"/>
    <w:rsid w:val="00A537C7"/>
    <w:rsid w:val="00A53F7A"/>
    <w:rsid w:val="00A545AC"/>
    <w:rsid w:val="00A545D2"/>
    <w:rsid w:val="00A54DFA"/>
    <w:rsid w:val="00A550DE"/>
    <w:rsid w:val="00A55B5F"/>
    <w:rsid w:val="00A55CA8"/>
    <w:rsid w:val="00A56893"/>
    <w:rsid w:val="00A57CAB"/>
    <w:rsid w:val="00A57FCF"/>
    <w:rsid w:val="00A57FFE"/>
    <w:rsid w:val="00A600C4"/>
    <w:rsid w:val="00A60119"/>
    <w:rsid w:val="00A61238"/>
    <w:rsid w:val="00A622DC"/>
    <w:rsid w:val="00A6258B"/>
    <w:rsid w:val="00A64A33"/>
    <w:rsid w:val="00A66655"/>
    <w:rsid w:val="00A67FF8"/>
    <w:rsid w:val="00A71364"/>
    <w:rsid w:val="00A71476"/>
    <w:rsid w:val="00A72603"/>
    <w:rsid w:val="00A74BA2"/>
    <w:rsid w:val="00A75653"/>
    <w:rsid w:val="00A75916"/>
    <w:rsid w:val="00A75925"/>
    <w:rsid w:val="00A76828"/>
    <w:rsid w:val="00A802CF"/>
    <w:rsid w:val="00A80D9B"/>
    <w:rsid w:val="00A810F1"/>
    <w:rsid w:val="00A8293B"/>
    <w:rsid w:val="00A83389"/>
    <w:rsid w:val="00A840BC"/>
    <w:rsid w:val="00A84525"/>
    <w:rsid w:val="00A84613"/>
    <w:rsid w:val="00A85185"/>
    <w:rsid w:val="00A87036"/>
    <w:rsid w:val="00A87186"/>
    <w:rsid w:val="00A900A6"/>
    <w:rsid w:val="00A91E61"/>
    <w:rsid w:val="00A930C3"/>
    <w:rsid w:val="00A94A09"/>
    <w:rsid w:val="00A97383"/>
    <w:rsid w:val="00A978AB"/>
    <w:rsid w:val="00A97F09"/>
    <w:rsid w:val="00AA1727"/>
    <w:rsid w:val="00AA2566"/>
    <w:rsid w:val="00AA2E90"/>
    <w:rsid w:val="00AA3702"/>
    <w:rsid w:val="00AA6C11"/>
    <w:rsid w:val="00AA6F14"/>
    <w:rsid w:val="00AA75A5"/>
    <w:rsid w:val="00AB0EF0"/>
    <w:rsid w:val="00AB12BD"/>
    <w:rsid w:val="00AB4359"/>
    <w:rsid w:val="00AB44B1"/>
    <w:rsid w:val="00AB729E"/>
    <w:rsid w:val="00AC1CBC"/>
    <w:rsid w:val="00AC1E4B"/>
    <w:rsid w:val="00AC213E"/>
    <w:rsid w:val="00AC2723"/>
    <w:rsid w:val="00AC28BA"/>
    <w:rsid w:val="00AC37E5"/>
    <w:rsid w:val="00AC3F24"/>
    <w:rsid w:val="00AC40EA"/>
    <w:rsid w:val="00AC48F0"/>
    <w:rsid w:val="00AC5D19"/>
    <w:rsid w:val="00AC7BE5"/>
    <w:rsid w:val="00AD0C24"/>
    <w:rsid w:val="00AD1AA8"/>
    <w:rsid w:val="00AD2B55"/>
    <w:rsid w:val="00AD35A1"/>
    <w:rsid w:val="00AD4AFB"/>
    <w:rsid w:val="00AD4C2F"/>
    <w:rsid w:val="00AD54CB"/>
    <w:rsid w:val="00AD6F6B"/>
    <w:rsid w:val="00AE0BFA"/>
    <w:rsid w:val="00AE0DF6"/>
    <w:rsid w:val="00AE1E6F"/>
    <w:rsid w:val="00AE200E"/>
    <w:rsid w:val="00AE21C7"/>
    <w:rsid w:val="00AE2262"/>
    <w:rsid w:val="00AE239B"/>
    <w:rsid w:val="00AE55AD"/>
    <w:rsid w:val="00AE7CFE"/>
    <w:rsid w:val="00AF0A1E"/>
    <w:rsid w:val="00AF1D85"/>
    <w:rsid w:val="00AF23F3"/>
    <w:rsid w:val="00AF298A"/>
    <w:rsid w:val="00AF2A1B"/>
    <w:rsid w:val="00AF3BB6"/>
    <w:rsid w:val="00AF413C"/>
    <w:rsid w:val="00AF4445"/>
    <w:rsid w:val="00AF47A7"/>
    <w:rsid w:val="00AF4859"/>
    <w:rsid w:val="00AF512C"/>
    <w:rsid w:val="00AF65F4"/>
    <w:rsid w:val="00AF6696"/>
    <w:rsid w:val="00AF7766"/>
    <w:rsid w:val="00AF7917"/>
    <w:rsid w:val="00AF7BA9"/>
    <w:rsid w:val="00B003CB"/>
    <w:rsid w:val="00B014C9"/>
    <w:rsid w:val="00B0183B"/>
    <w:rsid w:val="00B01BC0"/>
    <w:rsid w:val="00B028F6"/>
    <w:rsid w:val="00B02EE2"/>
    <w:rsid w:val="00B0329C"/>
    <w:rsid w:val="00B035DE"/>
    <w:rsid w:val="00B0388E"/>
    <w:rsid w:val="00B03B1C"/>
    <w:rsid w:val="00B03C82"/>
    <w:rsid w:val="00B04199"/>
    <w:rsid w:val="00B04CDF"/>
    <w:rsid w:val="00B05CEC"/>
    <w:rsid w:val="00B069C3"/>
    <w:rsid w:val="00B06A1C"/>
    <w:rsid w:val="00B06C59"/>
    <w:rsid w:val="00B07ED2"/>
    <w:rsid w:val="00B11651"/>
    <w:rsid w:val="00B127A3"/>
    <w:rsid w:val="00B1447A"/>
    <w:rsid w:val="00B14C18"/>
    <w:rsid w:val="00B14E98"/>
    <w:rsid w:val="00B15102"/>
    <w:rsid w:val="00B172E1"/>
    <w:rsid w:val="00B17926"/>
    <w:rsid w:val="00B17D5F"/>
    <w:rsid w:val="00B21204"/>
    <w:rsid w:val="00B21510"/>
    <w:rsid w:val="00B21B72"/>
    <w:rsid w:val="00B22D51"/>
    <w:rsid w:val="00B22EF6"/>
    <w:rsid w:val="00B233A1"/>
    <w:rsid w:val="00B23E66"/>
    <w:rsid w:val="00B2553E"/>
    <w:rsid w:val="00B26D42"/>
    <w:rsid w:val="00B27A52"/>
    <w:rsid w:val="00B27DAD"/>
    <w:rsid w:val="00B30731"/>
    <w:rsid w:val="00B31BF2"/>
    <w:rsid w:val="00B31D4E"/>
    <w:rsid w:val="00B33002"/>
    <w:rsid w:val="00B333F6"/>
    <w:rsid w:val="00B346FE"/>
    <w:rsid w:val="00B348DC"/>
    <w:rsid w:val="00B36E57"/>
    <w:rsid w:val="00B37B25"/>
    <w:rsid w:val="00B37C48"/>
    <w:rsid w:val="00B41C5B"/>
    <w:rsid w:val="00B4285D"/>
    <w:rsid w:val="00B45650"/>
    <w:rsid w:val="00B46E1B"/>
    <w:rsid w:val="00B47A97"/>
    <w:rsid w:val="00B50A1B"/>
    <w:rsid w:val="00B50D33"/>
    <w:rsid w:val="00B50D47"/>
    <w:rsid w:val="00B53749"/>
    <w:rsid w:val="00B54B7A"/>
    <w:rsid w:val="00B56793"/>
    <w:rsid w:val="00B60BBF"/>
    <w:rsid w:val="00B61251"/>
    <w:rsid w:val="00B62525"/>
    <w:rsid w:val="00B62929"/>
    <w:rsid w:val="00B63ABF"/>
    <w:rsid w:val="00B63F1B"/>
    <w:rsid w:val="00B642C7"/>
    <w:rsid w:val="00B66C6F"/>
    <w:rsid w:val="00B66D26"/>
    <w:rsid w:val="00B670E7"/>
    <w:rsid w:val="00B67981"/>
    <w:rsid w:val="00B67C68"/>
    <w:rsid w:val="00B71052"/>
    <w:rsid w:val="00B733FC"/>
    <w:rsid w:val="00B754A1"/>
    <w:rsid w:val="00B76001"/>
    <w:rsid w:val="00B7650E"/>
    <w:rsid w:val="00B7679D"/>
    <w:rsid w:val="00B77906"/>
    <w:rsid w:val="00B8027D"/>
    <w:rsid w:val="00B826BA"/>
    <w:rsid w:val="00B8322F"/>
    <w:rsid w:val="00B833C6"/>
    <w:rsid w:val="00B8530F"/>
    <w:rsid w:val="00B8562D"/>
    <w:rsid w:val="00B8575A"/>
    <w:rsid w:val="00B87772"/>
    <w:rsid w:val="00B87870"/>
    <w:rsid w:val="00B87F77"/>
    <w:rsid w:val="00B87FDD"/>
    <w:rsid w:val="00B91616"/>
    <w:rsid w:val="00B91642"/>
    <w:rsid w:val="00B916AD"/>
    <w:rsid w:val="00B92730"/>
    <w:rsid w:val="00B92EF9"/>
    <w:rsid w:val="00B93E27"/>
    <w:rsid w:val="00B943F6"/>
    <w:rsid w:val="00B9614C"/>
    <w:rsid w:val="00B96191"/>
    <w:rsid w:val="00B9699A"/>
    <w:rsid w:val="00B96D9F"/>
    <w:rsid w:val="00B97440"/>
    <w:rsid w:val="00BA02D7"/>
    <w:rsid w:val="00BA04AE"/>
    <w:rsid w:val="00BA1274"/>
    <w:rsid w:val="00BA16FA"/>
    <w:rsid w:val="00BA1ECB"/>
    <w:rsid w:val="00BA3989"/>
    <w:rsid w:val="00BA3D5A"/>
    <w:rsid w:val="00BA5622"/>
    <w:rsid w:val="00BA6D81"/>
    <w:rsid w:val="00BA7E60"/>
    <w:rsid w:val="00BB042C"/>
    <w:rsid w:val="00BB10FC"/>
    <w:rsid w:val="00BB17FC"/>
    <w:rsid w:val="00BB2013"/>
    <w:rsid w:val="00BB356D"/>
    <w:rsid w:val="00BB3B0D"/>
    <w:rsid w:val="00BB457A"/>
    <w:rsid w:val="00BB4612"/>
    <w:rsid w:val="00BB525C"/>
    <w:rsid w:val="00BB5EA5"/>
    <w:rsid w:val="00BB671B"/>
    <w:rsid w:val="00BB759D"/>
    <w:rsid w:val="00BB7F72"/>
    <w:rsid w:val="00BC02A7"/>
    <w:rsid w:val="00BC0AB0"/>
    <w:rsid w:val="00BC1100"/>
    <w:rsid w:val="00BC1308"/>
    <w:rsid w:val="00BC1611"/>
    <w:rsid w:val="00BC25BD"/>
    <w:rsid w:val="00BC2E86"/>
    <w:rsid w:val="00BC3B73"/>
    <w:rsid w:val="00BC43CF"/>
    <w:rsid w:val="00BC4A16"/>
    <w:rsid w:val="00BC5C29"/>
    <w:rsid w:val="00BC5CE0"/>
    <w:rsid w:val="00BC723C"/>
    <w:rsid w:val="00BC728F"/>
    <w:rsid w:val="00BC77CA"/>
    <w:rsid w:val="00BD00E9"/>
    <w:rsid w:val="00BD1623"/>
    <w:rsid w:val="00BD187B"/>
    <w:rsid w:val="00BD39A9"/>
    <w:rsid w:val="00BD6EDC"/>
    <w:rsid w:val="00BD6F0E"/>
    <w:rsid w:val="00BD7755"/>
    <w:rsid w:val="00BD79CB"/>
    <w:rsid w:val="00BE08E5"/>
    <w:rsid w:val="00BE0C1E"/>
    <w:rsid w:val="00BE0E0B"/>
    <w:rsid w:val="00BE2159"/>
    <w:rsid w:val="00BE38D9"/>
    <w:rsid w:val="00BE434E"/>
    <w:rsid w:val="00BE44ED"/>
    <w:rsid w:val="00BE4D43"/>
    <w:rsid w:val="00BE5303"/>
    <w:rsid w:val="00BE6FBF"/>
    <w:rsid w:val="00BE7041"/>
    <w:rsid w:val="00BE71FF"/>
    <w:rsid w:val="00BE721D"/>
    <w:rsid w:val="00BE75C7"/>
    <w:rsid w:val="00BE7758"/>
    <w:rsid w:val="00BE7CDF"/>
    <w:rsid w:val="00BE7F01"/>
    <w:rsid w:val="00BF012C"/>
    <w:rsid w:val="00BF014B"/>
    <w:rsid w:val="00BF07A6"/>
    <w:rsid w:val="00BF0D1A"/>
    <w:rsid w:val="00BF24C4"/>
    <w:rsid w:val="00BF2879"/>
    <w:rsid w:val="00BF2E25"/>
    <w:rsid w:val="00BF3664"/>
    <w:rsid w:val="00BF457B"/>
    <w:rsid w:val="00BF4689"/>
    <w:rsid w:val="00BF4C59"/>
    <w:rsid w:val="00BF600B"/>
    <w:rsid w:val="00BF6341"/>
    <w:rsid w:val="00BF68D3"/>
    <w:rsid w:val="00C007F3"/>
    <w:rsid w:val="00C00A58"/>
    <w:rsid w:val="00C016CA"/>
    <w:rsid w:val="00C0294E"/>
    <w:rsid w:val="00C04984"/>
    <w:rsid w:val="00C04D9D"/>
    <w:rsid w:val="00C0537D"/>
    <w:rsid w:val="00C06045"/>
    <w:rsid w:val="00C062DA"/>
    <w:rsid w:val="00C06ACC"/>
    <w:rsid w:val="00C06B36"/>
    <w:rsid w:val="00C07132"/>
    <w:rsid w:val="00C1117E"/>
    <w:rsid w:val="00C11853"/>
    <w:rsid w:val="00C11DF0"/>
    <w:rsid w:val="00C12350"/>
    <w:rsid w:val="00C12734"/>
    <w:rsid w:val="00C12B41"/>
    <w:rsid w:val="00C1312E"/>
    <w:rsid w:val="00C1340F"/>
    <w:rsid w:val="00C1511F"/>
    <w:rsid w:val="00C1552A"/>
    <w:rsid w:val="00C16D90"/>
    <w:rsid w:val="00C17109"/>
    <w:rsid w:val="00C17D55"/>
    <w:rsid w:val="00C20B4C"/>
    <w:rsid w:val="00C20D02"/>
    <w:rsid w:val="00C22718"/>
    <w:rsid w:val="00C236D1"/>
    <w:rsid w:val="00C2461B"/>
    <w:rsid w:val="00C24E38"/>
    <w:rsid w:val="00C25571"/>
    <w:rsid w:val="00C25C85"/>
    <w:rsid w:val="00C262EE"/>
    <w:rsid w:val="00C2636A"/>
    <w:rsid w:val="00C265ED"/>
    <w:rsid w:val="00C26C27"/>
    <w:rsid w:val="00C3069B"/>
    <w:rsid w:val="00C307DF"/>
    <w:rsid w:val="00C3116F"/>
    <w:rsid w:val="00C31A60"/>
    <w:rsid w:val="00C31D00"/>
    <w:rsid w:val="00C32C27"/>
    <w:rsid w:val="00C357DC"/>
    <w:rsid w:val="00C36DEC"/>
    <w:rsid w:val="00C37065"/>
    <w:rsid w:val="00C3727B"/>
    <w:rsid w:val="00C37CEE"/>
    <w:rsid w:val="00C4045C"/>
    <w:rsid w:val="00C40AC5"/>
    <w:rsid w:val="00C42416"/>
    <w:rsid w:val="00C42B67"/>
    <w:rsid w:val="00C43012"/>
    <w:rsid w:val="00C45572"/>
    <w:rsid w:val="00C45872"/>
    <w:rsid w:val="00C5070C"/>
    <w:rsid w:val="00C5073E"/>
    <w:rsid w:val="00C50882"/>
    <w:rsid w:val="00C50B03"/>
    <w:rsid w:val="00C50CB7"/>
    <w:rsid w:val="00C50E1D"/>
    <w:rsid w:val="00C510AD"/>
    <w:rsid w:val="00C51459"/>
    <w:rsid w:val="00C51A51"/>
    <w:rsid w:val="00C51C05"/>
    <w:rsid w:val="00C528C1"/>
    <w:rsid w:val="00C52B85"/>
    <w:rsid w:val="00C52E54"/>
    <w:rsid w:val="00C5319B"/>
    <w:rsid w:val="00C53473"/>
    <w:rsid w:val="00C542AA"/>
    <w:rsid w:val="00C544BD"/>
    <w:rsid w:val="00C546F0"/>
    <w:rsid w:val="00C554BF"/>
    <w:rsid w:val="00C5621C"/>
    <w:rsid w:val="00C56770"/>
    <w:rsid w:val="00C60A75"/>
    <w:rsid w:val="00C61801"/>
    <w:rsid w:val="00C6182F"/>
    <w:rsid w:val="00C62412"/>
    <w:rsid w:val="00C638BE"/>
    <w:rsid w:val="00C63A5F"/>
    <w:rsid w:val="00C63EB5"/>
    <w:rsid w:val="00C64B4E"/>
    <w:rsid w:val="00C65936"/>
    <w:rsid w:val="00C65FC7"/>
    <w:rsid w:val="00C66251"/>
    <w:rsid w:val="00C67A0D"/>
    <w:rsid w:val="00C70008"/>
    <w:rsid w:val="00C70721"/>
    <w:rsid w:val="00C70745"/>
    <w:rsid w:val="00C7191F"/>
    <w:rsid w:val="00C71A2A"/>
    <w:rsid w:val="00C7495C"/>
    <w:rsid w:val="00C7552E"/>
    <w:rsid w:val="00C75676"/>
    <w:rsid w:val="00C756AA"/>
    <w:rsid w:val="00C75A2F"/>
    <w:rsid w:val="00C77844"/>
    <w:rsid w:val="00C8052F"/>
    <w:rsid w:val="00C80837"/>
    <w:rsid w:val="00C80861"/>
    <w:rsid w:val="00C80A7C"/>
    <w:rsid w:val="00C80ABD"/>
    <w:rsid w:val="00C811F8"/>
    <w:rsid w:val="00C8377E"/>
    <w:rsid w:val="00C83A17"/>
    <w:rsid w:val="00C83A3E"/>
    <w:rsid w:val="00C840DA"/>
    <w:rsid w:val="00C8553B"/>
    <w:rsid w:val="00C8565E"/>
    <w:rsid w:val="00C8643E"/>
    <w:rsid w:val="00C86692"/>
    <w:rsid w:val="00C86F29"/>
    <w:rsid w:val="00C90551"/>
    <w:rsid w:val="00C911A4"/>
    <w:rsid w:val="00C92D2C"/>
    <w:rsid w:val="00C9343A"/>
    <w:rsid w:val="00C937B1"/>
    <w:rsid w:val="00C93FCD"/>
    <w:rsid w:val="00C94160"/>
    <w:rsid w:val="00C97446"/>
    <w:rsid w:val="00CA015A"/>
    <w:rsid w:val="00CA0385"/>
    <w:rsid w:val="00CA32DC"/>
    <w:rsid w:val="00CA40B3"/>
    <w:rsid w:val="00CA4E44"/>
    <w:rsid w:val="00CA5B86"/>
    <w:rsid w:val="00CA5CA7"/>
    <w:rsid w:val="00CA62B7"/>
    <w:rsid w:val="00CB0F22"/>
    <w:rsid w:val="00CB18E1"/>
    <w:rsid w:val="00CB3189"/>
    <w:rsid w:val="00CB3C30"/>
    <w:rsid w:val="00CB6C4F"/>
    <w:rsid w:val="00CB7232"/>
    <w:rsid w:val="00CC1499"/>
    <w:rsid w:val="00CC3077"/>
    <w:rsid w:val="00CC5C2C"/>
    <w:rsid w:val="00CC6205"/>
    <w:rsid w:val="00CC72E5"/>
    <w:rsid w:val="00CD0ED9"/>
    <w:rsid w:val="00CD1911"/>
    <w:rsid w:val="00CD19A1"/>
    <w:rsid w:val="00CD2D5C"/>
    <w:rsid w:val="00CD35FA"/>
    <w:rsid w:val="00CD36E3"/>
    <w:rsid w:val="00CD41C3"/>
    <w:rsid w:val="00CD7C11"/>
    <w:rsid w:val="00CE04BC"/>
    <w:rsid w:val="00CE0C49"/>
    <w:rsid w:val="00CE1342"/>
    <w:rsid w:val="00CE1663"/>
    <w:rsid w:val="00CE1669"/>
    <w:rsid w:val="00CE26C7"/>
    <w:rsid w:val="00CE3F33"/>
    <w:rsid w:val="00CE5198"/>
    <w:rsid w:val="00CE5AEB"/>
    <w:rsid w:val="00CE5DC7"/>
    <w:rsid w:val="00CE6329"/>
    <w:rsid w:val="00CE7A94"/>
    <w:rsid w:val="00CF02F9"/>
    <w:rsid w:val="00CF1308"/>
    <w:rsid w:val="00CF1F43"/>
    <w:rsid w:val="00CF25A6"/>
    <w:rsid w:val="00CF30C5"/>
    <w:rsid w:val="00CF3E80"/>
    <w:rsid w:val="00CF56DF"/>
    <w:rsid w:val="00CF5E87"/>
    <w:rsid w:val="00CF63BF"/>
    <w:rsid w:val="00D002B1"/>
    <w:rsid w:val="00D010CC"/>
    <w:rsid w:val="00D0517F"/>
    <w:rsid w:val="00D05450"/>
    <w:rsid w:val="00D05D51"/>
    <w:rsid w:val="00D061E1"/>
    <w:rsid w:val="00D067B2"/>
    <w:rsid w:val="00D0737E"/>
    <w:rsid w:val="00D12483"/>
    <w:rsid w:val="00D13BC9"/>
    <w:rsid w:val="00D1434F"/>
    <w:rsid w:val="00D146A0"/>
    <w:rsid w:val="00D15063"/>
    <w:rsid w:val="00D153EC"/>
    <w:rsid w:val="00D172B9"/>
    <w:rsid w:val="00D1772C"/>
    <w:rsid w:val="00D1773B"/>
    <w:rsid w:val="00D209B2"/>
    <w:rsid w:val="00D20ED3"/>
    <w:rsid w:val="00D20F81"/>
    <w:rsid w:val="00D21444"/>
    <w:rsid w:val="00D24D34"/>
    <w:rsid w:val="00D25D04"/>
    <w:rsid w:val="00D260E9"/>
    <w:rsid w:val="00D26BBC"/>
    <w:rsid w:val="00D277E6"/>
    <w:rsid w:val="00D30256"/>
    <w:rsid w:val="00D30C9A"/>
    <w:rsid w:val="00D3154B"/>
    <w:rsid w:val="00D31F05"/>
    <w:rsid w:val="00D322A5"/>
    <w:rsid w:val="00D34A8D"/>
    <w:rsid w:val="00D35AE5"/>
    <w:rsid w:val="00D3664A"/>
    <w:rsid w:val="00D37106"/>
    <w:rsid w:val="00D378FE"/>
    <w:rsid w:val="00D40C6F"/>
    <w:rsid w:val="00D41CC2"/>
    <w:rsid w:val="00D41D85"/>
    <w:rsid w:val="00D43A9C"/>
    <w:rsid w:val="00D4444E"/>
    <w:rsid w:val="00D445A1"/>
    <w:rsid w:val="00D44E92"/>
    <w:rsid w:val="00D45032"/>
    <w:rsid w:val="00D453D9"/>
    <w:rsid w:val="00D46CA2"/>
    <w:rsid w:val="00D501D0"/>
    <w:rsid w:val="00D509C2"/>
    <w:rsid w:val="00D5125E"/>
    <w:rsid w:val="00D51A03"/>
    <w:rsid w:val="00D52AC5"/>
    <w:rsid w:val="00D52C5A"/>
    <w:rsid w:val="00D540C1"/>
    <w:rsid w:val="00D54A00"/>
    <w:rsid w:val="00D556C4"/>
    <w:rsid w:val="00D574FF"/>
    <w:rsid w:val="00D575E9"/>
    <w:rsid w:val="00D6274B"/>
    <w:rsid w:val="00D62790"/>
    <w:rsid w:val="00D637B9"/>
    <w:rsid w:val="00D64AB6"/>
    <w:rsid w:val="00D65A7B"/>
    <w:rsid w:val="00D65EA9"/>
    <w:rsid w:val="00D66C63"/>
    <w:rsid w:val="00D7040D"/>
    <w:rsid w:val="00D721D9"/>
    <w:rsid w:val="00D722C0"/>
    <w:rsid w:val="00D7575D"/>
    <w:rsid w:val="00D75FFA"/>
    <w:rsid w:val="00D767FD"/>
    <w:rsid w:val="00D7727B"/>
    <w:rsid w:val="00D81349"/>
    <w:rsid w:val="00D82C82"/>
    <w:rsid w:val="00D83AE4"/>
    <w:rsid w:val="00D843A3"/>
    <w:rsid w:val="00D8538E"/>
    <w:rsid w:val="00D8596D"/>
    <w:rsid w:val="00D86816"/>
    <w:rsid w:val="00D8749B"/>
    <w:rsid w:val="00D8777D"/>
    <w:rsid w:val="00D901B3"/>
    <w:rsid w:val="00D90A66"/>
    <w:rsid w:val="00D92CCF"/>
    <w:rsid w:val="00D93BC6"/>
    <w:rsid w:val="00D93C80"/>
    <w:rsid w:val="00D93E21"/>
    <w:rsid w:val="00D945FC"/>
    <w:rsid w:val="00D95823"/>
    <w:rsid w:val="00D95EC9"/>
    <w:rsid w:val="00D96401"/>
    <w:rsid w:val="00D96411"/>
    <w:rsid w:val="00D96C25"/>
    <w:rsid w:val="00D974BB"/>
    <w:rsid w:val="00DA0223"/>
    <w:rsid w:val="00DA0D66"/>
    <w:rsid w:val="00DA0FD2"/>
    <w:rsid w:val="00DA1BBF"/>
    <w:rsid w:val="00DA2141"/>
    <w:rsid w:val="00DA28BC"/>
    <w:rsid w:val="00DA2C12"/>
    <w:rsid w:val="00DA2DCC"/>
    <w:rsid w:val="00DA2F89"/>
    <w:rsid w:val="00DA3EBD"/>
    <w:rsid w:val="00DA4DAA"/>
    <w:rsid w:val="00DA5C34"/>
    <w:rsid w:val="00DA710C"/>
    <w:rsid w:val="00DA749B"/>
    <w:rsid w:val="00DA7907"/>
    <w:rsid w:val="00DB067A"/>
    <w:rsid w:val="00DB5F83"/>
    <w:rsid w:val="00DB6C43"/>
    <w:rsid w:val="00DB74E0"/>
    <w:rsid w:val="00DC0D41"/>
    <w:rsid w:val="00DC154E"/>
    <w:rsid w:val="00DC19EE"/>
    <w:rsid w:val="00DC2A1E"/>
    <w:rsid w:val="00DC2BD3"/>
    <w:rsid w:val="00DC31F4"/>
    <w:rsid w:val="00DC3533"/>
    <w:rsid w:val="00DC46D7"/>
    <w:rsid w:val="00DC48A7"/>
    <w:rsid w:val="00DC4AE2"/>
    <w:rsid w:val="00DC51D8"/>
    <w:rsid w:val="00DC51FB"/>
    <w:rsid w:val="00DC542E"/>
    <w:rsid w:val="00DC5764"/>
    <w:rsid w:val="00DC5B8C"/>
    <w:rsid w:val="00DC6189"/>
    <w:rsid w:val="00DC6759"/>
    <w:rsid w:val="00DC68EF"/>
    <w:rsid w:val="00DC6F6F"/>
    <w:rsid w:val="00DC7515"/>
    <w:rsid w:val="00DD00F5"/>
    <w:rsid w:val="00DD08AF"/>
    <w:rsid w:val="00DD12B4"/>
    <w:rsid w:val="00DD21B7"/>
    <w:rsid w:val="00DD247A"/>
    <w:rsid w:val="00DD2775"/>
    <w:rsid w:val="00DD3542"/>
    <w:rsid w:val="00DD44F2"/>
    <w:rsid w:val="00DD4FC1"/>
    <w:rsid w:val="00DD5955"/>
    <w:rsid w:val="00DD5E31"/>
    <w:rsid w:val="00DE011D"/>
    <w:rsid w:val="00DE0ADF"/>
    <w:rsid w:val="00DE0BE7"/>
    <w:rsid w:val="00DE186F"/>
    <w:rsid w:val="00DE1B92"/>
    <w:rsid w:val="00DE2C3D"/>
    <w:rsid w:val="00DE3FC8"/>
    <w:rsid w:val="00DE42F9"/>
    <w:rsid w:val="00DE44E7"/>
    <w:rsid w:val="00DE6713"/>
    <w:rsid w:val="00DE7361"/>
    <w:rsid w:val="00DE7830"/>
    <w:rsid w:val="00DE7A51"/>
    <w:rsid w:val="00DF0206"/>
    <w:rsid w:val="00DF0885"/>
    <w:rsid w:val="00DF0BAB"/>
    <w:rsid w:val="00DF19AE"/>
    <w:rsid w:val="00DF331E"/>
    <w:rsid w:val="00DF3F9C"/>
    <w:rsid w:val="00DF59DC"/>
    <w:rsid w:val="00DF6ADE"/>
    <w:rsid w:val="00DF7C5F"/>
    <w:rsid w:val="00E00781"/>
    <w:rsid w:val="00E00D32"/>
    <w:rsid w:val="00E00D68"/>
    <w:rsid w:val="00E012DA"/>
    <w:rsid w:val="00E013DC"/>
    <w:rsid w:val="00E02DFB"/>
    <w:rsid w:val="00E03BF3"/>
    <w:rsid w:val="00E0467C"/>
    <w:rsid w:val="00E04D49"/>
    <w:rsid w:val="00E04F74"/>
    <w:rsid w:val="00E0506D"/>
    <w:rsid w:val="00E050A5"/>
    <w:rsid w:val="00E066B6"/>
    <w:rsid w:val="00E072EF"/>
    <w:rsid w:val="00E10802"/>
    <w:rsid w:val="00E11BF3"/>
    <w:rsid w:val="00E11EFF"/>
    <w:rsid w:val="00E12B9C"/>
    <w:rsid w:val="00E13C8E"/>
    <w:rsid w:val="00E143B1"/>
    <w:rsid w:val="00E14741"/>
    <w:rsid w:val="00E15717"/>
    <w:rsid w:val="00E17D78"/>
    <w:rsid w:val="00E20944"/>
    <w:rsid w:val="00E221AD"/>
    <w:rsid w:val="00E224FA"/>
    <w:rsid w:val="00E23146"/>
    <w:rsid w:val="00E238A2"/>
    <w:rsid w:val="00E24CE0"/>
    <w:rsid w:val="00E25936"/>
    <w:rsid w:val="00E25BF0"/>
    <w:rsid w:val="00E25D98"/>
    <w:rsid w:val="00E304F8"/>
    <w:rsid w:val="00E306F8"/>
    <w:rsid w:val="00E3120B"/>
    <w:rsid w:val="00E31A13"/>
    <w:rsid w:val="00E31B9E"/>
    <w:rsid w:val="00E32055"/>
    <w:rsid w:val="00E34D10"/>
    <w:rsid w:val="00E35D69"/>
    <w:rsid w:val="00E36351"/>
    <w:rsid w:val="00E37146"/>
    <w:rsid w:val="00E41B81"/>
    <w:rsid w:val="00E44173"/>
    <w:rsid w:val="00E45547"/>
    <w:rsid w:val="00E47D60"/>
    <w:rsid w:val="00E5068E"/>
    <w:rsid w:val="00E50D0E"/>
    <w:rsid w:val="00E50D47"/>
    <w:rsid w:val="00E51048"/>
    <w:rsid w:val="00E53BA8"/>
    <w:rsid w:val="00E53E40"/>
    <w:rsid w:val="00E561DB"/>
    <w:rsid w:val="00E56378"/>
    <w:rsid w:val="00E56C5F"/>
    <w:rsid w:val="00E5737D"/>
    <w:rsid w:val="00E578AA"/>
    <w:rsid w:val="00E57E96"/>
    <w:rsid w:val="00E62AF4"/>
    <w:rsid w:val="00E63059"/>
    <w:rsid w:val="00E64905"/>
    <w:rsid w:val="00E65B3A"/>
    <w:rsid w:val="00E65EB9"/>
    <w:rsid w:val="00E70B6F"/>
    <w:rsid w:val="00E71105"/>
    <w:rsid w:val="00E7115E"/>
    <w:rsid w:val="00E71E42"/>
    <w:rsid w:val="00E731A1"/>
    <w:rsid w:val="00E738DB"/>
    <w:rsid w:val="00E75754"/>
    <w:rsid w:val="00E75936"/>
    <w:rsid w:val="00E76823"/>
    <w:rsid w:val="00E8199A"/>
    <w:rsid w:val="00E824D3"/>
    <w:rsid w:val="00E824FD"/>
    <w:rsid w:val="00E82C70"/>
    <w:rsid w:val="00E84712"/>
    <w:rsid w:val="00E85F8A"/>
    <w:rsid w:val="00E86ECB"/>
    <w:rsid w:val="00E87B7B"/>
    <w:rsid w:val="00E87E89"/>
    <w:rsid w:val="00E910F2"/>
    <w:rsid w:val="00E91975"/>
    <w:rsid w:val="00E91C74"/>
    <w:rsid w:val="00E932F7"/>
    <w:rsid w:val="00E93B9A"/>
    <w:rsid w:val="00E93E4B"/>
    <w:rsid w:val="00E94009"/>
    <w:rsid w:val="00E94078"/>
    <w:rsid w:val="00E94867"/>
    <w:rsid w:val="00E95708"/>
    <w:rsid w:val="00E95F03"/>
    <w:rsid w:val="00E96F00"/>
    <w:rsid w:val="00E97B42"/>
    <w:rsid w:val="00EA018F"/>
    <w:rsid w:val="00EA0F32"/>
    <w:rsid w:val="00EA1535"/>
    <w:rsid w:val="00EA1D25"/>
    <w:rsid w:val="00EA27A8"/>
    <w:rsid w:val="00EA351F"/>
    <w:rsid w:val="00EA3C2C"/>
    <w:rsid w:val="00EA454E"/>
    <w:rsid w:val="00EA4C44"/>
    <w:rsid w:val="00EA5006"/>
    <w:rsid w:val="00EA7944"/>
    <w:rsid w:val="00EB0508"/>
    <w:rsid w:val="00EB0CFB"/>
    <w:rsid w:val="00EB0D19"/>
    <w:rsid w:val="00EB1DDF"/>
    <w:rsid w:val="00EB2311"/>
    <w:rsid w:val="00EB2C05"/>
    <w:rsid w:val="00EB3F3E"/>
    <w:rsid w:val="00EB4BC3"/>
    <w:rsid w:val="00EB4D52"/>
    <w:rsid w:val="00EB4F11"/>
    <w:rsid w:val="00EB5BC9"/>
    <w:rsid w:val="00EB759B"/>
    <w:rsid w:val="00EC017F"/>
    <w:rsid w:val="00EC0635"/>
    <w:rsid w:val="00EC1153"/>
    <w:rsid w:val="00EC1819"/>
    <w:rsid w:val="00EC22D7"/>
    <w:rsid w:val="00EC4412"/>
    <w:rsid w:val="00EC4803"/>
    <w:rsid w:val="00EC5045"/>
    <w:rsid w:val="00EC64AB"/>
    <w:rsid w:val="00EC7772"/>
    <w:rsid w:val="00EC7862"/>
    <w:rsid w:val="00EC7888"/>
    <w:rsid w:val="00ED20EB"/>
    <w:rsid w:val="00ED2190"/>
    <w:rsid w:val="00ED2D34"/>
    <w:rsid w:val="00ED2E7A"/>
    <w:rsid w:val="00ED33DD"/>
    <w:rsid w:val="00ED3989"/>
    <w:rsid w:val="00ED3A37"/>
    <w:rsid w:val="00ED3A47"/>
    <w:rsid w:val="00ED3B7E"/>
    <w:rsid w:val="00ED4655"/>
    <w:rsid w:val="00ED5049"/>
    <w:rsid w:val="00ED5AC9"/>
    <w:rsid w:val="00ED62DD"/>
    <w:rsid w:val="00ED6FC0"/>
    <w:rsid w:val="00ED79A4"/>
    <w:rsid w:val="00EE150C"/>
    <w:rsid w:val="00EE2E08"/>
    <w:rsid w:val="00EE3210"/>
    <w:rsid w:val="00EE4B2E"/>
    <w:rsid w:val="00EE4FE6"/>
    <w:rsid w:val="00EE5148"/>
    <w:rsid w:val="00EE6B7E"/>
    <w:rsid w:val="00EE6DD6"/>
    <w:rsid w:val="00EE7670"/>
    <w:rsid w:val="00EE7D37"/>
    <w:rsid w:val="00EF037D"/>
    <w:rsid w:val="00EF0AC9"/>
    <w:rsid w:val="00EF1240"/>
    <w:rsid w:val="00EF1F4F"/>
    <w:rsid w:val="00EF24A8"/>
    <w:rsid w:val="00EF26A6"/>
    <w:rsid w:val="00EF34A9"/>
    <w:rsid w:val="00EF4469"/>
    <w:rsid w:val="00EF5CCC"/>
    <w:rsid w:val="00EF7275"/>
    <w:rsid w:val="00EF7962"/>
    <w:rsid w:val="00F01429"/>
    <w:rsid w:val="00F01862"/>
    <w:rsid w:val="00F02480"/>
    <w:rsid w:val="00F03487"/>
    <w:rsid w:val="00F03EB4"/>
    <w:rsid w:val="00F05D2D"/>
    <w:rsid w:val="00F077CF"/>
    <w:rsid w:val="00F12534"/>
    <w:rsid w:val="00F13019"/>
    <w:rsid w:val="00F144EF"/>
    <w:rsid w:val="00F1476D"/>
    <w:rsid w:val="00F1483E"/>
    <w:rsid w:val="00F1492D"/>
    <w:rsid w:val="00F14995"/>
    <w:rsid w:val="00F168D2"/>
    <w:rsid w:val="00F20120"/>
    <w:rsid w:val="00F202FA"/>
    <w:rsid w:val="00F2063D"/>
    <w:rsid w:val="00F2210E"/>
    <w:rsid w:val="00F2278D"/>
    <w:rsid w:val="00F22B06"/>
    <w:rsid w:val="00F23101"/>
    <w:rsid w:val="00F23AA1"/>
    <w:rsid w:val="00F23CC4"/>
    <w:rsid w:val="00F23F33"/>
    <w:rsid w:val="00F25BF3"/>
    <w:rsid w:val="00F25D47"/>
    <w:rsid w:val="00F2655F"/>
    <w:rsid w:val="00F2696E"/>
    <w:rsid w:val="00F27C2A"/>
    <w:rsid w:val="00F317AF"/>
    <w:rsid w:val="00F31F21"/>
    <w:rsid w:val="00F31FE4"/>
    <w:rsid w:val="00F3202C"/>
    <w:rsid w:val="00F32A48"/>
    <w:rsid w:val="00F3348A"/>
    <w:rsid w:val="00F34F36"/>
    <w:rsid w:val="00F364AE"/>
    <w:rsid w:val="00F375BF"/>
    <w:rsid w:val="00F40053"/>
    <w:rsid w:val="00F40086"/>
    <w:rsid w:val="00F41987"/>
    <w:rsid w:val="00F420D9"/>
    <w:rsid w:val="00F429CA"/>
    <w:rsid w:val="00F4375D"/>
    <w:rsid w:val="00F45210"/>
    <w:rsid w:val="00F4566C"/>
    <w:rsid w:val="00F45F3C"/>
    <w:rsid w:val="00F4686A"/>
    <w:rsid w:val="00F46BBC"/>
    <w:rsid w:val="00F47645"/>
    <w:rsid w:val="00F47924"/>
    <w:rsid w:val="00F51FF0"/>
    <w:rsid w:val="00F5215A"/>
    <w:rsid w:val="00F52EBD"/>
    <w:rsid w:val="00F5308A"/>
    <w:rsid w:val="00F53697"/>
    <w:rsid w:val="00F53BD2"/>
    <w:rsid w:val="00F53C52"/>
    <w:rsid w:val="00F53DA2"/>
    <w:rsid w:val="00F55D09"/>
    <w:rsid w:val="00F5610A"/>
    <w:rsid w:val="00F56C5F"/>
    <w:rsid w:val="00F56D9D"/>
    <w:rsid w:val="00F578C4"/>
    <w:rsid w:val="00F57BAC"/>
    <w:rsid w:val="00F57DF1"/>
    <w:rsid w:val="00F602ED"/>
    <w:rsid w:val="00F60756"/>
    <w:rsid w:val="00F60853"/>
    <w:rsid w:val="00F60B00"/>
    <w:rsid w:val="00F6154E"/>
    <w:rsid w:val="00F61806"/>
    <w:rsid w:val="00F62CD0"/>
    <w:rsid w:val="00F6392A"/>
    <w:rsid w:val="00F650C2"/>
    <w:rsid w:val="00F65293"/>
    <w:rsid w:val="00F66023"/>
    <w:rsid w:val="00F66FA5"/>
    <w:rsid w:val="00F66FB4"/>
    <w:rsid w:val="00F67660"/>
    <w:rsid w:val="00F67898"/>
    <w:rsid w:val="00F701C8"/>
    <w:rsid w:val="00F712B6"/>
    <w:rsid w:val="00F71483"/>
    <w:rsid w:val="00F71636"/>
    <w:rsid w:val="00F71FC5"/>
    <w:rsid w:val="00F720A8"/>
    <w:rsid w:val="00F722D2"/>
    <w:rsid w:val="00F74078"/>
    <w:rsid w:val="00F7447E"/>
    <w:rsid w:val="00F753F5"/>
    <w:rsid w:val="00F7664F"/>
    <w:rsid w:val="00F76F97"/>
    <w:rsid w:val="00F77D29"/>
    <w:rsid w:val="00F818F8"/>
    <w:rsid w:val="00F81E6B"/>
    <w:rsid w:val="00F8236F"/>
    <w:rsid w:val="00F8358E"/>
    <w:rsid w:val="00F8444B"/>
    <w:rsid w:val="00F84DB8"/>
    <w:rsid w:val="00F8539B"/>
    <w:rsid w:val="00F85DA5"/>
    <w:rsid w:val="00F87C11"/>
    <w:rsid w:val="00F900DD"/>
    <w:rsid w:val="00F912FE"/>
    <w:rsid w:val="00F914C3"/>
    <w:rsid w:val="00F93940"/>
    <w:rsid w:val="00F9565B"/>
    <w:rsid w:val="00F97096"/>
    <w:rsid w:val="00F97A9A"/>
    <w:rsid w:val="00FA025B"/>
    <w:rsid w:val="00FA03A6"/>
    <w:rsid w:val="00FA0B94"/>
    <w:rsid w:val="00FA0EB3"/>
    <w:rsid w:val="00FA0F77"/>
    <w:rsid w:val="00FA1D44"/>
    <w:rsid w:val="00FA21C6"/>
    <w:rsid w:val="00FA229F"/>
    <w:rsid w:val="00FA3688"/>
    <w:rsid w:val="00FA612D"/>
    <w:rsid w:val="00FA69E6"/>
    <w:rsid w:val="00FA7864"/>
    <w:rsid w:val="00FB03C2"/>
    <w:rsid w:val="00FB07B0"/>
    <w:rsid w:val="00FB1BFB"/>
    <w:rsid w:val="00FB1E06"/>
    <w:rsid w:val="00FB2719"/>
    <w:rsid w:val="00FB2E0A"/>
    <w:rsid w:val="00FB38EB"/>
    <w:rsid w:val="00FB4B68"/>
    <w:rsid w:val="00FB4D3A"/>
    <w:rsid w:val="00FB53C2"/>
    <w:rsid w:val="00FB571B"/>
    <w:rsid w:val="00FB69C9"/>
    <w:rsid w:val="00FB727A"/>
    <w:rsid w:val="00FB78C9"/>
    <w:rsid w:val="00FB7EE6"/>
    <w:rsid w:val="00FC07F2"/>
    <w:rsid w:val="00FC1444"/>
    <w:rsid w:val="00FC14C0"/>
    <w:rsid w:val="00FC1857"/>
    <w:rsid w:val="00FC18B3"/>
    <w:rsid w:val="00FC2302"/>
    <w:rsid w:val="00FC2867"/>
    <w:rsid w:val="00FC2FA1"/>
    <w:rsid w:val="00FC3687"/>
    <w:rsid w:val="00FC460C"/>
    <w:rsid w:val="00FC51B0"/>
    <w:rsid w:val="00FC524D"/>
    <w:rsid w:val="00FC550C"/>
    <w:rsid w:val="00FC5B7D"/>
    <w:rsid w:val="00FC5D2F"/>
    <w:rsid w:val="00FD00B2"/>
    <w:rsid w:val="00FD084C"/>
    <w:rsid w:val="00FD2110"/>
    <w:rsid w:val="00FD2973"/>
    <w:rsid w:val="00FE1286"/>
    <w:rsid w:val="00FE191B"/>
    <w:rsid w:val="00FE1C2F"/>
    <w:rsid w:val="00FE34B6"/>
    <w:rsid w:val="00FE3FE9"/>
    <w:rsid w:val="00FE4DDC"/>
    <w:rsid w:val="00FE517C"/>
    <w:rsid w:val="00FE5913"/>
    <w:rsid w:val="00FE6CC7"/>
    <w:rsid w:val="00FE71E6"/>
    <w:rsid w:val="00FE7EF2"/>
    <w:rsid w:val="00FF1756"/>
    <w:rsid w:val="00FF198C"/>
    <w:rsid w:val="00FF1BFD"/>
    <w:rsid w:val="00FF233C"/>
    <w:rsid w:val="00FF417F"/>
    <w:rsid w:val="00FF4698"/>
    <w:rsid w:val="00FF4E1F"/>
    <w:rsid w:val="00FF70E1"/>
    <w:rsid w:val="00FF7C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oNotEmbedSmartTags/>
  <w:decimalSymbol w:val="."/>
  <w:listSeparator w:val=","/>
  <w14:docId w14:val="317D2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240" w:after="120"/>
        <w:ind w:left="1021" w:hanging="10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1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E03CD"/>
    <w:pPr>
      <w:spacing w:after="0"/>
      <w:ind w:left="0" w:firstLine="0"/>
    </w:pPr>
    <w:rPr>
      <w:rFonts w:ascii="Calibri" w:hAnsi="Calibri"/>
    </w:rPr>
  </w:style>
  <w:style w:type="paragraph" w:styleId="Heading1">
    <w:name w:val="heading 1"/>
    <w:basedOn w:val="Normal"/>
    <w:next w:val="BodyText"/>
    <w:uiPriority w:val="9"/>
    <w:qFormat/>
    <w:rsid w:val="00FC3687"/>
    <w:pPr>
      <w:keepNext/>
      <w:keepLines/>
      <w:numPr>
        <w:numId w:val="21"/>
      </w:numPr>
      <w:spacing w:after="120" w:line="400" w:lineRule="atLeast"/>
      <w:outlineLvl w:val="0"/>
    </w:pPr>
    <w:rPr>
      <w:rFonts w:ascii="Cambria" w:eastAsiaTheme="majorEastAsia" w:hAnsi="Cambria" w:cstheme="majorBidi"/>
      <w:bCs/>
      <w:color w:val="0072B9"/>
      <w:sz w:val="36"/>
      <w:szCs w:val="28"/>
    </w:rPr>
  </w:style>
  <w:style w:type="paragraph" w:styleId="Heading2">
    <w:name w:val="heading 2"/>
    <w:basedOn w:val="Normal"/>
    <w:next w:val="BodyText"/>
    <w:link w:val="Heading2Char"/>
    <w:uiPriority w:val="9"/>
    <w:qFormat/>
    <w:rsid w:val="00FC3687"/>
    <w:pPr>
      <w:keepNext/>
      <w:keepLines/>
      <w:numPr>
        <w:ilvl w:val="1"/>
        <w:numId w:val="21"/>
      </w:numPr>
      <w:spacing w:after="200" w:line="280" w:lineRule="atLeast"/>
      <w:ind w:left="907"/>
      <w:outlineLvl w:val="1"/>
    </w:pPr>
    <w:rPr>
      <w:rFonts w:ascii="Cambria" w:eastAsiaTheme="majorEastAsia" w:hAnsi="Cambria" w:cstheme="majorBidi"/>
      <w:bCs/>
      <w:color w:val="0072B9"/>
      <w:sz w:val="26"/>
      <w:szCs w:val="26"/>
    </w:rPr>
  </w:style>
  <w:style w:type="paragraph" w:styleId="Heading3">
    <w:name w:val="heading 3"/>
    <w:basedOn w:val="Normal"/>
    <w:next w:val="BodyText"/>
    <w:uiPriority w:val="9"/>
    <w:qFormat/>
    <w:rsid w:val="007E1F48"/>
    <w:pPr>
      <w:keepNext/>
      <w:keepLines/>
      <w:numPr>
        <w:ilvl w:val="2"/>
        <w:numId w:val="21"/>
      </w:numPr>
      <w:spacing w:before="200" w:after="120"/>
      <w:outlineLvl w:val="2"/>
    </w:pPr>
    <w:rPr>
      <w:rFonts w:ascii="Cambria" w:eastAsiaTheme="majorEastAsia" w:hAnsi="Cambria" w:cstheme="majorBidi"/>
      <w:b/>
      <w:bCs/>
      <w:color w:val="0072B9"/>
    </w:rPr>
  </w:style>
  <w:style w:type="paragraph" w:styleId="Heading4">
    <w:name w:val="heading 4"/>
    <w:basedOn w:val="Normal"/>
    <w:next w:val="BodyText"/>
    <w:link w:val="Heading4Char"/>
    <w:uiPriority w:val="9"/>
    <w:qFormat/>
    <w:rsid w:val="004E1F67"/>
    <w:pPr>
      <w:keepNext/>
      <w:keepLines/>
      <w:numPr>
        <w:ilvl w:val="3"/>
        <w:numId w:val="21"/>
      </w:numPr>
      <w:spacing w:before="200" w:after="120"/>
      <w:outlineLvl w:val="3"/>
    </w:pPr>
    <w:rPr>
      <w:rFonts w:ascii="Cambria" w:eastAsiaTheme="majorEastAsia" w:hAnsi="Cambria" w:cstheme="majorBidi"/>
      <w:b/>
      <w:bCs/>
      <w:iCs/>
    </w:rPr>
  </w:style>
  <w:style w:type="paragraph" w:styleId="Heading5">
    <w:name w:val="heading 5"/>
    <w:basedOn w:val="Normal"/>
    <w:next w:val="BodyText"/>
    <w:uiPriority w:val="9"/>
    <w:qFormat/>
    <w:rsid w:val="004E1F67"/>
    <w:pPr>
      <w:keepNext/>
      <w:keepLines/>
      <w:numPr>
        <w:ilvl w:val="4"/>
        <w:numId w:val="21"/>
      </w:numPr>
      <w:spacing w:before="200" w:after="120"/>
      <w:outlineLvl w:val="4"/>
    </w:pPr>
    <w:rPr>
      <w:rFonts w:ascii="Cambria" w:eastAsiaTheme="majorEastAsia" w:hAnsi="Cambria" w:cstheme="majorBidi"/>
    </w:rPr>
  </w:style>
  <w:style w:type="paragraph" w:styleId="Heading6">
    <w:name w:val="heading 6"/>
    <w:basedOn w:val="Normal"/>
    <w:next w:val="Normal"/>
    <w:uiPriority w:val="9"/>
    <w:semiHidden/>
    <w:unhideWhenUsed/>
    <w:qFormat/>
    <w:rsid w:val="00A0420F"/>
    <w:pPr>
      <w:keepNext/>
      <w:keepLines/>
      <w:numPr>
        <w:ilvl w:val="5"/>
        <w:numId w:val="19"/>
      </w:numPr>
      <w:spacing w:before="200"/>
      <w:outlineLvl w:val="5"/>
    </w:pPr>
    <w:rPr>
      <w:rFonts w:asciiTheme="majorHAnsi" w:eastAsiaTheme="majorEastAsia" w:hAnsiTheme="majorHAnsi" w:cstheme="majorBidi"/>
      <w:i/>
      <w:iCs/>
      <w:color w:val="003847" w:themeColor="accent1" w:themeShade="7F"/>
    </w:rPr>
  </w:style>
  <w:style w:type="paragraph" w:styleId="Heading7">
    <w:name w:val="heading 7"/>
    <w:basedOn w:val="Normal"/>
    <w:next w:val="Normal"/>
    <w:uiPriority w:val="9"/>
    <w:semiHidden/>
    <w:unhideWhenUsed/>
    <w:qFormat/>
    <w:rsid w:val="00A0420F"/>
    <w:pPr>
      <w:keepNext/>
      <w:keepLines/>
      <w:numPr>
        <w:ilvl w:val="6"/>
        <w:numId w:val="19"/>
      </w:numPr>
      <w:spacing w:before="200"/>
      <w:outlineLvl w:val="6"/>
    </w:pPr>
    <w:rPr>
      <w:rFonts w:asciiTheme="majorHAnsi" w:eastAsiaTheme="majorEastAsia" w:hAnsiTheme="majorHAnsi" w:cstheme="majorBidi"/>
      <w:i/>
      <w:iCs/>
      <w:color w:val="00BBEB" w:themeColor="text1" w:themeTint="BF"/>
    </w:rPr>
  </w:style>
  <w:style w:type="paragraph" w:styleId="Heading8">
    <w:name w:val="heading 8"/>
    <w:basedOn w:val="Normal"/>
    <w:next w:val="Normal"/>
    <w:uiPriority w:val="9"/>
    <w:semiHidden/>
    <w:unhideWhenUsed/>
    <w:qFormat/>
    <w:rsid w:val="00A0420F"/>
    <w:pPr>
      <w:keepNext/>
      <w:keepLines/>
      <w:numPr>
        <w:ilvl w:val="7"/>
        <w:numId w:val="19"/>
      </w:numPr>
      <w:spacing w:before="200"/>
      <w:outlineLvl w:val="7"/>
    </w:pPr>
    <w:rPr>
      <w:rFonts w:asciiTheme="majorHAnsi" w:eastAsiaTheme="majorEastAsia" w:hAnsiTheme="majorHAnsi" w:cstheme="majorBidi"/>
      <w:color w:val="00BBEB" w:themeColor="text1" w:themeTint="BF"/>
      <w:sz w:val="20"/>
      <w:szCs w:val="20"/>
    </w:rPr>
  </w:style>
  <w:style w:type="paragraph" w:styleId="Heading9">
    <w:name w:val="heading 9"/>
    <w:basedOn w:val="Normal"/>
    <w:next w:val="Normal"/>
    <w:uiPriority w:val="9"/>
    <w:semiHidden/>
    <w:unhideWhenUsed/>
    <w:qFormat/>
    <w:rsid w:val="00A0420F"/>
    <w:pPr>
      <w:keepNext/>
      <w:keepLines/>
      <w:numPr>
        <w:ilvl w:val="8"/>
        <w:numId w:val="19"/>
      </w:numPr>
      <w:spacing w:before="200"/>
      <w:outlineLvl w:val="8"/>
    </w:pPr>
    <w:rPr>
      <w:rFonts w:asciiTheme="majorHAnsi" w:eastAsiaTheme="majorEastAsia" w:hAnsiTheme="majorHAnsi" w:cstheme="majorBidi"/>
      <w:i/>
      <w:iCs/>
      <w:color w:val="00BBE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5622"/>
    <w:pPr>
      <w:spacing w:after="240"/>
    </w:pPr>
  </w:style>
  <w:style w:type="paragraph" w:customStyle="1" w:styleId="Titleheading">
    <w:name w:val="Title heading"/>
    <w:basedOn w:val="Normal"/>
    <w:next w:val="BodyText"/>
    <w:uiPriority w:val="15"/>
    <w:qFormat/>
    <w:rsid w:val="00E5068E"/>
    <w:pPr>
      <w:spacing w:before="480" w:after="360" w:line="440" w:lineRule="atLeast"/>
    </w:pPr>
    <w:rPr>
      <w:rFonts w:asciiTheme="minorHAnsi" w:hAnsiTheme="minorHAnsi"/>
      <w:color w:val="FFFFFF" w:themeColor="background1"/>
      <w:sz w:val="60"/>
      <w:szCs w:val="60"/>
    </w:rPr>
  </w:style>
  <w:style w:type="paragraph" w:customStyle="1" w:styleId="Tablecellheading">
    <w:name w:val="Table cell heading"/>
    <w:basedOn w:val="Tabletext"/>
    <w:uiPriority w:val="12"/>
    <w:qFormat/>
    <w:rsid w:val="009B32C8"/>
    <w:pPr>
      <w:keepNext/>
    </w:pPr>
    <w:rPr>
      <w:bCs/>
      <w:color w:val="FFFFFF"/>
    </w:rPr>
  </w:style>
  <w:style w:type="paragraph" w:customStyle="1" w:styleId="Tabletext">
    <w:name w:val="Table text"/>
    <w:basedOn w:val="BodyText"/>
    <w:uiPriority w:val="12"/>
    <w:qFormat/>
    <w:rsid w:val="00763CB1"/>
    <w:pPr>
      <w:spacing w:before="120" w:after="120"/>
    </w:pPr>
    <w:rPr>
      <w:rFonts w:eastAsia="Calibri" w:cs="Times New Roman"/>
      <w:sz w:val="21"/>
      <w:lang w:eastAsia="en-AU"/>
    </w:rPr>
  </w:style>
  <w:style w:type="paragraph" w:styleId="Caption">
    <w:name w:val="caption"/>
    <w:basedOn w:val="Normal"/>
    <w:next w:val="Normal"/>
    <w:uiPriority w:val="35"/>
    <w:semiHidden/>
    <w:qFormat/>
    <w:rsid w:val="0052764B"/>
    <w:pPr>
      <w:tabs>
        <w:tab w:val="left" w:pos="1021"/>
      </w:tabs>
      <w:spacing w:after="120"/>
      <w:ind w:left="1021" w:hanging="1021"/>
    </w:pPr>
    <w:rPr>
      <w:b/>
      <w:bCs/>
      <w:color w:val="00728F"/>
      <w:sz w:val="18"/>
      <w:szCs w:val="18"/>
    </w:rPr>
  </w:style>
  <w:style w:type="paragraph" w:customStyle="1" w:styleId="Tablecaption">
    <w:name w:val="Table caption"/>
    <w:basedOn w:val="Caption"/>
    <w:next w:val="Tabledescription"/>
    <w:uiPriority w:val="11"/>
    <w:qFormat/>
    <w:rsid w:val="00F602ED"/>
    <w:pPr>
      <w:keepNext/>
    </w:pPr>
    <w:rPr>
      <w:color w:val="0072B9"/>
    </w:rPr>
  </w:style>
  <w:style w:type="character" w:styleId="Strong">
    <w:name w:val="Strong"/>
    <w:basedOn w:val="DefaultParagraphFont"/>
    <w:uiPriority w:val="2"/>
    <w:qFormat/>
    <w:rsid w:val="00BF014B"/>
    <w:rPr>
      <w:b/>
      <w:bCs/>
    </w:rPr>
  </w:style>
  <w:style w:type="paragraph" w:styleId="BalloonText">
    <w:name w:val="Balloon Text"/>
    <w:basedOn w:val="Normal"/>
    <w:uiPriority w:val="99"/>
    <w:semiHidden/>
    <w:rsid w:val="00A66655"/>
    <w:rPr>
      <w:rFonts w:ascii="Tahoma" w:hAnsi="Tahoma" w:cs="Tahoma"/>
      <w:sz w:val="16"/>
      <w:szCs w:val="16"/>
    </w:rPr>
  </w:style>
  <w:style w:type="character" w:styleId="Hyperlink">
    <w:name w:val="Hyperlink"/>
    <w:basedOn w:val="DefaultParagraphFont"/>
    <w:uiPriority w:val="99"/>
    <w:unhideWhenUsed/>
    <w:rsid w:val="00B11651"/>
    <w:rPr>
      <w:color w:val="006DFF"/>
      <w:u w:val="single"/>
    </w:rPr>
  </w:style>
  <w:style w:type="paragraph" w:customStyle="1" w:styleId="Tablebullet-Level1">
    <w:name w:val="Table bullet - Level 1"/>
    <w:basedOn w:val="Tabletext"/>
    <w:uiPriority w:val="13"/>
    <w:qFormat/>
    <w:rsid w:val="00F05D2D"/>
    <w:pPr>
      <w:numPr>
        <w:numId w:val="12"/>
      </w:numPr>
    </w:pPr>
  </w:style>
  <w:style w:type="paragraph" w:customStyle="1" w:styleId="Tabledescription">
    <w:name w:val="Table description"/>
    <w:basedOn w:val="Tablecaption"/>
    <w:uiPriority w:val="11"/>
    <w:qFormat/>
    <w:rsid w:val="0052764B"/>
    <w:pPr>
      <w:tabs>
        <w:tab w:val="clear" w:pos="1021"/>
      </w:tabs>
      <w:spacing w:before="120" w:after="240"/>
      <w:ind w:firstLine="0"/>
    </w:pPr>
    <w:rPr>
      <w:b w:val="0"/>
      <w:color w:val="auto"/>
    </w:rPr>
  </w:style>
  <w:style w:type="paragraph" w:customStyle="1" w:styleId="Endmatter-Heading1">
    <w:name w:val="End matter - Heading 1"/>
    <w:basedOn w:val="Heading1"/>
    <w:next w:val="BodyText"/>
    <w:uiPriority w:val="19"/>
    <w:qFormat/>
    <w:rsid w:val="00FC3687"/>
    <w:pPr>
      <w:pageBreakBefore/>
      <w:numPr>
        <w:numId w:val="22"/>
      </w:numPr>
    </w:pPr>
  </w:style>
  <w:style w:type="paragraph" w:styleId="TOCHeading">
    <w:name w:val="TOC Heading"/>
    <w:basedOn w:val="Heading1"/>
    <w:next w:val="BodyText"/>
    <w:uiPriority w:val="38"/>
    <w:qFormat/>
    <w:rsid w:val="00FC3687"/>
    <w:pPr>
      <w:numPr>
        <w:numId w:val="0"/>
      </w:numPr>
      <w:spacing w:after="360"/>
      <w:outlineLvl w:val="9"/>
    </w:pPr>
    <w:rPr>
      <w:rFonts w:asciiTheme="minorHAnsi" w:hAnsiTheme="minorHAnsi"/>
    </w:rPr>
  </w:style>
  <w:style w:type="paragraph" w:styleId="TOC1">
    <w:name w:val="toc 1"/>
    <w:basedOn w:val="Normal"/>
    <w:next w:val="Normal"/>
    <w:autoRedefine/>
    <w:uiPriority w:val="39"/>
    <w:rsid w:val="00FC3687"/>
    <w:pPr>
      <w:tabs>
        <w:tab w:val="left" w:pos="567"/>
        <w:tab w:val="right" w:leader="dot" w:pos="9029"/>
      </w:tabs>
      <w:spacing w:before="120" w:after="100"/>
      <w:ind w:left="567" w:right="662" w:hanging="567"/>
    </w:pPr>
    <w:rPr>
      <w:noProof/>
      <w:color w:val="0072B9"/>
      <w:sz w:val="24"/>
    </w:rPr>
  </w:style>
  <w:style w:type="paragraph" w:styleId="TOC2">
    <w:name w:val="toc 2"/>
    <w:basedOn w:val="Normal"/>
    <w:next w:val="Normal"/>
    <w:autoRedefine/>
    <w:uiPriority w:val="39"/>
    <w:rsid w:val="00545856"/>
    <w:pPr>
      <w:tabs>
        <w:tab w:val="left" w:pos="1134"/>
        <w:tab w:val="right" w:leader="dot" w:pos="9029"/>
      </w:tabs>
      <w:spacing w:before="0" w:after="100"/>
      <w:ind w:left="1134" w:right="379" w:hanging="567"/>
    </w:pPr>
  </w:style>
  <w:style w:type="paragraph" w:styleId="TOC3">
    <w:name w:val="toc 3"/>
    <w:basedOn w:val="Normal"/>
    <w:next w:val="Normal"/>
    <w:autoRedefine/>
    <w:uiPriority w:val="39"/>
    <w:rsid w:val="00D556C4"/>
    <w:pPr>
      <w:tabs>
        <w:tab w:val="right" w:leader="dot" w:pos="9016"/>
      </w:tabs>
      <w:spacing w:before="0" w:after="100"/>
      <w:ind w:left="440"/>
    </w:pPr>
  </w:style>
  <w:style w:type="paragraph" w:customStyle="1" w:styleId="Titlesub-heading">
    <w:name w:val="Title sub-heading"/>
    <w:basedOn w:val="Normal"/>
    <w:next w:val="BodyText"/>
    <w:uiPriority w:val="15"/>
    <w:qFormat/>
    <w:rsid w:val="00E5068E"/>
    <w:pPr>
      <w:spacing w:after="120" w:line="440" w:lineRule="atLeast"/>
      <w:contextualSpacing/>
    </w:pPr>
    <w:rPr>
      <w:rFonts w:ascii="Cambria" w:eastAsiaTheme="majorEastAsia" w:hAnsi="Cambria" w:cstheme="majorBidi"/>
      <w:color w:val="FFFFFF" w:themeColor="background1"/>
      <w:kern w:val="28"/>
      <w:sz w:val="36"/>
      <w:szCs w:val="52"/>
    </w:rPr>
  </w:style>
  <w:style w:type="paragraph" w:customStyle="1" w:styleId="Endmatter-Heading2">
    <w:name w:val="End matter - Heading 2"/>
    <w:basedOn w:val="Heading2"/>
    <w:next w:val="BodyText"/>
    <w:uiPriority w:val="19"/>
    <w:qFormat/>
    <w:rsid w:val="00FC3687"/>
    <w:pPr>
      <w:numPr>
        <w:numId w:val="22"/>
      </w:numPr>
    </w:pPr>
  </w:style>
  <w:style w:type="paragraph" w:styleId="Header">
    <w:name w:val="header"/>
    <w:basedOn w:val="Normal"/>
    <w:link w:val="HeaderChar"/>
    <w:rsid w:val="00FC3687"/>
    <w:pPr>
      <w:tabs>
        <w:tab w:val="center" w:pos="4513"/>
        <w:tab w:val="right" w:pos="9026"/>
      </w:tabs>
      <w:spacing w:before="0"/>
    </w:pPr>
    <w:rPr>
      <w:color w:val="0072C3"/>
      <w:sz w:val="20"/>
    </w:rPr>
  </w:style>
  <w:style w:type="paragraph" w:styleId="Footer">
    <w:name w:val="footer"/>
    <w:basedOn w:val="Normal"/>
    <w:link w:val="FooterChar"/>
    <w:rsid w:val="00FC3687"/>
    <w:pPr>
      <w:tabs>
        <w:tab w:val="center" w:pos="4513"/>
        <w:tab w:val="right" w:pos="9026"/>
      </w:tabs>
    </w:pPr>
    <w:rPr>
      <w:color w:val="FFFFFF" w:themeColor="background1"/>
      <w:sz w:val="20"/>
    </w:rPr>
  </w:style>
  <w:style w:type="paragraph" w:customStyle="1" w:styleId="Bodybullet-Level1">
    <w:name w:val="Body bullet - Level 1"/>
    <w:basedOn w:val="BodyText"/>
    <w:uiPriority w:val="1"/>
    <w:qFormat/>
    <w:rsid w:val="00793DC9"/>
    <w:pPr>
      <w:numPr>
        <w:numId w:val="11"/>
      </w:numPr>
      <w:spacing w:before="120" w:after="180"/>
    </w:pPr>
  </w:style>
  <w:style w:type="paragraph" w:customStyle="1" w:styleId="Bodybullet-Level2">
    <w:name w:val="Body bullet - Level 2"/>
    <w:basedOn w:val="Bodybullet-Level1"/>
    <w:uiPriority w:val="1"/>
    <w:qFormat/>
    <w:rsid w:val="008825AB"/>
    <w:pPr>
      <w:numPr>
        <w:ilvl w:val="1"/>
      </w:numPr>
    </w:pPr>
  </w:style>
  <w:style w:type="paragraph" w:customStyle="1" w:styleId="Bodybullet-Level3">
    <w:name w:val="Body bullet - Level 3"/>
    <w:basedOn w:val="Bodybullet-Level1"/>
    <w:uiPriority w:val="1"/>
    <w:qFormat/>
    <w:rsid w:val="00617129"/>
    <w:pPr>
      <w:numPr>
        <w:ilvl w:val="2"/>
      </w:numPr>
    </w:pPr>
  </w:style>
  <w:style w:type="paragraph" w:customStyle="1" w:styleId="Tablebullet-Level2">
    <w:name w:val="Table bullet - Level 2"/>
    <w:basedOn w:val="Tablebullet-Level1"/>
    <w:uiPriority w:val="13"/>
    <w:qFormat/>
    <w:rsid w:val="00AC37E5"/>
    <w:pPr>
      <w:numPr>
        <w:ilvl w:val="1"/>
      </w:numPr>
    </w:pPr>
  </w:style>
  <w:style w:type="paragraph" w:customStyle="1" w:styleId="Figurecaption">
    <w:name w:val="Figure caption"/>
    <w:basedOn w:val="Caption"/>
    <w:next w:val="Figuredescription"/>
    <w:link w:val="FigurecaptionCharChar"/>
    <w:uiPriority w:val="10"/>
    <w:qFormat/>
    <w:rsid w:val="00FC3687"/>
    <w:pPr>
      <w:keepNext/>
    </w:pPr>
    <w:rPr>
      <w:color w:val="0072B9"/>
    </w:rPr>
  </w:style>
  <w:style w:type="character" w:styleId="PageNumber">
    <w:name w:val="page number"/>
    <w:basedOn w:val="DefaultParagraphFont"/>
    <w:uiPriority w:val="49"/>
    <w:rsid w:val="00FC3687"/>
    <w:rPr>
      <w:color w:val="FFFFFF" w:themeColor="background1"/>
      <w:sz w:val="22"/>
    </w:rPr>
  </w:style>
  <w:style w:type="paragraph" w:customStyle="1" w:styleId="Figuredescription">
    <w:name w:val="Figure description"/>
    <w:basedOn w:val="Figurecaption"/>
    <w:uiPriority w:val="10"/>
    <w:qFormat/>
    <w:rsid w:val="00593A5A"/>
    <w:pPr>
      <w:tabs>
        <w:tab w:val="clear" w:pos="1021"/>
      </w:tabs>
      <w:spacing w:before="120" w:after="240"/>
      <w:ind w:firstLine="0"/>
    </w:pPr>
    <w:rPr>
      <w:b w:val="0"/>
      <w:color w:val="auto"/>
    </w:rPr>
  </w:style>
  <w:style w:type="paragraph" w:customStyle="1" w:styleId="Bodynumbered-Level1">
    <w:name w:val="Body numbered - Level 1"/>
    <w:basedOn w:val="BodyText"/>
    <w:uiPriority w:val="1"/>
    <w:qFormat/>
    <w:rsid w:val="00FC3687"/>
    <w:pPr>
      <w:numPr>
        <w:numId w:val="13"/>
      </w:numPr>
      <w:spacing w:before="120" w:after="180"/>
    </w:pPr>
  </w:style>
  <w:style w:type="paragraph" w:customStyle="1" w:styleId="Bodynumbered-Level2">
    <w:name w:val="Body numbered - Level 2"/>
    <w:basedOn w:val="Bodynumbered-Level1"/>
    <w:uiPriority w:val="1"/>
    <w:qFormat/>
    <w:rsid w:val="00A6258B"/>
    <w:pPr>
      <w:numPr>
        <w:ilvl w:val="1"/>
      </w:numPr>
    </w:pPr>
  </w:style>
  <w:style w:type="paragraph" w:customStyle="1" w:styleId="Bodynumbered-Level3">
    <w:name w:val="Body numbered - Level 3"/>
    <w:basedOn w:val="Bodynumbered-Level1"/>
    <w:uiPriority w:val="1"/>
    <w:qFormat/>
    <w:rsid w:val="00A6258B"/>
    <w:pPr>
      <w:numPr>
        <w:ilvl w:val="2"/>
      </w:numPr>
    </w:pPr>
  </w:style>
  <w:style w:type="paragraph" w:customStyle="1" w:styleId="Preliminaries-Heading1">
    <w:name w:val="Preliminaries - Heading 1"/>
    <w:basedOn w:val="Heading1"/>
    <w:next w:val="BodyText"/>
    <w:uiPriority w:val="18"/>
    <w:qFormat/>
    <w:rsid w:val="007E77FD"/>
    <w:pPr>
      <w:numPr>
        <w:numId w:val="0"/>
      </w:numPr>
    </w:pPr>
  </w:style>
  <w:style w:type="paragraph" w:customStyle="1" w:styleId="Preliminaries-Heading2">
    <w:name w:val="Preliminaries - Heading 2"/>
    <w:basedOn w:val="Heading2"/>
    <w:next w:val="BodyText"/>
    <w:uiPriority w:val="18"/>
    <w:qFormat/>
    <w:rsid w:val="007E77FD"/>
    <w:pPr>
      <w:numPr>
        <w:ilvl w:val="0"/>
        <w:numId w:val="0"/>
      </w:numPr>
    </w:pPr>
  </w:style>
  <w:style w:type="paragraph" w:customStyle="1" w:styleId="Preliminaries-Heading3">
    <w:name w:val="Preliminaries - Heading 3"/>
    <w:basedOn w:val="Heading3"/>
    <w:next w:val="BodyText"/>
    <w:uiPriority w:val="18"/>
    <w:qFormat/>
    <w:rsid w:val="007E77FD"/>
    <w:pPr>
      <w:numPr>
        <w:ilvl w:val="0"/>
        <w:numId w:val="0"/>
      </w:numPr>
    </w:pPr>
  </w:style>
  <w:style w:type="paragraph" w:styleId="FootnoteText">
    <w:name w:val="footnote text"/>
    <w:basedOn w:val="Normal"/>
    <w:link w:val="FootnoteTextChar"/>
    <w:uiPriority w:val="99"/>
    <w:rsid w:val="008D0A94"/>
    <w:rPr>
      <w:sz w:val="20"/>
      <w:szCs w:val="20"/>
    </w:rPr>
  </w:style>
  <w:style w:type="character" w:styleId="FootnoteReference">
    <w:name w:val="footnote reference"/>
    <w:basedOn w:val="DefaultParagraphFont"/>
    <w:uiPriority w:val="99"/>
    <w:rsid w:val="008D0A94"/>
    <w:rPr>
      <w:vertAlign w:val="superscript"/>
    </w:rPr>
  </w:style>
  <w:style w:type="paragraph" w:customStyle="1" w:styleId="Bodytext-Indent">
    <w:name w:val="Body text - Indent"/>
    <w:basedOn w:val="BodyText"/>
    <w:next w:val="BodyText"/>
    <w:qFormat/>
    <w:rsid w:val="00DF7C5F"/>
    <w:pPr>
      <w:ind w:left="340"/>
    </w:pPr>
  </w:style>
  <w:style w:type="paragraph" w:customStyle="1" w:styleId="Boxtext">
    <w:name w:val="Box text"/>
    <w:basedOn w:val="BodyText"/>
    <w:uiPriority w:val="14"/>
    <w:qFormat/>
    <w:rsid w:val="00C26C27"/>
    <w:pPr>
      <w:pBdr>
        <w:top w:val="single" w:sz="4" w:space="8" w:color="0072B9"/>
        <w:left w:val="single" w:sz="4" w:space="8" w:color="0072B9"/>
        <w:bottom w:val="single" w:sz="4" w:space="8" w:color="0072B9"/>
        <w:right w:val="single" w:sz="4" w:space="0" w:color="0072B9"/>
      </w:pBdr>
      <w:shd w:val="clear" w:color="auto" w:fill="E7F5FF"/>
      <w:ind w:left="198"/>
    </w:pPr>
  </w:style>
  <w:style w:type="paragraph" w:customStyle="1" w:styleId="Boxheading">
    <w:name w:val="Box heading"/>
    <w:basedOn w:val="Boxtext"/>
    <w:next w:val="Boxtext"/>
    <w:uiPriority w:val="14"/>
    <w:qFormat/>
    <w:rsid w:val="00FC3687"/>
    <w:pPr>
      <w:spacing w:after="120"/>
    </w:pPr>
    <w:rPr>
      <w:rFonts w:asciiTheme="majorHAnsi" w:hAnsiTheme="majorHAnsi"/>
      <w:color w:val="0072B9"/>
      <w:sz w:val="28"/>
    </w:rPr>
  </w:style>
  <w:style w:type="paragraph" w:customStyle="1" w:styleId="Boxbullet">
    <w:name w:val="Box bullet"/>
    <w:basedOn w:val="Boxtext"/>
    <w:uiPriority w:val="15"/>
    <w:qFormat/>
    <w:rsid w:val="00F01429"/>
    <w:pPr>
      <w:numPr>
        <w:numId w:val="14"/>
      </w:numPr>
      <w:spacing w:before="0" w:after="180"/>
      <w:ind w:left="652" w:hanging="454"/>
    </w:pPr>
  </w:style>
  <w:style w:type="paragraph" w:customStyle="1" w:styleId="Boxsub-heading">
    <w:name w:val="Box sub-heading"/>
    <w:basedOn w:val="Boxtext"/>
    <w:next w:val="Boxtext"/>
    <w:uiPriority w:val="14"/>
    <w:qFormat/>
    <w:rsid w:val="00FC3687"/>
    <w:rPr>
      <w:b/>
      <w:color w:val="0072B9"/>
    </w:rPr>
  </w:style>
  <w:style w:type="paragraph" w:customStyle="1" w:styleId="SourceNotes">
    <w:name w:val="Source/Notes"/>
    <w:basedOn w:val="BodyText"/>
    <w:next w:val="BodyText"/>
    <w:uiPriority w:val="10"/>
    <w:qFormat/>
    <w:rsid w:val="007D6EC3"/>
    <w:pPr>
      <w:spacing w:before="0"/>
    </w:pPr>
    <w:rPr>
      <w:sz w:val="20"/>
    </w:rPr>
  </w:style>
  <w:style w:type="paragraph" w:customStyle="1" w:styleId="Boxcaption">
    <w:name w:val="Box caption"/>
    <w:basedOn w:val="Caption"/>
    <w:uiPriority w:val="14"/>
    <w:qFormat/>
    <w:rsid w:val="00CE04BC"/>
  </w:style>
  <w:style w:type="paragraph" w:customStyle="1" w:styleId="Endmatter-Heading3">
    <w:name w:val="End matter - Heading 3"/>
    <w:basedOn w:val="Heading3"/>
    <w:next w:val="BodyText"/>
    <w:uiPriority w:val="19"/>
    <w:qFormat/>
    <w:rsid w:val="00FC3687"/>
    <w:pPr>
      <w:numPr>
        <w:numId w:val="22"/>
      </w:numPr>
    </w:pPr>
  </w:style>
  <w:style w:type="paragraph" w:customStyle="1" w:styleId="Titledate">
    <w:name w:val="Title date"/>
    <w:basedOn w:val="Normal"/>
    <w:uiPriority w:val="16"/>
    <w:qFormat/>
    <w:rsid w:val="00E5068E"/>
    <w:pPr>
      <w:spacing w:before="80" w:after="120" w:line="460" w:lineRule="atLeast"/>
      <w:contextualSpacing/>
    </w:pPr>
    <w:rPr>
      <w:rFonts w:eastAsiaTheme="majorEastAsia" w:cstheme="majorBidi"/>
      <w:b/>
      <w:color w:val="FFFFFF" w:themeColor="background1"/>
      <w:kern w:val="28"/>
      <w:sz w:val="28"/>
      <w:szCs w:val="52"/>
    </w:rPr>
  </w:style>
  <w:style w:type="paragraph" w:customStyle="1" w:styleId="Boxlist-Numbered">
    <w:name w:val="Box list - Numbered"/>
    <w:basedOn w:val="Boxtext"/>
    <w:uiPriority w:val="15"/>
    <w:qFormat/>
    <w:rsid w:val="00B1447A"/>
    <w:pPr>
      <w:numPr>
        <w:numId w:val="23"/>
      </w:numPr>
      <w:spacing w:before="120" w:after="180"/>
    </w:pPr>
  </w:style>
  <w:style w:type="paragraph" w:customStyle="1" w:styleId="Boxlist-Alpha">
    <w:name w:val="Box list - Alpha"/>
    <w:basedOn w:val="Boxtext"/>
    <w:uiPriority w:val="15"/>
    <w:qFormat/>
    <w:rsid w:val="004B47F1"/>
    <w:pPr>
      <w:numPr>
        <w:numId w:val="15"/>
      </w:numPr>
      <w:spacing w:before="120" w:after="0"/>
    </w:pPr>
  </w:style>
  <w:style w:type="paragraph" w:customStyle="1" w:styleId="FigureImagewithrule">
    <w:name w:val="Figure/Image with rule"/>
    <w:basedOn w:val="BodyText"/>
    <w:next w:val="SourceNotes"/>
    <w:uiPriority w:val="10"/>
    <w:qFormat/>
    <w:rsid w:val="007F1685"/>
    <w:pPr>
      <w:pBdr>
        <w:bottom w:val="single" w:sz="4" w:space="8" w:color="00728F"/>
      </w:pBdr>
      <w:spacing w:after="0"/>
    </w:pPr>
  </w:style>
  <w:style w:type="paragraph" w:customStyle="1" w:styleId="Tablelist-Numbered">
    <w:name w:val="Table list - Numbered"/>
    <w:basedOn w:val="Tabletext"/>
    <w:uiPriority w:val="13"/>
    <w:qFormat/>
    <w:rsid w:val="00EF4469"/>
    <w:pPr>
      <w:numPr>
        <w:numId w:val="16"/>
      </w:numPr>
    </w:pPr>
  </w:style>
  <w:style w:type="paragraph" w:customStyle="1" w:styleId="Tablecellsub-heading">
    <w:name w:val="Table cell sub-heading"/>
    <w:basedOn w:val="Tablecellheading"/>
    <w:uiPriority w:val="12"/>
    <w:qFormat/>
    <w:rsid w:val="00133178"/>
    <w:rPr>
      <w:color w:val="auto"/>
    </w:rPr>
  </w:style>
  <w:style w:type="character" w:styleId="Emphasis">
    <w:name w:val="Emphasis"/>
    <w:basedOn w:val="DefaultParagraphFont"/>
    <w:uiPriority w:val="20"/>
    <w:qFormat/>
    <w:rsid w:val="00D52C5A"/>
    <w:rPr>
      <w:i/>
      <w:iCs/>
    </w:rPr>
  </w:style>
  <w:style w:type="character" w:styleId="CommentReference">
    <w:name w:val="annotation reference"/>
    <w:basedOn w:val="DefaultParagraphFont"/>
    <w:uiPriority w:val="99"/>
    <w:semiHidden/>
    <w:rsid w:val="008F23A9"/>
    <w:rPr>
      <w:sz w:val="16"/>
      <w:szCs w:val="16"/>
    </w:rPr>
  </w:style>
  <w:style w:type="paragraph" w:styleId="CommentText">
    <w:name w:val="annotation text"/>
    <w:basedOn w:val="Normal"/>
    <w:link w:val="CommentTextChar"/>
    <w:uiPriority w:val="99"/>
    <w:semiHidden/>
    <w:rsid w:val="008F23A9"/>
    <w:rPr>
      <w:sz w:val="20"/>
      <w:szCs w:val="20"/>
    </w:rPr>
  </w:style>
  <w:style w:type="paragraph" w:styleId="CommentSubject">
    <w:name w:val="annotation subject"/>
    <w:basedOn w:val="CommentText"/>
    <w:next w:val="CommentText"/>
    <w:uiPriority w:val="99"/>
    <w:semiHidden/>
    <w:rsid w:val="008F23A9"/>
    <w:rPr>
      <w:b/>
      <w:bCs/>
    </w:rPr>
  </w:style>
  <w:style w:type="numbering" w:styleId="111111">
    <w:name w:val="Outline List 2"/>
    <w:basedOn w:val="NoList"/>
    <w:uiPriority w:val="99"/>
    <w:semiHidden/>
    <w:unhideWhenUsed/>
    <w:rsid w:val="00A0420F"/>
    <w:pPr>
      <w:numPr>
        <w:numId w:val="17"/>
      </w:numPr>
    </w:pPr>
  </w:style>
  <w:style w:type="numbering" w:styleId="1ai">
    <w:name w:val="Outline List 1"/>
    <w:basedOn w:val="NoList"/>
    <w:uiPriority w:val="99"/>
    <w:semiHidden/>
    <w:unhideWhenUsed/>
    <w:rsid w:val="00A0420F"/>
    <w:pPr>
      <w:numPr>
        <w:numId w:val="18"/>
      </w:numPr>
    </w:pPr>
  </w:style>
  <w:style w:type="numbering" w:styleId="ArticleSection">
    <w:name w:val="Outline List 3"/>
    <w:basedOn w:val="NoList"/>
    <w:uiPriority w:val="99"/>
    <w:semiHidden/>
    <w:unhideWhenUsed/>
    <w:rsid w:val="00A0420F"/>
    <w:pPr>
      <w:numPr>
        <w:numId w:val="19"/>
      </w:numPr>
    </w:pPr>
  </w:style>
  <w:style w:type="paragraph" w:styleId="Bibliography">
    <w:name w:val="Bibliography"/>
    <w:basedOn w:val="Normal"/>
    <w:next w:val="Normal"/>
    <w:uiPriority w:val="37"/>
    <w:semiHidden/>
    <w:unhideWhenUsed/>
    <w:rsid w:val="00A0420F"/>
  </w:style>
  <w:style w:type="paragraph" w:styleId="BlockText">
    <w:name w:val="Block Text"/>
    <w:basedOn w:val="Normal"/>
    <w:uiPriority w:val="99"/>
    <w:semiHidden/>
    <w:rsid w:val="00A0420F"/>
    <w:pPr>
      <w:pBdr>
        <w:top w:val="single" w:sz="2" w:space="10" w:color="00728F" w:themeColor="accent1" w:shadow="1" w:frame="1"/>
        <w:left w:val="single" w:sz="2" w:space="10" w:color="00728F" w:themeColor="accent1" w:shadow="1" w:frame="1"/>
        <w:bottom w:val="single" w:sz="2" w:space="10" w:color="00728F" w:themeColor="accent1" w:shadow="1" w:frame="1"/>
        <w:right w:val="single" w:sz="2" w:space="10" w:color="00728F" w:themeColor="accent1" w:shadow="1" w:frame="1"/>
      </w:pBdr>
      <w:ind w:left="1152" w:right="1152"/>
    </w:pPr>
    <w:rPr>
      <w:rFonts w:asciiTheme="minorHAnsi" w:eastAsiaTheme="minorEastAsia" w:hAnsiTheme="minorHAnsi"/>
      <w:i/>
      <w:iCs/>
      <w:color w:val="00728F" w:themeColor="accent1"/>
    </w:rPr>
  </w:style>
  <w:style w:type="paragraph" w:styleId="BodyText2">
    <w:name w:val="Body Text 2"/>
    <w:basedOn w:val="Normal"/>
    <w:uiPriority w:val="99"/>
    <w:semiHidden/>
    <w:rsid w:val="00A0420F"/>
    <w:pPr>
      <w:spacing w:after="120" w:line="480" w:lineRule="auto"/>
    </w:pPr>
  </w:style>
  <w:style w:type="paragraph" w:styleId="BodyText3">
    <w:name w:val="Body Text 3"/>
    <w:basedOn w:val="Normal"/>
    <w:uiPriority w:val="99"/>
    <w:semiHidden/>
    <w:rsid w:val="00A0420F"/>
    <w:pPr>
      <w:spacing w:after="120"/>
    </w:pPr>
    <w:rPr>
      <w:sz w:val="16"/>
      <w:szCs w:val="16"/>
    </w:rPr>
  </w:style>
  <w:style w:type="paragraph" w:styleId="BodyTextFirstIndent">
    <w:name w:val="Body Text First Indent"/>
    <w:basedOn w:val="BodyText"/>
    <w:uiPriority w:val="99"/>
    <w:semiHidden/>
    <w:rsid w:val="00A0420F"/>
    <w:pPr>
      <w:spacing w:before="0" w:after="0"/>
      <w:ind w:firstLine="360"/>
    </w:pPr>
  </w:style>
  <w:style w:type="paragraph" w:styleId="BodyTextIndent">
    <w:name w:val="Body Text Indent"/>
    <w:basedOn w:val="Normal"/>
    <w:uiPriority w:val="99"/>
    <w:semiHidden/>
    <w:rsid w:val="00A0420F"/>
    <w:pPr>
      <w:spacing w:after="120"/>
      <w:ind w:left="283"/>
    </w:pPr>
  </w:style>
  <w:style w:type="paragraph" w:styleId="BodyTextFirstIndent2">
    <w:name w:val="Body Text First Indent 2"/>
    <w:basedOn w:val="BodyTextIndent"/>
    <w:uiPriority w:val="99"/>
    <w:semiHidden/>
    <w:rsid w:val="00A0420F"/>
    <w:pPr>
      <w:spacing w:after="0"/>
      <w:ind w:left="360" w:firstLine="360"/>
    </w:pPr>
  </w:style>
  <w:style w:type="paragraph" w:styleId="BodyTextIndent2">
    <w:name w:val="Body Text Indent 2"/>
    <w:basedOn w:val="Normal"/>
    <w:uiPriority w:val="99"/>
    <w:semiHidden/>
    <w:rsid w:val="00A0420F"/>
    <w:pPr>
      <w:spacing w:after="120" w:line="480" w:lineRule="auto"/>
      <w:ind w:left="283"/>
    </w:pPr>
  </w:style>
  <w:style w:type="paragraph" w:styleId="BodyTextIndent3">
    <w:name w:val="Body Text Indent 3"/>
    <w:basedOn w:val="Normal"/>
    <w:uiPriority w:val="99"/>
    <w:semiHidden/>
    <w:rsid w:val="00A0420F"/>
    <w:pPr>
      <w:spacing w:after="120"/>
      <w:ind w:left="283"/>
    </w:pPr>
    <w:rPr>
      <w:sz w:val="16"/>
      <w:szCs w:val="16"/>
    </w:rPr>
  </w:style>
  <w:style w:type="character" w:styleId="BookTitle">
    <w:name w:val="Book Title"/>
    <w:basedOn w:val="DefaultParagraphFont"/>
    <w:uiPriority w:val="33"/>
    <w:semiHidden/>
    <w:qFormat/>
    <w:rsid w:val="00A0420F"/>
    <w:rPr>
      <w:b/>
      <w:bCs/>
      <w:smallCaps/>
      <w:spacing w:val="5"/>
    </w:rPr>
  </w:style>
  <w:style w:type="paragraph" w:styleId="Closing">
    <w:name w:val="Closing"/>
    <w:basedOn w:val="Normal"/>
    <w:link w:val="ClosingChar"/>
    <w:uiPriority w:val="99"/>
    <w:semiHidden/>
    <w:rsid w:val="00A0420F"/>
    <w:pPr>
      <w:ind w:left="4252"/>
    </w:pPr>
  </w:style>
  <w:style w:type="character" w:customStyle="1" w:styleId="ClosingChar">
    <w:name w:val="Closing Char"/>
    <w:basedOn w:val="DefaultParagraphFont"/>
    <w:link w:val="Closing"/>
    <w:uiPriority w:val="99"/>
    <w:semiHidden/>
    <w:rsid w:val="00A0420F"/>
    <w:rPr>
      <w:rFonts w:ascii="Calibri" w:hAnsi="Calibri"/>
    </w:rPr>
  </w:style>
  <w:style w:type="paragraph" w:styleId="Date">
    <w:name w:val="Date"/>
    <w:basedOn w:val="Normal"/>
    <w:next w:val="Normal"/>
    <w:link w:val="DateChar"/>
    <w:uiPriority w:val="99"/>
    <w:semiHidden/>
    <w:rsid w:val="00A0420F"/>
  </w:style>
  <w:style w:type="character" w:customStyle="1" w:styleId="DateChar">
    <w:name w:val="Date Char"/>
    <w:basedOn w:val="DefaultParagraphFont"/>
    <w:link w:val="Date"/>
    <w:uiPriority w:val="99"/>
    <w:semiHidden/>
    <w:rsid w:val="00A0420F"/>
    <w:rPr>
      <w:rFonts w:ascii="Calibri" w:hAnsi="Calibri"/>
    </w:rPr>
  </w:style>
  <w:style w:type="paragraph" w:styleId="DocumentMap">
    <w:name w:val="Document Map"/>
    <w:basedOn w:val="Normal"/>
    <w:link w:val="DocumentMapChar"/>
    <w:uiPriority w:val="99"/>
    <w:semiHidden/>
    <w:rsid w:val="00A0420F"/>
    <w:rPr>
      <w:rFonts w:ascii="Tahoma" w:hAnsi="Tahoma" w:cs="Tahoma"/>
      <w:sz w:val="16"/>
      <w:szCs w:val="16"/>
    </w:rPr>
  </w:style>
  <w:style w:type="character" w:customStyle="1" w:styleId="DocumentMapChar">
    <w:name w:val="Document Map Char"/>
    <w:basedOn w:val="DefaultParagraphFont"/>
    <w:link w:val="DocumentMap"/>
    <w:uiPriority w:val="99"/>
    <w:semiHidden/>
    <w:rsid w:val="00A0420F"/>
    <w:rPr>
      <w:rFonts w:ascii="Tahoma" w:hAnsi="Tahoma" w:cs="Tahoma"/>
      <w:sz w:val="16"/>
      <w:szCs w:val="16"/>
    </w:rPr>
  </w:style>
  <w:style w:type="paragraph" w:styleId="E-mailSignature">
    <w:name w:val="E-mail Signature"/>
    <w:basedOn w:val="Normal"/>
    <w:link w:val="E-mailSignatureChar"/>
    <w:uiPriority w:val="99"/>
    <w:semiHidden/>
    <w:rsid w:val="00A0420F"/>
  </w:style>
  <w:style w:type="character" w:customStyle="1" w:styleId="E-mailSignatureChar">
    <w:name w:val="E-mail Signature Char"/>
    <w:basedOn w:val="DefaultParagraphFont"/>
    <w:link w:val="E-mailSignature"/>
    <w:uiPriority w:val="99"/>
    <w:semiHidden/>
    <w:rsid w:val="00A0420F"/>
    <w:rPr>
      <w:rFonts w:ascii="Calibri" w:hAnsi="Calibri"/>
    </w:rPr>
  </w:style>
  <w:style w:type="character" w:styleId="EndnoteReference">
    <w:name w:val="endnote reference"/>
    <w:basedOn w:val="DefaultParagraphFont"/>
    <w:uiPriority w:val="99"/>
    <w:semiHidden/>
    <w:unhideWhenUsed/>
    <w:rsid w:val="00A0420F"/>
    <w:rPr>
      <w:vertAlign w:val="superscript"/>
    </w:rPr>
  </w:style>
  <w:style w:type="paragraph" w:styleId="EndnoteText">
    <w:name w:val="endnote text"/>
    <w:basedOn w:val="Normal"/>
    <w:link w:val="EndnoteTextChar"/>
    <w:uiPriority w:val="99"/>
    <w:semiHidden/>
    <w:unhideWhenUsed/>
    <w:rsid w:val="00A0420F"/>
    <w:rPr>
      <w:sz w:val="20"/>
      <w:szCs w:val="20"/>
    </w:rPr>
  </w:style>
  <w:style w:type="character" w:customStyle="1" w:styleId="EndnoteTextChar">
    <w:name w:val="Endnote Text Char"/>
    <w:basedOn w:val="DefaultParagraphFont"/>
    <w:link w:val="EndnoteText"/>
    <w:uiPriority w:val="99"/>
    <w:semiHidden/>
    <w:rsid w:val="00A0420F"/>
    <w:rPr>
      <w:rFonts w:ascii="Calibri" w:hAnsi="Calibri"/>
      <w:sz w:val="20"/>
      <w:szCs w:val="20"/>
    </w:rPr>
  </w:style>
  <w:style w:type="paragraph" w:styleId="EnvelopeAddress">
    <w:name w:val="envelope address"/>
    <w:basedOn w:val="Normal"/>
    <w:uiPriority w:val="99"/>
    <w:semiHidden/>
    <w:rsid w:val="00A0420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0420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A0420F"/>
    <w:rPr>
      <w:color w:val="800080" w:themeColor="followedHyperlink"/>
      <w:u w:val="single"/>
    </w:rPr>
  </w:style>
  <w:style w:type="character" w:styleId="HTMLAcronym">
    <w:name w:val="HTML Acronym"/>
    <w:basedOn w:val="DefaultParagraphFont"/>
    <w:uiPriority w:val="99"/>
    <w:semiHidden/>
    <w:rsid w:val="00A0420F"/>
  </w:style>
  <w:style w:type="paragraph" w:styleId="HTMLAddress">
    <w:name w:val="HTML Address"/>
    <w:basedOn w:val="Normal"/>
    <w:link w:val="HTMLAddressChar"/>
    <w:uiPriority w:val="99"/>
    <w:semiHidden/>
    <w:rsid w:val="00A0420F"/>
    <w:rPr>
      <w:i/>
      <w:iCs/>
    </w:rPr>
  </w:style>
  <w:style w:type="character" w:customStyle="1" w:styleId="HTMLAddressChar">
    <w:name w:val="HTML Address Char"/>
    <w:basedOn w:val="DefaultParagraphFont"/>
    <w:link w:val="HTMLAddress"/>
    <w:uiPriority w:val="99"/>
    <w:semiHidden/>
    <w:rsid w:val="00A0420F"/>
    <w:rPr>
      <w:rFonts w:ascii="Calibri" w:hAnsi="Calibri"/>
      <w:i/>
      <w:iCs/>
    </w:rPr>
  </w:style>
  <w:style w:type="character" w:styleId="HTMLCite">
    <w:name w:val="HTML Cite"/>
    <w:basedOn w:val="DefaultParagraphFont"/>
    <w:uiPriority w:val="99"/>
    <w:semiHidden/>
    <w:rsid w:val="00A0420F"/>
    <w:rPr>
      <w:i/>
      <w:iCs/>
    </w:rPr>
  </w:style>
  <w:style w:type="character" w:styleId="HTMLCode">
    <w:name w:val="HTML Code"/>
    <w:basedOn w:val="DefaultParagraphFont"/>
    <w:uiPriority w:val="99"/>
    <w:semiHidden/>
    <w:rsid w:val="00A0420F"/>
    <w:rPr>
      <w:rFonts w:ascii="Consolas" w:hAnsi="Consolas" w:cs="Consolas"/>
      <w:sz w:val="20"/>
      <w:szCs w:val="20"/>
    </w:rPr>
  </w:style>
  <w:style w:type="character" w:styleId="HTMLDefinition">
    <w:name w:val="HTML Definition"/>
    <w:basedOn w:val="DefaultParagraphFont"/>
    <w:uiPriority w:val="99"/>
    <w:semiHidden/>
    <w:rsid w:val="00A0420F"/>
    <w:rPr>
      <w:i/>
      <w:iCs/>
    </w:rPr>
  </w:style>
  <w:style w:type="character" w:styleId="HTMLKeyboard">
    <w:name w:val="HTML Keyboard"/>
    <w:basedOn w:val="DefaultParagraphFont"/>
    <w:uiPriority w:val="99"/>
    <w:semiHidden/>
    <w:rsid w:val="00A0420F"/>
    <w:rPr>
      <w:rFonts w:ascii="Consolas" w:hAnsi="Consolas" w:cs="Consolas"/>
      <w:sz w:val="20"/>
      <w:szCs w:val="20"/>
    </w:rPr>
  </w:style>
  <w:style w:type="paragraph" w:styleId="HTMLPreformatted">
    <w:name w:val="HTML Preformatted"/>
    <w:basedOn w:val="Normal"/>
    <w:link w:val="HTMLPreformattedChar"/>
    <w:uiPriority w:val="99"/>
    <w:semiHidden/>
    <w:rsid w:val="00A0420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0420F"/>
    <w:rPr>
      <w:rFonts w:ascii="Consolas" w:hAnsi="Consolas" w:cs="Consolas"/>
      <w:sz w:val="20"/>
      <w:szCs w:val="20"/>
    </w:rPr>
  </w:style>
  <w:style w:type="character" w:styleId="HTMLSample">
    <w:name w:val="HTML Sample"/>
    <w:basedOn w:val="DefaultParagraphFont"/>
    <w:uiPriority w:val="99"/>
    <w:semiHidden/>
    <w:rsid w:val="00A0420F"/>
    <w:rPr>
      <w:rFonts w:ascii="Consolas" w:hAnsi="Consolas" w:cs="Consolas"/>
      <w:sz w:val="24"/>
      <w:szCs w:val="24"/>
    </w:rPr>
  </w:style>
  <w:style w:type="character" w:styleId="HTMLTypewriter">
    <w:name w:val="HTML Typewriter"/>
    <w:basedOn w:val="DefaultParagraphFont"/>
    <w:uiPriority w:val="99"/>
    <w:semiHidden/>
    <w:rsid w:val="00A0420F"/>
    <w:rPr>
      <w:rFonts w:ascii="Consolas" w:hAnsi="Consolas" w:cs="Consolas"/>
      <w:sz w:val="20"/>
      <w:szCs w:val="20"/>
    </w:rPr>
  </w:style>
  <w:style w:type="character" w:styleId="HTMLVariable">
    <w:name w:val="HTML Variable"/>
    <w:basedOn w:val="DefaultParagraphFont"/>
    <w:uiPriority w:val="99"/>
    <w:semiHidden/>
    <w:rsid w:val="00A0420F"/>
    <w:rPr>
      <w:i/>
      <w:iCs/>
    </w:rPr>
  </w:style>
  <w:style w:type="paragraph" w:styleId="Index1">
    <w:name w:val="index 1"/>
    <w:basedOn w:val="Normal"/>
    <w:next w:val="Normal"/>
    <w:autoRedefine/>
    <w:uiPriority w:val="99"/>
    <w:semiHidden/>
    <w:rsid w:val="00A0420F"/>
    <w:pPr>
      <w:ind w:left="220" w:hanging="220"/>
    </w:pPr>
  </w:style>
  <w:style w:type="paragraph" w:styleId="Index2">
    <w:name w:val="index 2"/>
    <w:basedOn w:val="Normal"/>
    <w:next w:val="Normal"/>
    <w:autoRedefine/>
    <w:uiPriority w:val="99"/>
    <w:semiHidden/>
    <w:rsid w:val="00A0420F"/>
    <w:pPr>
      <w:ind w:left="440" w:hanging="220"/>
    </w:pPr>
  </w:style>
  <w:style w:type="paragraph" w:styleId="Index3">
    <w:name w:val="index 3"/>
    <w:basedOn w:val="Normal"/>
    <w:next w:val="Normal"/>
    <w:autoRedefine/>
    <w:uiPriority w:val="99"/>
    <w:semiHidden/>
    <w:rsid w:val="00A0420F"/>
    <w:pPr>
      <w:ind w:left="660" w:hanging="220"/>
    </w:pPr>
  </w:style>
  <w:style w:type="paragraph" w:styleId="Index4">
    <w:name w:val="index 4"/>
    <w:basedOn w:val="Normal"/>
    <w:next w:val="Normal"/>
    <w:autoRedefine/>
    <w:uiPriority w:val="99"/>
    <w:semiHidden/>
    <w:rsid w:val="00A0420F"/>
    <w:pPr>
      <w:ind w:left="880" w:hanging="220"/>
    </w:pPr>
  </w:style>
  <w:style w:type="paragraph" w:styleId="Index5">
    <w:name w:val="index 5"/>
    <w:basedOn w:val="Normal"/>
    <w:next w:val="Normal"/>
    <w:autoRedefine/>
    <w:uiPriority w:val="99"/>
    <w:semiHidden/>
    <w:rsid w:val="00A0420F"/>
    <w:pPr>
      <w:ind w:left="1100" w:hanging="220"/>
    </w:pPr>
  </w:style>
  <w:style w:type="paragraph" w:styleId="Index6">
    <w:name w:val="index 6"/>
    <w:basedOn w:val="Normal"/>
    <w:next w:val="Normal"/>
    <w:autoRedefine/>
    <w:uiPriority w:val="99"/>
    <w:semiHidden/>
    <w:rsid w:val="00A0420F"/>
    <w:pPr>
      <w:ind w:left="1320" w:hanging="220"/>
    </w:pPr>
  </w:style>
  <w:style w:type="paragraph" w:styleId="Index7">
    <w:name w:val="index 7"/>
    <w:basedOn w:val="Normal"/>
    <w:next w:val="Normal"/>
    <w:autoRedefine/>
    <w:uiPriority w:val="99"/>
    <w:semiHidden/>
    <w:rsid w:val="00A0420F"/>
    <w:pPr>
      <w:ind w:left="1540" w:hanging="220"/>
    </w:pPr>
  </w:style>
  <w:style w:type="paragraph" w:styleId="Index8">
    <w:name w:val="index 8"/>
    <w:basedOn w:val="Normal"/>
    <w:next w:val="Normal"/>
    <w:autoRedefine/>
    <w:uiPriority w:val="99"/>
    <w:semiHidden/>
    <w:rsid w:val="00A0420F"/>
    <w:pPr>
      <w:ind w:left="1760" w:hanging="220"/>
    </w:pPr>
  </w:style>
  <w:style w:type="paragraph" w:styleId="Index9">
    <w:name w:val="index 9"/>
    <w:basedOn w:val="Normal"/>
    <w:next w:val="Normal"/>
    <w:autoRedefine/>
    <w:uiPriority w:val="99"/>
    <w:semiHidden/>
    <w:rsid w:val="00A0420F"/>
    <w:pPr>
      <w:ind w:left="1980" w:hanging="220"/>
    </w:pPr>
  </w:style>
  <w:style w:type="paragraph" w:styleId="IndexHeading">
    <w:name w:val="index heading"/>
    <w:basedOn w:val="Normal"/>
    <w:next w:val="Index1"/>
    <w:uiPriority w:val="99"/>
    <w:semiHidden/>
    <w:rsid w:val="00A0420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0420F"/>
    <w:rPr>
      <w:b/>
      <w:bCs/>
      <w:i/>
      <w:iCs/>
      <w:color w:val="00728F" w:themeColor="accent1"/>
    </w:rPr>
  </w:style>
  <w:style w:type="paragraph" w:styleId="IntenseQuote">
    <w:name w:val="Intense Quote"/>
    <w:basedOn w:val="Normal"/>
    <w:next w:val="Normal"/>
    <w:link w:val="IntenseQuoteChar"/>
    <w:uiPriority w:val="30"/>
    <w:semiHidden/>
    <w:qFormat/>
    <w:rsid w:val="00A0420F"/>
    <w:pPr>
      <w:pBdr>
        <w:bottom w:val="single" w:sz="4" w:space="4" w:color="00728F" w:themeColor="accent1"/>
      </w:pBdr>
      <w:spacing w:before="200" w:after="280"/>
      <w:ind w:left="936" w:right="936"/>
    </w:pPr>
    <w:rPr>
      <w:b/>
      <w:bCs/>
      <w:i/>
      <w:iCs/>
      <w:color w:val="00728F" w:themeColor="accent1"/>
    </w:rPr>
  </w:style>
  <w:style w:type="character" w:customStyle="1" w:styleId="IntenseQuoteChar">
    <w:name w:val="Intense Quote Char"/>
    <w:basedOn w:val="DefaultParagraphFont"/>
    <w:link w:val="IntenseQuote"/>
    <w:uiPriority w:val="30"/>
    <w:semiHidden/>
    <w:rsid w:val="00A0420F"/>
    <w:rPr>
      <w:rFonts w:ascii="Calibri" w:hAnsi="Calibri"/>
      <w:b/>
      <w:bCs/>
      <w:i/>
      <w:iCs/>
      <w:color w:val="00728F" w:themeColor="accent1"/>
    </w:rPr>
  </w:style>
  <w:style w:type="character" w:styleId="IntenseReference">
    <w:name w:val="Intense Reference"/>
    <w:basedOn w:val="DefaultParagraphFont"/>
    <w:uiPriority w:val="32"/>
    <w:semiHidden/>
    <w:qFormat/>
    <w:rsid w:val="00A0420F"/>
    <w:rPr>
      <w:b/>
      <w:bCs/>
      <w:smallCaps/>
      <w:color w:val="B7DDE8" w:themeColor="accent2"/>
      <w:spacing w:val="5"/>
      <w:u w:val="single"/>
    </w:rPr>
  </w:style>
  <w:style w:type="character" w:styleId="LineNumber">
    <w:name w:val="line number"/>
    <w:basedOn w:val="DefaultParagraphFont"/>
    <w:uiPriority w:val="99"/>
    <w:semiHidden/>
    <w:rsid w:val="00A0420F"/>
  </w:style>
  <w:style w:type="paragraph" w:styleId="List">
    <w:name w:val="List"/>
    <w:basedOn w:val="Normal"/>
    <w:uiPriority w:val="99"/>
    <w:semiHidden/>
    <w:rsid w:val="00A0420F"/>
    <w:pPr>
      <w:ind w:left="283" w:hanging="283"/>
      <w:contextualSpacing/>
    </w:pPr>
  </w:style>
  <w:style w:type="paragraph" w:styleId="List2">
    <w:name w:val="List 2"/>
    <w:basedOn w:val="Normal"/>
    <w:uiPriority w:val="99"/>
    <w:semiHidden/>
    <w:rsid w:val="00A0420F"/>
    <w:pPr>
      <w:ind w:left="566" w:hanging="283"/>
      <w:contextualSpacing/>
    </w:pPr>
  </w:style>
  <w:style w:type="paragraph" w:styleId="List3">
    <w:name w:val="List 3"/>
    <w:basedOn w:val="Normal"/>
    <w:uiPriority w:val="99"/>
    <w:semiHidden/>
    <w:rsid w:val="00A0420F"/>
    <w:pPr>
      <w:ind w:left="849" w:hanging="283"/>
      <w:contextualSpacing/>
    </w:pPr>
  </w:style>
  <w:style w:type="paragraph" w:styleId="List4">
    <w:name w:val="List 4"/>
    <w:basedOn w:val="Normal"/>
    <w:uiPriority w:val="99"/>
    <w:semiHidden/>
    <w:rsid w:val="00A0420F"/>
    <w:pPr>
      <w:ind w:left="1132" w:hanging="283"/>
      <w:contextualSpacing/>
    </w:pPr>
  </w:style>
  <w:style w:type="paragraph" w:styleId="List5">
    <w:name w:val="List 5"/>
    <w:basedOn w:val="Normal"/>
    <w:uiPriority w:val="99"/>
    <w:semiHidden/>
    <w:rsid w:val="00A0420F"/>
    <w:pPr>
      <w:ind w:left="1415" w:hanging="283"/>
      <w:contextualSpacing/>
    </w:pPr>
  </w:style>
  <w:style w:type="paragraph" w:styleId="ListBullet">
    <w:name w:val="List Bullet"/>
    <w:basedOn w:val="Normal"/>
    <w:uiPriority w:val="99"/>
    <w:semiHidden/>
    <w:rsid w:val="00A0420F"/>
    <w:pPr>
      <w:numPr>
        <w:numId w:val="1"/>
      </w:numPr>
      <w:contextualSpacing/>
    </w:pPr>
  </w:style>
  <w:style w:type="paragraph" w:styleId="ListBullet2">
    <w:name w:val="List Bullet 2"/>
    <w:basedOn w:val="Normal"/>
    <w:uiPriority w:val="99"/>
    <w:semiHidden/>
    <w:rsid w:val="00A0420F"/>
    <w:pPr>
      <w:numPr>
        <w:numId w:val="2"/>
      </w:numPr>
      <w:contextualSpacing/>
    </w:pPr>
  </w:style>
  <w:style w:type="paragraph" w:styleId="ListBullet3">
    <w:name w:val="List Bullet 3"/>
    <w:basedOn w:val="Normal"/>
    <w:uiPriority w:val="99"/>
    <w:semiHidden/>
    <w:rsid w:val="00A0420F"/>
    <w:pPr>
      <w:numPr>
        <w:numId w:val="3"/>
      </w:numPr>
      <w:contextualSpacing/>
    </w:pPr>
  </w:style>
  <w:style w:type="paragraph" w:styleId="ListBullet4">
    <w:name w:val="List Bullet 4"/>
    <w:basedOn w:val="Normal"/>
    <w:uiPriority w:val="99"/>
    <w:semiHidden/>
    <w:rsid w:val="00A0420F"/>
    <w:pPr>
      <w:numPr>
        <w:numId w:val="4"/>
      </w:numPr>
      <w:contextualSpacing/>
    </w:pPr>
  </w:style>
  <w:style w:type="paragraph" w:styleId="ListBullet5">
    <w:name w:val="List Bullet 5"/>
    <w:basedOn w:val="Normal"/>
    <w:uiPriority w:val="99"/>
    <w:semiHidden/>
    <w:rsid w:val="00A0420F"/>
    <w:pPr>
      <w:numPr>
        <w:numId w:val="5"/>
      </w:numPr>
      <w:contextualSpacing/>
    </w:pPr>
  </w:style>
  <w:style w:type="paragraph" w:styleId="ListContinue">
    <w:name w:val="List Continue"/>
    <w:basedOn w:val="Normal"/>
    <w:uiPriority w:val="99"/>
    <w:semiHidden/>
    <w:rsid w:val="00A0420F"/>
    <w:pPr>
      <w:spacing w:after="120"/>
      <w:ind w:left="283"/>
      <w:contextualSpacing/>
    </w:pPr>
  </w:style>
  <w:style w:type="paragraph" w:styleId="ListContinue2">
    <w:name w:val="List Continue 2"/>
    <w:basedOn w:val="Normal"/>
    <w:uiPriority w:val="99"/>
    <w:semiHidden/>
    <w:rsid w:val="00A0420F"/>
    <w:pPr>
      <w:spacing w:after="120"/>
      <w:ind w:left="566"/>
      <w:contextualSpacing/>
    </w:pPr>
  </w:style>
  <w:style w:type="paragraph" w:styleId="ListContinue3">
    <w:name w:val="List Continue 3"/>
    <w:basedOn w:val="Normal"/>
    <w:uiPriority w:val="99"/>
    <w:semiHidden/>
    <w:rsid w:val="00A0420F"/>
    <w:pPr>
      <w:spacing w:after="120"/>
      <w:ind w:left="849"/>
      <w:contextualSpacing/>
    </w:pPr>
  </w:style>
  <w:style w:type="paragraph" w:styleId="ListContinue4">
    <w:name w:val="List Continue 4"/>
    <w:basedOn w:val="Normal"/>
    <w:uiPriority w:val="99"/>
    <w:semiHidden/>
    <w:rsid w:val="00A0420F"/>
    <w:pPr>
      <w:spacing w:after="120"/>
      <w:ind w:left="1132"/>
      <w:contextualSpacing/>
    </w:pPr>
  </w:style>
  <w:style w:type="paragraph" w:styleId="ListContinue5">
    <w:name w:val="List Continue 5"/>
    <w:basedOn w:val="Normal"/>
    <w:uiPriority w:val="99"/>
    <w:semiHidden/>
    <w:rsid w:val="00A0420F"/>
    <w:pPr>
      <w:spacing w:after="120"/>
      <w:ind w:left="1415"/>
      <w:contextualSpacing/>
    </w:pPr>
  </w:style>
  <w:style w:type="paragraph" w:styleId="ListNumber">
    <w:name w:val="List Number"/>
    <w:basedOn w:val="Normal"/>
    <w:uiPriority w:val="99"/>
    <w:semiHidden/>
    <w:rsid w:val="00A0420F"/>
    <w:pPr>
      <w:numPr>
        <w:numId w:val="6"/>
      </w:numPr>
      <w:contextualSpacing/>
    </w:pPr>
  </w:style>
  <w:style w:type="paragraph" w:styleId="ListNumber2">
    <w:name w:val="List Number 2"/>
    <w:basedOn w:val="Normal"/>
    <w:uiPriority w:val="99"/>
    <w:semiHidden/>
    <w:rsid w:val="00A0420F"/>
    <w:pPr>
      <w:numPr>
        <w:numId w:val="7"/>
      </w:numPr>
      <w:contextualSpacing/>
    </w:pPr>
  </w:style>
  <w:style w:type="paragraph" w:styleId="ListNumber3">
    <w:name w:val="List Number 3"/>
    <w:basedOn w:val="Normal"/>
    <w:uiPriority w:val="99"/>
    <w:semiHidden/>
    <w:rsid w:val="00A0420F"/>
    <w:pPr>
      <w:numPr>
        <w:numId w:val="8"/>
      </w:numPr>
      <w:contextualSpacing/>
    </w:pPr>
  </w:style>
  <w:style w:type="paragraph" w:styleId="ListNumber4">
    <w:name w:val="List Number 4"/>
    <w:basedOn w:val="Normal"/>
    <w:uiPriority w:val="99"/>
    <w:semiHidden/>
    <w:rsid w:val="00A0420F"/>
    <w:pPr>
      <w:numPr>
        <w:numId w:val="9"/>
      </w:numPr>
      <w:contextualSpacing/>
    </w:pPr>
  </w:style>
  <w:style w:type="paragraph" w:styleId="ListNumber5">
    <w:name w:val="List Number 5"/>
    <w:basedOn w:val="Normal"/>
    <w:uiPriority w:val="99"/>
    <w:semiHidden/>
    <w:rsid w:val="00A0420F"/>
    <w:pPr>
      <w:numPr>
        <w:numId w:val="10"/>
      </w:numPr>
      <w:contextualSpacing/>
    </w:pPr>
  </w:style>
  <w:style w:type="paragraph" w:styleId="ListParagraph">
    <w:name w:val="List Paragraph"/>
    <w:basedOn w:val="Normal"/>
    <w:link w:val="ListParagraphChar"/>
    <w:uiPriority w:val="34"/>
    <w:qFormat/>
    <w:rsid w:val="00A0420F"/>
    <w:pPr>
      <w:ind w:left="720"/>
      <w:contextualSpacing/>
    </w:pPr>
  </w:style>
  <w:style w:type="paragraph" w:styleId="MacroText">
    <w:name w:val="macro"/>
    <w:link w:val="MacroTextChar"/>
    <w:uiPriority w:val="99"/>
    <w:semiHidden/>
    <w:rsid w:val="00A04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0420F"/>
    <w:rPr>
      <w:rFonts w:ascii="Consolas" w:hAnsi="Consolas" w:cs="Consolas"/>
      <w:sz w:val="20"/>
      <w:szCs w:val="20"/>
    </w:rPr>
  </w:style>
  <w:style w:type="paragraph" w:styleId="MessageHeader">
    <w:name w:val="Message Header"/>
    <w:basedOn w:val="Normal"/>
    <w:link w:val="MessageHeaderChar"/>
    <w:uiPriority w:val="99"/>
    <w:semiHidden/>
    <w:rsid w:val="00A042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420F"/>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0420F"/>
    <w:pPr>
      <w:spacing w:after="0"/>
    </w:pPr>
    <w:rPr>
      <w:rFonts w:ascii="Calibri" w:hAnsi="Calibri"/>
    </w:rPr>
  </w:style>
  <w:style w:type="paragraph" w:styleId="NormalWeb">
    <w:name w:val="Normal (Web)"/>
    <w:basedOn w:val="Normal"/>
    <w:uiPriority w:val="99"/>
    <w:semiHidden/>
    <w:rsid w:val="00A0420F"/>
    <w:rPr>
      <w:rFonts w:ascii="Times New Roman" w:hAnsi="Times New Roman" w:cs="Times New Roman"/>
      <w:sz w:val="24"/>
      <w:szCs w:val="24"/>
    </w:rPr>
  </w:style>
  <w:style w:type="paragraph" w:styleId="NormalIndent">
    <w:name w:val="Normal Indent"/>
    <w:basedOn w:val="Normal"/>
    <w:uiPriority w:val="99"/>
    <w:semiHidden/>
    <w:rsid w:val="00A0420F"/>
    <w:pPr>
      <w:ind w:left="720"/>
    </w:pPr>
  </w:style>
  <w:style w:type="paragraph" w:styleId="NoteHeading">
    <w:name w:val="Note Heading"/>
    <w:basedOn w:val="Normal"/>
    <w:next w:val="Normal"/>
    <w:link w:val="NoteHeadingChar"/>
    <w:uiPriority w:val="99"/>
    <w:semiHidden/>
    <w:rsid w:val="00A0420F"/>
  </w:style>
  <w:style w:type="character" w:customStyle="1" w:styleId="NoteHeadingChar">
    <w:name w:val="Note Heading Char"/>
    <w:basedOn w:val="DefaultParagraphFont"/>
    <w:link w:val="NoteHeading"/>
    <w:uiPriority w:val="99"/>
    <w:semiHidden/>
    <w:rsid w:val="00A0420F"/>
    <w:rPr>
      <w:rFonts w:ascii="Calibri" w:hAnsi="Calibri"/>
    </w:rPr>
  </w:style>
  <w:style w:type="character" w:styleId="PlaceholderText">
    <w:name w:val="Placeholder Text"/>
    <w:basedOn w:val="DefaultParagraphFont"/>
    <w:uiPriority w:val="99"/>
    <w:semiHidden/>
    <w:rsid w:val="00A0420F"/>
    <w:rPr>
      <w:color w:val="808080"/>
    </w:rPr>
  </w:style>
  <w:style w:type="paragraph" w:styleId="PlainText">
    <w:name w:val="Plain Text"/>
    <w:basedOn w:val="Normal"/>
    <w:link w:val="PlainTextChar"/>
    <w:uiPriority w:val="99"/>
    <w:semiHidden/>
    <w:rsid w:val="00A0420F"/>
    <w:rPr>
      <w:rFonts w:ascii="Consolas" w:hAnsi="Consolas" w:cs="Consolas"/>
      <w:sz w:val="21"/>
      <w:szCs w:val="21"/>
    </w:rPr>
  </w:style>
  <w:style w:type="character" w:customStyle="1" w:styleId="PlainTextChar">
    <w:name w:val="Plain Text Char"/>
    <w:basedOn w:val="DefaultParagraphFont"/>
    <w:link w:val="PlainText"/>
    <w:uiPriority w:val="99"/>
    <w:semiHidden/>
    <w:rsid w:val="00A0420F"/>
    <w:rPr>
      <w:rFonts w:ascii="Consolas" w:hAnsi="Consolas" w:cs="Consolas"/>
      <w:sz w:val="21"/>
      <w:szCs w:val="21"/>
    </w:rPr>
  </w:style>
  <w:style w:type="paragraph" w:styleId="Quote">
    <w:name w:val="Quote"/>
    <w:basedOn w:val="Normal"/>
    <w:next w:val="Normal"/>
    <w:link w:val="QuoteChar"/>
    <w:uiPriority w:val="29"/>
    <w:semiHidden/>
    <w:qFormat/>
    <w:rsid w:val="00A0420F"/>
    <w:rPr>
      <w:i/>
      <w:iCs/>
      <w:color w:val="00728F" w:themeColor="text1"/>
    </w:rPr>
  </w:style>
  <w:style w:type="character" w:customStyle="1" w:styleId="QuoteChar">
    <w:name w:val="Quote Char"/>
    <w:basedOn w:val="DefaultParagraphFont"/>
    <w:link w:val="Quote"/>
    <w:uiPriority w:val="29"/>
    <w:semiHidden/>
    <w:rsid w:val="00A0420F"/>
    <w:rPr>
      <w:rFonts w:ascii="Calibri" w:hAnsi="Calibri"/>
      <w:i/>
      <w:iCs/>
      <w:color w:val="00728F" w:themeColor="text1"/>
    </w:rPr>
  </w:style>
  <w:style w:type="paragraph" w:styleId="Salutation">
    <w:name w:val="Salutation"/>
    <w:basedOn w:val="Normal"/>
    <w:next w:val="Normal"/>
    <w:link w:val="SalutationChar"/>
    <w:uiPriority w:val="99"/>
    <w:semiHidden/>
    <w:rsid w:val="00A0420F"/>
  </w:style>
  <w:style w:type="character" w:customStyle="1" w:styleId="SalutationChar">
    <w:name w:val="Salutation Char"/>
    <w:basedOn w:val="DefaultParagraphFont"/>
    <w:link w:val="Salutation"/>
    <w:uiPriority w:val="99"/>
    <w:semiHidden/>
    <w:rsid w:val="00A0420F"/>
    <w:rPr>
      <w:rFonts w:ascii="Calibri" w:hAnsi="Calibri"/>
    </w:rPr>
  </w:style>
  <w:style w:type="paragraph" w:styleId="Signature">
    <w:name w:val="Signature"/>
    <w:basedOn w:val="Normal"/>
    <w:link w:val="SignatureChar"/>
    <w:uiPriority w:val="99"/>
    <w:semiHidden/>
    <w:rsid w:val="00A0420F"/>
    <w:pPr>
      <w:ind w:left="4252"/>
    </w:pPr>
  </w:style>
  <w:style w:type="character" w:customStyle="1" w:styleId="SignatureChar">
    <w:name w:val="Signature Char"/>
    <w:basedOn w:val="DefaultParagraphFont"/>
    <w:link w:val="Signature"/>
    <w:uiPriority w:val="99"/>
    <w:semiHidden/>
    <w:rsid w:val="00A0420F"/>
    <w:rPr>
      <w:rFonts w:ascii="Calibri" w:hAnsi="Calibri"/>
    </w:rPr>
  </w:style>
  <w:style w:type="paragraph" w:styleId="Subtitle">
    <w:name w:val="Subtitle"/>
    <w:basedOn w:val="Normal"/>
    <w:next w:val="Normal"/>
    <w:link w:val="SubtitleChar"/>
    <w:uiPriority w:val="15"/>
    <w:semiHidden/>
    <w:qFormat/>
    <w:rsid w:val="00A0420F"/>
    <w:pPr>
      <w:numPr>
        <w:ilvl w:val="1"/>
      </w:numPr>
      <w:ind w:left="1021" w:hanging="1021"/>
    </w:pPr>
    <w:rPr>
      <w:rFonts w:asciiTheme="majorHAnsi" w:eastAsiaTheme="majorEastAsia" w:hAnsiTheme="majorHAnsi" w:cstheme="majorBidi"/>
      <w:i/>
      <w:iCs/>
      <w:color w:val="00728F" w:themeColor="accent1"/>
      <w:spacing w:val="15"/>
      <w:sz w:val="24"/>
      <w:szCs w:val="24"/>
    </w:rPr>
  </w:style>
  <w:style w:type="character" w:customStyle="1" w:styleId="SubtitleChar">
    <w:name w:val="Subtitle Char"/>
    <w:basedOn w:val="DefaultParagraphFont"/>
    <w:link w:val="Subtitle"/>
    <w:uiPriority w:val="15"/>
    <w:semiHidden/>
    <w:rsid w:val="00A0420F"/>
    <w:rPr>
      <w:rFonts w:asciiTheme="majorHAnsi" w:eastAsiaTheme="majorEastAsia" w:hAnsiTheme="majorHAnsi" w:cstheme="majorBidi"/>
      <w:i/>
      <w:iCs/>
      <w:color w:val="00728F" w:themeColor="accent1"/>
      <w:spacing w:val="15"/>
      <w:sz w:val="24"/>
      <w:szCs w:val="24"/>
    </w:rPr>
  </w:style>
  <w:style w:type="character" w:styleId="SubtleEmphasis">
    <w:name w:val="Subtle Emphasis"/>
    <w:basedOn w:val="DefaultParagraphFont"/>
    <w:uiPriority w:val="19"/>
    <w:semiHidden/>
    <w:qFormat/>
    <w:rsid w:val="00A0420F"/>
    <w:rPr>
      <w:i/>
      <w:iCs/>
      <w:color w:val="48D9FF" w:themeColor="text1" w:themeTint="7F"/>
    </w:rPr>
  </w:style>
  <w:style w:type="character" w:styleId="SubtleReference">
    <w:name w:val="Subtle Reference"/>
    <w:basedOn w:val="DefaultParagraphFont"/>
    <w:uiPriority w:val="31"/>
    <w:semiHidden/>
    <w:qFormat/>
    <w:rsid w:val="00A0420F"/>
    <w:rPr>
      <w:smallCaps/>
      <w:color w:val="B7DDE8" w:themeColor="accent2"/>
      <w:u w:val="single"/>
    </w:rPr>
  </w:style>
  <w:style w:type="table" w:styleId="Table3Deffects1">
    <w:name w:val="Table 3D effects 1"/>
    <w:basedOn w:val="TableNormal"/>
    <w:uiPriority w:val="99"/>
    <w:semiHidden/>
    <w:unhideWhenUsed/>
    <w:rsid w:val="00A0420F"/>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0420F"/>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0420F"/>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0420F"/>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0420F"/>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A0420F"/>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0420F"/>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0420F"/>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0420F"/>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0420F"/>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0420F"/>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0420F"/>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0420F"/>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0420F"/>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0420F"/>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0420F"/>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0420F"/>
    <w:pPr>
      <w:ind w:left="220" w:hanging="220"/>
    </w:pPr>
  </w:style>
  <w:style w:type="paragraph" w:styleId="TableofFigures">
    <w:name w:val="table of figures"/>
    <w:basedOn w:val="Normal"/>
    <w:next w:val="Normal"/>
    <w:uiPriority w:val="99"/>
    <w:semiHidden/>
    <w:rsid w:val="00A0420F"/>
  </w:style>
  <w:style w:type="table" w:styleId="TableProfessional">
    <w:name w:val="Table Professional"/>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0420F"/>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0420F"/>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0420F"/>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0420F"/>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042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0420F"/>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0420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0420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0420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0420F"/>
    <w:pPr>
      <w:spacing w:after="100"/>
      <w:ind w:left="660"/>
    </w:pPr>
  </w:style>
  <w:style w:type="paragraph" w:styleId="TOC5">
    <w:name w:val="toc 5"/>
    <w:basedOn w:val="Normal"/>
    <w:next w:val="Normal"/>
    <w:autoRedefine/>
    <w:uiPriority w:val="39"/>
    <w:semiHidden/>
    <w:unhideWhenUsed/>
    <w:rsid w:val="00A0420F"/>
    <w:pPr>
      <w:spacing w:after="100"/>
      <w:ind w:left="880"/>
    </w:pPr>
  </w:style>
  <w:style w:type="paragraph" w:styleId="TOC6">
    <w:name w:val="toc 6"/>
    <w:basedOn w:val="Normal"/>
    <w:next w:val="Normal"/>
    <w:autoRedefine/>
    <w:uiPriority w:val="39"/>
    <w:semiHidden/>
    <w:unhideWhenUsed/>
    <w:rsid w:val="00A0420F"/>
    <w:pPr>
      <w:spacing w:after="100"/>
      <w:ind w:left="1100"/>
    </w:pPr>
  </w:style>
  <w:style w:type="paragraph" w:styleId="TOC7">
    <w:name w:val="toc 7"/>
    <w:basedOn w:val="Normal"/>
    <w:next w:val="Normal"/>
    <w:autoRedefine/>
    <w:uiPriority w:val="39"/>
    <w:semiHidden/>
    <w:unhideWhenUsed/>
    <w:rsid w:val="00A0420F"/>
    <w:pPr>
      <w:spacing w:after="100"/>
      <w:ind w:left="1320"/>
    </w:pPr>
  </w:style>
  <w:style w:type="paragraph" w:styleId="TOC8">
    <w:name w:val="toc 8"/>
    <w:basedOn w:val="Normal"/>
    <w:next w:val="Normal"/>
    <w:autoRedefine/>
    <w:uiPriority w:val="39"/>
    <w:semiHidden/>
    <w:unhideWhenUsed/>
    <w:rsid w:val="00A0420F"/>
    <w:pPr>
      <w:spacing w:after="100"/>
      <w:ind w:left="1540"/>
    </w:pPr>
  </w:style>
  <w:style w:type="paragraph" w:styleId="TOC9">
    <w:name w:val="toc 9"/>
    <w:basedOn w:val="Normal"/>
    <w:next w:val="Normal"/>
    <w:autoRedefine/>
    <w:uiPriority w:val="39"/>
    <w:semiHidden/>
    <w:unhideWhenUsed/>
    <w:rsid w:val="00A0420F"/>
    <w:pPr>
      <w:spacing w:after="100"/>
      <w:ind w:left="1760"/>
    </w:pPr>
  </w:style>
  <w:style w:type="paragraph" w:customStyle="1" w:styleId="Definitiontext">
    <w:name w:val="Definition text"/>
    <w:basedOn w:val="BodyText"/>
    <w:uiPriority w:val="20"/>
    <w:qFormat/>
    <w:rsid w:val="00C80837"/>
    <w:pPr>
      <w:spacing w:before="120"/>
    </w:pPr>
  </w:style>
  <w:style w:type="paragraph" w:customStyle="1" w:styleId="Definitionterm">
    <w:name w:val="Definition term"/>
    <w:basedOn w:val="Definitiontext"/>
    <w:next w:val="Definitiontext"/>
    <w:uiPriority w:val="20"/>
    <w:qFormat/>
    <w:rsid w:val="00A34761"/>
    <w:pPr>
      <w:spacing w:before="240" w:after="120"/>
    </w:pPr>
    <w:rPr>
      <w:b/>
    </w:rPr>
  </w:style>
  <w:style w:type="table" w:customStyle="1" w:styleId="ColorfulGrid1">
    <w:name w:val="Colorful Grid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text1" w:themeFillTint="33"/>
    </w:tcPr>
    <w:tblStylePr w:type="firstRow">
      <w:rPr>
        <w:b/>
        <w:bCs/>
      </w:rPr>
      <w:tblPr/>
      <w:tcPr>
        <w:shd w:val="clear" w:color="auto" w:fill="6CE1FF" w:themeFill="text1" w:themeFillTint="66"/>
      </w:tcPr>
    </w:tblStylePr>
    <w:tblStylePr w:type="lastRow">
      <w:rPr>
        <w:b/>
        <w:bCs/>
        <w:color w:val="00728F" w:themeColor="text1"/>
      </w:rPr>
      <w:tblPr/>
      <w:tcPr>
        <w:shd w:val="clear" w:color="auto" w:fill="6CE1FF" w:themeFill="text1" w:themeFillTint="66"/>
      </w:tcPr>
    </w:tblStylePr>
    <w:tblStylePr w:type="firstCol">
      <w:rPr>
        <w:color w:val="FFFFFF" w:themeColor="background1"/>
      </w:rPr>
      <w:tblPr/>
      <w:tcPr>
        <w:shd w:val="clear" w:color="auto" w:fill="00556B" w:themeFill="text1" w:themeFillShade="BF"/>
      </w:tcPr>
    </w:tblStylePr>
    <w:tblStylePr w:type="lastCol">
      <w:rPr>
        <w:color w:val="FFFFFF" w:themeColor="background1"/>
      </w:rPr>
      <w:tblPr/>
      <w:tcPr>
        <w:shd w:val="clear" w:color="auto" w:fill="00556B" w:themeFill="text1" w:themeFillShade="BF"/>
      </w:tc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ColorfulGrid-Accent1">
    <w:name w:val="Colorful Grid Accent 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accent1" w:themeFillTint="33"/>
    </w:tcPr>
    <w:tblStylePr w:type="firstRow">
      <w:rPr>
        <w:b/>
        <w:bCs/>
      </w:rPr>
      <w:tblPr/>
      <w:tcPr>
        <w:shd w:val="clear" w:color="auto" w:fill="6CE1FF" w:themeFill="accent1" w:themeFillTint="66"/>
      </w:tcPr>
    </w:tblStylePr>
    <w:tblStylePr w:type="lastRow">
      <w:rPr>
        <w:b/>
        <w:bCs/>
        <w:color w:val="00728F" w:themeColor="text1"/>
      </w:rPr>
      <w:tblPr/>
      <w:tcPr>
        <w:shd w:val="clear" w:color="auto" w:fill="6CE1FF" w:themeFill="accent1" w:themeFillTint="66"/>
      </w:tcPr>
    </w:tblStylePr>
    <w:tblStylePr w:type="firstCol">
      <w:rPr>
        <w:color w:val="FFFFFF" w:themeColor="background1"/>
      </w:rPr>
      <w:tblPr/>
      <w:tcPr>
        <w:shd w:val="clear" w:color="auto" w:fill="00556B" w:themeFill="accent1" w:themeFillShade="BF"/>
      </w:tcPr>
    </w:tblStylePr>
    <w:tblStylePr w:type="lastCol">
      <w:rPr>
        <w:color w:val="FFFFFF" w:themeColor="background1"/>
      </w:rPr>
      <w:tblPr/>
      <w:tcPr>
        <w:shd w:val="clear" w:color="auto" w:fill="00556B" w:themeFill="accent1" w:themeFillShade="BF"/>
      </w:tc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ColorfulGrid-Accent2">
    <w:name w:val="Colorful Grid Accent 2"/>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0F8FA" w:themeFill="accent2" w:themeFillTint="33"/>
    </w:tcPr>
    <w:tblStylePr w:type="firstRow">
      <w:rPr>
        <w:b/>
        <w:bCs/>
      </w:rPr>
      <w:tblPr/>
      <w:tcPr>
        <w:shd w:val="clear" w:color="auto" w:fill="E2F1F5" w:themeFill="accent2" w:themeFillTint="66"/>
      </w:tcPr>
    </w:tblStylePr>
    <w:tblStylePr w:type="lastRow">
      <w:rPr>
        <w:b/>
        <w:bCs/>
        <w:color w:val="00728F" w:themeColor="text1"/>
      </w:rPr>
      <w:tblPr/>
      <w:tcPr>
        <w:shd w:val="clear" w:color="auto" w:fill="E2F1F5" w:themeFill="accent2" w:themeFillTint="66"/>
      </w:tcPr>
    </w:tblStylePr>
    <w:tblStylePr w:type="firstCol">
      <w:rPr>
        <w:color w:val="FFFFFF" w:themeColor="background1"/>
      </w:rPr>
      <w:tblPr/>
      <w:tcPr>
        <w:shd w:val="clear" w:color="auto" w:fill="67B7CE" w:themeFill="accent2" w:themeFillShade="BF"/>
      </w:tcPr>
    </w:tblStylePr>
    <w:tblStylePr w:type="lastCol">
      <w:rPr>
        <w:color w:val="FFFFFF" w:themeColor="background1"/>
      </w:rPr>
      <w:tblPr/>
      <w:tcPr>
        <w:shd w:val="clear" w:color="auto" w:fill="67B7CE" w:themeFill="accent2" w:themeFillShade="BF"/>
      </w:tc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ColorfulGrid-Accent3">
    <w:name w:val="Colorful Grid Accent 3"/>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7FBFC" w:themeFill="accent3" w:themeFillTint="33"/>
    </w:tcPr>
    <w:tblStylePr w:type="firstRow">
      <w:rPr>
        <w:b/>
        <w:bCs/>
      </w:rPr>
      <w:tblPr/>
      <w:tcPr>
        <w:shd w:val="clear" w:color="auto" w:fill="F0F8FA" w:themeFill="accent3" w:themeFillTint="66"/>
      </w:tcPr>
    </w:tblStylePr>
    <w:tblStylePr w:type="lastRow">
      <w:rPr>
        <w:b/>
        <w:bCs/>
        <w:color w:val="00728F" w:themeColor="text1"/>
      </w:rPr>
      <w:tblPr/>
      <w:tcPr>
        <w:shd w:val="clear" w:color="auto" w:fill="F0F8FA" w:themeFill="accent3" w:themeFillTint="66"/>
      </w:tcPr>
    </w:tblStylePr>
    <w:tblStylePr w:type="firstCol">
      <w:rPr>
        <w:color w:val="FFFFFF" w:themeColor="background1"/>
      </w:rPr>
      <w:tblPr/>
      <w:tcPr>
        <w:shd w:val="clear" w:color="auto" w:fill="84C4D6" w:themeFill="accent3" w:themeFillShade="BF"/>
      </w:tcPr>
    </w:tblStylePr>
    <w:tblStylePr w:type="lastCol">
      <w:rPr>
        <w:color w:val="FFFFFF" w:themeColor="background1"/>
      </w:rPr>
      <w:tblPr/>
      <w:tcPr>
        <w:shd w:val="clear" w:color="auto" w:fill="84C4D6" w:themeFill="accent3" w:themeFillShade="BF"/>
      </w:tc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ColorfulGrid-Accent4">
    <w:name w:val="Colorful Grid Accent 4"/>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E9F4F8" w:themeFill="accent4" w:themeFillTint="33"/>
    </w:tcPr>
    <w:tblStylePr w:type="firstRow">
      <w:rPr>
        <w:b/>
        <w:bCs/>
      </w:rPr>
      <w:tblPr/>
      <w:tcPr>
        <w:shd w:val="clear" w:color="auto" w:fill="D3EAF1" w:themeFill="accent4" w:themeFillTint="66"/>
      </w:tcPr>
    </w:tblStylePr>
    <w:tblStylePr w:type="lastRow">
      <w:rPr>
        <w:b/>
        <w:bCs/>
        <w:color w:val="00728F" w:themeColor="text1"/>
      </w:rPr>
      <w:tblPr/>
      <w:tcPr>
        <w:shd w:val="clear" w:color="auto" w:fill="D3EAF1" w:themeFill="accent4" w:themeFillTint="66"/>
      </w:tcPr>
    </w:tblStylePr>
    <w:tblStylePr w:type="firstCol">
      <w:rPr>
        <w:color w:val="FFFFFF" w:themeColor="background1"/>
      </w:rPr>
      <w:tblPr/>
      <w:tcPr>
        <w:shd w:val="clear" w:color="auto" w:fill="4CACC5" w:themeFill="accent4" w:themeFillShade="BF"/>
      </w:tcPr>
    </w:tblStylePr>
    <w:tblStylePr w:type="lastCol">
      <w:rPr>
        <w:color w:val="FFFFFF" w:themeColor="background1"/>
      </w:rPr>
      <w:tblPr/>
      <w:tcPr>
        <w:shd w:val="clear" w:color="auto" w:fill="4CACC5" w:themeFill="accent4" w:themeFillShade="BF"/>
      </w:tc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ColorfulGrid-Accent5">
    <w:name w:val="Colorful Grid Accent 5"/>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0E9F0" w:themeFill="accent5" w:themeFillTint="33"/>
    </w:tcPr>
    <w:tblStylePr w:type="firstRow">
      <w:rPr>
        <w:b/>
        <w:bCs/>
      </w:rPr>
      <w:tblPr/>
      <w:tcPr>
        <w:shd w:val="clear" w:color="auto" w:fill="A1D4E1" w:themeFill="accent5" w:themeFillTint="66"/>
      </w:tcPr>
    </w:tblStylePr>
    <w:tblStylePr w:type="lastRow">
      <w:rPr>
        <w:b/>
        <w:bCs/>
        <w:color w:val="00728F" w:themeColor="text1"/>
      </w:rPr>
      <w:tblPr/>
      <w:tcPr>
        <w:shd w:val="clear" w:color="auto" w:fill="A1D4E1" w:themeFill="accent5" w:themeFillTint="66"/>
      </w:tcPr>
    </w:tblStylePr>
    <w:tblStylePr w:type="firstCol">
      <w:rPr>
        <w:color w:val="FFFFFF" w:themeColor="background1"/>
      </w:rPr>
      <w:tblPr/>
      <w:tcPr>
        <w:shd w:val="clear" w:color="auto" w:fill="246373" w:themeFill="accent5" w:themeFillShade="BF"/>
      </w:tcPr>
    </w:tblStylePr>
    <w:tblStylePr w:type="lastCol">
      <w:rPr>
        <w:color w:val="FFFFFF" w:themeColor="background1"/>
      </w:rPr>
      <w:tblPr/>
      <w:tcPr>
        <w:shd w:val="clear" w:color="auto" w:fill="246373" w:themeFill="accent5" w:themeFillShade="BF"/>
      </w:tc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ColorfulGrid-Accent6">
    <w:name w:val="Colorful Grid Accent 6"/>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FF0F5" w:themeFill="accent6" w:themeFillTint="33"/>
    </w:tcPr>
    <w:tblStylePr w:type="firstRow">
      <w:rPr>
        <w:b/>
        <w:bCs/>
      </w:rPr>
      <w:tblPr/>
      <w:tcPr>
        <w:shd w:val="clear" w:color="auto" w:fill="C0E2EB" w:themeFill="accent6" w:themeFillTint="66"/>
      </w:tcPr>
    </w:tblStylePr>
    <w:tblStylePr w:type="lastRow">
      <w:rPr>
        <w:b/>
        <w:bCs/>
        <w:color w:val="00728F" w:themeColor="text1"/>
      </w:rPr>
      <w:tblPr/>
      <w:tcPr>
        <w:shd w:val="clear" w:color="auto" w:fill="C0E2EB" w:themeFill="accent6" w:themeFillTint="66"/>
      </w:tcPr>
    </w:tblStylePr>
    <w:tblStylePr w:type="firstCol">
      <w:rPr>
        <w:color w:val="FFFFFF" w:themeColor="background1"/>
      </w:rPr>
      <w:tblPr/>
      <w:tcPr>
        <w:shd w:val="clear" w:color="auto" w:fill="3795AD" w:themeFill="accent6" w:themeFillShade="BF"/>
      </w:tcPr>
    </w:tblStylePr>
    <w:tblStylePr w:type="lastCol">
      <w:rPr>
        <w:color w:val="FFFFFF" w:themeColor="background1"/>
      </w:rPr>
      <w:tblPr/>
      <w:tcPr>
        <w:shd w:val="clear" w:color="auto" w:fill="3795AD" w:themeFill="accent6" w:themeFillShade="BF"/>
      </w:tc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ColorfulList1">
    <w:name w:val="Colorful List1"/>
    <w:basedOn w:val="TableNormal"/>
    <w:uiPriority w:val="99"/>
    <w:semiHidden/>
    <w:rsid w:val="00361DEB"/>
    <w:pPr>
      <w:spacing w:after="0"/>
    </w:pPr>
    <w:rPr>
      <w:color w:val="00728F" w:themeColor="text1"/>
    </w:rPr>
    <w:tblPr>
      <w:tblStyleRowBandSize w:val="1"/>
      <w:tblStyleColBandSize w:val="1"/>
    </w:tblPr>
    <w:tcPr>
      <w:shd w:val="clear" w:color="auto" w:fill="DBF7FF" w:themeFill="tex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text1" w:themeFillTint="3F"/>
      </w:tcPr>
    </w:tblStylePr>
    <w:tblStylePr w:type="band1Horz">
      <w:tblPr/>
      <w:tcPr>
        <w:shd w:val="clear" w:color="auto" w:fill="B5EFFF" w:themeFill="text1" w:themeFillTint="33"/>
      </w:tcPr>
    </w:tblStylePr>
  </w:style>
  <w:style w:type="table" w:styleId="ColorfulList-Accent1">
    <w:name w:val="Colorful List Accent 1"/>
    <w:basedOn w:val="TableNormal"/>
    <w:uiPriority w:val="99"/>
    <w:semiHidden/>
    <w:rsid w:val="00361DEB"/>
    <w:pPr>
      <w:spacing w:after="0"/>
    </w:pPr>
    <w:rPr>
      <w:color w:val="00728F" w:themeColor="text1"/>
    </w:rPr>
    <w:tblPr>
      <w:tblStyleRowBandSize w:val="1"/>
      <w:tblStyleColBandSize w:val="1"/>
    </w:tblPr>
    <w:tcPr>
      <w:shd w:val="clear" w:color="auto" w:fill="DBF7FF" w:themeFill="accen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accent1" w:themeFillTint="3F"/>
      </w:tcPr>
    </w:tblStylePr>
    <w:tblStylePr w:type="band1Horz">
      <w:tblPr/>
      <w:tcPr>
        <w:shd w:val="clear" w:color="auto" w:fill="B5EFFF" w:themeFill="accent1" w:themeFillTint="33"/>
      </w:tcPr>
    </w:tblStylePr>
  </w:style>
  <w:style w:type="table" w:styleId="ColorfulList-Accent2">
    <w:name w:val="Colorful List Accent 2"/>
    <w:basedOn w:val="TableNormal"/>
    <w:uiPriority w:val="99"/>
    <w:semiHidden/>
    <w:rsid w:val="00361DEB"/>
    <w:pPr>
      <w:spacing w:after="0"/>
    </w:pPr>
    <w:rPr>
      <w:color w:val="00728F" w:themeColor="text1"/>
    </w:rPr>
    <w:tblPr>
      <w:tblStyleRowBandSize w:val="1"/>
      <w:tblStyleColBandSize w:val="1"/>
    </w:tblPr>
    <w:tcPr>
      <w:shd w:val="clear" w:color="auto" w:fill="F7FBFC" w:themeFill="accent2"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6F9" w:themeFill="accent2" w:themeFillTint="3F"/>
      </w:tcPr>
    </w:tblStylePr>
    <w:tblStylePr w:type="band1Horz">
      <w:tblPr/>
      <w:tcPr>
        <w:shd w:val="clear" w:color="auto" w:fill="F0F8FA" w:themeFill="accent2" w:themeFillTint="33"/>
      </w:tcPr>
    </w:tblStylePr>
  </w:style>
  <w:style w:type="table" w:styleId="ColorfulList-Accent3">
    <w:name w:val="Colorful List Accent 3"/>
    <w:basedOn w:val="TableNormal"/>
    <w:uiPriority w:val="99"/>
    <w:semiHidden/>
    <w:rsid w:val="00361DEB"/>
    <w:pPr>
      <w:spacing w:after="0"/>
    </w:pPr>
    <w:rPr>
      <w:color w:val="00728F" w:themeColor="text1"/>
    </w:rPr>
    <w:tblPr>
      <w:tblStyleRowBandSize w:val="1"/>
      <w:tblStyleColBandSize w:val="1"/>
    </w:tblPr>
    <w:tcPr>
      <w:shd w:val="clear" w:color="auto" w:fill="FBFDFD" w:themeFill="accent3" w:themeFillTint="19"/>
    </w:tcPr>
    <w:tblStylePr w:type="firstRow">
      <w:rPr>
        <w:b/>
        <w:bCs/>
        <w:color w:val="FFFFFF" w:themeColor="background1"/>
      </w:rPr>
      <w:tblPr/>
      <w:tcPr>
        <w:tcBorders>
          <w:bottom w:val="single" w:sz="12" w:space="0" w:color="FFFFFF" w:themeColor="background1"/>
        </w:tcBorders>
        <w:shd w:val="clear" w:color="auto" w:fill="5AB3CA" w:themeFill="accent4" w:themeFillShade="CC"/>
      </w:tcPr>
    </w:tblStylePr>
    <w:tblStylePr w:type="lastRow">
      <w:rPr>
        <w:b/>
        <w:bCs/>
        <w:color w:val="5AB3CA" w:themeColor="accent4"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AFC" w:themeFill="accent3" w:themeFillTint="3F"/>
      </w:tcPr>
    </w:tblStylePr>
    <w:tblStylePr w:type="band1Horz">
      <w:tblPr/>
      <w:tcPr>
        <w:shd w:val="clear" w:color="auto" w:fill="F7FBFC" w:themeFill="accent3" w:themeFillTint="33"/>
      </w:tcPr>
    </w:tblStylePr>
  </w:style>
  <w:style w:type="table" w:styleId="ColorfulList-Accent4">
    <w:name w:val="Colorful List Accent 4"/>
    <w:basedOn w:val="TableNormal"/>
    <w:uiPriority w:val="99"/>
    <w:semiHidden/>
    <w:rsid w:val="00361DEB"/>
    <w:pPr>
      <w:spacing w:after="0"/>
    </w:pPr>
    <w:rPr>
      <w:color w:val="00728F" w:themeColor="text1"/>
    </w:rPr>
    <w:tblPr>
      <w:tblStyleRowBandSize w:val="1"/>
      <w:tblStyleColBandSize w:val="1"/>
    </w:tblPr>
    <w:tcPr>
      <w:shd w:val="clear" w:color="auto" w:fill="F4FAFB" w:themeFill="accent4" w:themeFillTint="19"/>
    </w:tcPr>
    <w:tblStylePr w:type="firstRow">
      <w:rPr>
        <w:b/>
        <w:bCs/>
        <w:color w:val="FFFFFF" w:themeColor="background1"/>
      </w:rPr>
      <w:tblPr/>
      <w:tcPr>
        <w:tcBorders>
          <w:bottom w:val="single" w:sz="12" w:space="0" w:color="FFFFFF" w:themeColor="background1"/>
        </w:tcBorders>
        <w:shd w:val="clear" w:color="auto" w:fill="95CCDB" w:themeFill="accent3" w:themeFillShade="CC"/>
      </w:tcPr>
    </w:tblStylePr>
    <w:tblStylePr w:type="lastRow">
      <w:rPr>
        <w:b/>
        <w:bCs/>
        <w:color w:val="95CCDB" w:themeColor="accent3"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2F6" w:themeFill="accent4" w:themeFillTint="3F"/>
      </w:tcPr>
    </w:tblStylePr>
    <w:tblStylePr w:type="band1Horz">
      <w:tblPr/>
      <w:tcPr>
        <w:shd w:val="clear" w:color="auto" w:fill="E9F4F8" w:themeFill="accent4" w:themeFillTint="33"/>
      </w:tcPr>
    </w:tblStylePr>
  </w:style>
  <w:style w:type="table" w:styleId="ColorfulList-Accent5">
    <w:name w:val="Colorful List Accent 5"/>
    <w:basedOn w:val="TableNormal"/>
    <w:uiPriority w:val="99"/>
    <w:semiHidden/>
    <w:rsid w:val="00361DEB"/>
    <w:pPr>
      <w:spacing w:after="0"/>
    </w:pPr>
    <w:rPr>
      <w:color w:val="00728F" w:themeColor="text1"/>
    </w:rPr>
    <w:tblPr>
      <w:tblStyleRowBandSize w:val="1"/>
      <w:tblStyleColBandSize w:val="1"/>
    </w:tblPr>
    <w:tcPr>
      <w:shd w:val="clear" w:color="auto" w:fill="E8F4F7" w:themeFill="accent5" w:themeFillTint="19"/>
    </w:tcPr>
    <w:tblStylePr w:type="firstRow">
      <w:rPr>
        <w:b/>
        <w:bCs/>
        <w:color w:val="FFFFFF" w:themeColor="background1"/>
      </w:rPr>
      <w:tblPr/>
      <w:tcPr>
        <w:tcBorders>
          <w:bottom w:val="single" w:sz="12" w:space="0" w:color="FFFFFF" w:themeColor="background1"/>
        </w:tcBorders>
        <w:shd w:val="clear" w:color="auto" w:fill="3A9FB9" w:themeFill="accent6" w:themeFillShade="CC"/>
      </w:tcPr>
    </w:tblStylePr>
    <w:tblStylePr w:type="lastRow">
      <w:rPr>
        <w:b/>
        <w:bCs/>
        <w:color w:val="3A9FB9" w:themeColor="accent6"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4EC" w:themeFill="accent5" w:themeFillTint="3F"/>
      </w:tcPr>
    </w:tblStylePr>
    <w:tblStylePr w:type="band1Horz">
      <w:tblPr/>
      <w:tcPr>
        <w:shd w:val="clear" w:color="auto" w:fill="D0E9F0" w:themeFill="accent5" w:themeFillTint="33"/>
      </w:tcPr>
    </w:tblStylePr>
  </w:style>
  <w:style w:type="table" w:styleId="ColorfulList-Accent6">
    <w:name w:val="Colorful List Accent 6"/>
    <w:basedOn w:val="TableNormal"/>
    <w:uiPriority w:val="99"/>
    <w:semiHidden/>
    <w:rsid w:val="00361DEB"/>
    <w:pPr>
      <w:spacing w:after="0"/>
    </w:pPr>
    <w:rPr>
      <w:color w:val="00728F" w:themeColor="text1"/>
    </w:rPr>
    <w:tblPr>
      <w:tblStyleRowBandSize w:val="1"/>
      <w:tblStyleColBandSize w:val="1"/>
    </w:tblPr>
    <w:tcPr>
      <w:shd w:val="clear" w:color="auto" w:fill="EFF8FA" w:themeFill="accent6" w:themeFillTint="19"/>
    </w:tcPr>
    <w:tblStylePr w:type="firstRow">
      <w:rPr>
        <w:b/>
        <w:bCs/>
        <w:color w:val="FFFFFF" w:themeColor="background1"/>
      </w:rPr>
      <w:tblPr/>
      <w:tcPr>
        <w:tcBorders>
          <w:bottom w:val="single" w:sz="12" w:space="0" w:color="FFFFFF" w:themeColor="background1"/>
        </w:tcBorders>
        <w:shd w:val="clear" w:color="auto" w:fill="276A7B" w:themeFill="accent5" w:themeFillShade="CC"/>
      </w:tcPr>
    </w:tblStylePr>
    <w:tblStylePr w:type="lastRow">
      <w:rPr>
        <w:b/>
        <w:bCs/>
        <w:color w:val="276A7B" w:themeColor="accent5"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DF2" w:themeFill="accent6" w:themeFillTint="3F"/>
      </w:tcPr>
    </w:tblStylePr>
    <w:tblStylePr w:type="band1Horz">
      <w:tblPr/>
      <w:tcPr>
        <w:shd w:val="clear" w:color="auto" w:fill="DFF0F5" w:themeFill="accent6" w:themeFillTint="33"/>
      </w:tcPr>
    </w:tblStylePr>
  </w:style>
  <w:style w:type="table" w:customStyle="1" w:styleId="ColorfulShading1">
    <w:name w:val="Colorful Shading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text1"/>
        <w:bottom w:val="single" w:sz="4" w:space="0" w:color="00728F" w:themeColor="text1"/>
        <w:right w:val="single" w:sz="4" w:space="0" w:color="00728F" w:themeColor="text1"/>
        <w:insideH w:val="single" w:sz="4" w:space="0" w:color="FFFFFF" w:themeColor="background1"/>
        <w:insideV w:val="single" w:sz="4" w:space="0" w:color="FFFFFF" w:themeColor="background1"/>
      </w:tblBorders>
    </w:tblPr>
    <w:tcPr>
      <w:shd w:val="clear" w:color="auto" w:fill="DBF7FF" w:themeFill="tex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text1" w:themeFillShade="99"/>
      </w:tcPr>
    </w:tblStylePr>
    <w:tblStylePr w:type="firstCol">
      <w:rPr>
        <w:color w:val="FFFFFF" w:themeColor="background1"/>
      </w:rPr>
      <w:tblPr/>
      <w:tcPr>
        <w:tcBorders>
          <w:top w:val="nil"/>
          <w:left w:val="nil"/>
          <w:bottom w:val="nil"/>
          <w:right w:val="nil"/>
          <w:insideH w:val="single" w:sz="4" w:space="0" w:color="004455" w:themeColor="text1" w:themeShade="99"/>
          <w:insideV w:val="nil"/>
        </w:tcBorders>
        <w:shd w:val="clear" w:color="auto" w:fill="00445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56B" w:themeFill="text1" w:themeFillShade="BF"/>
      </w:tcPr>
    </w:tblStylePr>
    <w:tblStylePr w:type="band1Vert">
      <w:tblPr/>
      <w:tcPr>
        <w:shd w:val="clear" w:color="auto" w:fill="6CE1FF" w:themeFill="text1" w:themeFillTint="66"/>
      </w:tcPr>
    </w:tblStylePr>
    <w:tblStylePr w:type="band1Horz">
      <w:tblPr/>
      <w:tcPr>
        <w:shd w:val="clear" w:color="auto" w:fill="48D9FF" w:themeFill="text1" w:themeFillTint="7F"/>
      </w:tcPr>
    </w:tblStylePr>
    <w:tblStylePr w:type="neCell">
      <w:rPr>
        <w:color w:val="00728F" w:themeColor="text1"/>
      </w:rPr>
    </w:tblStylePr>
    <w:tblStylePr w:type="nwCell">
      <w:rPr>
        <w:color w:val="00728F" w:themeColor="text1"/>
      </w:rPr>
    </w:tblStylePr>
  </w:style>
  <w:style w:type="table" w:styleId="ColorfulShading-Accent1">
    <w:name w:val="Colorful Shading Accent 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accent1"/>
        <w:bottom w:val="single" w:sz="4" w:space="0" w:color="00728F" w:themeColor="accent1"/>
        <w:right w:val="single" w:sz="4" w:space="0" w:color="00728F" w:themeColor="accent1"/>
        <w:insideH w:val="single" w:sz="4" w:space="0" w:color="FFFFFF" w:themeColor="background1"/>
        <w:insideV w:val="single" w:sz="4" w:space="0" w:color="FFFFFF" w:themeColor="background1"/>
      </w:tblBorders>
    </w:tblPr>
    <w:tcPr>
      <w:shd w:val="clear" w:color="auto" w:fill="DBF7FF" w:themeFill="accen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accent1" w:themeFillShade="99"/>
      </w:tcPr>
    </w:tblStylePr>
    <w:tblStylePr w:type="firstCol">
      <w:rPr>
        <w:color w:val="FFFFFF" w:themeColor="background1"/>
      </w:rPr>
      <w:tblPr/>
      <w:tcPr>
        <w:tcBorders>
          <w:top w:val="nil"/>
          <w:left w:val="nil"/>
          <w:bottom w:val="nil"/>
          <w:right w:val="nil"/>
          <w:insideH w:val="single" w:sz="4" w:space="0" w:color="004455" w:themeColor="accent1" w:themeShade="99"/>
          <w:insideV w:val="nil"/>
        </w:tcBorders>
        <w:shd w:val="clear" w:color="auto" w:fill="0044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55" w:themeFill="accent1" w:themeFillShade="99"/>
      </w:tcPr>
    </w:tblStylePr>
    <w:tblStylePr w:type="band1Vert">
      <w:tblPr/>
      <w:tcPr>
        <w:shd w:val="clear" w:color="auto" w:fill="6CE1FF" w:themeFill="accent1" w:themeFillTint="66"/>
      </w:tcPr>
    </w:tblStylePr>
    <w:tblStylePr w:type="band1Horz">
      <w:tblPr/>
      <w:tcPr>
        <w:shd w:val="clear" w:color="auto" w:fill="48D9FF" w:themeFill="accent1" w:themeFillTint="7F"/>
      </w:tcPr>
    </w:tblStylePr>
    <w:tblStylePr w:type="neCell">
      <w:rPr>
        <w:color w:val="00728F" w:themeColor="text1"/>
      </w:rPr>
    </w:tblStylePr>
    <w:tblStylePr w:type="nwCell">
      <w:rPr>
        <w:color w:val="00728F" w:themeColor="text1"/>
      </w:rPr>
    </w:tblStylePr>
  </w:style>
  <w:style w:type="table" w:styleId="ColorfulShading-Accent2">
    <w:name w:val="Colorful Shading Accent 2"/>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B7DDE8" w:themeColor="accent2"/>
        <w:bottom w:val="single" w:sz="4" w:space="0" w:color="B7DDE8" w:themeColor="accent2"/>
        <w:right w:val="single" w:sz="4" w:space="0" w:color="B7DDE8" w:themeColor="accent2"/>
        <w:insideH w:val="single" w:sz="4" w:space="0" w:color="FFFFFF" w:themeColor="background1"/>
        <w:insideV w:val="single" w:sz="4" w:space="0" w:color="FFFFFF" w:themeColor="background1"/>
      </w:tblBorders>
    </w:tblPr>
    <w:tcPr>
      <w:shd w:val="clear" w:color="auto" w:fill="F7FBFC" w:themeFill="accent2"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9FBC" w:themeFill="accent2" w:themeFillShade="99"/>
      </w:tcPr>
    </w:tblStylePr>
    <w:tblStylePr w:type="firstCol">
      <w:rPr>
        <w:color w:val="FFFFFF" w:themeColor="background1"/>
      </w:rPr>
      <w:tblPr/>
      <w:tcPr>
        <w:tcBorders>
          <w:top w:val="nil"/>
          <w:left w:val="nil"/>
          <w:bottom w:val="nil"/>
          <w:right w:val="nil"/>
          <w:insideH w:val="single" w:sz="4" w:space="0" w:color="3C9FBC" w:themeColor="accent2" w:themeShade="99"/>
          <w:insideV w:val="nil"/>
        </w:tcBorders>
        <w:shd w:val="clear" w:color="auto" w:fill="3C9FB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C9FBC" w:themeFill="accent2" w:themeFillShade="99"/>
      </w:tcPr>
    </w:tblStylePr>
    <w:tblStylePr w:type="band1Vert">
      <w:tblPr/>
      <w:tcPr>
        <w:shd w:val="clear" w:color="auto" w:fill="E2F1F5" w:themeFill="accent2" w:themeFillTint="66"/>
      </w:tcPr>
    </w:tblStylePr>
    <w:tblStylePr w:type="band1Horz">
      <w:tblPr/>
      <w:tcPr>
        <w:shd w:val="clear" w:color="auto" w:fill="DBEEF3" w:themeFill="accent2" w:themeFillTint="7F"/>
      </w:tcPr>
    </w:tblStylePr>
    <w:tblStylePr w:type="neCell">
      <w:rPr>
        <w:color w:val="00728F" w:themeColor="text1"/>
      </w:rPr>
    </w:tblStylePr>
    <w:tblStylePr w:type="nwCell">
      <w:rPr>
        <w:color w:val="00728F" w:themeColor="text1"/>
      </w:rPr>
    </w:tblStylePr>
  </w:style>
  <w:style w:type="table" w:styleId="ColorfulShading-Accent3">
    <w:name w:val="Colorful Shading Accent 3"/>
    <w:basedOn w:val="TableNormal"/>
    <w:uiPriority w:val="99"/>
    <w:semiHidden/>
    <w:rsid w:val="00361DEB"/>
    <w:pPr>
      <w:spacing w:after="0"/>
    </w:pPr>
    <w:rPr>
      <w:color w:val="00728F" w:themeColor="text1"/>
    </w:rPr>
    <w:tblPr>
      <w:tblStyleRowBandSize w:val="1"/>
      <w:tblStyleColBandSize w:val="1"/>
      <w:tblBorders>
        <w:top w:val="single" w:sz="24" w:space="0" w:color="92CDDC" w:themeColor="accent4"/>
        <w:left w:val="single" w:sz="4" w:space="0" w:color="DBEEF3" w:themeColor="accent3"/>
        <w:bottom w:val="single" w:sz="4" w:space="0" w:color="DBEEF3" w:themeColor="accent3"/>
        <w:right w:val="single" w:sz="4" w:space="0" w:color="DBEEF3" w:themeColor="accent3"/>
        <w:insideH w:val="single" w:sz="4" w:space="0" w:color="FFFFFF" w:themeColor="background1"/>
        <w:insideV w:val="single" w:sz="4" w:space="0" w:color="FFFFFF" w:themeColor="background1"/>
      </w:tblBorders>
    </w:tblPr>
    <w:tcPr>
      <w:shd w:val="clear" w:color="auto" w:fill="FBFDFD" w:themeFill="accent3" w:themeFillTint="19"/>
    </w:tcPr>
    <w:tblStylePr w:type="firstRow">
      <w:rPr>
        <w:b/>
        <w:bCs/>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ACC4" w:themeFill="accent3" w:themeFillShade="99"/>
      </w:tcPr>
    </w:tblStylePr>
    <w:tblStylePr w:type="firstCol">
      <w:rPr>
        <w:color w:val="FFFFFF" w:themeColor="background1"/>
      </w:rPr>
      <w:tblPr/>
      <w:tcPr>
        <w:tcBorders>
          <w:top w:val="nil"/>
          <w:left w:val="nil"/>
          <w:bottom w:val="nil"/>
          <w:right w:val="nil"/>
          <w:insideH w:val="single" w:sz="4" w:space="0" w:color="50ACC4" w:themeColor="accent3" w:themeShade="99"/>
          <w:insideV w:val="nil"/>
        </w:tcBorders>
        <w:shd w:val="clear" w:color="auto" w:fill="50ACC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ACC4" w:themeFill="accent3" w:themeFillShade="99"/>
      </w:tcPr>
    </w:tblStylePr>
    <w:tblStylePr w:type="band1Vert">
      <w:tblPr/>
      <w:tcPr>
        <w:shd w:val="clear" w:color="auto" w:fill="F0F8FA" w:themeFill="accent3" w:themeFillTint="66"/>
      </w:tcPr>
    </w:tblStylePr>
    <w:tblStylePr w:type="band1Horz">
      <w:tblPr/>
      <w:tcPr>
        <w:shd w:val="clear" w:color="auto" w:fill="EDF6F9" w:themeFill="accent3" w:themeFillTint="7F"/>
      </w:tcPr>
    </w:tblStylePr>
  </w:style>
  <w:style w:type="table" w:styleId="ColorfulShading-Accent4">
    <w:name w:val="Colorful Shading Accent 4"/>
    <w:basedOn w:val="TableNormal"/>
    <w:uiPriority w:val="99"/>
    <w:semiHidden/>
    <w:rsid w:val="00361DEB"/>
    <w:pPr>
      <w:spacing w:after="0"/>
    </w:pPr>
    <w:rPr>
      <w:color w:val="00728F" w:themeColor="text1"/>
    </w:rPr>
    <w:tblPr>
      <w:tblStyleRowBandSize w:val="1"/>
      <w:tblStyleColBandSize w:val="1"/>
      <w:tblBorders>
        <w:top w:val="single" w:sz="24" w:space="0" w:color="DBEEF3" w:themeColor="accent3"/>
        <w:left w:val="single" w:sz="4" w:space="0" w:color="92CDDC" w:themeColor="accent4"/>
        <w:bottom w:val="single" w:sz="4" w:space="0" w:color="92CDDC" w:themeColor="accent4"/>
        <w:right w:val="single" w:sz="4" w:space="0" w:color="92CDDC" w:themeColor="accent4"/>
        <w:insideH w:val="single" w:sz="4" w:space="0" w:color="FFFFFF" w:themeColor="background1"/>
        <w:insideV w:val="single" w:sz="4" w:space="0" w:color="FFFFFF" w:themeColor="background1"/>
      </w:tblBorders>
    </w:tblPr>
    <w:tcPr>
      <w:shd w:val="clear" w:color="auto" w:fill="F4FAFB" w:themeFill="accent4" w:themeFillTint="19"/>
    </w:tcPr>
    <w:tblStylePr w:type="firstRow">
      <w:rPr>
        <w:b/>
        <w:bCs/>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8FA6" w:themeFill="accent4" w:themeFillShade="99"/>
      </w:tcPr>
    </w:tblStylePr>
    <w:tblStylePr w:type="firstCol">
      <w:rPr>
        <w:color w:val="FFFFFF" w:themeColor="background1"/>
      </w:rPr>
      <w:tblPr/>
      <w:tcPr>
        <w:tcBorders>
          <w:top w:val="nil"/>
          <w:left w:val="nil"/>
          <w:bottom w:val="nil"/>
          <w:right w:val="nil"/>
          <w:insideH w:val="single" w:sz="4" w:space="0" w:color="358FA6" w:themeColor="accent4" w:themeShade="99"/>
          <w:insideV w:val="nil"/>
        </w:tcBorders>
        <w:shd w:val="clear" w:color="auto" w:fill="358FA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58FA6" w:themeFill="accent4" w:themeFillShade="99"/>
      </w:tcPr>
    </w:tblStylePr>
    <w:tblStylePr w:type="band1Vert">
      <w:tblPr/>
      <w:tcPr>
        <w:shd w:val="clear" w:color="auto" w:fill="D3EAF1" w:themeFill="accent4" w:themeFillTint="66"/>
      </w:tcPr>
    </w:tblStylePr>
    <w:tblStylePr w:type="band1Horz">
      <w:tblPr/>
      <w:tcPr>
        <w:shd w:val="clear" w:color="auto" w:fill="C8E5ED" w:themeFill="accent4" w:themeFillTint="7F"/>
      </w:tcPr>
    </w:tblStylePr>
    <w:tblStylePr w:type="neCell">
      <w:rPr>
        <w:color w:val="00728F" w:themeColor="text1"/>
      </w:rPr>
    </w:tblStylePr>
    <w:tblStylePr w:type="nwCell">
      <w:rPr>
        <w:color w:val="00728F" w:themeColor="text1"/>
      </w:rPr>
    </w:tblStylePr>
  </w:style>
  <w:style w:type="table" w:styleId="ColorfulShading-Accent5">
    <w:name w:val="Colorful Shading Accent 5"/>
    <w:basedOn w:val="TableNormal"/>
    <w:uiPriority w:val="99"/>
    <w:semiHidden/>
    <w:rsid w:val="00361DEB"/>
    <w:pPr>
      <w:spacing w:after="0"/>
    </w:pPr>
    <w:rPr>
      <w:color w:val="00728F" w:themeColor="text1"/>
    </w:rPr>
    <w:tblPr>
      <w:tblStyleRowBandSize w:val="1"/>
      <w:tblStyleColBandSize w:val="1"/>
      <w:tblBorders>
        <w:top w:val="single" w:sz="24" w:space="0" w:color="64B8CE" w:themeColor="accent6"/>
        <w:left w:val="single" w:sz="4" w:space="0" w:color="31859B" w:themeColor="accent5"/>
        <w:bottom w:val="single" w:sz="4" w:space="0" w:color="31859B" w:themeColor="accent5"/>
        <w:right w:val="single" w:sz="4" w:space="0" w:color="31859B" w:themeColor="accent5"/>
        <w:insideH w:val="single" w:sz="4" w:space="0" w:color="FFFFFF" w:themeColor="background1"/>
        <w:insideV w:val="single" w:sz="4" w:space="0" w:color="FFFFFF" w:themeColor="background1"/>
      </w:tblBorders>
    </w:tblPr>
    <w:tcPr>
      <w:shd w:val="clear" w:color="auto" w:fill="E8F4F7" w:themeFill="accent5" w:themeFillTint="19"/>
    </w:tcPr>
    <w:tblStylePr w:type="firstRow">
      <w:rPr>
        <w:b/>
        <w:bCs/>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4F5C" w:themeFill="accent5" w:themeFillShade="99"/>
      </w:tcPr>
    </w:tblStylePr>
    <w:tblStylePr w:type="firstCol">
      <w:rPr>
        <w:color w:val="FFFFFF" w:themeColor="background1"/>
      </w:rPr>
      <w:tblPr/>
      <w:tcPr>
        <w:tcBorders>
          <w:top w:val="nil"/>
          <w:left w:val="nil"/>
          <w:bottom w:val="nil"/>
          <w:right w:val="nil"/>
          <w:insideH w:val="single" w:sz="4" w:space="0" w:color="1D4F5C" w:themeColor="accent5" w:themeShade="99"/>
          <w:insideV w:val="nil"/>
        </w:tcBorders>
        <w:shd w:val="clear" w:color="auto" w:fill="1D4F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D4F5C" w:themeFill="accent5" w:themeFillShade="99"/>
      </w:tcPr>
    </w:tblStylePr>
    <w:tblStylePr w:type="band1Vert">
      <w:tblPr/>
      <w:tcPr>
        <w:shd w:val="clear" w:color="auto" w:fill="A1D4E1" w:themeFill="accent5" w:themeFillTint="66"/>
      </w:tcPr>
    </w:tblStylePr>
    <w:tblStylePr w:type="band1Horz">
      <w:tblPr/>
      <w:tcPr>
        <w:shd w:val="clear" w:color="auto" w:fill="8BC9DA" w:themeFill="accent5" w:themeFillTint="7F"/>
      </w:tcPr>
    </w:tblStylePr>
    <w:tblStylePr w:type="neCell">
      <w:rPr>
        <w:color w:val="00728F" w:themeColor="text1"/>
      </w:rPr>
    </w:tblStylePr>
    <w:tblStylePr w:type="nwCell">
      <w:rPr>
        <w:color w:val="00728F" w:themeColor="text1"/>
      </w:rPr>
    </w:tblStylePr>
  </w:style>
  <w:style w:type="table" w:styleId="ColorfulShading-Accent6">
    <w:name w:val="Colorful Shading Accent 6"/>
    <w:basedOn w:val="TableNormal"/>
    <w:uiPriority w:val="99"/>
    <w:semiHidden/>
    <w:rsid w:val="00361DEB"/>
    <w:pPr>
      <w:spacing w:after="0"/>
    </w:pPr>
    <w:rPr>
      <w:color w:val="00728F" w:themeColor="text1"/>
    </w:rPr>
    <w:tblPr>
      <w:tblStyleRowBandSize w:val="1"/>
      <w:tblStyleColBandSize w:val="1"/>
      <w:tblBorders>
        <w:top w:val="single" w:sz="24" w:space="0" w:color="31859B" w:themeColor="accent5"/>
        <w:left w:val="single" w:sz="4" w:space="0" w:color="64B8CE" w:themeColor="accent6"/>
        <w:bottom w:val="single" w:sz="4" w:space="0" w:color="64B8CE" w:themeColor="accent6"/>
        <w:right w:val="single" w:sz="4" w:space="0" w:color="64B8CE" w:themeColor="accent6"/>
        <w:insideH w:val="single" w:sz="4" w:space="0" w:color="FFFFFF" w:themeColor="background1"/>
        <w:insideV w:val="single" w:sz="4" w:space="0" w:color="FFFFFF" w:themeColor="background1"/>
      </w:tblBorders>
    </w:tblPr>
    <w:tcPr>
      <w:shd w:val="clear" w:color="auto" w:fill="EFF8FA" w:themeFill="accent6" w:themeFillTint="19"/>
    </w:tcPr>
    <w:tblStylePr w:type="firstRow">
      <w:rPr>
        <w:b/>
        <w:bCs/>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778B" w:themeFill="accent6" w:themeFillShade="99"/>
      </w:tcPr>
    </w:tblStylePr>
    <w:tblStylePr w:type="firstCol">
      <w:rPr>
        <w:color w:val="FFFFFF" w:themeColor="background1"/>
      </w:rPr>
      <w:tblPr/>
      <w:tcPr>
        <w:tcBorders>
          <w:top w:val="nil"/>
          <w:left w:val="nil"/>
          <w:bottom w:val="nil"/>
          <w:right w:val="nil"/>
          <w:insideH w:val="single" w:sz="4" w:space="0" w:color="2C778B" w:themeColor="accent6" w:themeShade="99"/>
          <w:insideV w:val="nil"/>
        </w:tcBorders>
        <w:shd w:val="clear" w:color="auto" w:fill="2C778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C778B" w:themeFill="accent6" w:themeFillShade="99"/>
      </w:tcPr>
    </w:tblStylePr>
    <w:tblStylePr w:type="band1Vert">
      <w:tblPr/>
      <w:tcPr>
        <w:shd w:val="clear" w:color="auto" w:fill="C0E2EB" w:themeFill="accent6" w:themeFillTint="66"/>
      </w:tcPr>
    </w:tblStylePr>
    <w:tblStylePr w:type="band1Horz">
      <w:tblPr/>
      <w:tcPr>
        <w:shd w:val="clear" w:color="auto" w:fill="B1DBE6" w:themeFill="accent6" w:themeFillTint="7F"/>
      </w:tcPr>
    </w:tblStylePr>
    <w:tblStylePr w:type="neCell">
      <w:rPr>
        <w:color w:val="00728F" w:themeColor="text1"/>
      </w:rPr>
    </w:tblStylePr>
    <w:tblStylePr w:type="nwCell">
      <w:rPr>
        <w:color w:val="00728F" w:themeColor="text1"/>
      </w:rPr>
    </w:tblStylePr>
  </w:style>
  <w:style w:type="table" w:customStyle="1" w:styleId="DarkList1">
    <w:name w:val="Dark List1"/>
    <w:basedOn w:val="TableNormal"/>
    <w:uiPriority w:val="99"/>
    <w:semiHidden/>
    <w:rsid w:val="00361DEB"/>
    <w:pPr>
      <w:spacing w:after="0"/>
    </w:pPr>
    <w:rPr>
      <w:color w:val="FFFFFF" w:themeColor="background1"/>
    </w:rPr>
    <w:tblPr>
      <w:tblStyleRowBandSize w:val="1"/>
      <w:tblStyleColBandSize w:val="1"/>
    </w:tblPr>
    <w:tcPr>
      <w:shd w:val="clear" w:color="auto" w:fill="00728F"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text1" w:themeFillShade="BF"/>
      </w:tcPr>
    </w:tblStylePr>
    <w:tblStylePr w:type="band1Vert">
      <w:tblPr/>
      <w:tcPr>
        <w:tcBorders>
          <w:top w:val="nil"/>
          <w:left w:val="nil"/>
          <w:bottom w:val="nil"/>
          <w:right w:val="nil"/>
          <w:insideH w:val="nil"/>
          <w:insideV w:val="nil"/>
        </w:tcBorders>
        <w:shd w:val="clear" w:color="auto" w:fill="00556B" w:themeFill="text1" w:themeFillShade="BF"/>
      </w:tcPr>
    </w:tblStylePr>
    <w:tblStylePr w:type="band1Horz">
      <w:tblPr/>
      <w:tcPr>
        <w:tcBorders>
          <w:top w:val="nil"/>
          <w:left w:val="nil"/>
          <w:bottom w:val="nil"/>
          <w:right w:val="nil"/>
          <w:insideH w:val="nil"/>
          <w:insideV w:val="nil"/>
        </w:tcBorders>
        <w:shd w:val="clear" w:color="auto" w:fill="00556B" w:themeFill="text1" w:themeFillShade="BF"/>
      </w:tcPr>
    </w:tblStylePr>
  </w:style>
  <w:style w:type="table" w:styleId="DarkList-Accent1">
    <w:name w:val="Dark List Accent 1"/>
    <w:basedOn w:val="TableNormal"/>
    <w:uiPriority w:val="99"/>
    <w:semiHidden/>
    <w:rsid w:val="00361DEB"/>
    <w:pPr>
      <w:spacing w:after="0"/>
    </w:pPr>
    <w:rPr>
      <w:color w:val="FFFFFF" w:themeColor="background1"/>
    </w:rPr>
    <w:tblPr>
      <w:tblStyleRowBandSize w:val="1"/>
      <w:tblStyleColBandSize w:val="1"/>
    </w:tblPr>
    <w:tcPr>
      <w:shd w:val="clear" w:color="auto" w:fill="0072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accent1" w:themeFillShade="BF"/>
      </w:tcPr>
    </w:tblStylePr>
    <w:tblStylePr w:type="band1Vert">
      <w:tblPr/>
      <w:tcPr>
        <w:tcBorders>
          <w:top w:val="nil"/>
          <w:left w:val="nil"/>
          <w:bottom w:val="nil"/>
          <w:right w:val="nil"/>
          <w:insideH w:val="nil"/>
          <w:insideV w:val="nil"/>
        </w:tcBorders>
        <w:shd w:val="clear" w:color="auto" w:fill="00556B" w:themeFill="accent1" w:themeFillShade="BF"/>
      </w:tcPr>
    </w:tblStylePr>
    <w:tblStylePr w:type="band1Horz">
      <w:tblPr/>
      <w:tcPr>
        <w:tcBorders>
          <w:top w:val="nil"/>
          <w:left w:val="nil"/>
          <w:bottom w:val="nil"/>
          <w:right w:val="nil"/>
          <w:insideH w:val="nil"/>
          <w:insideV w:val="nil"/>
        </w:tcBorders>
        <w:shd w:val="clear" w:color="auto" w:fill="00556B" w:themeFill="accent1" w:themeFillShade="BF"/>
      </w:tcPr>
    </w:tblStylePr>
  </w:style>
  <w:style w:type="table" w:styleId="DarkList-Accent2">
    <w:name w:val="Dark List Accent 2"/>
    <w:basedOn w:val="TableNormal"/>
    <w:uiPriority w:val="99"/>
    <w:semiHidden/>
    <w:rsid w:val="00361DEB"/>
    <w:pPr>
      <w:spacing w:after="0"/>
    </w:pPr>
    <w:rPr>
      <w:color w:val="FFFFFF" w:themeColor="background1"/>
    </w:rPr>
    <w:tblPr>
      <w:tblStyleRowBandSize w:val="1"/>
      <w:tblStyleColBandSize w:val="1"/>
    </w:tblPr>
    <w:tcPr>
      <w:shd w:val="clear" w:color="auto" w:fill="B7DD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2849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7C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7CE" w:themeFill="accent2" w:themeFillShade="BF"/>
      </w:tcPr>
    </w:tblStylePr>
    <w:tblStylePr w:type="band1Vert">
      <w:tblPr/>
      <w:tcPr>
        <w:tcBorders>
          <w:top w:val="nil"/>
          <w:left w:val="nil"/>
          <w:bottom w:val="nil"/>
          <w:right w:val="nil"/>
          <w:insideH w:val="nil"/>
          <w:insideV w:val="nil"/>
        </w:tcBorders>
        <w:shd w:val="clear" w:color="auto" w:fill="67B7CE" w:themeFill="accent2" w:themeFillShade="BF"/>
      </w:tcPr>
    </w:tblStylePr>
    <w:tblStylePr w:type="band1Horz">
      <w:tblPr/>
      <w:tcPr>
        <w:tcBorders>
          <w:top w:val="nil"/>
          <w:left w:val="nil"/>
          <w:bottom w:val="nil"/>
          <w:right w:val="nil"/>
          <w:insideH w:val="nil"/>
          <w:insideV w:val="nil"/>
        </w:tcBorders>
        <w:shd w:val="clear" w:color="auto" w:fill="67B7CE" w:themeFill="accent2" w:themeFillShade="BF"/>
      </w:tcPr>
    </w:tblStylePr>
  </w:style>
  <w:style w:type="table" w:styleId="DarkList-Accent3">
    <w:name w:val="Dark List Accent 3"/>
    <w:basedOn w:val="TableNormal"/>
    <w:uiPriority w:val="99"/>
    <w:semiHidden/>
    <w:rsid w:val="00361DEB"/>
    <w:pPr>
      <w:spacing w:after="0"/>
    </w:pPr>
    <w:rPr>
      <w:color w:val="FFFFFF" w:themeColor="background1"/>
    </w:rPr>
    <w:tblPr>
      <w:tblStyleRowBandSize w:val="1"/>
      <w:tblStyleColBandSize w:val="1"/>
    </w:tblPr>
    <w:tcPr>
      <w:shd w:val="clear" w:color="auto" w:fill="DBEEF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994A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C4D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C4D6" w:themeFill="accent3" w:themeFillShade="BF"/>
      </w:tcPr>
    </w:tblStylePr>
    <w:tblStylePr w:type="band1Vert">
      <w:tblPr/>
      <w:tcPr>
        <w:tcBorders>
          <w:top w:val="nil"/>
          <w:left w:val="nil"/>
          <w:bottom w:val="nil"/>
          <w:right w:val="nil"/>
          <w:insideH w:val="nil"/>
          <w:insideV w:val="nil"/>
        </w:tcBorders>
        <w:shd w:val="clear" w:color="auto" w:fill="84C4D6" w:themeFill="accent3" w:themeFillShade="BF"/>
      </w:tcPr>
    </w:tblStylePr>
    <w:tblStylePr w:type="band1Horz">
      <w:tblPr/>
      <w:tcPr>
        <w:tcBorders>
          <w:top w:val="nil"/>
          <w:left w:val="nil"/>
          <w:bottom w:val="nil"/>
          <w:right w:val="nil"/>
          <w:insideH w:val="nil"/>
          <w:insideV w:val="nil"/>
        </w:tcBorders>
        <w:shd w:val="clear" w:color="auto" w:fill="84C4D6" w:themeFill="accent3" w:themeFillShade="BF"/>
      </w:tcPr>
    </w:tblStylePr>
  </w:style>
  <w:style w:type="table" w:styleId="DarkList-Accent4">
    <w:name w:val="Dark List Accent 4"/>
    <w:basedOn w:val="TableNormal"/>
    <w:uiPriority w:val="99"/>
    <w:semiHidden/>
    <w:rsid w:val="00361DEB"/>
    <w:pPr>
      <w:spacing w:after="0"/>
    </w:pPr>
    <w:rPr>
      <w:color w:val="FFFFFF" w:themeColor="background1"/>
    </w:rPr>
    <w:tblPr>
      <w:tblStyleRowBandSize w:val="1"/>
      <w:tblStyleColBandSize w:val="1"/>
    </w:tblPr>
    <w:tcPr>
      <w:shd w:val="clear" w:color="auto" w:fill="92C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C768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ACC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ACC5" w:themeFill="accent4" w:themeFillShade="BF"/>
      </w:tcPr>
    </w:tblStylePr>
    <w:tblStylePr w:type="band1Vert">
      <w:tblPr/>
      <w:tcPr>
        <w:tcBorders>
          <w:top w:val="nil"/>
          <w:left w:val="nil"/>
          <w:bottom w:val="nil"/>
          <w:right w:val="nil"/>
          <w:insideH w:val="nil"/>
          <w:insideV w:val="nil"/>
        </w:tcBorders>
        <w:shd w:val="clear" w:color="auto" w:fill="4CACC5" w:themeFill="accent4" w:themeFillShade="BF"/>
      </w:tcPr>
    </w:tblStylePr>
    <w:tblStylePr w:type="band1Horz">
      <w:tblPr/>
      <w:tcPr>
        <w:tcBorders>
          <w:top w:val="nil"/>
          <w:left w:val="nil"/>
          <w:bottom w:val="nil"/>
          <w:right w:val="nil"/>
          <w:insideH w:val="nil"/>
          <w:insideV w:val="nil"/>
        </w:tcBorders>
        <w:shd w:val="clear" w:color="auto" w:fill="4CACC5" w:themeFill="accent4" w:themeFillShade="BF"/>
      </w:tcPr>
    </w:tblStylePr>
  </w:style>
  <w:style w:type="table" w:styleId="DarkList-Accent5">
    <w:name w:val="Dark List Accent 5"/>
    <w:basedOn w:val="TableNormal"/>
    <w:uiPriority w:val="99"/>
    <w:semiHidden/>
    <w:rsid w:val="00361DEB"/>
    <w:pPr>
      <w:spacing w:after="0"/>
    </w:pPr>
    <w:rPr>
      <w:color w:val="FFFFFF" w:themeColor="background1"/>
    </w:rPr>
    <w:tblPr>
      <w:tblStyleRowBandSize w:val="1"/>
      <w:tblStyleColBandSize w:val="1"/>
    </w:tblPr>
    <w:tcPr>
      <w:shd w:val="clear" w:color="auto" w:fill="3185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18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463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46373" w:themeFill="accent5" w:themeFillShade="BF"/>
      </w:tcPr>
    </w:tblStylePr>
    <w:tblStylePr w:type="band1Vert">
      <w:tblPr/>
      <w:tcPr>
        <w:tcBorders>
          <w:top w:val="nil"/>
          <w:left w:val="nil"/>
          <w:bottom w:val="nil"/>
          <w:right w:val="nil"/>
          <w:insideH w:val="nil"/>
          <w:insideV w:val="nil"/>
        </w:tcBorders>
        <w:shd w:val="clear" w:color="auto" w:fill="246373" w:themeFill="accent5" w:themeFillShade="BF"/>
      </w:tcPr>
    </w:tblStylePr>
    <w:tblStylePr w:type="band1Horz">
      <w:tblPr/>
      <w:tcPr>
        <w:tcBorders>
          <w:top w:val="nil"/>
          <w:left w:val="nil"/>
          <w:bottom w:val="nil"/>
          <w:right w:val="nil"/>
          <w:insideH w:val="nil"/>
          <w:insideV w:val="nil"/>
        </w:tcBorders>
        <w:shd w:val="clear" w:color="auto" w:fill="246373" w:themeFill="accent5" w:themeFillShade="BF"/>
      </w:tcPr>
    </w:tblStylePr>
  </w:style>
  <w:style w:type="table" w:styleId="DarkList-Accent6">
    <w:name w:val="Dark List Accent 6"/>
    <w:basedOn w:val="TableNormal"/>
    <w:uiPriority w:val="99"/>
    <w:semiHidden/>
    <w:rsid w:val="00361DEB"/>
    <w:pPr>
      <w:spacing w:after="0"/>
    </w:pPr>
    <w:rPr>
      <w:color w:val="FFFFFF" w:themeColor="background1"/>
    </w:rPr>
    <w:tblPr>
      <w:tblStyleRowBandSize w:val="1"/>
      <w:tblStyleColBandSize w:val="1"/>
    </w:tblPr>
    <w:tcPr>
      <w:shd w:val="clear" w:color="auto" w:fill="64B8C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4637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795A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795AD" w:themeFill="accent6" w:themeFillShade="BF"/>
      </w:tcPr>
    </w:tblStylePr>
    <w:tblStylePr w:type="band1Vert">
      <w:tblPr/>
      <w:tcPr>
        <w:tcBorders>
          <w:top w:val="nil"/>
          <w:left w:val="nil"/>
          <w:bottom w:val="nil"/>
          <w:right w:val="nil"/>
          <w:insideH w:val="nil"/>
          <w:insideV w:val="nil"/>
        </w:tcBorders>
        <w:shd w:val="clear" w:color="auto" w:fill="3795AD" w:themeFill="accent6" w:themeFillShade="BF"/>
      </w:tcPr>
    </w:tblStylePr>
    <w:tblStylePr w:type="band1Horz">
      <w:tblPr/>
      <w:tcPr>
        <w:tcBorders>
          <w:top w:val="nil"/>
          <w:left w:val="nil"/>
          <w:bottom w:val="nil"/>
          <w:right w:val="nil"/>
          <w:insideH w:val="nil"/>
          <w:insideV w:val="nil"/>
        </w:tcBorders>
        <w:shd w:val="clear" w:color="auto" w:fill="3795AD" w:themeFill="accent6" w:themeFillShade="BF"/>
      </w:tcPr>
    </w:tblStylePr>
  </w:style>
  <w:style w:type="table" w:customStyle="1" w:styleId="LightGrid1">
    <w:name w:val="Light Grid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18" w:space="0" w:color="00728F" w:themeColor="text1"/>
          <w:right w:val="single" w:sz="8" w:space="0" w:color="00728F" w:themeColor="text1"/>
          <w:insideH w:val="nil"/>
          <w:insideV w:val="single" w:sz="8" w:space="0" w:color="00728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insideH w:val="nil"/>
          <w:insideV w:val="single" w:sz="8" w:space="0" w:color="00728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shd w:val="clear" w:color="auto" w:fill="A4ECFF" w:themeFill="text1" w:themeFillTint="3F"/>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shd w:val="clear" w:color="auto" w:fill="A4ECFF" w:themeFill="text1" w:themeFillTint="3F"/>
      </w:tcPr>
    </w:tblStylePr>
    <w:tblStylePr w:type="band2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tcPr>
    </w:tblStylePr>
  </w:style>
  <w:style w:type="table" w:customStyle="1" w:styleId="LightGrid-Accent11">
    <w:name w:val="Light Grid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18" w:space="0" w:color="00728F" w:themeColor="accent1"/>
          <w:right w:val="single" w:sz="8" w:space="0" w:color="00728F" w:themeColor="accent1"/>
          <w:insideH w:val="nil"/>
          <w:insideV w:val="single" w:sz="8" w:space="0" w:color="0072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insideH w:val="nil"/>
          <w:insideV w:val="single" w:sz="8" w:space="0" w:color="0072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shd w:val="clear" w:color="auto" w:fill="A4ECFF" w:themeFill="accent1" w:themeFillTint="3F"/>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shd w:val="clear" w:color="auto" w:fill="A4ECFF" w:themeFill="accent1" w:themeFillTint="3F"/>
      </w:tcPr>
    </w:tblStylePr>
    <w:tblStylePr w:type="band2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tcPr>
    </w:tblStylePr>
  </w:style>
  <w:style w:type="table" w:styleId="LightGrid-Accent2">
    <w:name w:val="Light Grid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18" w:space="0" w:color="B7DDE8" w:themeColor="accent2"/>
          <w:right w:val="single" w:sz="8" w:space="0" w:color="B7DDE8" w:themeColor="accent2"/>
          <w:insideH w:val="nil"/>
          <w:insideV w:val="single" w:sz="8" w:space="0" w:color="B7DD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insideH w:val="nil"/>
          <w:insideV w:val="single" w:sz="8" w:space="0" w:color="B7DD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shd w:val="clear" w:color="auto" w:fill="EDF6F9" w:themeFill="accent2" w:themeFillTint="3F"/>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shd w:val="clear" w:color="auto" w:fill="EDF6F9" w:themeFill="accent2" w:themeFillTint="3F"/>
      </w:tcPr>
    </w:tblStylePr>
    <w:tblStylePr w:type="band2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tcPr>
    </w:tblStylePr>
  </w:style>
  <w:style w:type="table" w:styleId="LightGrid-Accent3">
    <w:name w:val="Light Grid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18" w:space="0" w:color="DBEEF3" w:themeColor="accent3"/>
          <w:right w:val="single" w:sz="8" w:space="0" w:color="DBEEF3" w:themeColor="accent3"/>
          <w:insideH w:val="nil"/>
          <w:insideV w:val="single" w:sz="8" w:space="0" w:color="DBEEF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insideH w:val="nil"/>
          <w:insideV w:val="single" w:sz="8" w:space="0" w:color="DBEEF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shd w:val="clear" w:color="auto" w:fill="F6FAFC" w:themeFill="accent3" w:themeFillTint="3F"/>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shd w:val="clear" w:color="auto" w:fill="F6FAFC" w:themeFill="accent3" w:themeFillTint="3F"/>
      </w:tcPr>
    </w:tblStylePr>
    <w:tblStylePr w:type="band2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tcPr>
    </w:tblStylePr>
  </w:style>
  <w:style w:type="table" w:styleId="LightGrid-Accent4">
    <w:name w:val="Light Grid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18" w:space="0" w:color="92CDDC" w:themeColor="accent4"/>
          <w:right w:val="single" w:sz="8" w:space="0" w:color="92CDDC" w:themeColor="accent4"/>
          <w:insideH w:val="nil"/>
          <w:insideV w:val="single" w:sz="8" w:space="0" w:color="92C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insideH w:val="nil"/>
          <w:insideV w:val="single" w:sz="8" w:space="0" w:color="92C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shd w:val="clear" w:color="auto" w:fill="E4F2F6" w:themeFill="accent4" w:themeFillTint="3F"/>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shd w:val="clear" w:color="auto" w:fill="E4F2F6" w:themeFill="accent4" w:themeFillTint="3F"/>
      </w:tcPr>
    </w:tblStylePr>
    <w:tblStylePr w:type="band2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tcPr>
    </w:tblStylePr>
  </w:style>
  <w:style w:type="table" w:styleId="LightGrid-Accent5">
    <w:name w:val="Light Grid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18" w:space="0" w:color="31859B" w:themeColor="accent5"/>
          <w:right w:val="single" w:sz="8" w:space="0" w:color="31859B" w:themeColor="accent5"/>
          <w:insideH w:val="nil"/>
          <w:insideV w:val="single" w:sz="8" w:space="0" w:color="3185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insideH w:val="nil"/>
          <w:insideV w:val="single" w:sz="8" w:space="0" w:color="3185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shd w:val="clear" w:color="auto" w:fill="C5E4EC" w:themeFill="accent5" w:themeFillTint="3F"/>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shd w:val="clear" w:color="auto" w:fill="C5E4EC" w:themeFill="accent5" w:themeFillTint="3F"/>
      </w:tcPr>
    </w:tblStylePr>
    <w:tblStylePr w:type="band2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tcPr>
    </w:tblStylePr>
  </w:style>
  <w:style w:type="table" w:styleId="LightGrid-Accent6">
    <w:name w:val="Light Grid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18" w:space="0" w:color="64B8CE" w:themeColor="accent6"/>
          <w:right w:val="single" w:sz="8" w:space="0" w:color="64B8CE" w:themeColor="accent6"/>
          <w:insideH w:val="nil"/>
          <w:insideV w:val="single" w:sz="8" w:space="0" w:color="64B8C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insideH w:val="nil"/>
          <w:insideV w:val="single" w:sz="8" w:space="0" w:color="64B8C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shd w:val="clear" w:color="auto" w:fill="D8EDF2" w:themeFill="accent6" w:themeFillTint="3F"/>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shd w:val="clear" w:color="auto" w:fill="D8EDF2" w:themeFill="accent6" w:themeFillTint="3F"/>
      </w:tcPr>
    </w:tblStylePr>
    <w:tblStylePr w:type="band2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tcPr>
    </w:tblStylePr>
  </w:style>
  <w:style w:type="table" w:customStyle="1" w:styleId="LightList1">
    <w:name w:val="Light List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pPr>
        <w:spacing w:before="0" w:after="0" w:line="240" w:lineRule="auto"/>
      </w:pPr>
      <w:rPr>
        <w:b/>
        <w:bCs/>
        <w:color w:val="FFFFFF" w:themeColor="background1"/>
      </w:rPr>
      <w:tblPr/>
      <w:tcPr>
        <w:shd w:val="clear" w:color="auto" w:fill="00728F" w:themeFill="text1"/>
      </w:tcPr>
    </w:tblStylePr>
    <w:tblStylePr w:type="lastRow">
      <w:pPr>
        <w:spacing w:before="0" w:after="0" w:line="240" w:lineRule="auto"/>
      </w:pPr>
      <w:rPr>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tcBorders>
      </w:tcPr>
    </w:tblStylePr>
    <w:tblStylePr w:type="firstCol">
      <w:rPr>
        <w:b/>
        <w:bCs/>
      </w:rPr>
    </w:tblStylePr>
    <w:tblStylePr w:type="lastCol">
      <w:rPr>
        <w:b/>
        <w:bCs/>
      </w:r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style>
  <w:style w:type="table" w:customStyle="1" w:styleId="LightList-Accent11">
    <w:name w:val="Light List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pPr>
        <w:spacing w:before="0" w:after="0" w:line="240" w:lineRule="auto"/>
      </w:pPr>
      <w:rPr>
        <w:b/>
        <w:bCs/>
        <w:color w:val="FFFFFF" w:themeColor="background1"/>
      </w:rPr>
      <w:tblPr/>
      <w:tcPr>
        <w:shd w:val="clear" w:color="auto" w:fill="00728F" w:themeFill="accent1"/>
      </w:tcPr>
    </w:tblStylePr>
    <w:tblStylePr w:type="lastRow">
      <w:pPr>
        <w:spacing w:before="0" w:after="0" w:line="240" w:lineRule="auto"/>
      </w:pPr>
      <w:rPr>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tcBorders>
      </w:tcPr>
    </w:tblStylePr>
    <w:tblStylePr w:type="firstCol">
      <w:rPr>
        <w:b/>
        <w:bCs/>
      </w:rPr>
    </w:tblStylePr>
    <w:tblStylePr w:type="lastCol">
      <w:rPr>
        <w:b/>
        <w:bCs/>
      </w:r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style>
  <w:style w:type="table" w:styleId="LightList-Accent2">
    <w:name w:val="Light List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pPr>
        <w:spacing w:before="0" w:after="0" w:line="240" w:lineRule="auto"/>
      </w:pPr>
      <w:rPr>
        <w:b/>
        <w:bCs/>
        <w:color w:val="FFFFFF" w:themeColor="background1"/>
      </w:rPr>
      <w:tblPr/>
      <w:tcPr>
        <w:shd w:val="clear" w:color="auto" w:fill="B7DDE8" w:themeFill="accent2"/>
      </w:tcPr>
    </w:tblStylePr>
    <w:tblStylePr w:type="lastRow">
      <w:pPr>
        <w:spacing w:before="0" w:after="0" w:line="240" w:lineRule="auto"/>
      </w:pPr>
      <w:rPr>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tcBorders>
      </w:tcPr>
    </w:tblStylePr>
    <w:tblStylePr w:type="firstCol">
      <w:rPr>
        <w:b/>
        <w:bCs/>
      </w:rPr>
    </w:tblStylePr>
    <w:tblStylePr w:type="lastCol">
      <w:rPr>
        <w:b/>
        <w:bCs/>
      </w:r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style>
  <w:style w:type="table" w:styleId="LightList-Accent3">
    <w:name w:val="Light List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pPr>
        <w:spacing w:before="0" w:after="0" w:line="240" w:lineRule="auto"/>
      </w:pPr>
      <w:rPr>
        <w:b/>
        <w:bCs/>
        <w:color w:val="FFFFFF" w:themeColor="background1"/>
      </w:rPr>
      <w:tblPr/>
      <w:tcPr>
        <w:shd w:val="clear" w:color="auto" w:fill="DBEEF3" w:themeFill="accent3"/>
      </w:tcPr>
    </w:tblStylePr>
    <w:tblStylePr w:type="lastRow">
      <w:pPr>
        <w:spacing w:before="0" w:after="0" w:line="240" w:lineRule="auto"/>
      </w:pPr>
      <w:rPr>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tcBorders>
      </w:tcPr>
    </w:tblStylePr>
    <w:tblStylePr w:type="firstCol">
      <w:rPr>
        <w:b/>
        <w:bCs/>
      </w:rPr>
    </w:tblStylePr>
    <w:tblStylePr w:type="lastCol">
      <w:rPr>
        <w:b/>
        <w:bCs/>
      </w:r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style>
  <w:style w:type="table" w:styleId="LightList-Accent4">
    <w:name w:val="Light List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pPr>
        <w:spacing w:before="0" w:after="0" w:line="240" w:lineRule="auto"/>
      </w:pPr>
      <w:rPr>
        <w:b/>
        <w:bCs/>
        <w:color w:val="FFFFFF" w:themeColor="background1"/>
      </w:rPr>
      <w:tblPr/>
      <w:tcPr>
        <w:shd w:val="clear" w:color="auto" w:fill="92CDDC" w:themeFill="accent4"/>
      </w:tcPr>
    </w:tblStylePr>
    <w:tblStylePr w:type="lastRow">
      <w:pPr>
        <w:spacing w:before="0" w:after="0" w:line="240" w:lineRule="auto"/>
      </w:pPr>
      <w:rPr>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tcBorders>
      </w:tcPr>
    </w:tblStylePr>
    <w:tblStylePr w:type="firstCol">
      <w:rPr>
        <w:b/>
        <w:bCs/>
      </w:rPr>
    </w:tblStylePr>
    <w:tblStylePr w:type="lastCol">
      <w:rPr>
        <w:b/>
        <w:bCs/>
      </w:r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style>
  <w:style w:type="table" w:styleId="LightList-Accent5">
    <w:name w:val="Light List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pPr>
        <w:spacing w:before="0" w:after="0" w:line="240" w:lineRule="auto"/>
      </w:pPr>
      <w:rPr>
        <w:b/>
        <w:bCs/>
        <w:color w:val="FFFFFF" w:themeColor="background1"/>
      </w:rPr>
      <w:tblPr/>
      <w:tcPr>
        <w:shd w:val="clear" w:color="auto" w:fill="31859B" w:themeFill="accent5"/>
      </w:tcPr>
    </w:tblStylePr>
    <w:tblStylePr w:type="lastRow">
      <w:pPr>
        <w:spacing w:before="0" w:after="0" w:line="240" w:lineRule="auto"/>
      </w:pPr>
      <w:rPr>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tcBorders>
      </w:tcPr>
    </w:tblStylePr>
    <w:tblStylePr w:type="firstCol">
      <w:rPr>
        <w:b/>
        <w:bCs/>
      </w:rPr>
    </w:tblStylePr>
    <w:tblStylePr w:type="lastCol">
      <w:rPr>
        <w:b/>
        <w:bCs/>
      </w:r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style>
  <w:style w:type="table" w:styleId="LightList-Accent6">
    <w:name w:val="Light List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pPr>
        <w:spacing w:before="0" w:after="0" w:line="240" w:lineRule="auto"/>
      </w:pPr>
      <w:rPr>
        <w:b/>
        <w:bCs/>
        <w:color w:val="FFFFFF" w:themeColor="background1"/>
      </w:rPr>
      <w:tblPr/>
      <w:tcPr>
        <w:shd w:val="clear" w:color="auto" w:fill="64B8CE" w:themeFill="accent6"/>
      </w:tcPr>
    </w:tblStylePr>
    <w:tblStylePr w:type="lastRow">
      <w:pPr>
        <w:spacing w:before="0" w:after="0" w:line="240" w:lineRule="auto"/>
      </w:pPr>
      <w:rPr>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tcBorders>
      </w:tcPr>
    </w:tblStylePr>
    <w:tblStylePr w:type="firstCol">
      <w:rPr>
        <w:b/>
        <w:bCs/>
      </w:rPr>
    </w:tblStylePr>
    <w:tblStylePr w:type="lastCol">
      <w:rPr>
        <w:b/>
        <w:bCs/>
      </w:r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style>
  <w:style w:type="table" w:customStyle="1" w:styleId="LightShading1">
    <w:name w:val="Light Shading1"/>
    <w:basedOn w:val="TableNormal"/>
    <w:uiPriority w:val="99"/>
    <w:semiHidden/>
    <w:rsid w:val="00361DEB"/>
    <w:pPr>
      <w:spacing w:after="0"/>
    </w:pPr>
    <w:rPr>
      <w:color w:val="00556B" w:themeColor="text1" w:themeShade="BF"/>
    </w:rPr>
    <w:tblPr>
      <w:tblStyleRowBandSize w:val="1"/>
      <w:tblStyleColBandSize w:val="1"/>
      <w:tblBorders>
        <w:top w:val="single" w:sz="8" w:space="0" w:color="00728F" w:themeColor="text1"/>
        <w:bottom w:val="single" w:sz="8" w:space="0" w:color="00728F" w:themeColor="text1"/>
      </w:tblBorders>
    </w:tblPr>
    <w:tblStylePr w:type="fir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la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left w:val="nil"/>
          <w:right w:val="nil"/>
          <w:insideH w:val="nil"/>
          <w:insideV w:val="nil"/>
        </w:tcBorders>
        <w:shd w:val="clear" w:color="auto" w:fill="A4ECFF" w:themeFill="text1" w:themeFillTint="3F"/>
      </w:tcPr>
    </w:tblStylePr>
  </w:style>
  <w:style w:type="table" w:customStyle="1" w:styleId="LightShading-Accent11">
    <w:name w:val="Light Shading - Accent 11"/>
    <w:basedOn w:val="TableNormal"/>
    <w:uiPriority w:val="99"/>
    <w:semiHidden/>
    <w:rsid w:val="00361DEB"/>
    <w:pPr>
      <w:spacing w:after="0"/>
    </w:pPr>
    <w:rPr>
      <w:color w:val="00556B" w:themeColor="accent1" w:themeShade="BF"/>
    </w:rPr>
    <w:tblPr>
      <w:tblStyleRowBandSize w:val="1"/>
      <w:tblStyleColBandSize w:val="1"/>
      <w:tblBorders>
        <w:top w:val="single" w:sz="8" w:space="0" w:color="00728F" w:themeColor="accent1"/>
        <w:bottom w:val="single" w:sz="8" w:space="0" w:color="00728F" w:themeColor="accent1"/>
      </w:tblBorders>
    </w:tblPr>
    <w:tblStylePr w:type="fir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la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left w:val="nil"/>
          <w:right w:val="nil"/>
          <w:insideH w:val="nil"/>
          <w:insideV w:val="nil"/>
        </w:tcBorders>
        <w:shd w:val="clear" w:color="auto" w:fill="A4ECFF" w:themeFill="accent1" w:themeFillTint="3F"/>
      </w:tcPr>
    </w:tblStylePr>
  </w:style>
  <w:style w:type="table" w:styleId="LightShading-Accent2">
    <w:name w:val="Light Shading Accent 2"/>
    <w:basedOn w:val="TableNormal"/>
    <w:uiPriority w:val="99"/>
    <w:semiHidden/>
    <w:rsid w:val="00361DEB"/>
    <w:pPr>
      <w:spacing w:after="0"/>
    </w:pPr>
    <w:rPr>
      <w:color w:val="67B7CE" w:themeColor="accent2" w:themeShade="BF"/>
    </w:rPr>
    <w:tblPr>
      <w:tblStyleRowBandSize w:val="1"/>
      <w:tblStyleColBandSize w:val="1"/>
      <w:tblBorders>
        <w:top w:val="single" w:sz="8" w:space="0" w:color="B7DDE8" w:themeColor="accent2"/>
        <w:bottom w:val="single" w:sz="8" w:space="0" w:color="B7DDE8" w:themeColor="accent2"/>
      </w:tblBorders>
    </w:tblPr>
    <w:tblStylePr w:type="fir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la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left w:val="nil"/>
          <w:right w:val="nil"/>
          <w:insideH w:val="nil"/>
          <w:insideV w:val="nil"/>
        </w:tcBorders>
        <w:shd w:val="clear" w:color="auto" w:fill="EDF6F9" w:themeFill="accent2" w:themeFillTint="3F"/>
      </w:tcPr>
    </w:tblStylePr>
  </w:style>
  <w:style w:type="table" w:styleId="LightShading-Accent3">
    <w:name w:val="Light Shading Accent 3"/>
    <w:basedOn w:val="TableNormal"/>
    <w:uiPriority w:val="99"/>
    <w:semiHidden/>
    <w:rsid w:val="00361DEB"/>
    <w:pPr>
      <w:spacing w:after="0"/>
    </w:pPr>
    <w:rPr>
      <w:color w:val="84C4D6" w:themeColor="accent3" w:themeShade="BF"/>
    </w:rPr>
    <w:tblPr>
      <w:tblStyleRowBandSize w:val="1"/>
      <w:tblStyleColBandSize w:val="1"/>
      <w:tblBorders>
        <w:top w:val="single" w:sz="8" w:space="0" w:color="DBEEF3" w:themeColor="accent3"/>
        <w:bottom w:val="single" w:sz="8" w:space="0" w:color="DBEEF3" w:themeColor="accent3"/>
      </w:tblBorders>
    </w:tblPr>
    <w:tblStylePr w:type="fir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la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left w:val="nil"/>
          <w:right w:val="nil"/>
          <w:insideH w:val="nil"/>
          <w:insideV w:val="nil"/>
        </w:tcBorders>
        <w:shd w:val="clear" w:color="auto" w:fill="F6FAFC" w:themeFill="accent3" w:themeFillTint="3F"/>
      </w:tcPr>
    </w:tblStylePr>
  </w:style>
  <w:style w:type="table" w:styleId="LightShading-Accent4">
    <w:name w:val="Light Shading Accent 4"/>
    <w:basedOn w:val="TableNormal"/>
    <w:uiPriority w:val="99"/>
    <w:semiHidden/>
    <w:rsid w:val="00361DEB"/>
    <w:pPr>
      <w:spacing w:after="0"/>
    </w:pPr>
    <w:rPr>
      <w:color w:val="4CACC5" w:themeColor="accent4" w:themeShade="BF"/>
    </w:rPr>
    <w:tblPr>
      <w:tblStyleRowBandSize w:val="1"/>
      <w:tblStyleColBandSize w:val="1"/>
      <w:tblBorders>
        <w:top w:val="single" w:sz="8" w:space="0" w:color="92CDDC" w:themeColor="accent4"/>
        <w:bottom w:val="single" w:sz="8" w:space="0" w:color="92CDDC" w:themeColor="accent4"/>
      </w:tblBorders>
    </w:tblPr>
    <w:tblStylePr w:type="fir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la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left w:val="nil"/>
          <w:right w:val="nil"/>
          <w:insideH w:val="nil"/>
          <w:insideV w:val="nil"/>
        </w:tcBorders>
        <w:shd w:val="clear" w:color="auto" w:fill="E4F2F6" w:themeFill="accent4" w:themeFillTint="3F"/>
      </w:tcPr>
    </w:tblStylePr>
  </w:style>
  <w:style w:type="table" w:styleId="LightShading-Accent5">
    <w:name w:val="Light Shading Accent 5"/>
    <w:basedOn w:val="TableNormal"/>
    <w:uiPriority w:val="99"/>
    <w:semiHidden/>
    <w:rsid w:val="00361DEB"/>
    <w:pPr>
      <w:spacing w:after="0"/>
    </w:pPr>
    <w:rPr>
      <w:color w:val="246373" w:themeColor="accent5" w:themeShade="BF"/>
    </w:rPr>
    <w:tblPr>
      <w:tblStyleRowBandSize w:val="1"/>
      <w:tblStyleColBandSize w:val="1"/>
      <w:tblBorders>
        <w:top w:val="single" w:sz="8" w:space="0" w:color="31859B" w:themeColor="accent5"/>
        <w:bottom w:val="single" w:sz="8" w:space="0" w:color="31859B" w:themeColor="accent5"/>
      </w:tblBorders>
    </w:tblPr>
    <w:tblStylePr w:type="fir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la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left w:val="nil"/>
          <w:right w:val="nil"/>
          <w:insideH w:val="nil"/>
          <w:insideV w:val="nil"/>
        </w:tcBorders>
        <w:shd w:val="clear" w:color="auto" w:fill="C5E4EC" w:themeFill="accent5" w:themeFillTint="3F"/>
      </w:tcPr>
    </w:tblStylePr>
  </w:style>
  <w:style w:type="table" w:styleId="LightShading-Accent6">
    <w:name w:val="Light Shading Accent 6"/>
    <w:basedOn w:val="TableNormal"/>
    <w:uiPriority w:val="99"/>
    <w:semiHidden/>
    <w:rsid w:val="00361DEB"/>
    <w:pPr>
      <w:spacing w:after="0"/>
    </w:pPr>
    <w:rPr>
      <w:color w:val="3795AD" w:themeColor="accent6" w:themeShade="BF"/>
    </w:rPr>
    <w:tblPr>
      <w:tblStyleRowBandSize w:val="1"/>
      <w:tblStyleColBandSize w:val="1"/>
      <w:tblBorders>
        <w:top w:val="single" w:sz="8" w:space="0" w:color="64B8CE" w:themeColor="accent6"/>
        <w:bottom w:val="single" w:sz="8" w:space="0" w:color="64B8CE" w:themeColor="accent6"/>
      </w:tblBorders>
    </w:tblPr>
    <w:tblStylePr w:type="fir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la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left w:val="nil"/>
          <w:right w:val="nil"/>
          <w:insideH w:val="nil"/>
          <w:insideV w:val="nil"/>
        </w:tcBorders>
        <w:shd w:val="clear" w:color="auto" w:fill="D8EDF2" w:themeFill="accent6" w:themeFillTint="3F"/>
      </w:tcPr>
    </w:tblStylePr>
  </w:style>
  <w:style w:type="table" w:customStyle="1" w:styleId="MediumGrid11">
    <w:name w:val="Medium Grid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insideV w:val="single" w:sz="8" w:space="0" w:color="00BBEB" w:themeColor="text1" w:themeTint="BF"/>
      </w:tblBorders>
    </w:tblPr>
    <w:tcPr>
      <w:shd w:val="clear" w:color="auto" w:fill="A4ECFF" w:themeFill="text1" w:themeFillTint="3F"/>
    </w:tcPr>
    <w:tblStylePr w:type="firstRow">
      <w:rPr>
        <w:b/>
        <w:bCs/>
      </w:rPr>
    </w:tblStylePr>
    <w:tblStylePr w:type="lastRow">
      <w:rPr>
        <w:b/>
        <w:bCs/>
      </w:rPr>
      <w:tblPr/>
      <w:tcPr>
        <w:tcBorders>
          <w:top w:val="single" w:sz="18" w:space="0" w:color="00BBEB" w:themeColor="text1" w:themeTint="BF"/>
        </w:tcBorders>
      </w:tcPr>
    </w:tblStylePr>
    <w:tblStylePr w:type="firstCol">
      <w:rPr>
        <w:b/>
        <w:bCs/>
      </w:rPr>
    </w:tblStylePr>
    <w:tblStylePr w:type="lastCol">
      <w:rPr>
        <w:b/>
        <w:bCs/>
      </w:r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MediumGrid1-Accent1">
    <w:name w:val="Medium Grid 1 Accent 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insideV w:val="single" w:sz="8" w:space="0" w:color="00BBEB" w:themeColor="accent1" w:themeTint="BF"/>
      </w:tblBorders>
    </w:tblPr>
    <w:tcPr>
      <w:shd w:val="clear" w:color="auto" w:fill="A4ECFF" w:themeFill="accent1" w:themeFillTint="3F"/>
    </w:tcPr>
    <w:tblStylePr w:type="firstRow">
      <w:rPr>
        <w:b/>
        <w:bCs/>
      </w:rPr>
    </w:tblStylePr>
    <w:tblStylePr w:type="lastRow">
      <w:rPr>
        <w:b/>
        <w:bCs/>
      </w:rPr>
      <w:tblPr/>
      <w:tcPr>
        <w:tcBorders>
          <w:top w:val="single" w:sz="18" w:space="0" w:color="00BBEB" w:themeColor="accent1" w:themeTint="BF"/>
        </w:tcBorders>
      </w:tcPr>
    </w:tblStylePr>
    <w:tblStylePr w:type="firstCol">
      <w:rPr>
        <w:b/>
        <w:bCs/>
      </w:rPr>
    </w:tblStylePr>
    <w:tblStylePr w:type="lastCol">
      <w:rPr>
        <w:b/>
        <w:bCs/>
      </w:r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MediumGrid1-Accent2">
    <w:name w:val="Medium Grid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insideV w:val="single" w:sz="8" w:space="0" w:color="C8E5ED" w:themeColor="accent2" w:themeTint="BF"/>
      </w:tblBorders>
    </w:tblPr>
    <w:tcPr>
      <w:shd w:val="clear" w:color="auto" w:fill="EDF6F9" w:themeFill="accent2" w:themeFillTint="3F"/>
    </w:tcPr>
    <w:tblStylePr w:type="firstRow">
      <w:rPr>
        <w:b/>
        <w:bCs/>
      </w:rPr>
    </w:tblStylePr>
    <w:tblStylePr w:type="lastRow">
      <w:rPr>
        <w:b/>
        <w:bCs/>
      </w:rPr>
      <w:tblPr/>
      <w:tcPr>
        <w:tcBorders>
          <w:top w:val="single" w:sz="18" w:space="0" w:color="C8E5ED" w:themeColor="accent2" w:themeTint="BF"/>
        </w:tcBorders>
      </w:tcPr>
    </w:tblStylePr>
    <w:tblStylePr w:type="firstCol">
      <w:rPr>
        <w:b/>
        <w:bCs/>
      </w:rPr>
    </w:tblStylePr>
    <w:tblStylePr w:type="lastCol">
      <w:rPr>
        <w:b/>
        <w:bCs/>
      </w:r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MediumGrid1-Accent3">
    <w:name w:val="Medium Grid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insideV w:val="single" w:sz="8" w:space="0" w:color="E4F2F6" w:themeColor="accent3" w:themeTint="BF"/>
      </w:tblBorders>
    </w:tblPr>
    <w:tcPr>
      <w:shd w:val="clear" w:color="auto" w:fill="F6FAFC" w:themeFill="accent3" w:themeFillTint="3F"/>
    </w:tcPr>
    <w:tblStylePr w:type="firstRow">
      <w:rPr>
        <w:b/>
        <w:bCs/>
      </w:rPr>
    </w:tblStylePr>
    <w:tblStylePr w:type="lastRow">
      <w:rPr>
        <w:b/>
        <w:bCs/>
      </w:rPr>
      <w:tblPr/>
      <w:tcPr>
        <w:tcBorders>
          <w:top w:val="single" w:sz="18" w:space="0" w:color="E4F2F6" w:themeColor="accent3" w:themeTint="BF"/>
        </w:tcBorders>
      </w:tcPr>
    </w:tblStylePr>
    <w:tblStylePr w:type="firstCol">
      <w:rPr>
        <w:b/>
        <w:bCs/>
      </w:rPr>
    </w:tblStylePr>
    <w:tblStylePr w:type="lastCol">
      <w:rPr>
        <w:b/>
        <w:bCs/>
      </w:r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MediumGrid1-Accent4">
    <w:name w:val="Medium Grid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insideV w:val="single" w:sz="8" w:space="0" w:color="ADD9E4" w:themeColor="accent4" w:themeTint="BF"/>
      </w:tblBorders>
    </w:tblPr>
    <w:tcPr>
      <w:shd w:val="clear" w:color="auto" w:fill="E4F2F6" w:themeFill="accent4" w:themeFillTint="3F"/>
    </w:tcPr>
    <w:tblStylePr w:type="firstRow">
      <w:rPr>
        <w:b/>
        <w:bCs/>
      </w:rPr>
    </w:tblStylePr>
    <w:tblStylePr w:type="lastRow">
      <w:rPr>
        <w:b/>
        <w:bCs/>
      </w:rPr>
      <w:tblPr/>
      <w:tcPr>
        <w:tcBorders>
          <w:top w:val="single" w:sz="18" w:space="0" w:color="ADD9E4" w:themeColor="accent4" w:themeTint="BF"/>
        </w:tcBorders>
      </w:tcPr>
    </w:tblStylePr>
    <w:tblStylePr w:type="firstCol">
      <w:rPr>
        <w:b/>
        <w:bCs/>
      </w:rPr>
    </w:tblStylePr>
    <w:tblStylePr w:type="lastCol">
      <w:rPr>
        <w:b/>
        <w:bCs/>
      </w:r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MediumGrid1-Accent5">
    <w:name w:val="Medium Grid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insideV w:val="single" w:sz="8" w:space="0" w:color="50AFC8" w:themeColor="accent5" w:themeTint="BF"/>
      </w:tblBorders>
    </w:tblPr>
    <w:tcPr>
      <w:shd w:val="clear" w:color="auto" w:fill="C5E4EC" w:themeFill="accent5" w:themeFillTint="3F"/>
    </w:tcPr>
    <w:tblStylePr w:type="firstRow">
      <w:rPr>
        <w:b/>
        <w:bCs/>
      </w:rPr>
    </w:tblStylePr>
    <w:tblStylePr w:type="lastRow">
      <w:rPr>
        <w:b/>
        <w:bCs/>
      </w:rPr>
      <w:tblPr/>
      <w:tcPr>
        <w:tcBorders>
          <w:top w:val="single" w:sz="18" w:space="0" w:color="50AFC8" w:themeColor="accent5" w:themeTint="BF"/>
        </w:tcBorders>
      </w:tcPr>
    </w:tblStylePr>
    <w:tblStylePr w:type="firstCol">
      <w:rPr>
        <w:b/>
        <w:bCs/>
      </w:rPr>
    </w:tblStylePr>
    <w:tblStylePr w:type="lastCol">
      <w:rPr>
        <w:b/>
        <w:bCs/>
      </w:r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MediumGrid1-Accent6">
    <w:name w:val="Medium Grid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insideV w:val="single" w:sz="8" w:space="0" w:color="8AC9DA" w:themeColor="accent6" w:themeTint="BF"/>
      </w:tblBorders>
    </w:tblPr>
    <w:tcPr>
      <w:shd w:val="clear" w:color="auto" w:fill="D8EDF2" w:themeFill="accent6" w:themeFillTint="3F"/>
    </w:tcPr>
    <w:tblStylePr w:type="firstRow">
      <w:rPr>
        <w:b/>
        <w:bCs/>
      </w:rPr>
    </w:tblStylePr>
    <w:tblStylePr w:type="lastRow">
      <w:rPr>
        <w:b/>
        <w:bCs/>
      </w:rPr>
      <w:tblPr/>
      <w:tcPr>
        <w:tcBorders>
          <w:top w:val="single" w:sz="18" w:space="0" w:color="8AC9DA" w:themeColor="accent6" w:themeTint="BF"/>
        </w:tcBorders>
      </w:tcPr>
    </w:tblStylePr>
    <w:tblStylePr w:type="firstCol">
      <w:rPr>
        <w:b/>
        <w:bCs/>
      </w:rPr>
    </w:tblStylePr>
    <w:tblStylePr w:type="lastCol">
      <w:rPr>
        <w:b/>
        <w:bCs/>
      </w:r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MediumGrid21">
    <w:name w:val="Medium Grid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cPr>
      <w:shd w:val="clear" w:color="auto" w:fill="A4ECFF" w:themeFill="text1" w:themeFillTint="3F"/>
    </w:tcPr>
    <w:tblStylePr w:type="firstRow">
      <w:rPr>
        <w:b/>
        <w:bCs/>
        <w:color w:val="00728F" w:themeColor="text1"/>
      </w:rPr>
      <w:tblPr/>
      <w:tcPr>
        <w:shd w:val="clear" w:color="auto" w:fill="DBF7FF" w:themeFill="tex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text1" w:themeFillTint="33"/>
      </w:tcPr>
    </w:tblStylePr>
    <w:tblStylePr w:type="band1Vert">
      <w:tblPr/>
      <w:tcPr>
        <w:shd w:val="clear" w:color="auto" w:fill="48D9FF" w:themeFill="text1" w:themeFillTint="7F"/>
      </w:tcPr>
    </w:tblStylePr>
    <w:tblStylePr w:type="band1Horz">
      <w:tblPr/>
      <w:tcPr>
        <w:tcBorders>
          <w:insideH w:val="single" w:sz="6" w:space="0" w:color="00728F" w:themeColor="text1"/>
          <w:insideV w:val="single" w:sz="6" w:space="0" w:color="00728F" w:themeColor="text1"/>
        </w:tcBorders>
        <w:shd w:val="clear" w:color="auto" w:fill="48D9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cPr>
      <w:shd w:val="clear" w:color="auto" w:fill="A4ECFF" w:themeFill="accent1" w:themeFillTint="3F"/>
    </w:tcPr>
    <w:tblStylePr w:type="firstRow">
      <w:rPr>
        <w:b/>
        <w:bCs/>
        <w:color w:val="00728F" w:themeColor="text1"/>
      </w:rPr>
      <w:tblPr/>
      <w:tcPr>
        <w:shd w:val="clear" w:color="auto" w:fill="DBF7FF" w:themeFill="accen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accent1" w:themeFillTint="33"/>
      </w:tcPr>
    </w:tblStylePr>
    <w:tblStylePr w:type="band1Vert">
      <w:tblPr/>
      <w:tcPr>
        <w:shd w:val="clear" w:color="auto" w:fill="48D9FF" w:themeFill="accent1" w:themeFillTint="7F"/>
      </w:tcPr>
    </w:tblStylePr>
    <w:tblStylePr w:type="band1Horz">
      <w:tblPr/>
      <w:tcPr>
        <w:tcBorders>
          <w:insideH w:val="single" w:sz="6" w:space="0" w:color="00728F" w:themeColor="accent1"/>
          <w:insideV w:val="single" w:sz="6" w:space="0" w:color="00728F" w:themeColor="accent1"/>
        </w:tcBorders>
        <w:shd w:val="clear" w:color="auto" w:fill="4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cPr>
      <w:shd w:val="clear" w:color="auto" w:fill="EDF6F9" w:themeFill="accent2" w:themeFillTint="3F"/>
    </w:tcPr>
    <w:tblStylePr w:type="firstRow">
      <w:rPr>
        <w:b/>
        <w:bCs/>
        <w:color w:val="00728F" w:themeColor="text1"/>
      </w:rPr>
      <w:tblPr/>
      <w:tcPr>
        <w:shd w:val="clear" w:color="auto" w:fill="F7FBFC" w:themeFill="accent2"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0F8FA" w:themeFill="accent2" w:themeFillTint="33"/>
      </w:tcPr>
    </w:tblStylePr>
    <w:tblStylePr w:type="band1Vert">
      <w:tblPr/>
      <w:tcPr>
        <w:shd w:val="clear" w:color="auto" w:fill="DBEEF3" w:themeFill="accent2" w:themeFillTint="7F"/>
      </w:tcPr>
    </w:tblStylePr>
    <w:tblStylePr w:type="band1Horz">
      <w:tblPr/>
      <w:tcPr>
        <w:tcBorders>
          <w:insideH w:val="single" w:sz="6" w:space="0" w:color="B7DDE8" w:themeColor="accent2"/>
          <w:insideV w:val="single" w:sz="6" w:space="0" w:color="B7DDE8" w:themeColor="accent2"/>
        </w:tcBorders>
        <w:shd w:val="clear" w:color="auto" w:fill="DBEE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cPr>
      <w:shd w:val="clear" w:color="auto" w:fill="F6FAFC" w:themeFill="accent3" w:themeFillTint="3F"/>
    </w:tcPr>
    <w:tblStylePr w:type="firstRow">
      <w:rPr>
        <w:b/>
        <w:bCs/>
        <w:color w:val="00728F" w:themeColor="text1"/>
      </w:rPr>
      <w:tblPr/>
      <w:tcPr>
        <w:shd w:val="clear" w:color="auto" w:fill="FBFDFD" w:themeFill="accent3"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7FBFC" w:themeFill="accent3" w:themeFillTint="33"/>
      </w:tcPr>
    </w:tblStylePr>
    <w:tblStylePr w:type="band1Vert">
      <w:tblPr/>
      <w:tcPr>
        <w:shd w:val="clear" w:color="auto" w:fill="EDF6F9" w:themeFill="accent3" w:themeFillTint="7F"/>
      </w:tcPr>
    </w:tblStylePr>
    <w:tblStylePr w:type="band1Horz">
      <w:tblPr/>
      <w:tcPr>
        <w:tcBorders>
          <w:insideH w:val="single" w:sz="6" w:space="0" w:color="DBEEF3" w:themeColor="accent3"/>
          <w:insideV w:val="single" w:sz="6" w:space="0" w:color="DBEEF3" w:themeColor="accent3"/>
        </w:tcBorders>
        <w:shd w:val="clear" w:color="auto" w:fill="EDF6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cPr>
      <w:shd w:val="clear" w:color="auto" w:fill="E4F2F6" w:themeFill="accent4" w:themeFillTint="3F"/>
    </w:tcPr>
    <w:tblStylePr w:type="firstRow">
      <w:rPr>
        <w:b/>
        <w:bCs/>
        <w:color w:val="00728F" w:themeColor="text1"/>
      </w:rPr>
      <w:tblPr/>
      <w:tcPr>
        <w:shd w:val="clear" w:color="auto" w:fill="F4FAFB" w:themeFill="accent4"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E9F4F8" w:themeFill="accent4" w:themeFillTint="33"/>
      </w:tcPr>
    </w:tblStylePr>
    <w:tblStylePr w:type="band1Vert">
      <w:tblPr/>
      <w:tcPr>
        <w:shd w:val="clear" w:color="auto" w:fill="C8E5ED" w:themeFill="accent4" w:themeFillTint="7F"/>
      </w:tcPr>
    </w:tblStylePr>
    <w:tblStylePr w:type="band1Horz">
      <w:tblPr/>
      <w:tcPr>
        <w:tcBorders>
          <w:insideH w:val="single" w:sz="6" w:space="0" w:color="92CDDC" w:themeColor="accent4"/>
          <w:insideV w:val="single" w:sz="6" w:space="0" w:color="92CDDC" w:themeColor="accent4"/>
        </w:tcBorders>
        <w:shd w:val="clear" w:color="auto" w:fill="C8E5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cPr>
      <w:shd w:val="clear" w:color="auto" w:fill="C5E4EC" w:themeFill="accent5" w:themeFillTint="3F"/>
    </w:tcPr>
    <w:tblStylePr w:type="firstRow">
      <w:rPr>
        <w:b/>
        <w:bCs/>
        <w:color w:val="00728F" w:themeColor="text1"/>
      </w:rPr>
      <w:tblPr/>
      <w:tcPr>
        <w:shd w:val="clear" w:color="auto" w:fill="E8F4F7" w:themeFill="accent5"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0E9F0" w:themeFill="accent5" w:themeFillTint="33"/>
      </w:tcPr>
    </w:tblStylePr>
    <w:tblStylePr w:type="band1Vert">
      <w:tblPr/>
      <w:tcPr>
        <w:shd w:val="clear" w:color="auto" w:fill="8BC9DA" w:themeFill="accent5" w:themeFillTint="7F"/>
      </w:tcPr>
    </w:tblStylePr>
    <w:tblStylePr w:type="band1Horz">
      <w:tblPr/>
      <w:tcPr>
        <w:tcBorders>
          <w:insideH w:val="single" w:sz="6" w:space="0" w:color="31859B" w:themeColor="accent5"/>
          <w:insideV w:val="single" w:sz="6" w:space="0" w:color="31859B" w:themeColor="accent5"/>
        </w:tcBorders>
        <w:shd w:val="clear" w:color="auto" w:fill="8BC9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cPr>
      <w:shd w:val="clear" w:color="auto" w:fill="D8EDF2" w:themeFill="accent6" w:themeFillTint="3F"/>
    </w:tcPr>
    <w:tblStylePr w:type="firstRow">
      <w:rPr>
        <w:b/>
        <w:bCs/>
        <w:color w:val="00728F" w:themeColor="text1"/>
      </w:rPr>
      <w:tblPr/>
      <w:tcPr>
        <w:shd w:val="clear" w:color="auto" w:fill="EFF8FA" w:themeFill="accent6"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FF0F5" w:themeFill="accent6" w:themeFillTint="33"/>
      </w:tcPr>
    </w:tblStylePr>
    <w:tblStylePr w:type="band1Vert">
      <w:tblPr/>
      <w:tcPr>
        <w:shd w:val="clear" w:color="auto" w:fill="B1DBE6" w:themeFill="accent6" w:themeFillTint="7F"/>
      </w:tcPr>
    </w:tblStylePr>
    <w:tblStylePr w:type="band1Horz">
      <w:tblPr/>
      <w:tcPr>
        <w:tcBorders>
          <w:insideH w:val="single" w:sz="6" w:space="0" w:color="64B8CE" w:themeColor="accent6"/>
          <w:insideV w:val="single" w:sz="6" w:space="0" w:color="64B8CE" w:themeColor="accent6"/>
        </w:tcBorders>
        <w:shd w:val="clear" w:color="auto" w:fill="B1DBE6"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text1" w:themeFillTint="7F"/>
      </w:tcPr>
    </w:tblStylePr>
  </w:style>
  <w:style w:type="table" w:styleId="MediumGrid3-Accent1">
    <w:name w:val="Medium Grid 3 Accent 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accent1" w:themeFillTint="7F"/>
      </w:tcPr>
    </w:tblStylePr>
  </w:style>
  <w:style w:type="table" w:styleId="MediumGrid3-Accent2">
    <w:name w:val="Medium Grid 3 Accent 2"/>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6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DD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DD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E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EF3" w:themeFill="accent2" w:themeFillTint="7F"/>
      </w:tcPr>
    </w:tblStylePr>
  </w:style>
  <w:style w:type="table" w:styleId="MediumGrid3-Accent3">
    <w:name w:val="Medium Grid 3 Accent 3"/>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A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EEF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EEF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F6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F6F9" w:themeFill="accent3" w:themeFillTint="7F"/>
      </w:tcPr>
    </w:tblStylePr>
  </w:style>
  <w:style w:type="table" w:styleId="MediumGrid3-Accent4">
    <w:name w:val="Medium Grid 3 Accent 4"/>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2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C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C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5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5ED" w:themeFill="accent4" w:themeFillTint="7F"/>
      </w:tcPr>
    </w:tblStylePr>
  </w:style>
  <w:style w:type="table" w:styleId="MediumGrid3-Accent5">
    <w:name w:val="Medium Grid 3 Accent 5"/>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4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85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85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C9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C9DA" w:themeFill="accent5" w:themeFillTint="7F"/>
      </w:tcPr>
    </w:tblStylePr>
  </w:style>
  <w:style w:type="table" w:styleId="MediumGrid3-Accent6">
    <w:name w:val="Medium Grid 3 Accent 6"/>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D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B8C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B8C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DB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DBE6" w:themeFill="accent6" w:themeFillTint="7F"/>
      </w:tcPr>
    </w:tblStylePr>
  </w:style>
  <w:style w:type="table" w:customStyle="1" w:styleId="MediumList11">
    <w:name w:val="Medium List 11"/>
    <w:basedOn w:val="TableNormal"/>
    <w:uiPriority w:val="99"/>
    <w:semiHidden/>
    <w:rsid w:val="00361DEB"/>
    <w:pPr>
      <w:spacing w:after="0"/>
    </w:pPr>
    <w:rPr>
      <w:color w:val="00728F" w:themeColor="text1"/>
    </w:rPr>
    <w:tblPr>
      <w:tblStyleRowBandSize w:val="1"/>
      <w:tblStyleColBandSize w:val="1"/>
      <w:tblBorders>
        <w:top w:val="single" w:sz="8" w:space="0" w:color="00728F" w:themeColor="text1"/>
        <w:bottom w:val="single" w:sz="8" w:space="0" w:color="00728F" w:themeColor="text1"/>
      </w:tblBorders>
    </w:tblPr>
    <w:tblStylePr w:type="firstRow">
      <w:rPr>
        <w:rFonts w:asciiTheme="majorHAnsi" w:eastAsiaTheme="majorEastAsia" w:hAnsiTheme="majorHAnsi" w:cstheme="majorBidi"/>
      </w:rPr>
      <w:tblPr/>
      <w:tcPr>
        <w:tcBorders>
          <w:top w:val="nil"/>
          <w:bottom w:val="single" w:sz="8" w:space="0" w:color="00728F" w:themeColor="text1"/>
        </w:tcBorders>
      </w:tcPr>
    </w:tblStylePr>
    <w:tblStylePr w:type="lastRow">
      <w:rPr>
        <w:b/>
        <w:bCs/>
        <w:color w:val="B7DDE8" w:themeColor="text2"/>
      </w:rPr>
      <w:tblPr/>
      <w:tcPr>
        <w:tcBorders>
          <w:top w:val="single" w:sz="8" w:space="0" w:color="00728F" w:themeColor="text1"/>
          <w:bottom w:val="single" w:sz="8" w:space="0" w:color="00728F" w:themeColor="text1"/>
        </w:tcBorders>
      </w:tcPr>
    </w:tblStylePr>
    <w:tblStylePr w:type="firstCol">
      <w:rPr>
        <w:b/>
        <w:bCs/>
      </w:rPr>
    </w:tblStylePr>
    <w:tblStylePr w:type="lastCol">
      <w:rPr>
        <w:b/>
        <w:bCs/>
      </w:rPr>
      <w:tblPr/>
      <w:tcPr>
        <w:tcBorders>
          <w:top w:val="single" w:sz="8" w:space="0" w:color="00728F" w:themeColor="text1"/>
          <w:bottom w:val="single" w:sz="8" w:space="0" w:color="00728F" w:themeColor="text1"/>
        </w:tcBorders>
      </w:tcPr>
    </w:tblStylePr>
    <w:tblStylePr w:type="band1Vert">
      <w:tblPr/>
      <w:tcPr>
        <w:shd w:val="clear" w:color="auto" w:fill="A4ECFF" w:themeFill="text1" w:themeFillTint="3F"/>
      </w:tcPr>
    </w:tblStylePr>
    <w:tblStylePr w:type="band1Horz">
      <w:tblPr/>
      <w:tcPr>
        <w:shd w:val="clear" w:color="auto" w:fill="A4ECFF" w:themeFill="text1" w:themeFillTint="3F"/>
      </w:tcPr>
    </w:tblStylePr>
  </w:style>
  <w:style w:type="table" w:customStyle="1" w:styleId="MediumList1-Accent11">
    <w:name w:val="Medium List 1 - Accent 11"/>
    <w:basedOn w:val="TableNormal"/>
    <w:uiPriority w:val="99"/>
    <w:semiHidden/>
    <w:rsid w:val="00361DEB"/>
    <w:pPr>
      <w:spacing w:after="0"/>
    </w:pPr>
    <w:rPr>
      <w:color w:val="00728F" w:themeColor="text1"/>
    </w:rPr>
    <w:tblPr>
      <w:tblStyleRowBandSize w:val="1"/>
      <w:tblStyleColBandSize w:val="1"/>
      <w:tblBorders>
        <w:top w:val="single" w:sz="8" w:space="0" w:color="00728F" w:themeColor="accent1"/>
        <w:bottom w:val="single" w:sz="8" w:space="0" w:color="00728F" w:themeColor="accent1"/>
      </w:tblBorders>
    </w:tblPr>
    <w:tblStylePr w:type="firstRow">
      <w:rPr>
        <w:rFonts w:asciiTheme="majorHAnsi" w:eastAsiaTheme="majorEastAsia" w:hAnsiTheme="majorHAnsi" w:cstheme="majorBidi"/>
      </w:rPr>
      <w:tblPr/>
      <w:tcPr>
        <w:tcBorders>
          <w:top w:val="nil"/>
          <w:bottom w:val="single" w:sz="8" w:space="0" w:color="00728F" w:themeColor="accent1"/>
        </w:tcBorders>
      </w:tcPr>
    </w:tblStylePr>
    <w:tblStylePr w:type="lastRow">
      <w:rPr>
        <w:b/>
        <w:bCs/>
        <w:color w:val="B7DDE8" w:themeColor="text2"/>
      </w:rPr>
      <w:tblPr/>
      <w:tcPr>
        <w:tcBorders>
          <w:top w:val="single" w:sz="8" w:space="0" w:color="00728F" w:themeColor="accent1"/>
          <w:bottom w:val="single" w:sz="8" w:space="0" w:color="00728F" w:themeColor="accent1"/>
        </w:tcBorders>
      </w:tcPr>
    </w:tblStylePr>
    <w:tblStylePr w:type="firstCol">
      <w:rPr>
        <w:b/>
        <w:bCs/>
      </w:rPr>
    </w:tblStylePr>
    <w:tblStylePr w:type="lastCol">
      <w:rPr>
        <w:b/>
        <w:bCs/>
      </w:rPr>
      <w:tblPr/>
      <w:tcPr>
        <w:tcBorders>
          <w:top w:val="single" w:sz="8" w:space="0" w:color="00728F" w:themeColor="accent1"/>
          <w:bottom w:val="single" w:sz="8" w:space="0" w:color="00728F" w:themeColor="accent1"/>
        </w:tcBorders>
      </w:tcPr>
    </w:tblStylePr>
    <w:tblStylePr w:type="band1Vert">
      <w:tblPr/>
      <w:tcPr>
        <w:shd w:val="clear" w:color="auto" w:fill="A4ECFF" w:themeFill="accent1" w:themeFillTint="3F"/>
      </w:tcPr>
    </w:tblStylePr>
    <w:tblStylePr w:type="band1Horz">
      <w:tblPr/>
      <w:tcPr>
        <w:shd w:val="clear" w:color="auto" w:fill="A4ECFF" w:themeFill="accent1" w:themeFillTint="3F"/>
      </w:tcPr>
    </w:tblStylePr>
  </w:style>
  <w:style w:type="table" w:styleId="MediumList1-Accent2">
    <w:name w:val="Medium List 1 Accent 2"/>
    <w:basedOn w:val="TableNormal"/>
    <w:uiPriority w:val="99"/>
    <w:semiHidden/>
    <w:rsid w:val="00361DEB"/>
    <w:pPr>
      <w:spacing w:after="0"/>
    </w:pPr>
    <w:rPr>
      <w:color w:val="00728F" w:themeColor="text1"/>
    </w:rPr>
    <w:tblPr>
      <w:tblStyleRowBandSize w:val="1"/>
      <w:tblStyleColBandSize w:val="1"/>
      <w:tblBorders>
        <w:top w:val="single" w:sz="8" w:space="0" w:color="B7DDE8" w:themeColor="accent2"/>
        <w:bottom w:val="single" w:sz="8" w:space="0" w:color="B7DDE8" w:themeColor="accent2"/>
      </w:tblBorders>
    </w:tblPr>
    <w:tblStylePr w:type="firstRow">
      <w:rPr>
        <w:rFonts w:asciiTheme="majorHAnsi" w:eastAsiaTheme="majorEastAsia" w:hAnsiTheme="majorHAnsi" w:cstheme="majorBidi"/>
      </w:rPr>
      <w:tblPr/>
      <w:tcPr>
        <w:tcBorders>
          <w:top w:val="nil"/>
          <w:bottom w:val="single" w:sz="8" w:space="0" w:color="B7DDE8" w:themeColor="accent2"/>
        </w:tcBorders>
      </w:tcPr>
    </w:tblStylePr>
    <w:tblStylePr w:type="lastRow">
      <w:rPr>
        <w:b/>
        <w:bCs/>
        <w:color w:val="B7DDE8" w:themeColor="text2"/>
      </w:rPr>
      <w:tblPr/>
      <w:tcPr>
        <w:tcBorders>
          <w:top w:val="single" w:sz="8" w:space="0" w:color="B7DDE8" w:themeColor="accent2"/>
          <w:bottom w:val="single" w:sz="8" w:space="0" w:color="B7DDE8" w:themeColor="accent2"/>
        </w:tcBorders>
      </w:tcPr>
    </w:tblStylePr>
    <w:tblStylePr w:type="firstCol">
      <w:rPr>
        <w:b/>
        <w:bCs/>
      </w:rPr>
    </w:tblStylePr>
    <w:tblStylePr w:type="lastCol">
      <w:rPr>
        <w:b/>
        <w:bCs/>
      </w:rPr>
      <w:tblPr/>
      <w:tcPr>
        <w:tcBorders>
          <w:top w:val="single" w:sz="8" w:space="0" w:color="B7DDE8" w:themeColor="accent2"/>
          <w:bottom w:val="single" w:sz="8" w:space="0" w:color="B7DDE8" w:themeColor="accent2"/>
        </w:tcBorders>
      </w:tcPr>
    </w:tblStylePr>
    <w:tblStylePr w:type="band1Vert">
      <w:tblPr/>
      <w:tcPr>
        <w:shd w:val="clear" w:color="auto" w:fill="EDF6F9" w:themeFill="accent2" w:themeFillTint="3F"/>
      </w:tcPr>
    </w:tblStylePr>
    <w:tblStylePr w:type="band1Horz">
      <w:tblPr/>
      <w:tcPr>
        <w:shd w:val="clear" w:color="auto" w:fill="EDF6F9" w:themeFill="accent2" w:themeFillTint="3F"/>
      </w:tcPr>
    </w:tblStylePr>
  </w:style>
  <w:style w:type="table" w:styleId="MediumList1-Accent3">
    <w:name w:val="Medium List 1 Accent 3"/>
    <w:basedOn w:val="TableNormal"/>
    <w:uiPriority w:val="99"/>
    <w:semiHidden/>
    <w:rsid w:val="00361DEB"/>
    <w:pPr>
      <w:spacing w:after="0"/>
    </w:pPr>
    <w:rPr>
      <w:color w:val="00728F" w:themeColor="text1"/>
    </w:rPr>
    <w:tblPr>
      <w:tblStyleRowBandSize w:val="1"/>
      <w:tblStyleColBandSize w:val="1"/>
      <w:tblBorders>
        <w:top w:val="single" w:sz="8" w:space="0" w:color="DBEEF3" w:themeColor="accent3"/>
        <w:bottom w:val="single" w:sz="8" w:space="0" w:color="DBEEF3" w:themeColor="accent3"/>
      </w:tblBorders>
    </w:tblPr>
    <w:tblStylePr w:type="firstRow">
      <w:rPr>
        <w:rFonts w:asciiTheme="majorHAnsi" w:eastAsiaTheme="majorEastAsia" w:hAnsiTheme="majorHAnsi" w:cstheme="majorBidi"/>
      </w:rPr>
      <w:tblPr/>
      <w:tcPr>
        <w:tcBorders>
          <w:top w:val="nil"/>
          <w:bottom w:val="single" w:sz="8" w:space="0" w:color="DBEEF3" w:themeColor="accent3"/>
        </w:tcBorders>
      </w:tcPr>
    </w:tblStylePr>
    <w:tblStylePr w:type="lastRow">
      <w:rPr>
        <w:b/>
        <w:bCs/>
        <w:color w:val="B7DDE8" w:themeColor="text2"/>
      </w:rPr>
      <w:tblPr/>
      <w:tcPr>
        <w:tcBorders>
          <w:top w:val="single" w:sz="8" w:space="0" w:color="DBEEF3" w:themeColor="accent3"/>
          <w:bottom w:val="single" w:sz="8" w:space="0" w:color="DBEEF3" w:themeColor="accent3"/>
        </w:tcBorders>
      </w:tcPr>
    </w:tblStylePr>
    <w:tblStylePr w:type="firstCol">
      <w:rPr>
        <w:b/>
        <w:bCs/>
      </w:rPr>
    </w:tblStylePr>
    <w:tblStylePr w:type="lastCol">
      <w:rPr>
        <w:b/>
        <w:bCs/>
      </w:rPr>
      <w:tblPr/>
      <w:tcPr>
        <w:tcBorders>
          <w:top w:val="single" w:sz="8" w:space="0" w:color="DBEEF3" w:themeColor="accent3"/>
          <w:bottom w:val="single" w:sz="8" w:space="0" w:color="DBEEF3" w:themeColor="accent3"/>
        </w:tcBorders>
      </w:tcPr>
    </w:tblStylePr>
    <w:tblStylePr w:type="band1Vert">
      <w:tblPr/>
      <w:tcPr>
        <w:shd w:val="clear" w:color="auto" w:fill="F6FAFC" w:themeFill="accent3" w:themeFillTint="3F"/>
      </w:tcPr>
    </w:tblStylePr>
    <w:tblStylePr w:type="band1Horz">
      <w:tblPr/>
      <w:tcPr>
        <w:shd w:val="clear" w:color="auto" w:fill="F6FAFC" w:themeFill="accent3" w:themeFillTint="3F"/>
      </w:tcPr>
    </w:tblStylePr>
  </w:style>
  <w:style w:type="table" w:styleId="MediumList1-Accent4">
    <w:name w:val="Medium List 1 Accent 4"/>
    <w:basedOn w:val="TableNormal"/>
    <w:uiPriority w:val="99"/>
    <w:semiHidden/>
    <w:rsid w:val="00361DEB"/>
    <w:pPr>
      <w:spacing w:after="0"/>
    </w:pPr>
    <w:rPr>
      <w:color w:val="00728F" w:themeColor="text1"/>
    </w:rPr>
    <w:tblPr>
      <w:tblStyleRowBandSize w:val="1"/>
      <w:tblStyleColBandSize w:val="1"/>
      <w:tblBorders>
        <w:top w:val="single" w:sz="8" w:space="0" w:color="92CDDC" w:themeColor="accent4"/>
        <w:bottom w:val="single" w:sz="8" w:space="0" w:color="92CDDC" w:themeColor="accent4"/>
      </w:tblBorders>
    </w:tblPr>
    <w:tblStylePr w:type="firstRow">
      <w:rPr>
        <w:rFonts w:asciiTheme="majorHAnsi" w:eastAsiaTheme="majorEastAsia" w:hAnsiTheme="majorHAnsi" w:cstheme="majorBidi"/>
      </w:rPr>
      <w:tblPr/>
      <w:tcPr>
        <w:tcBorders>
          <w:top w:val="nil"/>
          <w:bottom w:val="single" w:sz="8" w:space="0" w:color="92CDDC" w:themeColor="accent4"/>
        </w:tcBorders>
      </w:tcPr>
    </w:tblStylePr>
    <w:tblStylePr w:type="lastRow">
      <w:rPr>
        <w:b/>
        <w:bCs/>
        <w:color w:val="B7DDE8" w:themeColor="text2"/>
      </w:rPr>
      <w:tblPr/>
      <w:tcPr>
        <w:tcBorders>
          <w:top w:val="single" w:sz="8" w:space="0" w:color="92CDDC" w:themeColor="accent4"/>
          <w:bottom w:val="single" w:sz="8" w:space="0" w:color="92CDDC" w:themeColor="accent4"/>
        </w:tcBorders>
      </w:tcPr>
    </w:tblStylePr>
    <w:tblStylePr w:type="firstCol">
      <w:rPr>
        <w:b/>
        <w:bCs/>
      </w:rPr>
    </w:tblStylePr>
    <w:tblStylePr w:type="lastCol">
      <w:rPr>
        <w:b/>
        <w:bCs/>
      </w:rPr>
      <w:tblPr/>
      <w:tcPr>
        <w:tcBorders>
          <w:top w:val="single" w:sz="8" w:space="0" w:color="92CDDC" w:themeColor="accent4"/>
          <w:bottom w:val="single" w:sz="8" w:space="0" w:color="92CDDC" w:themeColor="accent4"/>
        </w:tcBorders>
      </w:tcPr>
    </w:tblStylePr>
    <w:tblStylePr w:type="band1Vert">
      <w:tblPr/>
      <w:tcPr>
        <w:shd w:val="clear" w:color="auto" w:fill="E4F2F6" w:themeFill="accent4" w:themeFillTint="3F"/>
      </w:tcPr>
    </w:tblStylePr>
    <w:tblStylePr w:type="band1Horz">
      <w:tblPr/>
      <w:tcPr>
        <w:shd w:val="clear" w:color="auto" w:fill="E4F2F6" w:themeFill="accent4" w:themeFillTint="3F"/>
      </w:tcPr>
    </w:tblStylePr>
  </w:style>
  <w:style w:type="table" w:styleId="MediumList1-Accent5">
    <w:name w:val="Medium List 1 Accent 5"/>
    <w:basedOn w:val="TableNormal"/>
    <w:uiPriority w:val="99"/>
    <w:semiHidden/>
    <w:rsid w:val="00361DEB"/>
    <w:pPr>
      <w:spacing w:after="0"/>
    </w:pPr>
    <w:rPr>
      <w:color w:val="00728F" w:themeColor="text1"/>
    </w:rPr>
    <w:tblPr>
      <w:tblStyleRowBandSize w:val="1"/>
      <w:tblStyleColBandSize w:val="1"/>
      <w:tblBorders>
        <w:top w:val="single" w:sz="8" w:space="0" w:color="31859B" w:themeColor="accent5"/>
        <w:bottom w:val="single" w:sz="8" w:space="0" w:color="31859B" w:themeColor="accent5"/>
      </w:tblBorders>
    </w:tblPr>
    <w:tblStylePr w:type="firstRow">
      <w:rPr>
        <w:rFonts w:asciiTheme="majorHAnsi" w:eastAsiaTheme="majorEastAsia" w:hAnsiTheme="majorHAnsi" w:cstheme="majorBidi"/>
      </w:rPr>
      <w:tblPr/>
      <w:tcPr>
        <w:tcBorders>
          <w:top w:val="nil"/>
          <w:bottom w:val="single" w:sz="8" w:space="0" w:color="31859B" w:themeColor="accent5"/>
        </w:tcBorders>
      </w:tcPr>
    </w:tblStylePr>
    <w:tblStylePr w:type="lastRow">
      <w:rPr>
        <w:b/>
        <w:bCs/>
        <w:color w:val="B7DDE8" w:themeColor="text2"/>
      </w:rPr>
      <w:tblPr/>
      <w:tcPr>
        <w:tcBorders>
          <w:top w:val="single" w:sz="8" w:space="0" w:color="31859B" w:themeColor="accent5"/>
          <w:bottom w:val="single" w:sz="8" w:space="0" w:color="31859B" w:themeColor="accent5"/>
        </w:tcBorders>
      </w:tcPr>
    </w:tblStylePr>
    <w:tblStylePr w:type="firstCol">
      <w:rPr>
        <w:b/>
        <w:bCs/>
      </w:rPr>
    </w:tblStylePr>
    <w:tblStylePr w:type="lastCol">
      <w:rPr>
        <w:b/>
        <w:bCs/>
      </w:rPr>
      <w:tblPr/>
      <w:tcPr>
        <w:tcBorders>
          <w:top w:val="single" w:sz="8" w:space="0" w:color="31859B" w:themeColor="accent5"/>
          <w:bottom w:val="single" w:sz="8" w:space="0" w:color="31859B" w:themeColor="accent5"/>
        </w:tcBorders>
      </w:tcPr>
    </w:tblStylePr>
    <w:tblStylePr w:type="band1Vert">
      <w:tblPr/>
      <w:tcPr>
        <w:shd w:val="clear" w:color="auto" w:fill="C5E4EC" w:themeFill="accent5" w:themeFillTint="3F"/>
      </w:tcPr>
    </w:tblStylePr>
    <w:tblStylePr w:type="band1Horz">
      <w:tblPr/>
      <w:tcPr>
        <w:shd w:val="clear" w:color="auto" w:fill="C5E4EC" w:themeFill="accent5" w:themeFillTint="3F"/>
      </w:tcPr>
    </w:tblStylePr>
  </w:style>
  <w:style w:type="table" w:styleId="MediumList1-Accent6">
    <w:name w:val="Medium List 1 Accent 6"/>
    <w:basedOn w:val="TableNormal"/>
    <w:uiPriority w:val="99"/>
    <w:semiHidden/>
    <w:rsid w:val="00361DEB"/>
    <w:pPr>
      <w:spacing w:after="0"/>
    </w:pPr>
    <w:rPr>
      <w:color w:val="00728F" w:themeColor="text1"/>
    </w:rPr>
    <w:tblPr>
      <w:tblStyleRowBandSize w:val="1"/>
      <w:tblStyleColBandSize w:val="1"/>
      <w:tblBorders>
        <w:top w:val="single" w:sz="8" w:space="0" w:color="64B8CE" w:themeColor="accent6"/>
        <w:bottom w:val="single" w:sz="8" w:space="0" w:color="64B8CE" w:themeColor="accent6"/>
      </w:tblBorders>
    </w:tblPr>
    <w:tblStylePr w:type="firstRow">
      <w:rPr>
        <w:rFonts w:asciiTheme="majorHAnsi" w:eastAsiaTheme="majorEastAsia" w:hAnsiTheme="majorHAnsi" w:cstheme="majorBidi"/>
      </w:rPr>
      <w:tblPr/>
      <w:tcPr>
        <w:tcBorders>
          <w:top w:val="nil"/>
          <w:bottom w:val="single" w:sz="8" w:space="0" w:color="64B8CE" w:themeColor="accent6"/>
        </w:tcBorders>
      </w:tcPr>
    </w:tblStylePr>
    <w:tblStylePr w:type="lastRow">
      <w:rPr>
        <w:b/>
        <w:bCs/>
        <w:color w:val="B7DDE8" w:themeColor="text2"/>
      </w:rPr>
      <w:tblPr/>
      <w:tcPr>
        <w:tcBorders>
          <w:top w:val="single" w:sz="8" w:space="0" w:color="64B8CE" w:themeColor="accent6"/>
          <w:bottom w:val="single" w:sz="8" w:space="0" w:color="64B8CE" w:themeColor="accent6"/>
        </w:tcBorders>
      </w:tcPr>
    </w:tblStylePr>
    <w:tblStylePr w:type="firstCol">
      <w:rPr>
        <w:b/>
        <w:bCs/>
      </w:rPr>
    </w:tblStylePr>
    <w:tblStylePr w:type="lastCol">
      <w:rPr>
        <w:b/>
        <w:bCs/>
      </w:rPr>
      <w:tblPr/>
      <w:tcPr>
        <w:tcBorders>
          <w:top w:val="single" w:sz="8" w:space="0" w:color="64B8CE" w:themeColor="accent6"/>
          <w:bottom w:val="single" w:sz="8" w:space="0" w:color="64B8CE" w:themeColor="accent6"/>
        </w:tcBorders>
      </w:tcPr>
    </w:tblStylePr>
    <w:tblStylePr w:type="band1Vert">
      <w:tblPr/>
      <w:tcPr>
        <w:shd w:val="clear" w:color="auto" w:fill="D8EDF2" w:themeFill="accent6" w:themeFillTint="3F"/>
      </w:tcPr>
    </w:tblStylePr>
    <w:tblStylePr w:type="band1Horz">
      <w:tblPr/>
      <w:tcPr>
        <w:shd w:val="clear" w:color="auto" w:fill="D8EDF2" w:themeFill="accent6" w:themeFillTint="3F"/>
      </w:tcPr>
    </w:tblStylePr>
  </w:style>
  <w:style w:type="table" w:customStyle="1" w:styleId="MediumList21">
    <w:name w:val="Medium List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rPr>
        <w:sz w:val="24"/>
        <w:szCs w:val="24"/>
      </w:rPr>
      <w:tblPr/>
      <w:tcPr>
        <w:tcBorders>
          <w:top w:val="nil"/>
          <w:left w:val="nil"/>
          <w:bottom w:val="single" w:sz="24" w:space="0" w:color="00728F" w:themeColor="text1"/>
          <w:right w:val="nil"/>
          <w:insideH w:val="nil"/>
          <w:insideV w:val="nil"/>
        </w:tcBorders>
        <w:shd w:val="clear" w:color="auto" w:fill="FFFFFF" w:themeFill="background1"/>
      </w:tcPr>
    </w:tblStylePr>
    <w:tblStylePr w:type="lastRow">
      <w:tblPr/>
      <w:tcPr>
        <w:tcBorders>
          <w:top w:val="single" w:sz="8" w:space="0" w:color="00728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text1"/>
          <w:insideH w:val="nil"/>
          <w:insideV w:val="nil"/>
        </w:tcBorders>
        <w:shd w:val="clear" w:color="auto" w:fill="FFFFFF" w:themeFill="background1"/>
      </w:tcPr>
    </w:tblStylePr>
    <w:tblStylePr w:type="lastCol">
      <w:tblPr/>
      <w:tcPr>
        <w:tcBorders>
          <w:top w:val="nil"/>
          <w:left w:val="single" w:sz="8" w:space="0" w:color="00728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top w:val="nil"/>
          <w:bottom w:val="nil"/>
          <w:insideH w:val="nil"/>
          <w:insideV w:val="nil"/>
        </w:tcBorders>
        <w:shd w:val="clear" w:color="auto" w:fill="A4EC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rPr>
        <w:sz w:val="24"/>
        <w:szCs w:val="24"/>
      </w:rPr>
      <w:tblPr/>
      <w:tcPr>
        <w:tcBorders>
          <w:top w:val="nil"/>
          <w:left w:val="nil"/>
          <w:bottom w:val="single" w:sz="24" w:space="0" w:color="00728F" w:themeColor="accent1"/>
          <w:right w:val="nil"/>
          <w:insideH w:val="nil"/>
          <w:insideV w:val="nil"/>
        </w:tcBorders>
        <w:shd w:val="clear" w:color="auto" w:fill="FFFFFF" w:themeFill="background1"/>
      </w:tcPr>
    </w:tblStylePr>
    <w:tblStylePr w:type="lastRow">
      <w:tblPr/>
      <w:tcPr>
        <w:tcBorders>
          <w:top w:val="single" w:sz="8" w:space="0" w:color="0072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accent1"/>
          <w:insideH w:val="nil"/>
          <w:insideV w:val="nil"/>
        </w:tcBorders>
        <w:shd w:val="clear" w:color="auto" w:fill="FFFFFF" w:themeFill="background1"/>
      </w:tcPr>
    </w:tblStylePr>
    <w:tblStylePr w:type="lastCol">
      <w:tblPr/>
      <w:tcPr>
        <w:tcBorders>
          <w:top w:val="nil"/>
          <w:left w:val="single" w:sz="8" w:space="0" w:color="0072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top w:val="nil"/>
          <w:bottom w:val="nil"/>
          <w:insideH w:val="nil"/>
          <w:insideV w:val="nil"/>
        </w:tcBorders>
        <w:shd w:val="clear" w:color="auto" w:fill="A4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rPr>
        <w:sz w:val="24"/>
        <w:szCs w:val="24"/>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tblPr/>
      <w:tcPr>
        <w:tcBorders>
          <w:top w:val="single" w:sz="8" w:space="0" w:color="B7DD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DDE8" w:themeColor="accent2"/>
          <w:insideH w:val="nil"/>
          <w:insideV w:val="nil"/>
        </w:tcBorders>
        <w:shd w:val="clear" w:color="auto" w:fill="FFFFFF" w:themeFill="background1"/>
      </w:tcPr>
    </w:tblStylePr>
    <w:tblStylePr w:type="lastCol">
      <w:tblPr/>
      <w:tcPr>
        <w:tcBorders>
          <w:top w:val="nil"/>
          <w:left w:val="single" w:sz="8" w:space="0" w:color="B7DD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top w:val="nil"/>
          <w:bottom w:val="nil"/>
          <w:insideH w:val="nil"/>
          <w:insideV w:val="nil"/>
        </w:tcBorders>
        <w:shd w:val="clear" w:color="auto" w:fill="EDF6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rPr>
        <w:sz w:val="24"/>
        <w:szCs w:val="24"/>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tblPr/>
      <w:tcPr>
        <w:tcBorders>
          <w:top w:val="single" w:sz="8" w:space="0" w:color="DBEEF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EEF3" w:themeColor="accent3"/>
          <w:insideH w:val="nil"/>
          <w:insideV w:val="nil"/>
        </w:tcBorders>
        <w:shd w:val="clear" w:color="auto" w:fill="FFFFFF" w:themeFill="background1"/>
      </w:tcPr>
    </w:tblStylePr>
    <w:tblStylePr w:type="lastCol">
      <w:tblPr/>
      <w:tcPr>
        <w:tcBorders>
          <w:top w:val="nil"/>
          <w:left w:val="single" w:sz="8" w:space="0" w:color="DBEEF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top w:val="nil"/>
          <w:bottom w:val="nil"/>
          <w:insideH w:val="nil"/>
          <w:insideV w:val="nil"/>
        </w:tcBorders>
        <w:shd w:val="clear" w:color="auto" w:fill="F6FA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rPr>
        <w:sz w:val="24"/>
        <w:szCs w:val="24"/>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tblPr/>
      <w:tcPr>
        <w:tcBorders>
          <w:top w:val="single" w:sz="8" w:space="0" w:color="92CDD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CDDC" w:themeColor="accent4"/>
          <w:insideH w:val="nil"/>
          <w:insideV w:val="nil"/>
        </w:tcBorders>
        <w:shd w:val="clear" w:color="auto" w:fill="FFFFFF" w:themeFill="background1"/>
      </w:tcPr>
    </w:tblStylePr>
    <w:tblStylePr w:type="lastCol">
      <w:tblPr/>
      <w:tcPr>
        <w:tcBorders>
          <w:top w:val="nil"/>
          <w:left w:val="single" w:sz="8" w:space="0" w:color="92C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top w:val="nil"/>
          <w:bottom w:val="nil"/>
          <w:insideH w:val="nil"/>
          <w:insideV w:val="nil"/>
        </w:tcBorders>
        <w:shd w:val="clear" w:color="auto" w:fill="E4F2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rPr>
        <w:sz w:val="24"/>
        <w:szCs w:val="24"/>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tblPr/>
      <w:tcPr>
        <w:tcBorders>
          <w:top w:val="single" w:sz="8" w:space="0" w:color="3185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859B" w:themeColor="accent5"/>
          <w:insideH w:val="nil"/>
          <w:insideV w:val="nil"/>
        </w:tcBorders>
        <w:shd w:val="clear" w:color="auto" w:fill="FFFFFF" w:themeFill="background1"/>
      </w:tcPr>
    </w:tblStylePr>
    <w:tblStylePr w:type="lastCol">
      <w:tblPr/>
      <w:tcPr>
        <w:tcBorders>
          <w:top w:val="nil"/>
          <w:left w:val="single" w:sz="8" w:space="0" w:color="3185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top w:val="nil"/>
          <w:bottom w:val="nil"/>
          <w:insideH w:val="nil"/>
          <w:insideV w:val="nil"/>
        </w:tcBorders>
        <w:shd w:val="clear" w:color="auto" w:fill="C5E4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rPr>
        <w:sz w:val="24"/>
        <w:szCs w:val="24"/>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tblPr/>
      <w:tcPr>
        <w:tcBorders>
          <w:top w:val="single" w:sz="8" w:space="0" w:color="64B8C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B8CE" w:themeColor="accent6"/>
          <w:insideH w:val="nil"/>
          <w:insideV w:val="nil"/>
        </w:tcBorders>
        <w:shd w:val="clear" w:color="auto" w:fill="FFFFFF" w:themeFill="background1"/>
      </w:tcPr>
    </w:tblStylePr>
    <w:tblStylePr w:type="lastCol">
      <w:tblPr/>
      <w:tcPr>
        <w:tcBorders>
          <w:top w:val="nil"/>
          <w:left w:val="single" w:sz="8" w:space="0" w:color="64B8C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top w:val="nil"/>
          <w:bottom w:val="nil"/>
          <w:insideH w:val="nil"/>
          <w:insideV w:val="nil"/>
        </w:tcBorders>
        <w:shd w:val="clear" w:color="auto" w:fill="D8ED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tblBorders>
    </w:tblPr>
    <w:tblStylePr w:type="firstRow">
      <w:pPr>
        <w:spacing w:before="0" w:after="0" w:line="240" w:lineRule="auto"/>
      </w:pPr>
      <w:rPr>
        <w:b/>
        <w:bCs/>
        <w:color w:val="FFFFFF" w:themeColor="background1"/>
      </w:rPr>
      <w:tblPr/>
      <w:tcPr>
        <w:tc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shd w:val="clear" w:color="auto" w:fill="00728F" w:themeFill="text1"/>
      </w:tcPr>
    </w:tblStylePr>
    <w:tblStylePr w:type="lastRow">
      <w:pPr>
        <w:spacing w:before="0" w:after="0" w:line="240" w:lineRule="auto"/>
      </w:pPr>
      <w:rPr>
        <w:b/>
        <w:bCs/>
      </w:rPr>
      <w:tblPr/>
      <w:tcPr>
        <w:tcBorders>
          <w:top w:val="double" w:sz="6"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tcPr>
    </w:tblStylePr>
    <w:tblStylePr w:type="firstCol">
      <w:rPr>
        <w:b/>
        <w:bCs/>
      </w:rPr>
    </w:tblStylePr>
    <w:tblStylePr w:type="lastCol">
      <w:rPr>
        <w:b/>
        <w:bCs/>
      </w:rPr>
    </w:tblStylePr>
    <w:tblStylePr w:type="band1Vert">
      <w:tblPr/>
      <w:tcPr>
        <w:shd w:val="clear" w:color="auto" w:fill="A4ECFF" w:themeFill="text1" w:themeFillTint="3F"/>
      </w:tcPr>
    </w:tblStylePr>
    <w:tblStylePr w:type="band1Horz">
      <w:tblPr/>
      <w:tcPr>
        <w:tcBorders>
          <w:insideH w:val="nil"/>
          <w:insideV w:val="nil"/>
        </w:tcBorders>
        <w:shd w:val="clear" w:color="auto" w:fill="A4ECFF"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tblBorders>
    </w:tblPr>
    <w:tblStylePr w:type="firstRow">
      <w:pPr>
        <w:spacing w:before="0" w:after="0" w:line="240" w:lineRule="auto"/>
      </w:pPr>
      <w:rPr>
        <w:b/>
        <w:bCs/>
        <w:color w:val="FFFFFF" w:themeColor="background1"/>
      </w:rPr>
      <w:tblPr/>
      <w:tcPr>
        <w:tc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shd w:val="clear" w:color="auto" w:fill="00728F" w:themeFill="accent1"/>
      </w:tcPr>
    </w:tblStylePr>
    <w:tblStylePr w:type="lastRow">
      <w:pPr>
        <w:spacing w:before="0" w:after="0" w:line="240" w:lineRule="auto"/>
      </w:pPr>
      <w:rPr>
        <w:b/>
        <w:bCs/>
      </w:rPr>
      <w:tblPr/>
      <w:tcPr>
        <w:tcBorders>
          <w:top w:val="double" w:sz="6"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ECFF" w:themeFill="accent1" w:themeFillTint="3F"/>
      </w:tcPr>
    </w:tblStylePr>
    <w:tblStylePr w:type="band1Horz">
      <w:tblPr/>
      <w:tcPr>
        <w:tcBorders>
          <w:insideH w:val="nil"/>
          <w:insideV w:val="nil"/>
        </w:tcBorders>
        <w:shd w:val="clear" w:color="auto" w:fill="A4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tblBorders>
    </w:tblPr>
    <w:tblStylePr w:type="firstRow">
      <w:pPr>
        <w:spacing w:before="0" w:after="0" w:line="240" w:lineRule="auto"/>
      </w:pPr>
      <w:rPr>
        <w:b/>
        <w:bCs/>
        <w:color w:val="FFFFFF" w:themeColor="background1"/>
      </w:rPr>
      <w:tblPr/>
      <w:tcPr>
        <w:tc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shd w:val="clear" w:color="auto" w:fill="B7DDE8" w:themeFill="accent2"/>
      </w:tcPr>
    </w:tblStylePr>
    <w:tblStylePr w:type="lastRow">
      <w:pPr>
        <w:spacing w:before="0" w:after="0" w:line="240" w:lineRule="auto"/>
      </w:pPr>
      <w:rPr>
        <w:b/>
        <w:bCs/>
      </w:rPr>
      <w:tblPr/>
      <w:tcPr>
        <w:tcBorders>
          <w:top w:val="double" w:sz="6"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F6F9" w:themeFill="accent2" w:themeFillTint="3F"/>
      </w:tcPr>
    </w:tblStylePr>
    <w:tblStylePr w:type="band1Horz">
      <w:tblPr/>
      <w:tcPr>
        <w:tcBorders>
          <w:insideH w:val="nil"/>
          <w:insideV w:val="nil"/>
        </w:tcBorders>
        <w:shd w:val="clear" w:color="auto" w:fill="EDF6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tblBorders>
    </w:tblPr>
    <w:tblStylePr w:type="firstRow">
      <w:pPr>
        <w:spacing w:before="0" w:after="0" w:line="240" w:lineRule="auto"/>
      </w:pPr>
      <w:rPr>
        <w:b/>
        <w:bCs/>
        <w:color w:val="FFFFFF" w:themeColor="background1"/>
      </w:rPr>
      <w:tblPr/>
      <w:tcPr>
        <w:tc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shd w:val="clear" w:color="auto" w:fill="DBEEF3" w:themeFill="accent3"/>
      </w:tcPr>
    </w:tblStylePr>
    <w:tblStylePr w:type="lastRow">
      <w:pPr>
        <w:spacing w:before="0" w:after="0" w:line="240" w:lineRule="auto"/>
      </w:pPr>
      <w:rPr>
        <w:b/>
        <w:bCs/>
      </w:rPr>
      <w:tblPr/>
      <w:tcPr>
        <w:tcBorders>
          <w:top w:val="double" w:sz="6"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AFC" w:themeFill="accent3" w:themeFillTint="3F"/>
      </w:tcPr>
    </w:tblStylePr>
    <w:tblStylePr w:type="band1Horz">
      <w:tblPr/>
      <w:tcPr>
        <w:tcBorders>
          <w:insideH w:val="nil"/>
          <w:insideV w:val="nil"/>
        </w:tcBorders>
        <w:shd w:val="clear" w:color="auto" w:fill="F6FA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tblBorders>
    </w:tblPr>
    <w:tblStylePr w:type="firstRow">
      <w:pPr>
        <w:spacing w:before="0" w:after="0" w:line="240" w:lineRule="auto"/>
      </w:pPr>
      <w:rPr>
        <w:b/>
        <w:bCs/>
        <w:color w:val="FFFFFF" w:themeColor="background1"/>
      </w:rPr>
      <w:tblPr/>
      <w:tcPr>
        <w:tc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shd w:val="clear" w:color="auto" w:fill="92CDDC" w:themeFill="accent4"/>
      </w:tcPr>
    </w:tblStylePr>
    <w:tblStylePr w:type="lastRow">
      <w:pPr>
        <w:spacing w:before="0" w:after="0" w:line="240" w:lineRule="auto"/>
      </w:pPr>
      <w:rPr>
        <w:b/>
        <w:bCs/>
      </w:rPr>
      <w:tblPr/>
      <w:tcPr>
        <w:tcBorders>
          <w:top w:val="double" w:sz="6"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2F6" w:themeFill="accent4" w:themeFillTint="3F"/>
      </w:tcPr>
    </w:tblStylePr>
    <w:tblStylePr w:type="band1Horz">
      <w:tblPr/>
      <w:tcPr>
        <w:tcBorders>
          <w:insideH w:val="nil"/>
          <w:insideV w:val="nil"/>
        </w:tcBorders>
        <w:shd w:val="clear" w:color="auto" w:fill="E4F2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tblBorders>
    </w:tblPr>
    <w:tblStylePr w:type="firstRow">
      <w:pPr>
        <w:spacing w:before="0" w:after="0" w:line="240" w:lineRule="auto"/>
      </w:pPr>
      <w:rPr>
        <w:b/>
        <w:bCs/>
        <w:color w:val="FFFFFF" w:themeColor="background1"/>
      </w:rPr>
      <w:tblPr/>
      <w:tcPr>
        <w:tc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shd w:val="clear" w:color="auto" w:fill="31859B" w:themeFill="accent5"/>
      </w:tcPr>
    </w:tblStylePr>
    <w:tblStylePr w:type="lastRow">
      <w:pPr>
        <w:spacing w:before="0" w:after="0" w:line="240" w:lineRule="auto"/>
      </w:pPr>
      <w:rPr>
        <w:b/>
        <w:bCs/>
      </w:rPr>
      <w:tblPr/>
      <w:tcPr>
        <w:tcBorders>
          <w:top w:val="double" w:sz="6"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5E4EC" w:themeFill="accent5" w:themeFillTint="3F"/>
      </w:tcPr>
    </w:tblStylePr>
    <w:tblStylePr w:type="band1Horz">
      <w:tblPr/>
      <w:tcPr>
        <w:tcBorders>
          <w:insideH w:val="nil"/>
          <w:insideV w:val="nil"/>
        </w:tcBorders>
        <w:shd w:val="clear" w:color="auto" w:fill="C5E4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tblBorders>
    </w:tblPr>
    <w:tblStylePr w:type="firstRow">
      <w:pPr>
        <w:spacing w:before="0" w:after="0" w:line="240" w:lineRule="auto"/>
      </w:pPr>
      <w:rPr>
        <w:b/>
        <w:bCs/>
        <w:color w:val="FFFFFF" w:themeColor="background1"/>
      </w:rPr>
      <w:tblPr/>
      <w:tcPr>
        <w:tc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shd w:val="clear" w:color="auto" w:fill="64B8CE" w:themeFill="accent6"/>
      </w:tcPr>
    </w:tblStylePr>
    <w:tblStylePr w:type="lastRow">
      <w:pPr>
        <w:spacing w:before="0" w:after="0" w:line="240" w:lineRule="auto"/>
      </w:pPr>
      <w:rPr>
        <w:b/>
        <w:bCs/>
      </w:rPr>
      <w:tblPr/>
      <w:tcPr>
        <w:tcBorders>
          <w:top w:val="double" w:sz="6"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DF2" w:themeFill="accent6" w:themeFillTint="3F"/>
      </w:tcPr>
    </w:tblStylePr>
    <w:tblStylePr w:type="band1Horz">
      <w:tblPr/>
      <w:tcPr>
        <w:tcBorders>
          <w:insideH w:val="nil"/>
          <w:insideV w:val="nil"/>
        </w:tcBorders>
        <w:shd w:val="clear" w:color="auto" w:fill="D8EDF2"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text1"/>
      </w:tcPr>
    </w:tblStylePr>
    <w:tblStylePr w:type="lastCol">
      <w:rPr>
        <w:b/>
        <w:bCs/>
        <w:color w:val="FFFFFF" w:themeColor="background1"/>
      </w:rPr>
      <w:tblPr/>
      <w:tcPr>
        <w:tcBorders>
          <w:left w:val="nil"/>
          <w:right w:val="nil"/>
          <w:insideH w:val="nil"/>
          <w:insideV w:val="nil"/>
        </w:tcBorders>
        <w:shd w:val="clear" w:color="auto" w:fill="00728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accent1"/>
      </w:tcPr>
    </w:tblStylePr>
    <w:tblStylePr w:type="lastCol">
      <w:rPr>
        <w:b/>
        <w:bCs/>
        <w:color w:val="FFFFFF" w:themeColor="background1"/>
      </w:rPr>
      <w:tblPr/>
      <w:tcPr>
        <w:tcBorders>
          <w:left w:val="nil"/>
          <w:right w:val="nil"/>
          <w:insideH w:val="nil"/>
          <w:insideV w:val="nil"/>
        </w:tcBorders>
        <w:shd w:val="clear" w:color="auto" w:fill="0072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DD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DDE8" w:themeFill="accent2"/>
      </w:tcPr>
    </w:tblStylePr>
    <w:tblStylePr w:type="lastCol">
      <w:rPr>
        <w:b/>
        <w:bCs/>
        <w:color w:val="FFFFFF" w:themeColor="background1"/>
      </w:rPr>
      <w:tblPr/>
      <w:tcPr>
        <w:tcBorders>
          <w:left w:val="nil"/>
          <w:right w:val="nil"/>
          <w:insideH w:val="nil"/>
          <w:insideV w:val="nil"/>
        </w:tcBorders>
        <w:shd w:val="clear" w:color="auto" w:fill="B7DD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EEF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EEF3" w:themeFill="accent3"/>
      </w:tcPr>
    </w:tblStylePr>
    <w:tblStylePr w:type="lastCol">
      <w:rPr>
        <w:b/>
        <w:bCs/>
        <w:color w:val="FFFFFF" w:themeColor="background1"/>
      </w:rPr>
      <w:tblPr/>
      <w:tcPr>
        <w:tcBorders>
          <w:left w:val="nil"/>
          <w:right w:val="nil"/>
          <w:insideH w:val="nil"/>
          <w:insideV w:val="nil"/>
        </w:tcBorders>
        <w:shd w:val="clear" w:color="auto" w:fill="DBEEF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C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CDDC" w:themeFill="accent4"/>
      </w:tcPr>
    </w:tblStylePr>
    <w:tblStylePr w:type="lastCol">
      <w:rPr>
        <w:b/>
        <w:bCs/>
        <w:color w:val="FFFFFF" w:themeColor="background1"/>
      </w:rPr>
      <w:tblPr/>
      <w:tcPr>
        <w:tcBorders>
          <w:left w:val="nil"/>
          <w:right w:val="nil"/>
          <w:insideH w:val="nil"/>
          <w:insideV w:val="nil"/>
        </w:tcBorders>
        <w:shd w:val="clear" w:color="auto" w:fill="92C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85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859B" w:themeFill="accent5"/>
      </w:tcPr>
    </w:tblStylePr>
    <w:tblStylePr w:type="lastCol">
      <w:rPr>
        <w:b/>
        <w:bCs/>
        <w:color w:val="FFFFFF" w:themeColor="background1"/>
      </w:rPr>
      <w:tblPr/>
      <w:tcPr>
        <w:tcBorders>
          <w:left w:val="nil"/>
          <w:right w:val="nil"/>
          <w:insideH w:val="nil"/>
          <w:insideV w:val="nil"/>
        </w:tcBorders>
        <w:shd w:val="clear" w:color="auto" w:fill="3185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B8C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B8CE" w:themeFill="accent6"/>
      </w:tcPr>
    </w:tblStylePr>
    <w:tblStylePr w:type="lastCol">
      <w:rPr>
        <w:b/>
        <w:bCs/>
        <w:color w:val="FFFFFF" w:themeColor="background1"/>
      </w:rPr>
      <w:tblPr/>
      <w:tcPr>
        <w:tcBorders>
          <w:left w:val="nil"/>
          <w:right w:val="nil"/>
          <w:insideH w:val="nil"/>
          <w:insideV w:val="nil"/>
        </w:tcBorders>
        <w:shd w:val="clear" w:color="auto" w:fill="64B8C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361DE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61DE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61DE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59"/>
    <w:rsid w:val="00361D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61DE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61DE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61DE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61DE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61DE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61DE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5"/>
    <w:semiHidden/>
    <w:qFormat/>
    <w:rsid w:val="00361DEB"/>
    <w:pPr>
      <w:pBdr>
        <w:bottom w:val="single" w:sz="8" w:space="4" w:color="00728F" w:themeColor="accent1"/>
      </w:pBdr>
      <w:spacing w:after="300"/>
      <w:contextualSpacing/>
    </w:pPr>
    <w:rPr>
      <w:rFonts w:asciiTheme="majorHAnsi" w:eastAsiaTheme="majorEastAsia" w:hAnsiTheme="majorHAnsi" w:cstheme="majorBidi"/>
      <w:color w:val="67B7CE" w:themeColor="text2" w:themeShade="BF"/>
      <w:spacing w:val="5"/>
      <w:kern w:val="28"/>
      <w:sz w:val="52"/>
      <w:szCs w:val="52"/>
    </w:rPr>
  </w:style>
  <w:style w:type="character" w:customStyle="1" w:styleId="TitleChar">
    <w:name w:val="Title Char"/>
    <w:basedOn w:val="DefaultParagraphFont"/>
    <w:link w:val="Title"/>
    <w:uiPriority w:val="15"/>
    <w:semiHidden/>
    <w:rsid w:val="00361DEB"/>
    <w:rPr>
      <w:rFonts w:asciiTheme="majorHAnsi" w:eastAsiaTheme="majorEastAsia" w:hAnsiTheme="majorHAnsi" w:cstheme="majorBidi"/>
      <w:color w:val="67B7CE"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FC3687"/>
    <w:rPr>
      <w:rFonts w:ascii="Calibri" w:hAnsi="Calibri"/>
      <w:b/>
      <w:bCs/>
      <w:color w:val="0072B9"/>
      <w:sz w:val="18"/>
      <w:szCs w:val="18"/>
    </w:rPr>
  </w:style>
  <w:style w:type="paragraph" w:customStyle="1" w:styleId="Reference">
    <w:name w:val="Reference"/>
    <w:basedOn w:val="BodyText"/>
    <w:uiPriority w:val="20"/>
    <w:qFormat/>
    <w:rsid w:val="00D24D34"/>
    <w:pPr>
      <w:spacing w:before="360" w:after="360"/>
    </w:pPr>
    <w:rPr>
      <w:noProof/>
    </w:rPr>
  </w:style>
  <w:style w:type="character" w:customStyle="1" w:styleId="BodyTextChar">
    <w:name w:val="Body Text Char"/>
    <w:basedOn w:val="DefaultParagraphFont"/>
    <w:link w:val="BodyText"/>
    <w:rsid w:val="00BA5622"/>
    <w:rPr>
      <w:rFonts w:ascii="Calibri" w:hAnsi="Calibri"/>
    </w:rPr>
  </w:style>
  <w:style w:type="paragraph" w:customStyle="1" w:styleId="Bodytext-Quote">
    <w:name w:val="Body text - Quote"/>
    <w:basedOn w:val="BodyText"/>
    <w:next w:val="BodyText"/>
    <w:qFormat/>
    <w:rsid w:val="00DF7C5F"/>
    <w:pPr>
      <w:ind w:left="567" w:right="567"/>
    </w:pPr>
  </w:style>
  <w:style w:type="paragraph" w:customStyle="1" w:styleId="FigureImagewithoutrule">
    <w:name w:val="Figure/Image without rule"/>
    <w:basedOn w:val="BodyText"/>
    <w:next w:val="BodyText"/>
    <w:uiPriority w:val="10"/>
    <w:qFormat/>
    <w:rsid w:val="002A69C4"/>
    <w:pPr>
      <w:spacing w:after="360"/>
    </w:pPr>
    <w:rPr>
      <w:noProof/>
      <w:lang w:eastAsia="en-AU"/>
    </w:rPr>
  </w:style>
  <w:style w:type="paragraph" w:customStyle="1" w:styleId="DBCDElogo">
    <w:name w:val="DBCDE logo"/>
    <w:basedOn w:val="Normal"/>
    <w:next w:val="BodyText"/>
    <w:semiHidden/>
    <w:qFormat/>
    <w:rsid w:val="00665016"/>
    <w:pPr>
      <w:jc w:val="center"/>
    </w:pPr>
    <w:rPr>
      <w:noProof/>
      <w:lang w:eastAsia="en-AU"/>
    </w:rPr>
  </w:style>
  <w:style w:type="character" w:customStyle="1" w:styleId="Instructionaltext">
    <w:name w:val="Instructional text"/>
    <w:basedOn w:val="DefaultParagraphFont"/>
    <w:uiPriority w:val="59"/>
    <w:qFormat/>
    <w:rsid w:val="003600D8"/>
    <w:rPr>
      <w:i/>
      <w:color w:val="0066FF"/>
    </w:rPr>
  </w:style>
  <w:style w:type="paragraph" w:customStyle="1" w:styleId="Instructionaltext-Numberedlist">
    <w:name w:val="Instructional text - Numbered list"/>
    <w:basedOn w:val="Normal"/>
    <w:uiPriority w:val="59"/>
    <w:qFormat/>
    <w:rsid w:val="003C6FB6"/>
    <w:pPr>
      <w:numPr>
        <w:numId w:val="20"/>
      </w:numPr>
      <w:spacing w:after="240"/>
    </w:pPr>
    <w:rPr>
      <w:i/>
      <w:color w:val="0066FF"/>
    </w:rPr>
  </w:style>
  <w:style w:type="character" w:customStyle="1" w:styleId="Exampletext">
    <w:name w:val="Example text"/>
    <w:basedOn w:val="DefaultParagraphFont"/>
    <w:uiPriority w:val="60"/>
    <w:qFormat/>
    <w:rsid w:val="00135456"/>
    <w:rPr>
      <w:color w:val="CC0000"/>
    </w:rPr>
  </w:style>
  <w:style w:type="character" w:customStyle="1" w:styleId="Heading2Char">
    <w:name w:val="Heading 2 Char"/>
    <w:basedOn w:val="DefaultParagraphFont"/>
    <w:link w:val="Heading2"/>
    <w:uiPriority w:val="9"/>
    <w:rsid w:val="00FC3687"/>
    <w:rPr>
      <w:rFonts w:ascii="Cambria" w:eastAsiaTheme="majorEastAsia" w:hAnsi="Cambria" w:cstheme="majorBidi"/>
      <w:bCs/>
      <w:color w:val="0072B9"/>
      <w:sz w:val="26"/>
      <w:szCs w:val="26"/>
    </w:rPr>
  </w:style>
  <w:style w:type="character" w:customStyle="1" w:styleId="FooterChar">
    <w:name w:val="Footer Char"/>
    <w:basedOn w:val="DefaultParagraphFont"/>
    <w:link w:val="Footer"/>
    <w:rsid w:val="00FC3687"/>
    <w:rPr>
      <w:rFonts w:ascii="Calibri" w:hAnsi="Calibri"/>
      <w:color w:val="FFFFFF" w:themeColor="background1"/>
      <w:sz w:val="20"/>
    </w:rPr>
  </w:style>
  <w:style w:type="paragraph" w:customStyle="1" w:styleId="Documenttype">
    <w:name w:val="Document type"/>
    <w:basedOn w:val="Normal"/>
    <w:uiPriority w:val="17"/>
    <w:qFormat/>
    <w:rsid w:val="008E0426"/>
    <w:pPr>
      <w:spacing w:before="120"/>
      <w:jc w:val="right"/>
    </w:pPr>
    <w:rPr>
      <w:rFonts w:ascii="Cambria" w:eastAsia="Times New Roman" w:hAnsi="Cambria" w:cs="Times New Roman"/>
      <w:b/>
      <w:color w:val="00728F"/>
      <w:kern w:val="28"/>
      <w:sz w:val="24"/>
      <w:szCs w:val="52"/>
    </w:rPr>
  </w:style>
  <w:style w:type="character" w:customStyle="1" w:styleId="HeaderChar">
    <w:name w:val="Header Char"/>
    <w:basedOn w:val="DefaultParagraphFont"/>
    <w:link w:val="Header"/>
    <w:rsid w:val="00FC3687"/>
    <w:rPr>
      <w:rFonts w:ascii="Calibri" w:hAnsi="Calibri"/>
      <w:color w:val="0072C3"/>
      <w:sz w:val="20"/>
    </w:rPr>
  </w:style>
  <w:style w:type="paragraph" w:customStyle="1" w:styleId="DotPoint2">
    <w:name w:val="Dot Point 2"/>
    <w:basedOn w:val="ListParagraph"/>
    <w:link w:val="DotPoint2Char"/>
    <w:qFormat/>
    <w:rsid w:val="00C1340F"/>
    <w:pPr>
      <w:spacing w:before="0" w:after="120"/>
      <w:ind w:left="1080" w:hanging="360"/>
      <w:contextualSpacing w:val="0"/>
    </w:pPr>
  </w:style>
  <w:style w:type="paragraph" w:customStyle="1" w:styleId="DotPoint3">
    <w:name w:val="Dot Point 3"/>
    <w:basedOn w:val="ListParagraph"/>
    <w:qFormat/>
    <w:rsid w:val="00C1340F"/>
    <w:pPr>
      <w:tabs>
        <w:tab w:val="num" w:pos="360"/>
      </w:tabs>
      <w:spacing w:after="120"/>
      <w:ind w:left="1800" w:hanging="180"/>
      <w:contextualSpacing w:val="0"/>
    </w:pPr>
    <w:rPr>
      <w:rFonts w:asciiTheme="minorHAnsi" w:eastAsia="Times New Roman" w:hAnsiTheme="minorHAnsi" w:cstheme="minorHAnsi"/>
    </w:rPr>
  </w:style>
  <w:style w:type="character" w:customStyle="1" w:styleId="ListParagraphChar">
    <w:name w:val="List Paragraph Char"/>
    <w:basedOn w:val="DefaultParagraphFont"/>
    <w:link w:val="ListParagraph"/>
    <w:uiPriority w:val="34"/>
    <w:rsid w:val="00C1340F"/>
    <w:rPr>
      <w:rFonts w:ascii="Calibri" w:hAnsi="Calibri"/>
    </w:rPr>
  </w:style>
  <w:style w:type="character" w:customStyle="1" w:styleId="DotPoint2Char">
    <w:name w:val="Dot Point 2 Char"/>
    <w:basedOn w:val="ListParagraphChar"/>
    <w:link w:val="DotPoint2"/>
    <w:rsid w:val="00C1340F"/>
    <w:rPr>
      <w:rFonts w:ascii="Calibri" w:hAnsi="Calibri"/>
    </w:rPr>
  </w:style>
  <w:style w:type="character" w:customStyle="1" w:styleId="CommentTextChar">
    <w:name w:val="Comment Text Char"/>
    <w:basedOn w:val="DefaultParagraphFont"/>
    <w:link w:val="CommentText"/>
    <w:uiPriority w:val="99"/>
    <w:semiHidden/>
    <w:rsid w:val="00B50A1B"/>
    <w:rPr>
      <w:rFonts w:ascii="Calibri" w:hAnsi="Calibri"/>
      <w:sz w:val="20"/>
      <w:szCs w:val="20"/>
    </w:rPr>
  </w:style>
  <w:style w:type="character" w:customStyle="1" w:styleId="FootnoteTextChar">
    <w:name w:val="Footnote Text Char"/>
    <w:basedOn w:val="DefaultParagraphFont"/>
    <w:link w:val="FootnoteText"/>
    <w:uiPriority w:val="99"/>
    <w:rsid w:val="00790268"/>
    <w:rPr>
      <w:rFonts w:ascii="Calibri" w:hAnsi="Calibri"/>
      <w:sz w:val="20"/>
      <w:szCs w:val="20"/>
    </w:rPr>
  </w:style>
  <w:style w:type="paragraph" w:styleId="Revision">
    <w:name w:val="Revision"/>
    <w:hidden/>
    <w:uiPriority w:val="99"/>
    <w:semiHidden/>
    <w:rsid w:val="002424AB"/>
    <w:pPr>
      <w:spacing w:before="0" w:after="0"/>
      <w:ind w:left="0" w:firstLine="0"/>
    </w:pPr>
    <w:rPr>
      <w:rFonts w:ascii="Calibri" w:hAnsi="Calibri"/>
    </w:rPr>
  </w:style>
  <w:style w:type="paragraph" w:customStyle="1" w:styleId="copyrighttextStyles">
    <w:name w:val="copyright text (Styles)"/>
    <w:basedOn w:val="Normal"/>
    <w:next w:val="Normal"/>
    <w:uiPriority w:val="99"/>
    <w:rsid w:val="008A135A"/>
    <w:pPr>
      <w:widowControl w:val="0"/>
      <w:suppressAutoHyphens/>
      <w:autoSpaceDE w:val="0"/>
      <w:autoSpaceDN w:val="0"/>
      <w:adjustRightInd w:val="0"/>
      <w:spacing w:before="17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uiPriority w:val="99"/>
    <w:rsid w:val="00FC3687"/>
    <w:pPr>
      <w:keepNext/>
      <w:widowControl w:val="0"/>
      <w:suppressAutoHyphens/>
      <w:autoSpaceDE w:val="0"/>
      <w:autoSpaceDN w:val="0"/>
      <w:adjustRightInd w:val="0"/>
      <w:spacing w:before="454" w:line="320" w:lineRule="atLeast"/>
      <w:textAlignment w:val="center"/>
    </w:pPr>
    <w:rPr>
      <w:rFonts w:ascii="Arial" w:eastAsia="Times New Roman" w:hAnsi="Arial" w:cs="Geogrotesque-Light"/>
      <w:color w:val="0072B9"/>
      <w:sz w:val="33"/>
      <w:szCs w:val="33"/>
    </w:rPr>
  </w:style>
  <w:style w:type="character" w:customStyle="1" w:styleId="Heading4Char">
    <w:name w:val="Heading 4 Char"/>
    <w:basedOn w:val="DefaultParagraphFont"/>
    <w:link w:val="Heading4"/>
    <w:uiPriority w:val="9"/>
    <w:rsid w:val="00010C91"/>
    <w:rPr>
      <w:rFonts w:ascii="Cambria" w:eastAsiaTheme="majorEastAsia" w:hAnsi="Cambria" w:cstheme="majorBidi"/>
      <w:b/>
      <w:bCs/>
      <w:iCs/>
    </w:rPr>
  </w:style>
  <w:style w:type="paragraph" w:customStyle="1" w:styleId="Boxsub-headingQUESTION">
    <w:name w:val="Box sub-heading QUESTION"/>
    <w:basedOn w:val="Boxsub-heading"/>
    <w:next w:val="BoxtextQUESTION"/>
    <w:qFormat/>
    <w:rsid w:val="00DC2BD3"/>
    <w:pPr>
      <w:pBdr>
        <w:top w:val="single" w:sz="4" w:space="8" w:color="005491"/>
        <w:left w:val="single" w:sz="4" w:space="8" w:color="005491"/>
        <w:bottom w:val="single" w:sz="4" w:space="8" w:color="005491"/>
        <w:right w:val="single" w:sz="4" w:space="0" w:color="005491"/>
      </w:pBdr>
      <w:shd w:val="clear" w:color="auto" w:fill="005491"/>
      <w:spacing w:before="0" w:after="0"/>
    </w:pPr>
    <w:rPr>
      <w:color w:val="FFFFFF" w:themeColor="background1"/>
    </w:rPr>
  </w:style>
  <w:style w:type="paragraph" w:customStyle="1" w:styleId="BoxtextQUESTION">
    <w:name w:val="Box text QUESTION"/>
    <w:basedOn w:val="Boxtext"/>
    <w:qFormat/>
    <w:rsid w:val="00DC2BD3"/>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spacing w:before="0"/>
    </w:pPr>
  </w:style>
  <w:style w:type="paragraph" w:customStyle="1" w:styleId="BoxtextQUESTIONITALICS">
    <w:name w:val="Box text QUESTION ITALICS"/>
    <w:basedOn w:val="BoxtextQUESTION"/>
    <w:qFormat/>
    <w:rsid w:val="00DC2BD3"/>
    <w:rPr>
      <w:b/>
      <w:i/>
    </w:rPr>
  </w:style>
  <w:style w:type="character" w:customStyle="1" w:styleId="NoSpacingChar">
    <w:name w:val="No Spacing Char"/>
    <w:basedOn w:val="DefaultParagraphFont"/>
    <w:link w:val="NoSpacing"/>
    <w:uiPriority w:val="1"/>
    <w:rsid w:val="00B03B1C"/>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5590">
      <w:bodyDiv w:val="1"/>
      <w:marLeft w:val="0"/>
      <w:marRight w:val="0"/>
      <w:marTop w:val="0"/>
      <w:marBottom w:val="0"/>
      <w:divBdr>
        <w:top w:val="none" w:sz="0" w:space="0" w:color="auto"/>
        <w:left w:val="none" w:sz="0" w:space="0" w:color="auto"/>
        <w:bottom w:val="none" w:sz="0" w:space="0" w:color="auto"/>
        <w:right w:val="none" w:sz="0" w:space="0" w:color="auto"/>
      </w:divBdr>
    </w:div>
    <w:div w:id="89594517">
      <w:bodyDiv w:val="1"/>
      <w:marLeft w:val="0"/>
      <w:marRight w:val="0"/>
      <w:marTop w:val="0"/>
      <w:marBottom w:val="0"/>
      <w:divBdr>
        <w:top w:val="none" w:sz="0" w:space="0" w:color="auto"/>
        <w:left w:val="none" w:sz="0" w:space="0" w:color="auto"/>
        <w:bottom w:val="none" w:sz="0" w:space="0" w:color="auto"/>
        <w:right w:val="none" w:sz="0" w:space="0" w:color="auto"/>
      </w:divBdr>
      <w:divsChild>
        <w:div w:id="1187869197">
          <w:marLeft w:val="0"/>
          <w:marRight w:val="0"/>
          <w:marTop w:val="0"/>
          <w:marBottom w:val="0"/>
          <w:divBdr>
            <w:top w:val="none" w:sz="0" w:space="0" w:color="auto"/>
            <w:left w:val="none" w:sz="0" w:space="0" w:color="auto"/>
            <w:bottom w:val="none" w:sz="0" w:space="0" w:color="auto"/>
            <w:right w:val="none" w:sz="0" w:space="0" w:color="auto"/>
          </w:divBdr>
          <w:divsChild>
            <w:div w:id="302151897">
              <w:marLeft w:val="0"/>
              <w:marRight w:val="0"/>
              <w:marTop w:val="0"/>
              <w:marBottom w:val="0"/>
              <w:divBdr>
                <w:top w:val="none" w:sz="0" w:space="0" w:color="auto"/>
                <w:left w:val="none" w:sz="0" w:space="0" w:color="auto"/>
                <w:bottom w:val="none" w:sz="0" w:space="0" w:color="auto"/>
                <w:right w:val="none" w:sz="0" w:space="0" w:color="auto"/>
              </w:divBdr>
              <w:divsChild>
                <w:div w:id="1881475353">
                  <w:marLeft w:val="0"/>
                  <w:marRight w:val="0"/>
                  <w:marTop w:val="0"/>
                  <w:marBottom w:val="0"/>
                  <w:divBdr>
                    <w:top w:val="none" w:sz="0" w:space="0" w:color="auto"/>
                    <w:left w:val="none" w:sz="0" w:space="0" w:color="auto"/>
                    <w:bottom w:val="none" w:sz="0" w:space="0" w:color="auto"/>
                    <w:right w:val="none" w:sz="0" w:space="0" w:color="auto"/>
                  </w:divBdr>
                  <w:divsChild>
                    <w:div w:id="1134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2892">
      <w:bodyDiv w:val="1"/>
      <w:marLeft w:val="0"/>
      <w:marRight w:val="0"/>
      <w:marTop w:val="0"/>
      <w:marBottom w:val="0"/>
      <w:divBdr>
        <w:top w:val="none" w:sz="0" w:space="0" w:color="auto"/>
        <w:left w:val="none" w:sz="0" w:space="0" w:color="auto"/>
        <w:bottom w:val="none" w:sz="0" w:space="0" w:color="auto"/>
        <w:right w:val="none" w:sz="0" w:space="0" w:color="auto"/>
      </w:divBdr>
    </w:div>
    <w:div w:id="548110304">
      <w:bodyDiv w:val="1"/>
      <w:marLeft w:val="0"/>
      <w:marRight w:val="0"/>
      <w:marTop w:val="0"/>
      <w:marBottom w:val="0"/>
      <w:divBdr>
        <w:top w:val="none" w:sz="0" w:space="0" w:color="auto"/>
        <w:left w:val="none" w:sz="0" w:space="0" w:color="auto"/>
        <w:bottom w:val="none" w:sz="0" w:space="0" w:color="auto"/>
        <w:right w:val="none" w:sz="0" w:space="0" w:color="auto"/>
      </w:divBdr>
      <w:divsChild>
        <w:div w:id="14311038">
          <w:marLeft w:val="0"/>
          <w:marRight w:val="0"/>
          <w:marTop w:val="0"/>
          <w:marBottom w:val="0"/>
          <w:divBdr>
            <w:top w:val="none" w:sz="0" w:space="0" w:color="auto"/>
            <w:left w:val="none" w:sz="0" w:space="0" w:color="auto"/>
            <w:bottom w:val="none" w:sz="0" w:space="0" w:color="auto"/>
            <w:right w:val="none" w:sz="0" w:space="0" w:color="auto"/>
          </w:divBdr>
          <w:divsChild>
            <w:div w:id="1451436225">
              <w:marLeft w:val="0"/>
              <w:marRight w:val="0"/>
              <w:marTop w:val="0"/>
              <w:marBottom w:val="0"/>
              <w:divBdr>
                <w:top w:val="none" w:sz="0" w:space="0" w:color="auto"/>
                <w:left w:val="none" w:sz="0" w:space="0" w:color="auto"/>
                <w:bottom w:val="none" w:sz="0" w:space="0" w:color="auto"/>
                <w:right w:val="none" w:sz="0" w:space="0" w:color="auto"/>
              </w:divBdr>
              <w:divsChild>
                <w:div w:id="526673042">
                  <w:marLeft w:val="0"/>
                  <w:marRight w:val="0"/>
                  <w:marTop w:val="0"/>
                  <w:marBottom w:val="0"/>
                  <w:divBdr>
                    <w:top w:val="none" w:sz="0" w:space="0" w:color="auto"/>
                    <w:left w:val="none" w:sz="0" w:space="0" w:color="auto"/>
                    <w:bottom w:val="none" w:sz="0" w:space="0" w:color="auto"/>
                    <w:right w:val="none" w:sz="0" w:space="0" w:color="auto"/>
                  </w:divBdr>
                  <w:divsChild>
                    <w:div w:id="777721752">
                      <w:marLeft w:val="0"/>
                      <w:marRight w:val="0"/>
                      <w:marTop w:val="0"/>
                      <w:marBottom w:val="0"/>
                      <w:divBdr>
                        <w:top w:val="none" w:sz="0" w:space="0" w:color="auto"/>
                        <w:left w:val="none" w:sz="0" w:space="0" w:color="auto"/>
                        <w:bottom w:val="none" w:sz="0" w:space="0" w:color="auto"/>
                        <w:right w:val="none" w:sz="0" w:space="0" w:color="auto"/>
                      </w:divBdr>
                      <w:divsChild>
                        <w:div w:id="1351882228">
                          <w:marLeft w:val="0"/>
                          <w:marRight w:val="0"/>
                          <w:marTop w:val="0"/>
                          <w:marBottom w:val="0"/>
                          <w:divBdr>
                            <w:top w:val="none" w:sz="0" w:space="0" w:color="auto"/>
                            <w:left w:val="none" w:sz="0" w:space="0" w:color="auto"/>
                            <w:bottom w:val="none" w:sz="0" w:space="0" w:color="auto"/>
                            <w:right w:val="none" w:sz="0" w:space="0" w:color="auto"/>
                          </w:divBdr>
                          <w:divsChild>
                            <w:div w:id="9616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286324">
      <w:bodyDiv w:val="1"/>
      <w:marLeft w:val="0"/>
      <w:marRight w:val="0"/>
      <w:marTop w:val="0"/>
      <w:marBottom w:val="0"/>
      <w:divBdr>
        <w:top w:val="none" w:sz="0" w:space="0" w:color="auto"/>
        <w:left w:val="none" w:sz="0" w:space="0" w:color="auto"/>
        <w:bottom w:val="none" w:sz="0" w:space="0" w:color="auto"/>
        <w:right w:val="none" w:sz="0" w:space="0" w:color="auto"/>
      </w:divBdr>
    </w:div>
    <w:div w:id="679744597">
      <w:bodyDiv w:val="1"/>
      <w:marLeft w:val="0"/>
      <w:marRight w:val="0"/>
      <w:marTop w:val="0"/>
      <w:marBottom w:val="0"/>
      <w:divBdr>
        <w:top w:val="none" w:sz="0" w:space="0" w:color="auto"/>
        <w:left w:val="none" w:sz="0" w:space="0" w:color="auto"/>
        <w:bottom w:val="none" w:sz="0" w:space="0" w:color="auto"/>
        <w:right w:val="none" w:sz="0" w:space="0" w:color="auto"/>
      </w:divBdr>
    </w:div>
    <w:div w:id="699862380">
      <w:bodyDiv w:val="1"/>
      <w:marLeft w:val="0"/>
      <w:marRight w:val="0"/>
      <w:marTop w:val="0"/>
      <w:marBottom w:val="0"/>
      <w:divBdr>
        <w:top w:val="none" w:sz="0" w:space="0" w:color="auto"/>
        <w:left w:val="none" w:sz="0" w:space="0" w:color="auto"/>
        <w:bottom w:val="none" w:sz="0" w:space="0" w:color="auto"/>
        <w:right w:val="none" w:sz="0" w:space="0" w:color="auto"/>
      </w:divBdr>
      <w:divsChild>
        <w:div w:id="1141776224">
          <w:marLeft w:val="0"/>
          <w:marRight w:val="0"/>
          <w:marTop w:val="0"/>
          <w:marBottom w:val="0"/>
          <w:divBdr>
            <w:top w:val="none" w:sz="0" w:space="0" w:color="auto"/>
            <w:left w:val="none" w:sz="0" w:space="0" w:color="auto"/>
            <w:bottom w:val="none" w:sz="0" w:space="0" w:color="auto"/>
            <w:right w:val="none" w:sz="0" w:space="0" w:color="auto"/>
          </w:divBdr>
          <w:divsChild>
            <w:div w:id="213927279">
              <w:marLeft w:val="0"/>
              <w:marRight w:val="0"/>
              <w:marTop w:val="0"/>
              <w:marBottom w:val="0"/>
              <w:divBdr>
                <w:top w:val="none" w:sz="0" w:space="0" w:color="auto"/>
                <w:left w:val="none" w:sz="0" w:space="0" w:color="auto"/>
                <w:bottom w:val="none" w:sz="0" w:space="0" w:color="auto"/>
                <w:right w:val="none" w:sz="0" w:space="0" w:color="auto"/>
              </w:divBdr>
              <w:divsChild>
                <w:div w:id="11347651">
                  <w:marLeft w:val="0"/>
                  <w:marRight w:val="0"/>
                  <w:marTop w:val="0"/>
                  <w:marBottom w:val="0"/>
                  <w:divBdr>
                    <w:top w:val="none" w:sz="0" w:space="0" w:color="auto"/>
                    <w:left w:val="none" w:sz="0" w:space="0" w:color="auto"/>
                    <w:bottom w:val="none" w:sz="0" w:space="0" w:color="auto"/>
                    <w:right w:val="none" w:sz="0" w:space="0" w:color="auto"/>
                  </w:divBdr>
                  <w:divsChild>
                    <w:div w:id="1558467339">
                      <w:marLeft w:val="0"/>
                      <w:marRight w:val="0"/>
                      <w:marTop w:val="0"/>
                      <w:marBottom w:val="0"/>
                      <w:divBdr>
                        <w:top w:val="none" w:sz="0" w:space="0" w:color="auto"/>
                        <w:left w:val="none" w:sz="0" w:space="0" w:color="auto"/>
                        <w:bottom w:val="none" w:sz="0" w:space="0" w:color="auto"/>
                        <w:right w:val="none" w:sz="0" w:space="0" w:color="auto"/>
                      </w:divBdr>
                      <w:divsChild>
                        <w:div w:id="134297026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24107">
      <w:bodyDiv w:val="1"/>
      <w:marLeft w:val="0"/>
      <w:marRight w:val="0"/>
      <w:marTop w:val="0"/>
      <w:marBottom w:val="0"/>
      <w:divBdr>
        <w:top w:val="none" w:sz="0" w:space="0" w:color="auto"/>
        <w:left w:val="none" w:sz="0" w:space="0" w:color="auto"/>
        <w:bottom w:val="none" w:sz="0" w:space="0" w:color="auto"/>
        <w:right w:val="none" w:sz="0" w:space="0" w:color="auto"/>
      </w:divBdr>
      <w:divsChild>
        <w:div w:id="838736492">
          <w:marLeft w:val="0"/>
          <w:marRight w:val="0"/>
          <w:marTop w:val="0"/>
          <w:marBottom w:val="0"/>
          <w:divBdr>
            <w:top w:val="none" w:sz="0" w:space="0" w:color="auto"/>
            <w:left w:val="none" w:sz="0" w:space="0" w:color="auto"/>
            <w:bottom w:val="none" w:sz="0" w:space="0" w:color="auto"/>
            <w:right w:val="none" w:sz="0" w:space="0" w:color="auto"/>
          </w:divBdr>
          <w:divsChild>
            <w:div w:id="693652630">
              <w:marLeft w:val="0"/>
              <w:marRight w:val="0"/>
              <w:marTop w:val="0"/>
              <w:marBottom w:val="0"/>
              <w:divBdr>
                <w:top w:val="none" w:sz="0" w:space="0" w:color="auto"/>
                <w:left w:val="none" w:sz="0" w:space="0" w:color="auto"/>
                <w:bottom w:val="none" w:sz="0" w:space="0" w:color="auto"/>
                <w:right w:val="none" w:sz="0" w:space="0" w:color="auto"/>
              </w:divBdr>
              <w:divsChild>
                <w:div w:id="507064688">
                  <w:marLeft w:val="0"/>
                  <w:marRight w:val="0"/>
                  <w:marTop w:val="0"/>
                  <w:marBottom w:val="0"/>
                  <w:divBdr>
                    <w:top w:val="none" w:sz="0" w:space="0" w:color="auto"/>
                    <w:left w:val="none" w:sz="0" w:space="0" w:color="auto"/>
                    <w:bottom w:val="none" w:sz="0" w:space="0" w:color="auto"/>
                    <w:right w:val="none" w:sz="0" w:space="0" w:color="auto"/>
                  </w:divBdr>
                  <w:divsChild>
                    <w:div w:id="167600973">
                      <w:marLeft w:val="0"/>
                      <w:marRight w:val="0"/>
                      <w:marTop w:val="45"/>
                      <w:marBottom w:val="0"/>
                      <w:divBdr>
                        <w:top w:val="none" w:sz="0" w:space="0" w:color="auto"/>
                        <w:left w:val="none" w:sz="0" w:space="0" w:color="auto"/>
                        <w:bottom w:val="none" w:sz="0" w:space="0" w:color="auto"/>
                        <w:right w:val="none" w:sz="0" w:space="0" w:color="auto"/>
                      </w:divBdr>
                      <w:divsChild>
                        <w:div w:id="1436441587">
                          <w:marLeft w:val="0"/>
                          <w:marRight w:val="0"/>
                          <w:marTop w:val="0"/>
                          <w:marBottom w:val="0"/>
                          <w:divBdr>
                            <w:top w:val="none" w:sz="0" w:space="0" w:color="auto"/>
                            <w:left w:val="none" w:sz="0" w:space="0" w:color="auto"/>
                            <w:bottom w:val="none" w:sz="0" w:space="0" w:color="auto"/>
                            <w:right w:val="none" w:sz="0" w:space="0" w:color="auto"/>
                          </w:divBdr>
                          <w:divsChild>
                            <w:div w:id="495267385">
                              <w:marLeft w:val="2070"/>
                              <w:marRight w:val="3810"/>
                              <w:marTop w:val="0"/>
                              <w:marBottom w:val="0"/>
                              <w:divBdr>
                                <w:top w:val="none" w:sz="0" w:space="0" w:color="auto"/>
                                <w:left w:val="none" w:sz="0" w:space="0" w:color="auto"/>
                                <w:bottom w:val="none" w:sz="0" w:space="0" w:color="auto"/>
                                <w:right w:val="none" w:sz="0" w:space="0" w:color="auto"/>
                              </w:divBdr>
                              <w:divsChild>
                                <w:div w:id="1260916424">
                                  <w:marLeft w:val="0"/>
                                  <w:marRight w:val="0"/>
                                  <w:marTop w:val="0"/>
                                  <w:marBottom w:val="0"/>
                                  <w:divBdr>
                                    <w:top w:val="none" w:sz="0" w:space="0" w:color="auto"/>
                                    <w:left w:val="none" w:sz="0" w:space="0" w:color="auto"/>
                                    <w:bottom w:val="none" w:sz="0" w:space="0" w:color="auto"/>
                                    <w:right w:val="none" w:sz="0" w:space="0" w:color="auto"/>
                                  </w:divBdr>
                                  <w:divsChild>
                                    <w:div w:id="808790551">
                                      <w:marLeft w:val="0"/>
                                      <w:marRight w:val="0"/>
                                      <w:marTop w:val="0"/>
                                      <w:marBottom w:val="0"/>
                                      <w:divBdr>
                                        <w:top w:val="none" w:sz="0" w:space="0" w:color="auto"/>
                                        <w:left w:val="none" w:sz="0" w:space="0" w:color="auto"/>
                                        <w:bottom w:val="none" w:sz="0" w:space="0" w:color="auto"/>
                                        <w:right w:val="none" w:sz="0" w:space="0" w:color="auto"/>
                                      </w:divBdr>
                                      <w:divsChild>
                                        <w:div w:id="1401051070">
                                          <w:marLeft w:val="0"/>
                                          <w:marRight w:val="0"/>
                                          <w:marTop w:val="0"/>
                                          <w:marBottom w:val="0"/>
                                          <w:divBdr>
                                            <w:top w:val="none" w:sz="0" w:space="0" w:color="auto"/>
                                            <w:left w:val="none" w:sz="0" w:space="0" w:color="auto"/>
                                            <w:bottom w:val="none" w:sz="0" w:space="0" w:color="auto"/>
                                            <w:right w:val="none" w:sz="0" w:space="0" w:color="auto"/>
                                          </w:divBdr>
                                          <w:divsChild>
                                            <w:div w:id="15161285">
                                              <w:marLeft w:val="0"/>
                                              <w:marRight w:val="0"/>
                                              <w:marTop w:val="0"/>
                                              <w:marBottom w:val="0"/>
                                              <w:divBdr>
                                                <w:top w:val="none" w:sz="0" w:space="0" w:color="auto"/>
                                                <w:left w:val="none" w:sz="0" w:space="0" w:color="auto"/>
                                                <w:bottom w:val="none" w:sz="0" w:space="0" w:color="auto"/>
                                                <w:right w:val="none" w:sz="0" w:space="0" w:color="auto"/>
                                              </w:divBdr>
                                              <w:divsChild>
                                                <w:div w:id="364524701">
                                                  <w:marLeft w:val="0"/>
                                                  <w:marRight w:val="0"/>
                                                  <w:marTop w:val="0"/>
                                                  <w:marBottom w:val="0"/>
                                                  <w:divBdr>
                                                    <w:top w:val="none" w:sz="0" w:space="0" w:color="auto"/>
                                                    <w:left w:val="none" w:sz="0" w:space="0" w:color="auto"/>
                                                    <w:bottom w:val="none" w:sz="0" w:space="0" w:color="auto"/>
                                                    <w:right w:val="none" w:sz="0" w:space="0" w:color="auto"/>
                                                  </w:divBdr>
                                                  <w:divsChild>
                                                    <w:div w:id="1299070540">
                                                      <w:marLeft w:val="0"/>
                                                      <w:marRight w:val="0"/>
                                                      <w:marTop w:val="0"/>
                                                      <w:marBottom w:val="0"/>
                                                      <w:divBdr>
                                                        <w:top w:val="none" w:sz="0" w:space="0" w:color="auto"/>
                                                        <w:left w:val="none" w:sz="0" w:space="0" w:color="auto"/>
                                                        <w:bottom w:val="none" w:sz="0" w:space="0" w:color="auto"/>
                                                        <w:right w:val="none" w:sz="0" w:space="0" w:color="auto"/>
                                                      </w:divBdr>
                                                      <w:divsChild>
                                                        <w:div w:id="1895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629134">
      <w:bodyDiv w:val="1"/>
      <w:marLeft w:val="0"/>
      <w:marRight w:val="0"/>
      <w:marTop w:val="0"/>
      <w:marBottom w:val="0"/>
      <w:divBdr>
        <w:top w:val="none" w:sz="0" w:space="0" w:color="auto"/>
        <w:left w:val="none" w:sz="0" w:space="0" w:color="auto"/>
        <w:bottom w:val="none" w:sz="0" w:space="0" w:color="auto"/>
        <w:right w:val="none" w:sz="0" w:space="0" w:color="auto"/>
      </w:divBdr>
      <w:divsChild>
        <w:div w:id="73627811">
          <w:marLeft w:val="0"/>
          <w:marRight w:val="0"/>
          <w:marTop w:val="0"/>
          <w:marBottom w:val="0"/>
          <w:divBdr>
            <w:top w:val="none" w:sz="0" w:space="0" w:color="auto"/>
            <w:left w:val="none" w:sz="0" w:space="0" w:color="auto"/>
            <w:bottom w:val="none" w:sz="0" w:space="0" w:color="auto"/>
            <w:right w:val="none" w:sz="0" w:space="0" w:color="auto"/>
          </w:divBdr>
          <w:divsChild>
            <w:div w:id="1238831155">
              <w:marLeft w:val="0"/>
              <w:marRight w:val="0"/>
              <w:marTop w:val="0"/>
              <w:marBottom w:val="0"/>
              <w:divBdr>
                <w:top w:val="none" w:sz="0" w:space="0" w:color="auto"/>
                <w:left w:val="none" w:sz="0" w:space="0" w:color="auto"/>
                <w:bottom w:val="none" w:sz="0" w:space="0" w:color="auto"/>
                <w:right w:val="none" w:sz="0" w:space="0" w:color="auto"/>
              </w:divBdr>
              <w:divsChild>
                <w:div w:id="346566488">
                  <w:marLeft w:val="0"/>
                  <w:marRight w:val="0"/>
                  <w:marTop w:val="0"/>
                  <w:marBottom w:val="0"/>
                  <w:divBdr>
                    <w:top w:val="none" w:sz="0" w:space="0" w:color="auto"/>
                    <w:left w:val="none" w:sz="0" w:space="0" w:color="auto"/>
                    <w:bottom w:val="none" w:sz="0" w:space="0" w:color="auto"/>
                    <w:right w:val="none" w:sz="0" w:space="0" w:color="auto"/>
                  </w:divBdr>
                  <w:divsChild>
                    <w:div w:id="1998418249">
                      <w:marLeft w:val="0"/>
                      <w:marRight w:val="0"/>
                      <w:marTop w:val="0"/>
                      <w:marBottom w:val="0"/>
                      <w:divBdr>
                        <w:top w:val="none" w:sz="0" w:space="0" w:color="auto"/>
                        <w:left w:val="none" w:sz="0" w:space="0" w:color="auto"/>
                        <w:bottom w:val="none" w:sz="0" w:space="0" w:color="auto"/>
                        <w:right w:val="none" w:sz="0" w:space="0" w:color="auto"/>
                      </w:divBdr>
                      <w:divsChild>
                        <w:div w:id="470514940">
                          <w:marLeft w:val="0"/>
                          <w:marRight w:val="1200"/>
                          <w:marTop w:val="300"/>
                          <w:marBottom w:val="0"/>
                          <w:divBdr>
                            <w:top w:val="none" w:sz="0" w:space="0" w:color="auto"/>
                            <w:left w:val="none" w:sz="0" w:space="0" w:color="auto"/>
                            <w:bottom w:val="none" w:sz="0" w:space="0" w:color="auto"/>
                            <w:right w:val="none" w:sz="0" w:space="0" w:color="auto"/>
                          </w:divBdr>
                          <w:divsChild>
                            <w:div w:id="12634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404542">
      <w:bodyDiv w:val="1"/>
      <w:marLeft w:val="0"/>
      <w:marRight w:val="0"/>
      <w:marTop w:val="0"/>
      <w:marBottom w:val="0"/>
      <w:divBdr>
        <w:top w:val="none" w:sz="0" w:space="0" w:color="auto"/>
        <w:left w:val="none" w:sz="0" w:space="0" w:color="auto"/>
        <w:bottom w:val="none" w:sz="0" w:space="0" w:color="auto"/>
        <w:right w:val="none" w:sz="0" w:space="0" w:color="auto"/>
      </w:divBdr>
      <w:divsChild>
        <w:div w:id="478033158">
          <w:marLeft w:val="0"/>
          <w:marRight w:val="0"/>
          <w:marTop w:val="0"/>
          <w:marBottom w:val="0"/>
          <w:divBdr>
            <w:top w:val="none" w:sz="0" w:space="0" w:color="auto"/>
            <w:left w:val="none" w:sz="0" w:space="0" w:color="auto"/>
            <w:bottom w:val="none" w:sz="0" w:space="0" w:color="auto"/>
            <w:right w:val="none" w:sz="0" w:space="0" w:color="auto"/>
          </w:divBdr>
          <w:divsChild>
            <w:div w:id="1707633385">
              <w:marLeft w:val="0"/>
              <w:marRight w:val="0"/>
              <w:marTop w:val="0"/>
              <w:marBottom w:val="0"/>
              <w:divBdr>
                <w:top w:val="none" w:sz="0" w:space="0" w:color="auto"/>
                <w:left w:val="none" w:sz="0" w:space="0" w:color="auto"/>
                <w:bottom w:val="none" w:sz="0" w:space="0" w:color="auto"/>
                <w:right w:val="none" w:sz="0" w:space="0" w:color="auto"/>
              </w:divBdr>
              <w:divsChild>
                <w:div w:id="1583831306">
                  <w:marLeft w:val="0"/>
                  <w:marRight w:val="0"/>
                  <w:marTop w:val="0"/>
                  <w:marBottom w:val="0"/>
                  <w:divBdr>
                    <w:top w:val="none" w:sz="0" w:space="0" w:color="auto"/>
                    <w:left w:val="none" w:sz="0" w:space="0" w:color="auto"/>
                    <w:bottom w:val="none" w:sz="0" w:space="0" w:color="auto"/>
                    <w:right w:val="none" w:sz="0" w:space="0" w:color="auto"/>
                  </w:divBdr>
                  <w:divsChild>
                    <w:div w:id="1094401828">
                      <w:marLeft w:val="0"/>
                      <w:marRight w:val="0"/>
                      <w:marTop w:val="0"/>
                      <w:marBottom w:val="0"/>
                      <w:divBdr>
                        <w:top w:val="none" w:sz="0" w:space="0" w:color="auto"/>
                        <w:left w:val="none" w:sz="0" w:space="0" w:color="auto"/>
                        <w:bottom w:val="none" w:sz="0" w:space="0" w:color="auto"/>
                        <w:right w:val="none" w:sz="0" w:space="0" w:color="auto"/>
                      </w:divBdr>
                      <w:divsChild>
                        <w:div w:id="27722368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671970">
      <w:bodyDiv w:val="1"/>
      <w:marLeft w:val="0"/>
      <w:marRight w:val="0"/>
      <w:marTop w:val="0"/>
      <w:marBottom w:val="0"/>
      <w:divBdr>
        <w:top w:val="none" w:sz="0" w:space="0" w:color="auto"/>
        <w:left w:val="none" w:sz="0" w:space="0" w:color="auto"/>
        <w:bottom w:val="none" w:sz="0" w:space="0" w:color="auto"/>
        <w:right w:val="none" w:sz="0" w:space="0" w:color="auto"/>
      </w:divBdr>
    </w:div>
    <w:div w:id="1105542875">
      <w:bodyDiv w:val="1"/>
      <w:marLeft w:val="0"/>
      <w:marRight w:val="0"/>
      <w:marTop w:val="0"/>
      <w:marBottom w:val="0"/>
      <w:divBdr>
        <w:top w:val="none" w:sz="0" w:space="0" w:color="auto"/>
        <w:left w:val="none" w:sz="0" w:space="0" w:color="auto"/>
        <w:bottom w:val="none" w:sz="0" w:space="0" w:color="auto"/>
        <w:right w:val="none" w:sz="0" w:space="0" w:color="auto"/>
      </w:divBdr>
    </w:div>
    <w:div w:id="1163164907">
      <w:bodyDiv w:val="1"/>
      <w:marLeft w:val="0"/>
      <w:marRight w:val="0"/>
      <w:marTop w:val="0"/>
      <w:marBottom w:val="0"/>
      <w:divBdr>
        <w:top w:val="none" w:sz="0" w:space="0" w:color="auto"/>
        <w:left w:val="none" w:sz="0" w:space="0" w:color="auto"/>
        <w:bottom w:val="none" w:sz="0" w:space="0" w:color="auto"/>
        <w:right w:val="none" w:sz="0" w:space="0" w:color="auto"/>
      </w:divBdr>
    </w:div>
    <w:div w:id="1165902111">
      <w:bodyDiv w:val="1"/>
      <w:marLeft w:val="0"/>
      <w:marRight w:val="0"/>
      <w:marTop w:val="0"/>
      <w:marBottom w:val="0"/>
      <w:divBdr>
        <w:top w:val="none" w:sz="0" w:space="0" w:color="auto"/>
        <w:left w:val="none" w:sz="0" w:space="0" w:color="auto"/>
        <w:bottom w:val="none" w:sz="0" w:space="0" w:color="auto"/>
        <w:right w:val="none" w:sz="0" w:space="0" w:color="auto"/>
      </w:divBdr>
    </w:div>
    <w:div w:id="1216165501">
      <w:bodyDiv w:val="1"/>
      <w:marLeft w:val="0"/>
      <w:marRight w:val="0"/>
      <w:marTop w:val="0"/>
      <w:marBottom w:val="0"/>
      <w:divBdr>
        <w:top w:val="none" w:sz="0" w:space="0" w:color="auto"/>
        <w:left w:val="none" w:sz="0" w:space="0" w:color="auto"/>
        <w:bottom w:val="none" w:sz="0" w:space="0" w:color="auto"/>
        <w:right w:val="none" w:sz="0" w:space="0" w:color="auto"/>
      </w:divBdr>
    </w:div>
    <w:div w:id="1369404929">
      <w:bodyDiv w:val="1"/>
      <w:marLeft w:val="0"/>
      <w:marRight w:val="0"/>
      <w:marTop w:val="0"/>
      <w:marBottom w:val="0"/>
      <w:divBdr>
        <w:top w:val="none" w:sz="0" w:space="0" w:color="auto"/>
        <w:left w:val="none" w:sz="0" w:space="0" w:color="auto"/>
        <w:bottom w:val="none" w:sz="0" w:space="0" w:color="auto"/>
        <w:right w:val="none" w:sz="0" w:space="0" w:color="auto"/>
      </w:divBdr>
    </w:div>
    <w:div w:id="1583182622">
      <w:bodyDiv w:val="1"/>
      <w:marLeft w:val="0"/>
      <w:marRight w:val="0"/>
      <w:marTop w:val="0"/>
      <w:marBottom w:val="0"/>
      <w:divBdr>
        <w:top w:val="none" w:sz="0" w:space="0" w:color="auto"/>
        <w:left w:val="none" w:sz="0" w:space="0" w:color="auto"/>
        <w:bottom w:val="none" w:sz="0" w:space="0" w:color="auto"/>
        <w:right w:val="none" w:sz="0" w:space="0" w:color="auto"/>
      </w:divBdr>
    </w:div>
    <w:div w:id="1641381816">
      <w:bodyDiv w:val="1"/>
      <w:marLeft w:val="0"/>
      <w:marRight w:val="0"/>
      <w:marTop w:val="0"/>
      <w:marBottom w:val="0"/>
      <w:divBdr>
        <w:top w:val="none" w:sz="0" w:space="0" w:color="auto"/>
        <w:left w:val="none" w:sz="0" w:space="0" w:color="auto"/>
        <w:bottom w:val="none" w:sz="0" w:space="0" w:color="auto"/>
        <w:right w:val="none" w:sz="0" w:space="0" w:color="auto"/>
      </w:divBdr>
      <w:divsChild>
        <w:div w:id="1697848811">
          <w:marLeft w:val="0"/>
          <w:marRight w:val="0"/>
          <w:marTop w:val="0"/>
          <w:marBottom w:val="0"/>
          <w:divBdr>
            <w:top w:val="none" w:sz="0" w:space="0" w:color="auto"/>
            <w:left w:val="none" w:sz="0" w:space="0" w:color="auto"/>
            <w:bottom w:val="none" w:sz="0" w:space="0" w:color="auto"/>
            <w:right w:val="none" w:sz="0" w:space="0" w:color="auto"/>
          </w:divBdr>
          <w:divsChild>
            <w:div w:id="1745031122">
              <w:marLeft w:val="0"/>
              <w:marRight w:val="0"/>
              <w:marTop w:val="0"/>
              <w:marBottom w:val="0"/>
              <w:divBdr>
                <w:top w:val="none" w:sz="0" w:space="0" w:color="auto"/>
                <w:left w:val="none" w:sz="0" w:space="0" w:color="auto"/>
                <w:bottom w:val="none" w:sz="0" w:space="0" w:color="auto"/>
                <w:right w:val="none" w:sz="0" w:space="0" w:color="auto"/>
              </w:divBdr>
              <w:divsChild>
                <w:div w:id="584070581">
                  <w:marLeft w:val="0"/>
                  <w:marRight w:val="0"/>
                  <w:marTop w:val="0"/>
                  <w:marBottom w:val="0"/>
                  <w:divBdr>
                    <w:top w:val="none" w:sz="0" w:space="0" w:color="auto"/>
                    <w:left w:val="none" w:sz="0" w:space="0" w:color="auto"/>
                    <w:bottom w:val="none" w:sz="0" w:space="0" w:color="auto"/>
                    <w:right w:val="none" w:sz="0" w:space="0" w:color="auto"/>
                  </w:divBdr>
                  <w:divsChild>
                    <w:div w:id="234246708">
                      <w:marLeft w:val="0"/>
                      <w:marRight w:val="0"/>
                      <w:marTop w:val="0"/>
                      <w:marBottom w:val="0"/>
                      <w:divBdr>
                        <w:top w:val="none" w:sz="0" w:space="0" w:color="auto"/>
                        <w:left w:val="none" w:sz="0" w:space="0" w:color="auto"/>
                        <w:bottom w:val="none" w:sz="0" w:space="0" w:color="auto"/>
                        <w:right w:val="none" w:sz="0" w:space="0" w:color="auto"/>
                      </w:divBdr>
                      <w:divsChild>
                        <w:div w:id="1959140374">
                          <w:marLeft w:val="0"/>
                          <w:marRight w:val="0"/>
                          <w:marTop w:val="0"/>
                          <w:marBottom w:val="0"/>
                          <w:divBdr>
                            <w:top w:val="none" w:sz="0" w:space="0" w:color="auto"/>
                            <w:left w:val="none" w:sz="0" w:space="0" w:color="auto"/>
                            <w:bottom w:val="none" w:sz="0" w:space="0" w:color="auto"/>
                            <w:right w:val="none" w:sz="0" w:space="0" w:color="auto"/>
                          </w:divBdr>
                          <w:divsChild>
                            <w:div w:id="699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03322">
      <w:bodyDiv w:val="1"/>
      <w:marLeft w:val="0"/>
      <w:marRight w:val="0"/>
      <w:marTop w:val="0"/>
      <w:marBottom w:val="0"/>
      <w:divBdr>
        <w:top w:val="none" w:sz="0" w:space="0" w:color="auto"/>
        <w:left w:val="none" w:sz="0" w:space="0" w:color="auto"/>
        <w:bottom w:val="none" w:sz="0" w:space="0" w:color="auto"/>
        <w:right w:val="none" w:sz="0" w:space="0" w:color="auto"/>
      </w:divBdr>
    </w:div>
    <w:div w:id="1770003967">
      <w:bodyDiv w:val="1"/>
      <w:marLeft w:val="0"/>
      <w:marRight w:val="0"/>
      <w:marTop w:val="0"/>
      <w:marBottom w:val="0"/>
      <w:divBdr>
        <w:top w:val="none" w:sz="0" w:space="0" w:color="auto"/>
        <w:left w:val="none" w:sz="0" w:space="0" w:color="auto"/>
        <w:bottom w:val="none" w:sz="0" w:space="0" w:color="auto"/>
        <w:right w:val="none" w:sz="0" w:space="0" w:color="auto"/>
      </w:divBdr>
    </w:div>
    <w:div w:id="1816488618">
      <w:bodyDiv w:val="1"/>
      <w:marLeft w:val="0"/>
      <w:marRight w:val="0"/>
      <w:marTop w:val="0"/>
      <w:marBottom w:val="0"/>
      <w:divBdr>
        <w:top w:val="none" w:sz="0" w:space="0" w:color="auto"/>
        <w:left w:val="none" w:sz="0" w:space="0" w:color="auto"/>
        <w:bottom w:val="none" w:sz="0" w:space="0" w:color="auto"/>
        <w:right w:val="none" w:sz="0" w:space="0" w:color="auto"/>
      </w:divBdr>
      <w:divsChild>
        <w:div w:id="1275287397">
          <w:marLeft w:val="0"/>
          <w:marRight w:val="0"/>
          <w:marTop w:val="0"/>
          <w:marBottom w:val="0"/>
          <w:divBdr>
            <w:top w:val="none" w:sz="0" w:space="0" w:color="auto"/>
            <w:left w:val="none" w:sz="0" w:space="0" w:color="auto"/>
            <w:bottom w:val="none" w:sz="0" w:space="0" w:color="auto"/>
            <w:right w:val="none" w:sz="0" w:space="0" w:color="auto"/>
          </w:divBdr>
          <w:divsChild>
            <w:div w:id="546529986">
              <w:marLeft w:val="0"/>
              <w:marRight w:val="0"/>
              <w:marTop w:val="0"/>
              <w:marBottom w:val="0"/>
              <w:divBdr>
                <w:top w:val="none" w:sz="0" w:space="0" w:color="auto"/>
                <w:left w:val="none" w:sz="0" w:space="0" w:color="auto"/>
                <w:bottom w:val="none" w:sz="0" w:space="0" w:color="auto"/>
                <w:right w:val="none" w:sz="0" w:space="0" w:color="auto"/>
              </w:divBdr>
              <w:divsChild>
                <w:div w:id="196743694">
                  <w:marLeft w:val="0"/>
                  <w:marRight w:val="0"/>
                  <w:marTop w:val="100"/>
                  <w:marBottom w:val="100"/>
                  <w:divBdr>
                    <w:top w:val="none" w:sz="0" w:space="0" w:color="auto"/>
                    <w:left w:val="none" w:sz="0" w:space="0" w:color="auto"/>
                    <w:bottom w:val="none" w:sz="0" w:space="0" w:color="auto"/>
                    <w:right w:val="none" w:sz="0" w:space="0" w:color="auto"/>
                  </w:divBdr>
                  <w:divsChild>
                    <w:div w:id="729116186">
                      <w:marLeft w:val="0"/>
                      <w:marRight w:val="0"/>
                      <w:marTop w:val="0"/>
                      <w:marBottom w:val="0"/>
                      <w:divBdr>
                        <w:top w:val="none" w:sz="0" w:space="0" w:color="auto"/>
                        <w:left w:val="none" w:sz="0" w:space="0" w:color="auto"/>
                        <w:bottom w:val="none" w:sz="0" w:space="0" w:color="auto"/>
                        <w:right w:val="none" w:sz="0" w:space="0" w:color="auto"/>
                      </w:divBdr>
                      <w:divsChild>
                        <w:div w:id="1633904044">
                          <w:marLeft w:val="0"/>
                          <w:marRight w:val="0"/>
                          <w:marTop w:val="0"/>
                          <w:marBottom w:val="0"/>
                          <w:divBdr>
                            <w:top w:val="none" w:sz="0" w:space="0" w:color="auto"/>
                            <w:left w:val="none" w:sz="0" w:space="0" w:color="auto"/>
                            <w:bottom w:val="none" w:sz="0" w:space="0" w:color="auto"/>
                            <w:right w:val="none" w:sz="0" w:space="0" w:color="auto"/>
                          </w:divBdr>
                          <w:divsChild>
                            <w:div w:id="292565755">
                              <w:marLeft w:val="0"/>
                              <w:marRight w:val="0"/>
                              <w:marTop w:val="0"/>
                              <w:marBottom w:val="0"/>
                              <w:divBdr>
                                <w:top w:val="none" w:sz="0" w:space="0" w:color="auto"/>
                                <w:left w:val="none" w:sz="0" w:space="0" w:color="auto"/>
                                <w:bottom w:val="none" w:sz="0" w:space="0" w:color="auto"/>
                                <w:right w:val="none" w:sz="0" w:space="0" w:color="auto"/>
                              </w:divBdr>
                              <w:divsChild>
                                <w:div w:id="203710985">
                                  <w:marLeft w:val="0"/>
                                  <w:marRight w:val="0"/>
                                  <w:marTop w:val="0"/>
                                  <w:marBottom w:val="0"/>
                                  <w:divBdr>
                                    <w:top w:val="none" w:sz="0" w:space="0" w:color="auto"/>
                                    <w:left w:val="none" w:sz="0" w:space="0" w:color="auto"/>
                                    <w:bottom w:val="none" w:sz="0" w:space="0" w:color="auto"/>
                                    <w:right w:val="none" w:sz="0" w:space="0" w:color="auto"/>
                                  </w:divBdr>
                                  <w:divsChild>
                                    <w:div w:id="2067990982">
                                      <w:marLeft w:val="0"/>
                                      <w:marRight w:val="0"/>
                                      <w:marTop w:val="0"/>
                                      <w:marBottom w:val="0"/>
                                      <w:divBdr>
                                        <w:top w:val="none" w:sz="0" w:space="0" w:color="auto"/>
                                        <w:left w:val="none" w:sz="0" w:space="0" w:color="auto"/>
                                        <w:bottom w:val="none" w:sz="0" w:space="0" w:color="auto"/>
                                        <w:right w:val="none" w:sz="0" w:space="0" w:color="auto"/>
                                      </w:divBdr>
                                      <w:divsChild>
                                        <w:div w:id="1461804338">
                                          <w:marLeft w:val="0"/>
                                          <w:marRight w:val="0"/>
                                          <w:marTop w:val="0"/>
                                          <w:marBottom w:val="360"/>
                                          <w:divBdr>
                                            <w:top w:val="none" w:sz="0" w:space="0" w:color="auto"/>
                                            <w:left w:val="none" w:sz="0" w:space="0" w:color="auto"/>
                                            <w:bottom w:val="none" w:sz="0" w:space="0" w:color="auto"/>
                                            <w:right w:val="none" w:sz="0" w:space="0" w:color="auto"/>
                                          </w:divBdr>
                                          <w:divsChild>
                                            <w:div w:id="1411123793">
                                              <w:marLeft w:val="0"/>
                                              <w:marRight w:val="0"/>
                                              <w:marTop w:val="0"/>
                                              <w:marBottom w:val="0"/>
                                              <w:divBdr>
                                                <w:top w:val="none" w:sz="0" w:space="0" w:color="auto"/>
                                                <w:left w:val="none" w:sz="0" w:space="0" w:color="auto"/>
                                                <w:bottom w:val="none" w:sz="0" w:space="0" w:color="auto"/>
                                                <w:right w:val="none" w:sz="0" w:space="0" w:color="auto"/>
                                              </w:divBdr>
                                              <w:divsChild>
                                                <w:div w:id="921720376">
                                                  <w:marLeft w:val="0"/>
                                                  <w:marRight w:val="0"/>
                                                  <w:marTop w:val="0"/>
                                                  <w:marBottom w:val="0"/>
                                                  <w:divBdr>
                                                    <w:top w:val="none" w:sz="0" w:space="0" w:color="auto"/>
                                                    <w:left w:val="none" w:sz="0" w:space="0" w:color="auto"/>
                                                    <w:bottom w:val="none" w:sz="0" w:space="0" w:color="auto"/>
                                                    <w:right w:val="none" w:sz="0" w:space="0" w:color="auto"/>
                                                  </w:divBdr>
                                                  <w:divsChild>
                                                    <w:div w:id="545487255">
                                                      <w:marLeft w:val="5370"/>
                                                      <w:marRight w:val="0"/>
                                                      <w:marTop w:val="120"/>
                                                      <w:marBottom w:val="0"/>
                                                      <w:divBdr>
                                                        <w:top w:val="none" w:sz="0" w:space="0" w:color="auto"/>
                                                        <w:left w:val="none" w:sz="0" w:space="0" w:color="auto"/>
                                                        <w:bottom w:val="none" w:sz="0" w:space="0" w:color="auto"/>
                                                        <w:right w:val="none" w:sz="0" w:space="0" w:color="auto"/>
                                                      </w:divBdr>
                                                      <w:divsChild>
                                                        <w:div w:id="359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061267">
      <w:bodyDiv w:val="1"/>
      <w:marLeft w:val="0"/>
      <w:marRight w:val="0"/>
      <w:marTop w:val="0"/>
      <w:marBottom w:val="0"/>
      <w:divBdr>
        <w:top w:val="none" w:sz="0" w:space="0" w:color="auto"/>
        <w:left w:val="none" w:sz="0" w:space="0" w:color="auto"/>
        <w:bottom w:val="none" w:sz="0" w:space="0" w:color="auto"/>
        <w:right w:val="none" w:sz="0" w:space="0" w:color="auto"/>
      </w:divBdr>
    </w:div>
    <w:div w:id="2003118502">
      <w:bodyDiv w:val="1"/>
      <w:marLeft w:val="0"/>
      <w:marRight w:val="0"/>
      <w:marTop w:val="0"/>
      <w:marBottom w:val="0"/>
      <w:divBdr>
        <w:top w:val="none" w:sz="0" w:space="0" w:color="auto"/>
        <w:left w:val="none" w:sz="0" w:space="0" w:color="auto"/>
        <w:bottom w:val="none" w:sz="0" w:space="0" w:color="auto"/>
        <w:right w:val="none" w:sz="0" w:space="0" w:color="auto"/>
      </w:divBdr>
    </w:div>
    <w:div w:id="2142730026">
      <w:bodyDiv w:val="1"/>
      <w:marLeft w:val="0"/>
      <w:marRight w:val="0"/>
      <w:marTop w:val="0"/>
      <w:marBottom w:val="0"/>
      <w:divBdr>
        <w:top w:val="none" w:sz="0" w:space="0" w:color="auto"/>
        <w:left w:val="none" w:sz="0" w:space="0" w:color="auto"/>
        <w:bottom w:val="none" w:sz="0" w:space="0" w:color="auto"/>
        <w:right w:val="none" w:sz="0" w:space="0" w:color="auto"/>
      </w:divBdr>
    </w:div>
    <w:div w:id="214368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mmunications.gov.au/__data/assets/pdf_file/0006/245049/June_2015_Consultation_Draft_-_Telecommunications_Regulations_Amendments_-_Appendix_A.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cid:image001.jpg@01CF53E2.F599DED0" TargetMode="External"/><Relationship Id="rId17" Type="http://schemas.openxmlformats.org/officeDocument/2006/relationships/hyperlink" Target="mailto:powersandimmunities@communications.gov.au?subject=Consultation%20Paper%20Submissio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munications.gov.au/__data/assets/pdf_file/0005/245048/June_2015_Consultation_Draft_-_Low-Impact_Facilities_Determination_-_Appendix_B.pdf"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comlaw.gov.au/Details/F2011L02696/Explanatory%20Statement/Te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BCDE Corporate Colours">
      <a:dk1>
        <a:srgbClr val="00728F"/>
      </a:dk1>
      <a:lt1>
        <a:sysClr val="window" lastClr="FFFFFF"/>
      </a:lt1>
      <a:dk2>
        <a:srgbClr val="B7DDE8"/>
      </a:dk2>
      <a:lt2>
        <a:srgbClr val="DBEEF3"/>
      </a:lt2>
      <a:accent1>
        <a:srgbClr val="00728F"/>
      </a:accent1>
      <a:accent2>
        <a:srgbClr val="B7DDE8"/>
      </a:accent2>
      <a:accent3>
        <a:srgbClr val="DBEEF3"/>
      </a:accent3>
      <a:accent4>
        <a:srgbClr val="92CDDC"/>
      </a:accent4>
      <a:accent5>
        <a:srgbClr val="31859B"/>
      </a:accent5>
      <a:accent6>
        <a:srgbClr val="64B8CE"/>
      </a:accent6>
      <a:hlink>
        <a:srgbClr val="0000FF"/>
      </a:hlink>
      <a:folHlink>
        <a:srgbClr val="800080"/>
      </a:folHlink>
    </a:clrScheme>
    <a:fontScheme name="DBCDE Corporate Fonts">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553DDBAB77D747BAC6F7543B4F0B79" ma:contentTypeVersion="0" ma:contentTypeDescription="Create a new document." ma:contentTypeScope="" ma:versionID="0f8c21f4fd3e2a51631ca25507388a9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D25C4-F229-4499-8B3C-B0B2FADB31CA}">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9EA46CB-1CCE-415F-AB88-0A0387197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EE47242-92A5-40D6-BEE7-35B78C453204}">
  <ds:schemaRefs>
    <ds:schemaRef ds:uri="http://schemas.microsoft.com/sharepoint/v3/contenttype/forms"/>
  </ds:schemaRefs>
</ds:datastoreItem>
</file>

<file path=customXml/itemProps4.xml><?xml version="1.0" encoding="utf-8"?>
<ds:datastoreItem xmlns:ds="http://schemas.openxmlformats.org/officeDocument/2006/customXml" ds:itemID="{A3D9D84B-9416-47F8-A9A3-1DB073FA7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6978</Words>
  <Characters>39775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description/>
  <cp:lastModifiedBy/>
  <cp:revision>1</cp:revision>
  <dcterms:created xsi:type="dcterms:W3CDTF">2015-06-10T08:30:00Z</dcterms:created>
  <dcterms:modified xsi:type="dcterms:W3CDTF">2015-06-12T00:10:00Z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0x01010081553DDBAB77D747BAC6F7543B4F0B79</vt:lpwstr>
  </property>
  <property fmtid="{D5CDD505-2E9C-101B-9397-08002B2CF9AE}" pid="3" name="TrimRevisionNumber">
    <vt:i4>2</vt:i4>
  </property>
</Properties>
</file>